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3F10" w14:textId="77777777" w:rsidR="00A97FB6" w:rsidRPr="002E6E04" w:rsidRDefault="00A97FB6" w:rsidP="00A97FB6">
      <w:pPr>
        <w:rPr>
          <w:color w:val="000000" w:themeColor="text1"/>
        </w:rPr>
      </w:pPr>
      <w:bookmarkStart w:id="0" w:name="_Toc532797754"/>
      <w:bookmarkStart w:id="1" w:name="_Hlk19885668"/>
    </w:p>
    <w:p w14:paraId="2F0853A8" w14:textId="37485DA5" w:rsidR="00A97FB6" w:rsidRPr="002E6E04" w:rsidRDefault="00A97FB6" w:rsidP="00A97FB6">
      <w:pPr>
        <w:pStyle w:val="Heading1"/>
        <w:numPr>
          <w:ilvl w:val="0"/>
          <w:numId w:val="0"/>
        </w:numPr>
        <w:spacing w:before="0" w:line="276" w:lineRule="auto"/>
      </w:pPr>
      <w:r w:rsidRPr="002E6E04">
        <w:t>Enron and the California energy crisis:</w:t>
      </w:r>
      <w:r w:rsidR="00B33E02" w:rsidRPr="002E6E04">
        <w:t xml:space="preserve"> </w:t>
      </w:r>
      <w:r w:rsidR="00745063" w:rsidRPr="002E6E04">
        <w:t>the role of networks in enabling organizational corruption</w:t>
      </w:r>
    </w:p>
    <w:p w14:paraId="1A4B715D" w14:textId="77777777" w:rsidR="00A97FB6" w:rsidRPr="002E6E04" w:rsidRDefault="00A97FB6" w:rsidP="00A97FB6">
      <w:pPr>
        <w:rPr>
          <w:rFonts w:cs="Times New Roman"/>
          <w:color w:val="000000" w:themeColor="text1"/>
          <w:sz w:val="28"/>
        </w:rPr>
      </w:pPr>
    </w:p>
    <w:p w14:paraId="5B48AF5C" w14:textId="77777777" w:rsidR="00A97FB6" w:rsidRPr="002E6E04" w:rsidRDefault="00A97FB6" w:rsidP="00A97FB6">
      <w:pPr>
        <w:jc w:val="center"/>
        <w:rPr>
          <w:rFonts w:cs="Times New Roman"/>
          <w:color w:val="000000" w:themeColor="text1"/>
          <w:sz w:val="28"/>
        </w:rPr>
      </w:pPr>
      <w:r w:rsidRPr="002E6E04">
        <w:rPr>
          <w:rFonts w:cs="Times New Roman"/>
          <w:color w:val="000000" w:themeColor="text1"/>
          <w:sz w:val="28"/>
        </w:rPr>
        <w:t>Adam Nix</w:t>
      </w:r>
    </w:p>
    <w:p w14:paraId="0E7C4D91" w14:textId="77777777" w:rsidR="00A97FB6" w:rsidRPr="002E6E04" w:rsidRDefault="00A97FB6" w:rsidP="00A97FB6">
      <w:pPr>
        <w:jc w:val="center"/>
        <w:rPr>
          <w:rFonts w:cs="Times New Roman"/>
          <w:color w:val="000000" w:themeColor="text1"/>
          <w:sz w:val="28"/>
        </w:rPr>
      </w:pPr>
      <w:r w:rsidRPr="002E6E04">
        <w:rPr>
          <w:rFonts w:cs="Times New Roman"/>
          <w:color w:val="000000" w:themeColor="text1"/>
          <w:sz w:val="28"/>
        </w:rPr>
        <w:t>Stephanie Decker</w:t>
      </w:r>
    </w:p>
    <w:p w14:paraId="2CD73428" w14:textId="5D027200" w:rsidR="00A97FB6" w:rsidRPr="002E6E04" w:rsidRDefault="00A97FB6" w:rsidP="002C5CA6">
      <w:pPr>
        <w:spacing w:line="360" w:lineRule="auto"/>
        <w:jc w:val="center"/>
        <w:rPr>
          <w:rFonts w:cs="Times New Roman"/>
          <w:color w:val="000000" w:themeColor="text1"/>
          <w:sz w:val="28"/>
        </w:rPr>
      </w:pPr>
      <w:r w:rsidRPr="002E6E04">
        <w:rPr>
          <w:rFonts w:cs="Times New Roman"/>
          <w:color w:val="000000" w:themeColor="text1"/>
          <w:sz w:val="28"/>
        </w:rPr>
        <w:t>Carola Wolf</w:t>
      </w:r>
    </w:p>
    <w:p w14:paraId="41DC64F5" w14:textId="77777777" w:rsidR="002C5CA6" w:rsidRPr="002E6E04" w:rsidRDefault="002C5CA6" w:rsidP="00B421B3">
      <w:pPr>
        <w:spacing w:line="360" w:lineRule="auto"/>
        <w:jc w:val="center"/>
        <w:rPr>
          <w:rFonts w:cs="Times New Roman"/>
          <w:b/>
          <w:color w:val="000000" w:themeColor="text1"/>
        </w:rPr>
      </w:pPr>
    </w:p>
    <w:p w14:paraId="11E5B90F" w14:textId="396CE53F" w:rsidR="00745063" w:rsidRPr="002E6E04" w:rsidRDefault="00745063" w:rsidP="00745063">
      <w:pPr>
        <w:spacing w:line="360" w:lineRule="auto"/>
        <w:rPr>
          <w:rFonts w:cs="Times New Roman"/>
          <w:color w:val="000000" w:themeColor="text1"/>
        </w:rPr>
      </w:pPr>
      <w:r w:rsidRPr="002E6E04">
        <w:rPr>
          <w:rFonts w:cs="Times New Roman"/>
          <w:color w:val="000000" w:themeColor="text1"/>
        </w:rPr>
        <w:t>ADAM NIX is</w:t>
      </w:r>
      <w:r w:rsidR="003006C2">
        <w:rPr>
          <w:rFonts w:cs="Times New Roman"/>
          <w:color w:val="000000" w:themeColor="text1"/>
        </w:rPr>
        <w:t xml:space="preserve"> a</w:t>
      </w:r>
      <w:r w:rsidRPr="002E6E04">
        <w:rPr>
          <w:rFonts w:cs="Times New Roman"/>
          <w:color w:val="000000" w:themeColor="text1"/>
        </w:rPr>
        <w:t xml:space="preserve"> </w:t>
      </w:r>
      <w:r w:rsidR="007D4D4D" w:rsidRPr="002E6E04">
        <w:rPr>
          <w:rFonts w:cs="Times New Roman"/>
          <w:color w:val="000000" w:themeColor="text1"/>
        </w:rPr>
        <w:t>L</w:t>
      </w:r>
      <w:r w:rsidRPr="002E6E04">
        <w:rPr>
          <w:rFonts w:cs="Times New Roman"/>
          <w:color w:val="000000" w:themeColor="text1"/>
        </w:rPr>
        <w:t xml:space="preserve">ecturer in </w:t>
      </w:r>
      <w:r w:rsidR="007D4D4D" w:rsidRPr="002E6E04">
        <w:rPr>
          <w:rFonts w:cs="Times New Roman"/>
          <w:color w:val="000000" w:themeColor="text1"/>
        </w:rPr>
        <w:t>R</w:t>
      </w:r>
      <w:r w:rsidRPr="002E6E04">
        <w:rPr>
          <w:rFonts w:cs="Times New Roman"/>
          <w:color w:val="000000" w:themeColor="text1"/>
        </w:rPr>
        <w:t xml:space="preserve">esponsible </w:t>
      </w:r>
      <w:r w:rsidR="007D4D4D" w:rsidRPr="002E6E04">
        <w:rPr>
          <w:rFonts w:cs="Times New Roman"/>
          <w:color w:val="000000" w:themeColor="text1"/>
        </w:rPr>
        <w:t>B</w:t>
      </w:r>
      <w:r w:rsidRPr="002E6E04">
        <w:rPr>
          <w:rFonts w:cs="Times New Roman"/>
          <w:color w:val="000000" w:themeColor="text1"/>
        </w:rPr>
        <w:t>usiness at the University of Birmingham. He holds a PhD in management from Aston Business School, and his thesis focused on the role social relationships have in facilitating corruption as an organizational activity. His research interests also include historical methods, digital history, and practice approaches to management and organizational research.</w:t>
      </w:r>
    </w:p>
    <w:p w14:paraId="1D0F34D4" w14:textId="6F98F989" w:rsidR="00A97FB6" w:rsidRPr="002E6E04" w:rsidRDefault="00A97FB6" w:rsidP="00A97FB6">
      <w:pPr>
        <w:spacing w:line="360" w:lineRule="auto"/>
        <w:rPr>
          <w:rFonts w:cs="Times New Roman"/>
          <w:i/>
          <w:color w:val="000000" w:themeColor="text1"/>
        </w:rPr>
      </w:pPr>
      <w:r w:rsidRPr="002E6E04">
        <w:rPr>
          <w:rFonts w:cs="Times New Roman"/>
          <w:color w:val="000000" w:themeColor="text1"/>
        </w:rPr>
        <w:t xml:space="preserve">STEPHANIE DECKER is </w:t>
      </w:r>
      <w:r w:rsidR="007D4D4D" w:rsidRPr="002E6E04">
        <w:rPr>
          <w:rFonts w:cs="Times New Roman"/>
          <w:color w:val="000000" w:themeColor="text1"/>
        </w:rPr>
        <w:t>P</w:t>
      </w:r>
      <w:r w:rsidRPr="002E6E04">
        <w:rPr>
          <w:rFonts w:cs="Times New Roman"/>
          <w:color w:val="000000" w:themeColor="text1"/>
        </w:rPr>
        <w:t xml:space="preserve">rofessor in </w:t>
      </w:r>
      <w:r w:rsidR="007D4D4D" w:rsidRPr="002E6E04">
        <w:rPr>
          <w:rFonts w:cs="Times New Roman"/>
          <w:color w:val="000000" w:themeColor="text1"/>
        </w:rPr>
        <w:t>S</w:t>
      </w:r>
      <w:r w:rsidRPr="002E6E04">
        <w:rPr>
          <w:rFonts w:cs="Times New Roman"/>
          <w:color w:val="000000" w:themeColor="text1"/>
        </w:rPr>
        <w:t xml:space="preserve">trategy and </w:t>
      </w:r>
      <w:r w:rsidR="007D4D4D" w:rsidRPr="002E6E04">
        <w:rPr>
          <w:rFonts w:cs="Times New Roman"/>
          <w:color w:val="000000" w:themeColor="text1"/>
        </w:rPr>
        <w:t>H</w:t>
      </w:r>
      <w:r w:rsidRPr="002E6E04">
        <w:rPr>
          <w:rFonts w:cs="Times New Roman"/>
          <w:color w:val="000000" w:themeColor="text1"/>
        </w:rPr>
        <w:t xml:space="preserve">istory at the University of </w:t>
      </w:r>
      <w:r w:rsidR="005B3FFE" w:rsidRPr="002E6E04">
        <w:rPr>
          <w:rFonts w:cs="Times New Roman"/>
          <w:color w:val="000000" w:themeColor="text1"/>
        </w:rPr>
        <w:t xml:space="preserve">Bristol and </w:t>
      </w:r>
      <w:r w:rsidR="007D4D4D" w:rsidRPr="002E6E04">
        <w:rPr>
          <w:rFonts w:cs="Times New Roman"/>
          <w:color w:val="000000" w:themeColor="text1"/>
        </w:rPr>
        <w:t>v</w:t>
      </w:r>
      <w:r w:rsidR="005B3FFE" w:rsidRPr="002E6E04">
        <w:rPr>
          <w:rFonts w:cs="Times New Roman"/>
          <w:color w:val="000000" w:themeColor="text1"/>
        </w:rPr>
        <w:t xml:space="preserve">isiting </w:t>
      </w:r>
      <w:r w:rsidR="007D4D4D" w:rsidRPr="002E6E04">
        <w:rPr>
          <w:rFonts w:cs="Times New Roman"/>
          <w:color w:val="000000" w:themeColor="text1"/>
        </w:rPr>
        <w:t>P</w:t>
      </w:r>
      <w:r w:rsidR="005B3FFE" w:rsidRPr="002E6E04">
        <w:rPr>
          <w:rFonts w:cs="Times New Roman"/>
          <w:color w:val="000000" w:themeColor="text1"/>
        </w:rPr>
        <w:t>rofessor of African Business History at the University of Gothenburg, Sweden</w:t>
      </w:r>
      <w:r w:rsidRPr="002E6E04">
        <w:rPr>
          <w:rFonts w:cs="Times New Roman"/>
          <w:color w:val="000000" w:themeColor="text1"/>
        </w:rPr>
        <w:t xml:space="preserve">. Her research focuses on the history of multinationals in West Africa as well as the use of historical methodology and archival research in business and management. She is </w:t>
      </w:r>
      <w:r w:rsidR="005B3FFE" w:rsidRPr="002E6E04">
        <w:rPr>
          <w:rFonts w:cs="Times New Roman"/>
          <w:color w:val="000000" w:themeColor="text1"/>
        </w:rPr>
        <w:t xml:space="preserve">joint </w:t>
      </w:r>
      <w:r w:rsidRPr="002E6E04">
        <w:rPr>
          <w:rFonts w:cs="Times New Roman"/>
          <w:color w:val="000000" w:themeColor="text1"/>
        </w:rPr>
        <w:t xml:space="preserve">editor-in-chief for </w:t>
      </w:r>
      <w:r w:rsidRPr="002E6E04">
        <w:rPr>
          <w:rFonts w:cs="Times New Roman"/>
          <w:i/>
          <w:color w:val="000000" w:themeColor="text1"/>
        </w:rPr>
        <w:t>Business History</w:t>
      </w:r>
      <w:r w:rsidRPr="002E6E04">
        <w:rPr>
          <w:rFonts w:cs="Times New Roman"/>
          <w:color w:val="000000" w:themeColor="text1"/>
        </w:rPr>
        <w:t xml:space="preserve"> and has published her work in</w:t>
      </w:r>
      <w:r w:rsidR="005B3FFE" w:rsidRPr="002E6E04">
        <w:rPr>
          <w:rFonts w:cs="Times New Roman"/>
          <w:color w:val="000000" w:themeColor="text1"/>
        </w:rPr>
        <w:t xml:space="preserve"> journals such as</w:t>
      </w:r>
      <w:r w:rsidRPr="002E6E04">
        <w:rPr>
          <w:rFonts w:cs="Times New Roman"/>
          <w:color w:val="000000" w:themeColor="text1"/>
        </w:rPr>
        <w:t xml:space="preserve"> </w:t>
      </w:r>
      <w:r w:rsidRPr="002E6E04">
        <w:rPr>
          <w:rFonts w:cs="Times New Roman"/>
          <w:i/>
          <w:color w:val="000000" w:themeColor="text1"/>
        </w:rPr>
        <w:t>Business History Review, Business History,</w:t>
      </w:r>
      <w:r w:rsidR="0055285E" w:rsidRPr="002E6E04">
        <w:rPr>
          <w:rFonts w:cs="Times New Roman"/>
          <w:i/>
          <w:color w:val="000000" w:themeColor="text1"/>
        </w:rPr>
        <w:t xml:space="preserve"> Human Relations, Enterprise &amp; Society</w:t>
      </w:r>
      <w:r w:rsidRPr="002E6E04">
        <w:rPr>
          <w:rFonts w:cs="Times New Roman"/>
          <w:i/>
          <w:color w:val="000000" w:themeColor="text1"/>
        </w:rPr>
        <w:t>, Journal of Management Studies,</w:t>
      </w:r>
      <w:r w:rsidRPr="002E6E04">
        <w:rPr>
          <w:rFonts w:cs="Times New Roman"/>
          <w:color w:val="000000" w:themeColor="text1"/>
        </w:rPr>
        <w:t xml:space="preserve"> and </w:t>
      </w:r>
      <w:r w:rsidRPr="002E6E04">
        <w:rPr>
          <w:rFonts w:cs="Times New Roman"/>
          <w:i/>
          <w:color w:val="000000" w:themeColor="text1"/>
        </w:rPr>
        <w:t>Academy of Management Review.</w:t>
      </w:r>
    </w:p>
    <w:p w14:paraId="6B6A60FC" w14:textId="181EDCA0" w:rsidR="00A97FB6" w:rsidRPr="002E6E04" w:rsidRDefault="00A97FB6" w:rsidP="00A97FB6">
      <w:pPr>
        <w:spacing w:line="360" w:lineRule="auto"/>
        <w:rPr>
          <w:rFonts w:cs="Times New Roman"/>
          <w:color w:val="000000" w:themeColor="text1"/>
        </w:rPr>
      </w:pPr>
      <w:r w:rsidRPr="002E6E04">
        <w:rPr>
          <w:rFonts w:cs="Times New Roman"/>
          <w:color w:val="000000" w:themeColor="text1"/>
        </w:rPr>
        <w:t>CAROLA WOLF is</w:t>
      </w:r>
      <w:r w:rsidR="003006C2">
        <w:rPr>
          <w:rFonts w:cs="Times New Roman"/>
          <w:color w:val="000000" w:themeColor="text1"/>
        </w:rPr>
        <w:t xml:space="preserve"> a</w:t>
      </w:r>
      <w:r w:rsidRPr="002E6E04">
        <w:rPr>
          <w:rFonts w:cs="Times New Roman"/>
          <w:color w:val="000000" w:themeColor="text1"/>
        </w:rPr>
        <w:t xml:space="preserve"> </w:t>
      </w:r>
      <w:r w:rsidR="007D4D4D" w:rsidRPr="002E6E04">
        <w:rPr>
          <w:rFonts w:cs="Times New Roman"/>
          <w:color w:val="000000" w:themeColor="text1"/>
        </w:rPr>
        <w:t>S</w:t>
      </w:r>
      <w:r w:rsidRPr="002E6E04">
        <w:rPr>
          <w:rFonts w:cs="Times New Roman"/>
          <w:color w:val="000000" w:themeColor="text1"/>
        </w:rPr>
        <w:t xml:space="preserve">enior </w:t>
      </w:r>
      <w:r w:rsidR="007D4D4D" w:rsidRPr="002E6E04">
        <w:rPr>
          <w:rFonts w:cs="Times New Roman"/>
          <w:color w:val="000000" w:themeColor="text1"/>
        </w:rPr>
        <w:t>L</w:t>
      </w:r>
      <w:r w:rsidRPr="002E6E04">
        <w:rPr>
          <w:rFonts w:cs="Times New Roman"/>
          <w:color w:val="000000" w:themeColor="text1"/>
        </w:rPr>
        <w:t xml:space="preserve">ecturer in </w:t>
      </w:r>
      <w:r w:rsidR="007D4D4D" w:rsidRPr="002E6E04">
        <w:rPr>
          <w:rFonts w:cs="Times New Roman"/>
          <w:color w:val="000000" w:themeColor="text1"/>
        </w:rPr>
        <w:t>S</w:t>
      </w:r>
      <w:r w:rsidRPr="002E6E04">
        <w:rPr>
          <w:rFonts w:cs="Times New Roman"/>
          <w:color w:val="000000" w:themeColor="text1"/>
        </w:rPr>
        <w:t xml:space="preserve">trategy at </w:t>
      </w:r>
      <w:r w:rsidR="00052AE2" w:rsidRPr="002E6E04">
        <w:rPr>
          <w:rFonts w:cs="Times New Roman"/>
          <w:color w:val="000000" w:themeColor="text1"/>
        </w:rPr>
        <w:t xml:space="preserve">the </w:t>
      </w:r>
      <w:r w:rsidRPr="002E6E04">
        <w:rPr>
          <w:rFonts w:cs="Times New Roman"/>
          <w:color w:val="000000" w:themeColor="text1"/>
        </w:rPr>
        <w:t>University</w:t>
      </w:r>
      <w:r w:rsidR="00052AE2" w:rsidRPr="002E6E04">
        <w:rPr>
          <w:rFonts w:cs="Times New Roman"/>
          <w:color w:val="000000" w:themeColor="text1"/>
        </w:rPr>
        <w:t xml:space="preserve"> of Liverpool</w:t>
      </w:r>
      <w:r w:rsidRPr="002E6E04">
        <w:rPr>
          <w:rFonts w:cs="Times New Roman"/>
          <w:color w:val="000000" w:themeColor="text1"/>
        </w:rPr>
        <w:t xml:space="preserve">. </w:t>
      </w:r>
      <w:r w:rsidR="00FE7438" w:rsidRPr="002E6E04">
        <w:rPr>
          <w:rFonts w:cs="Times New Roman"/>
          <w:color w:val="000000" w:themeColor="text1"/>
        </w:rPr>
        <w:t xml:space="preserve">Her </w:t>
      </w:r>
      <w:r w:rsidRPr="002E6E04">
        <w:rPr>
          <w:rFonts w:cs="Times New Roman"/>
          <w:color w:val="000000" w:themeColor="text1"/>
        </w:rPr>
        <w:t xml:space="preserve">research applies a sociological perspective on strategy processes and practices, exploring issues of strategic change and the emergence of strategy in different organizational contexts. </w:t>
      </w:r>
      <w:r w:rsidR="00FE7438" w:rsidRPr="002E6E04">
        <w:rPr>
          <w:rFonts w:cs="Times New Roman"/>
          <w:color w:val="000000" w:themeColor="text1"/>
        </w:rPr>
        <w:t xml:space="preserve">Additionally, she has an interest in managerial and professional work and career studies. </w:t>
      </w:r>
      <w:r w:rsidR="00C41283" w:rsidRPr="002E6E04">
        <w:rPr>
          <w:rFonts w:cs="Times New Roman"/>
          <w:color w:val="000000" w:themeColor="text1"/>
        </w:rPr>
        <w:t>Her work has been</w:t>
      </w:r>
      <w:r w:rsidRPr="002E6E04">
        <w:rPr>
          <w:rFonts w:cs="Times New Roman"/>
          <w:color w:val="000000" w:themeColor="text1"/>
        </w:rPr>
        <w:t xml:space="preserve"> published in </w:t>
      </w:r>
      <w:r w:rsidR="00C41283" w:rsidRPr="002E6E04">
        <w:rPr>
          <w:rFonts w:cs="Times New Roman"/>
          <w:color w:val="000000" w:themeColor="text1"/>
        </w:rPr>
        <w:t xml:space="preserve">outlets including </w:t>
      </w:r>
      <w:r w:rsidRPr="002E6E04">
        <w:rPr>
          <w:rFonts w:cs="Times New Roman"/>
          <w:color w:val="000000" w:themeColor="text1"/>
        </w:rPr>
        <w:t xml:space="preserve">the </w:t>
      </w:r>
      <w:r w:rsidRPr="002E6E04">
        <w:rPr>
          <w:rFonts w:cs="Times New Roman"/>
          <w:i/>
          <w:color w:val="000000" w:themeColor="text1"/>
        </w:rPr>
        <w:t>Journal of Management</w:t>
      </w:r>
      <w:r w:rsidR="00C41283" w:rsidRPr="002E6E04">
        <w:rPr>
          <w:rFonts w:cs="Times New Roman"/>
          <w:color w:val="000000" w:themeColor="text1"/>
        </w:rPr>
        <w:t xml:space="preserve">, </w:t>
      </w:r>
      <w:r w:rsidR="00C41283" w:rsidRPr="002E6E04">
        <w:rPr>
          <w:rFonts w:cs="Times New Roman"/>
          <w:i/>
          <w:iCs/>
          <w:color w:val="000000" w:themeColor="text1"/>
        </w:rPr>
        <w:t>Journal of Management Studies</w:t>
      </w:r>
      <w:r w:rsidR="002C5CA6" w:rsidRPr="002E6E04">
        <w:rPr>
          <w:rFonts w:cs="Times New Roman"/>
          <w:color w:val="000000" w:themeColor="text1"/>
        </w:rPr>
        <w:t xml:space="preserve">, </w:t>
      </w:r>
      <w:r w:rsidRPr="002E6E04">
        <w:rPr>
          <w:rFonts w:cs="Times New Roman"/>
          <w:color w:val="000000" w:themeColor="text1"/>
        </w:rPr>
        <w:t xml:space="preserve">and </w:t>
      </w:r>
      <w:r w:rsidRPr="002E6E04">
        <w:rPr>
          <w:rFonts w:cs="Times New Roman"/>
          <w:i/>
          <w:color w:val="000000" w:themeColor="text1"/>
        </w:rPr>
        <w:t>Human Relations</w:t>
      </w:r>
      <w:r w:rsidRPr="002E6E04">
        <w:rPr>
          <w:rFonts w:cs="Times New Roman"/>
          <w:color w:val="000000" w:themeColor="text1"/>
        </w:rPr>
        <w:t>.</w:t>
      </w:r>
    </w:p>
    <w:bookmarkEnd w:id="0"/>
    <w:bookmarkEnd w:id="1"/>
    <w:p w14:paraId="051B1537" w14:textId="77777777" w:rsidR="00E4706D" w:rsidRPr="002E6E04" w:rsidRDefault="00E4706D">
      <w:pPr>
        <w:spacing w:line="259" w:lineRule="auto"/>
        <w:jc w:val="left"/>
        <w:rPr>
          <w:b/>
          <w:color w:val="000000" w:themeColor="text1"/>
          <w:sz w:val="26"/>
          <w:szCs w:val="26"/>
        </w:rPr>
      </w:pPr>
      <w:r w:rsidRPr="002E6E04">
        <w:rPr>
          <w:b/>
          <w:color w:val="000000" w:themeColor="text1"/>
          <w:sz w:val="26"/>
          <w:szCs w:val="26"/>
        </w:rPr>
        <w:br w:type="page"/>
      </w:r>
    </w:p>
    <w:p w14:paraId="3120ED6A" w14:textId="79CB3E1F" w:rsidR="000142AC" w:rsidRPr="002E6E04" w:rsidRDefault="000142AC" w:rsidP="002C5CA6">
      <w:pPr>
        <w:jc w:val="center"/>
        <w:rPr>
          <w:b/>
          <w:color w:val="000000" w:themeColor="text1"/>
          <w:sz w:val="26"/>
          <w:szCs w:val="26"/>
        </w:rPr>
      </w:pPr>
      <w:r w:rsidRPr="002E6E04">
        <w:rPr>
          <w:b/>
          <w:color w:val="000000" w:themeColor="text1"/>
          <w:sz w:val="26"/>
          <w:szCs w:val="26"/>
        </w:rPr>
        <w:lastRenderedPageBreak/>
        <w:t>Abstract</w:t>
      </w:r>
    </w:p>
    <w:p w14:paraId="5740D5A5" w14:textId="19C570B0" w:rsidR="000142AC" w:rsidRPr="002E6E04" w:rsidRDefault="00636BE4" w:rsidP="000142AC">
      <w:pPr>
        <w:rPr>
          <w:color w:val="000000" w:themeColor="text1"/>
        </w:rPr>
      </w:pPr>
      <w:r w:rsidRPr="002E6E04">
        <w:rPr>
          <w:color w:val="000000" w:themeColor="text1"/>
        </w:rPr>
        <w:t>We provide</w:t>
      </w:r>
      <w:r w:rsidR="000142AC" w:rsidRPr="002E6E04">
        <w:rPr>
          <w:color w:val="000000" w:themeColor="text1"/>
        </w:rPr>
        <w:t xml:space="preserve"> an analytically structured history of </w:t>
      </w:r>
      <w:r w:rsidR="000142AC" w:rsidRPr="0062108A">
        <w:rPr>
          <w:color w:val="000000" w:themeColor="text1"/>
        </w:rPr>
        <w:t>Enron’s involvement in the Californi</w:t>
      </w:r>
      <w:r w:rsidRPr="0062108A">
        <w:rPr>
          <w:color w:val="000000" w:themeColor="text1"/>
        </w:rPr>
        <w:t>a energy crisis. In doing so, our analysis</w:t>
      </w:r>
      <w:r w:rsidR="000142AC" w:rsidRPr="0062108A">
        <w:rPr>
          <w:color w:val="000000" w:themeColor="text1"/>
        </w:rPr>
        <w:t xml:space="preserve"> </w:t>
      </w:r>
      <w:r w:rsidR="00896375" w:rsidRPr="0062108A">
        <w:rPr>
          <w:color w:val="000000" w:themeColor="text1"/>
        </w:rPr>
        <w:t xml:space="preserve">explores </w:t>
      </w:r>
      <w:r w:rsidR="000142AC" w:rsidRPr="0062108A">
        <w:rPr>
          <w:color w:val="000000" w:themeColor="text1"/>
        </w:rPr>
        <w:t xml:space="preserve">Enron’s emergence as a </w:t>
      </w:r>
      <w:r w:rsidR="000142AC" w:rsidRPr="00563779">
        <w:rPr>
          <w:color w:val="000000" w:themeColor="text1"/>
        </w:rPr>
        <w:t xml:space="preserve">corrupt </w:t>
      </w:r>
      <w:r w:rsidR="0059214A" w:rsidRPr="00563779">
        <w:rPr>
          <w:color w:val="000000" w:themeColor="text1"/>
        </w:rPr>
        <w:t>organization</w:t>
      </w:r>
      <w:r w:rsidR="000142AC" w:rsidRPr="0062108A">
        <w:rPr>
          <w:color w:val="000000" w:themeColor="text1"/>
        </w:rPr>
        <w:t xml:space="preserve"> and its </w:t>
      </w:r>
      <w:r w:rsidR="004E769C" w:rsidRPr="0062108A">
        <w:rPr>
          <w:color w:val="000000" w:themeColor="text1"/>
        </w:rPr>
        <w:t xml:space="preserve">use of </w:t>
      </w:r>
      <w:r w:rsidR="008D1C34" w:rsidRPr="0062108A">
        <w:rPr>
          <w:color w:val="000000" w:themeColor="text1"/>
        </w:rPr>
        <w:t>an inter-organizational network</w:t>
      </w:r>
      <w:r w:rsidR="004E769C" w:rsidRPr="0062108A">
        <w:rPr>
          <w:color w:val="000000" w:themeColor="text1"/>
        </w:rPr>
        <w:t xml:space="preserve"> to manipulate California’s energy supply markets.</w:t>
      </w:r>
      <w:r w:rsidR="000142AC" w:rsidRPr="0062108A">
        <w:rPr>
          <w:color w:val="000000" w:themeColor="text1"/>
        </w:rPr>
        <w:t xml:space="preserve"> </w:t>
      </w:r>
      <w:r w:rsidR="008636E1" w:rsidRPr="0062108A">
        <w:rPr>
          <w:color w:val="000000" w:themeColor="text1"/>
        </w:rPr>
        <w:t xml:space="preserve">We use this history to </w:t>
      </w:r>
      <w:r w:rsidR="008D4D2B" w:rsidRPr="0062108A">
        <w:rPr>
          <w:color w:val="000000" w:themeColor="text1"/>
        </w:rPr>
        <w:t>introduce the</w:t>
      </w:r>
      <w:r w:rsidR="008636E1" w:rsidRPr="0062108A">
        <w:rPr>
          <w:color w:val="000000" w:themeColor="text1"/>
        </w:rPr>
        <w:t xml:space="preserve"> </w:t>
      </w:r>
      <w:r w:rsidR="008D1C34" w:rsidRPr="0062108A">
        <w:rPr>
          <w:color w:val="000000" w:themeColor="text1"/>
        </w:rPr>
        <w:t>concept</w:t>
      </w:r>
      <w:r w:rsidR="008D4D2B" w:rsidRPr="0062108A">
        <w:rPr>
          <w:color w:val="000000" w:themeColor="text1"/>
        </w:rPr>
        <w:t xml:space="preserve"> of</w:t>
      </w:r>
      <w:r w:rsidR="002C5CA6" w:rsidRPr="0062108A">
        <w:rPr>
          <w:color w:val="000000" w:themeColor="text1"/>
        </w:rPr>
        <w:t xml:space="preserve"> </w:t>
      </w:r>
      <w:r w:rsidR="008D1C34" w:rsidRPr="00563779">
        <w:rPr>
          <w:color w:val="000000" w:themeColor="text1"/>
        </w:rPr>
        <w:t>network</w:t>
      </w:r>
      <w:r w:rsidR="003E67B0" w:rsidRPr="00563779">
        <w:rPr>
          <w:color w:val="000000" w:themeColor="text1"/>
        </w:rPr>
        <w:t>-enabled corruption</w:t>
      </w:r>
      <w:r w:rsidR="008636E1" w:rsidRPr="0062108A">
        <w:rPr>
          <w:color w:val="000000" w:themeColor="text1"/>
        </w:rPr>
        <w:t>, show</w:t>
      </w:r>
      <w:r w:rsidR="008D1C34" w:rsidRPr="0062108A">
        <w:rPr>
          <w:color w:val="000000" w:themeColor="text1"/>
        </w:rPr>
        <w:t>ing</w:t>
      </w:r>
      <w:r w:rsidR="008D1C34" w:rsidRPr="002E6E04">
        <w:rPr>
          <w:color w:val="000000" w:themeColor="text1"/>
        </w:rPr>
        <w:t xml:space="preserve"> </w:t>
      </w:r>
      <w:r w:rsidR="008636E1" w:rsidRPr="002E6E04">
        <w:rPr>
          <w:color w:val="000000" w:themeColor="text1"/>
        </w:rPr>
        <w:t>how corruption</w:t>
      </w:r>
      <w:r w:rsidR="008D4D2B" w:rsidRPr="002E6E04">
        <w:rPr>
          <w:color w:val="000000" w:themeColor="text1"/>
        </w:rPr>
        <w:t>, even if</w:t>
      </w:r>
      <w:r w:rsidR="008636E1" w:rsidRPr="002E6E04">
        <w:rPr>
          <w:color w:val="000000" w:themeColor="text1"/>
        </w:rPr>
        <w:t xml:space="preserve"> primarily </w:t>
      </w:r>
      <w:r w:rsidR="008D4D2B" w:rsidRPr="002E6E04">
        <w:rPr>
          <w:color w:val="000000" w:themeColor="text1"/>
        </w:rPr>
        <w:t xml:space="preserve">enacted </w:t>
      </w:r>
      <w:r w:rsidR="008636E1" w:rsidRPr="002E6E04">
        <w:rPr>
          <w:color w:val="000000" w:themeColor="text1"/>
        </w:rPr>
        <w:t xml:space="preserve">by a single dominant organization, </w:t>
      </w:r>
      <w:r w:rsidR="008D4D2B" w:rsidRPr="002E6E04">
        <w:rPr>
          <w:color w:val="000000" w:themeColor="text1"/>
        </w:rPr>
        <w:t xml:space="preserve">is often </w:t>
      </w:r>
      <w:r w:rsidR="008636E1" w:rsidRPr="002E6E04">
        <w:rPr>
          <w:color w:val="000000" w:themeColor="text1"/>
        </w:rPr>
        <w:t xml:space="preserve">highly </w:t>
      </w:r>
      <w:r w:rsidR="003C5E74" w:rsidRPr="002E6E04">
        <w:rPr>
          <w:color w:val="000000" w:themeColor="text1"/>
        </w:rPr>
        <w:t xml:space="preserve">dependent on </w:t>
      </w:r>
      <w:r w:rsidR="008D1C34" w:rsidRPr="002E6E04">
        <w:rPr>
          <w:color w:val="000000" w:themeColor="text1"/>
        </w:rPr>
        <w:t>the support of other organizations</w:t>
      </w:r>
      <w:r w:rsidR="008636E1" w:rsidRPr="002E6E04">
        <w:rPr>
          <w:color w:val="000000" w:themeColor="text1"/>
        </w:rPr>
        <w:t>.</w:t>
      </w:r>
      <w:r w:rsidR="000142AC" w:rsidRPr="002E6E04">
        <w:rPr>
          <w:color w:val="000000" w:themeColor="text1"/>
        </w:rPr>
        <w:t xml:space="preserve"> </w:t>
      </w:r>
      <w:r w:rsidR="008636E1" w:rsidRPr="002E6E04">
        <w:rPr>
          <w:color w:val="000000" w:themeColor="text1"/>
        </w:rPr>
        <w:t xml:space="preserve">Specifically, we show how Enron </w:t>
      </w:r>
      <w:r w:rsidR="000142AC" w:rsidRPr="002E6E04">
        <w:rPr>
          <w:color w:val="000000" w:themeColor="text1"/>
        </w:rPr>
        <w:t>combin</w:t>
      </w:r>
      <w:r w:rsidR="00617970" w:rsidRPr="002E6E04">
        <w:rPr>
          <w:color w:val="000000" w:themeColor="text1"/>
        </w:rPr>
        <w:t xml:space="preserve">ed </w:t>
      </w:r>
      <w:r w:rsidR="008D1C34" w:rsidRPr="002E6E04">
        <w:rPr>
          <w:color w:val="000000" w:themeColor="text1"/>
        </w:rPr>
        <w:t>resources from partner</w:t>
      </w:r>
      <w:r w:rsidR="002D0035" w:rsidRPr="002E6E04">
        <w:rPr>
          <w:color w:val="000000" w:themeColor="text1"/>
        </w:rPr>
        <w:t xml:space="preserve"> firms</w:t>
      </w:r>
      <w:r w:rsidR="00617970" w:rsidRPr="002E6E04">
        <w:rPr>
          <w:color w:val="000000" w:themeColor="text1"/>
        </w:rPr>
        <w:t xml:space="preserve"> </w:t>
      </w:r>
      <w:r w:rsidR="000142AC" w:rsidRPr="002E6E04">
        <w:rPr>
          <w:color w:val="000000" w:themeColor="text1"/>
        </w:rPr>
        <w:t>with their own capabilities</w:t>
      </w:r>
      <w:r w:rsidR="002D0035" w:rsidRPr="002E6E04">
        <w:rPr>
          <w:color w:val="000000" w:themeColor="text1"/>
        </w:rPr>
        <w:t>,</w:t>
      </w:r>
      <w:r w:rsidR="000142AC" w:rsidRPr="002E6E04">
        <w:rPr>
          <w:color w:val="000000" w:themeColor="text1"/>
        </w:rPr>
        <w:t xml:space="preserve"> manipulat</w:t>
      </w:r>
      <w:r w:rsidR="002D0035" w:rsidRPr="002E6E04">
        <w:rPr>
          <w:color w:val="000000" w:themeColor="text1"/>
        </w:rPr>
        <w:t>ing</w:t>
      </w:r>
      <w:r w:rsidR="000142AC" w:rsidRPr="002E6E04">
        <w:rPr>
          <w:color w:val="000000" w:themeColor="text1"/>
        </w:rPr>
        <w:t xml:space="preserve"> the energy market</w:t>
      </w:r>
      <w:r w:rsidR="000A5D33" w:rsidRPr="002E6E04">
        <w:rPr>
          <w:color w:val="000000" w:themeColor="text1"/>
        </w:rPr>
        <w:t xml:space="preserve"> and capitaliz</w:t>
      </w:r>
      <w:r w:rsidR="008D4D2B" w:rsidRPr="002E6E04">
        <w:rPr>
          <w:color w:val="000000" w:themeColor="text1"/>
        </w:rPr>
        <w:t>ing</w:t>
      </w:r>
      <w:r w:rsidR="000A5D33" w:rsidRPr="002E6E04">
        <w:rPr>
          <w:color w:val="000000" w:themeColor="text1"/>
        </w:rPr>
        <w:t xml:space="preserve"> o</w:t>
      </w:r>
      <w:r w:rsidR="00CD46BD" w:rsidRPr="002E6E04">
        <w:rPr>
          <w:color w:val="000000" w:themeColor="text1"/>
        </w:rPr>
        <w:t>n</w:t>
      </w:r>
      <w:r w:rsidR="000A5D33" w:rsidRPr="002E6E04">
        <w:rPr>
          <w:color w:val="000000" w:themeColor="text1"/>
        </w:rPr>
        <w:t xml:space="preserve"> the crisis.</w:t>
      </w:r>
      <w:r w:rsidR="00B91132" w:rsidRPr="002E6E04">
        <w:rPr>
          <w:color w:val="000000" w:themeColor="text1"/>
        </w:rPr>
        <w:t xml:space="preserve"> </w:t>
      </w:r>
      <w:r w:rsidR="008D4D2B" w:rsidRPr="002E6E04">
        <w:rPr>
          <w:color w:val="000000" w:themeColor="text1"/>
        </w:rPr>
        <w:t>From a methodological point of view, o</w:t>
      </w:r>
      <w:r w:rsidR="008636E1" w:rsidRPr="002E6E04">
        <w:rPr>
          <w:color w:val="000000" w:themeColor="text1"/>
        </w:rPr>
        <w:t xml:space="preserve">ur study emphasizes the </w:t>
      </w:r>
      <w:r w:rsidR="00617970" w:rsidRPr="002E6E04">
        <w:rPr>
          <w:color w:val="000000" w:themeColor="text1"/>
        </w:rPr>
        <w:t xml:space="preserve">growing </w:t>
      </w:r>
      <w:r w:rsidR="008636E1" w:rsidRPr="002E6E04">
        <w:rPr>
          <w:color w:val="000000" w:themeColor="text1"/>
        </w:rPr>
        <w:t>importance of digital sources</w:t>
      </w:r>
      <w:r w:rsidR="008D4D2B" w:rsidRPr="002E6E04">
        <w:rPr>
          <w:color w:val="000000" w:themeColor="text1"/>
        </w:rPr>
        <w:t xml:space="preserve"> for historical research</w:t>
      </w:r>
      <w:r w:rsidR="008636E1" w:rsidRPr="002E6E04">
        <w:rPr>
          <w:color w:val="000000" w:themeColor="text1"/>
        </w:rPr>
        <w:t xml:space="preserve">, </w:t>
      </w:r>
      <w:r w:rsidR="00617970" w:rsidRPr="002E6E04">
        <w:rPr>
          <w:color w:val="000000" w:themeColor="text1"/>
        </w:rPr>
        <w:t xml:space="preserve">drawing </w:t>
      </w:r>
      <w:r w:rsidR="00A80F3B" w:rsidRPr="002E6E04">
        <w:rPr>
          <w:color w:val="000000" w:themeColor="text1"/>
        </w:rPr>
        <w:t xml:space="preserve">particularly </w:t>
      </w:r>
      <w:r w:rsidR="00617970" w:rsidRPr="002E6E04">
        <w:rPr>
          <w:color w:val="000000" w:themeColor="text1"/>
        </w:rPr>
        <w:t xml:space="preserve">on </w:t>
      </w:r>
      <w:r w:rsidR="008636E1" w:rsidRPr="002E6E04">
        <w:rPr>
          <w:color w:val="000000" w:themeColor="text1"/>
        </w:rPr>
        <w:t xml:space="preserve">telephone and email records </w:t>
      </w:r>
      <w:r w:rsidR="00617970" w:rsidRPr="002E6E04">
        <w:rPr>
          <w:color w:val="000000" w:themeColor="text1"/>
        </w:rPr>
        <w:t xml:space="preserve">from the period to </w:t>
      </w:r>
      <w:r w:rsidR="008636E1" w:rsidRPr="002E6E04">
        <w:rPr>
          <w:color w:val="000000" w:themeColor="text1"/>
        </w:rPr>
        <w:t xml:space="preserve">develop a rich, fly-on-the-wall understanding of </w:t>
      </w:r>
      <w:r w:rsidR="00617970" w:rsidRPr="002E6E04">
        <w:rPr>
          <w:color w:val="000000" w:themeColor="text1"/>
        </w:rPr>
        <w:t xml:space="preserve">an otherwise hard to observe phenomenon. </w:t>
      </w:r>
    </w:p>
    <w:p w14:paraId="5494BF55" w14:textId="77777777" w:rsidR="0062108A" w:rsidRDefault="0062108A" w:rsidP="00617970">
      <w:pPr>
        <w:rPr>
          <w:color w:val="000000" w:themeColor="text1"/>
        </w:rPr>
      </w:pPr>
    </w:p>
    <w:p w14:paraId="3C3F88B5" w14:textId="69AAB2A8" w:rsidR="000142AC" w:rsidRPr="002E6E04" w:rsidRDefault="000142AC" w:rsidP="00617970">
      <w:pPr>
        <w:rPr>
          <w:color w:val="000000" w:themeColor="text1"/>
        </w:rPr>
      </w:pPr>
      <w:r w:rsidRPr="002E6E04">
        <w:rPr>
          <w:color w:val="000000" w:themeColor="text1"/>
        </w:rPr>
        <w:t xml:space="preserve">Keywords: </w:t>
      </w:r>
      <w:r w:rsidR="0059214A" w:rsidRPr="002E6E04">
        <w:rPr>
          <w:color w:val="000000" w:themeColor="text1"/>
        </w:rPr>
        <w:t>Organizational</w:t>
      </w:r>
      <w:r w:rsidRPr="002E6E04">
        <w:rPr>
          <w:color w:val="000000" w:themeColor="text1"/>
        </w:rPr>
        <w:t xml:space="preserve"> corruption; </w:t>
      </w:r>
      <w:r w:rsidR="00A831BF" w:rsidRPr="002E6E04">
        <w:rPr>
          <w:color w:val="000000" w:themeColor="text1"/>
        </w:rPr>
        <w:t xml:space="preserve">Organizational misconduct; </w:t>
      </w:r>
      <w:r w:rsidRPr="002E6E04">
        <w:rPr>
          <w:color w:val="000000" w:themeColor="text1"/>
        </w:rPr>
        <w:t>Analytically structured history;</w:t>
      </w:r>
      <w:r w:rsidR="004E3A8A" w:rsidRPr="002E6E04">
        <w:rPr>
          <w:color w:val="000000" w:themeColor="text1"/>
        </w:rPr>
        <w:t xml:space="preserve"> Digital sources</w:t>
      </w:r>
      <w:r w:rsidRPr="002E6E04">
        <w:rPr>
          <w:color w:val="000000" w:themeColor="text1"/>
        </w:rPr>
        <w:t xml:space="preserve">; Energy </w:t>
      </w:r>
      <w:r w:rsidR="00A831BF" w:rsidRPr="002E6E04">
        <w:rPr>
          <w:color w:val="000000" w:themeColor="text1"/>
        </w:rPr>
        <w:t>supply industry</w:t>
      </w:r>
    </w:p>
    <w:p w14:paraId="6C6C49EA" w14:textId="77777777" w:rsidR="000142AC" w:rsidRPr="002E6E04" w:rsidRDefault="000142AC" w:rsidP="000142AC">
      <w:pPr>
        <w:jc w:val="left"/>
        <w:rPr>
          <w:color w:val="000000" w:themeColor="text1"/>
        </w:rPr>
      </w:pPr>
      <w:bookmarkStart w:id="2" w:name="_Toc524704602"/>
      <w:bookmarkStart w:id="3" w:name="_Toc532797755"/>
      <w:r w:rsidRPr="002E6E04">
        <w:rPr>
          <w:color w:val="000000" w:themeColor="text1"/>
        </w:rPr>
        <w:br w:type="page"/>
      </w:r>
    </w:p>
    <w:p w14:paraId="115C7EC3" w14:textId="77777777" w:rsidR="000142AC" w:rsidRPr="002E6E04" w:rsidRDefault="000142AC" w:rsidP="000142AC">
      <w:pPr>
        <w:pStyle w:val="Heading2"/>
        <w:numPr>
          <w:ilvl w:val="0"/>
          <w:numId w:val="0"/>
        </w:numPr>
        <w:spacing w:after="0" w:line="480" w:lineRule="auto"/>
        <w:ind w:left="576" w:hanging="576"/>
      </w:pPr>
      <w:r w:rsidRPr="002E6E04">
        <w:lastRenderedPageBreak/>
        <w:t>Introduction</w:t>
      </w:r>
      <w:bookmarkEnd w:id="2"/>
      <w:bookmarkEnd w:id="3"/>
    </w:p>
    <w:p w14:paraId="51559B13" w14:textId="7E3A9F82" w:rsidR="00291EED" w:rsidRPr="002E6E04" w:rsidRDefault="000629E3" w:rsidP="008559F2">
      <w:pPr>
        <w:autoSpaceDE w:val="0"/>
        <w:autoSpaceDN w:val="0"/>
        <w:adjustRightInd w:val="0"/>
        <w:spacing w:after="0"/>
        <w:rPr>
          <w:rFonts w:cs="Times New Roman"/>
          <w:color w:val="000000" w:themeColor="text1"/>
          <w:szCs w:val="24"/>
        </w:rPr>
      </w:pPr>
      <w:r w:rsidRPr="002E6E04">
        <w:rPr>
          <w:color w:val="000000" w:themeColor="text1"/>
          <w:szCs w:val="24"/>
        </w:rPr>
        <w:t>On</w:t>
      </w:r>
      <w:r w:rsidR="00EA4A8A" w:rsidRPr="002E6E04">
        <w:rPr>
          <w:color w:val="000000" w:themeColor="text1"/>
          <w:szCs w:val="24"/>
        </w:rPr>
        <w:t xml:space="preserve"> </w:t>
      </w:r>
      <w:r w:rsidR="00045450" w:rsidRPr="002E6E04">
        <w:rPr>
          <w:color w:val="000000" w:themeColor="text1"/>
          <w:szCs w:val="24"/>
        </w:rPr>
        <w:t>June 2</w:t>
      </w:r>
      <w:r w:rsidR="009F124B" w:rsidRPr="002E6E04">
        <w:rPr>
          <w:color w:val="000000" w:themeColor="text1"/>
          <w:szCs w:val="24"/>
        </w:rPr>
        <w:t>5</w:t>
      </w:r>
      <w:r w:rsidR="00EA4A8A" w:rsidRPr="002E6E04">
        <w:rPr>
          <w:color w:val="000000" w:themeColor="text1"/>
          <w:szCs w:val="24"/>
        </w:rPr>
        <w:t>,</w:t>
      </w:r>
      <w:r w:rsidR="00045450" w:rsidRPr="002E6E04">
        <w:rPr>
          <w:color w:val="000000" w:themeColor="text1"/>
          <w:szCs w:val="24"/>
        </w:rPr>
        <w:t xml:space="preserve"> 200</w:t>
      </w:r>
      <w:r w:rsidR="005F4D42" w:rsidRPr="002E6E04">
        <w:rPr>
          <w:color w:val="000000" w:themeColor="text1"/>
          <w:szCs w:val="24"/>
        </w:rPr>
        <w:t>3</w:t>
      </w:r>
      <w:r w:rsidR="00045450" w:rsidRPr="002E6E04">
        <w:rPr>
          <w:color w:val="000000" w:themeColor="text1"/>
          <w:szCs w:val="24"/>
        </w:rPr>
        <w:t>,</w:t>
      </w:r>
      <w:r w:rsidRPr="002E6E04">
        <w:rPr>
          <w:color w:val="000000" w:themeColor="text1"/>
          <w:szCs w:val="24"/>
        </w:rPr>
        <w:t xml:space="preserve"> the </w:t>
      </w:r>
      <w:r w:rsidR="00931330" w:rsidRPr="002E6E04">
        <w:rPr>
          <w:color w:val="000000" w:themeColor="text1"/>
          <w:szCs w:val="24"/>
        </w:rPr>
        <w:t>Federal Energy Regulatory Commission</w:t>
      </w:r>
      <w:r w:rsidRPr="002E6E04">
        <w:rPr>
          <w:color w:val="000000" w:themeColor="text1"/>
          <w:szCs w:val="24"/>
        </w:rPr>
        <w:t xml:space="preserve"> </w:t>
      </w:r>
      <w:r w:rsidR="00455D76" w:rsidRPr="002E6E04">
        <w:rPr>
          <w:color w:val="000000" w:themeColor="text1"/>
          <w:szCs w:val="24"/>
        </w:rPr>
        <w:t xml:space="preserve">(FERC) </w:t>
      </w:r>
      <w:r w:rsidR="005F4D42" w:rsidRPr="002E6E04">
        <w:rPr>
          <w:color w:val="000000" w:themeColor="text1"/>
          <w:szCs w:val="24"/>
        </w:rPr>
        <w:t xml:space="preserve">revoked Enron’s </w:t>
      </w:r>
      <w:r w:rsidR="005F4D42" w:rsidRPr="002E6E04">
        <w:rPr>
          <w:rFonts w:cs="Times New Roman"/>
          <w:color w:val="000000" w:themeColor="text1"/>
          <w:szCs w:val="24"/>
        </w:rPr>
        <w:t xml:space="preserve">market-base rate authority </w:t>
      </w:r>
      <w:r w:rsidR="002E6E04" w:rsidRPr="002E6E04">
        <w:rPr>
          <w:rFonts w:cs="Times New Roman"/>
          <w:color w:val="000000" w:themeColor="text1"/>
          <w:szCs w:val="24"/>
        </w:rPr>
        <w:t>–</w:t>
      </w:r>
      <w:r w:rsidR="005F4D42" w:rsidRPr="002E6E04">
        <w:rPr>
          <w:rFonts w:cs="Times New Roman"/>
          <w:color w:val="000000" w:themeColor="text1"/>
          <w:szCs w:val="24"/>
        </w:rPr>
        <w:t xml:space="preserve"> effectively </w:t>
      </w:r>
      <w:r w:rsidR="00F409F3" w:rsidRPr="002E6E04">
        <w:rPr>
          <w:rFonts w:cs="Times New Roman"/>
          <w:color w:val="000000" w:themeColor="text1"/>
          <w:szCs w:val="24"/>
        </w:rPr>
        <w:t>its</w:t>
      </w:r>
      <w:r w:rsidR="005F4D42" w:rsidRPr="002E6E04">
        <w:rPr>
          <w:rFonts w:cs="Times New Roman"/>
          <w:color w:val="000000" w:themeColor="text1"/>
          <w:szCs w:val="24"/>
        </w:rPr>
        <w:t xml:space="preserve"> license to trade wholesale energy – </w:t>
      </w:r>
      <w:r w:rsidR="005F4D42" w:rsidRPr="002E6E04">
        <w:rPr>
          <w:color w:val="000000" w:themeColor="text1"/>
          <w:szCs w:val="24"/>
        </w:rPr>
        <w:t>ruling that i</w:t>
      </w:r>
      <w:r w:rsidR="00290FA6" w:rsidRPr="002E6E04">
        <w:rPr>
          <w:color w:val="000000" w:themeColor="text1"/>
          <w:szCs w:val="24"/>
        </w:rPr>
        <w:t>t</w:t>
      </w:r>
      <w:r w:rsidR="005F4D42" w:rsidRPr="002E6E04">
        <w:rPr>
          <w:color w:val="000000" w:themeColor="text1"/>
          <w:szCs w:val="24"/>
        </w:rPr>
        <w:t>s Or</w:t>
      </w:r>
      <w:r w:rsidR="00FC45CF" w:rsidRPr="002E6E04">
        <w:rPr>
          <w:color w:val="000000" w:themeColor="text1"/>
          <w:szCs w:val="24"/>
        </w:rPr>
        <w:t>egon</w:t>
      </w:r>
      <w:r w:rsidR="00803E16" w:rsidRPr="002E6E04">
        <w:rPr>
          <w:color w:val="000000" w:themeColor="text1"/>
          <w:szCs w:val="24"/>
        </w:rPr>
        <w:t>-based West Power division</w:t>
      </w:r>
      <w:r w:rsidR="005F4D42" w:rsidRPr="002E6E04">
        <w:rPr>
          <w:color w:val="000000" w:themeColor="text1"/>
          <w:szCs w:val="24"/>
        </w:rPr>
        <w:t xml:space="preserve"> </w:t>
      </w:r>
      <w:r w:rsidR="00045450" w:rsidRPr="002E6E04">
        <w:rPr>
          <w:color w:val="000000" w:themeColor="text1"/>
          <w:szCs w:val="24"/>
        </w:rPr>
        <w:t xml:space="preserve">had </w:t>
      </w:r>
      <w:r w:rsidR="004A3B24" w:rsidRPr="002E6E04">
        <w:rPr>
          <w:rFonts w:cs="Times New Roman"/>
          <w:color w:val="000000" w:themeColor="text1"/>
          <w:szCs w:val="24"/>
        </w:rPr>
        <w:t xml:space="preserve">manipulated </w:t>
      </w:r>
      <w:r w:rsidR="004A3B24" w:rsidRPr="002E6E04">
        <w:rPr>
          <w:color w:val="000000" w:themeColor="text1"/>
          <w:szCs w:val="24"/>
        </w:rPr>
        <w:t>neighbouring California’s wholesale electricity markets</w:t>
      </w:r>
      <w:r w:rsidR="00FF229C" w:rsidRPr="002E6E04">
        <w:rPr>
          <w:color w:val="000000" w:themeColor="text1"/>
          <w:szCs w:val="24"/>
        </w:rPr>
        <w:t xml:space="preserve"> via various “gaming” practices</w:t>
      </w:r>
      <w:r w:rsidR="009F124B" w:rsidRPr="002E6E04">
        <w:rPr>
          <w:rFonts w:cs="Times New Roman"/>
          <w:color w:val="000000" w:themeColor="text1"/>
          <w:szCs w:val="24"/>
        </w:rPr>
        <w:t>.</w:t>
      </w:r>
      <w:r w:rsidR="00E26C57" w:rsidRPr="002E6E04">
        <w:rPr>
          <w:rStyle w:val="EndnoteReference"/>
          <w:rFonts w:cs="Times New Roman"/>
          <w:color w:val="000000" w:themeColor="text1"/>
          <w:szCs w:val="24"/>
        </w:rPr>
        <w:endnoteReference w:id="1"/>
      </w:r>
      <w:r w:rsidR="005F4D42" w:rsidRPr="002E6E04">
        <w:rPr>
          <w:rFonts w:cs="Times New Roman"/>
          <w:color w:val="000000" w:themeColor="text1"/>
          <w:szCs w:val="24"/>
        </w:rPr>
        <w:t xml:space="preserve"> </w:t>
      </w:r>
      <w:r w:rsidR="00F409F3" w:rsidRPr="002E6E04">
        <w:rPr>
          <w:rFonts w:cs="Times New Roman"/>
          <w:color w:val="000000" w:themeColor="text1"/>
          <w:szCs w:val="24"/>
        </w:rPr>
        <w:t>As a consequence, they were found to</w:t>
      </w:r>
      <w:r w:rsidR="008559F2" w:rsidRPr="002E6E04">
        <w:rPr>
          <w:rFonts w:cs="Times New Roman"/>
          <w:color w:val="000000" w:themeColor="text1"/>
          <w:szCs w:val="24"/>
        </w:rPr>
        <w:t xml:space="preserve"> have severely disrupt</w:t>
      </w:r>
      <w:r w:rsidR="00053D1F" w:rsidRPr="002E6E04">
        <w:rPr>
          <w:rFonts w:cs="Times New Roman"/>
          <w:color w:val="000000" w:themeColor="text1"/>
          <w:szCs w:val="24"/>
        </w:rPr>
        <w:t>ed</w:t>
      </w:r>
      <w:r w:rsidR="008559F2" w:rsidRPr="002E6E04">
        <w:rPr>
          <w:rFonts w:cs="Times New Roman"/>
          <w:color w:val="000000" w:themeColor="text1"/>
          <w:szCs w:val="24"/>
        </w:rPr>
        <w:t xml:space="preserve"> energy markets through the western states</w:t>
      </w:r>
      <w:r w:rsidR="00053D1F" w:rsidRPr="002E6E04">
        <w:rPr>
          <w:rFonts w:cs="Times New Roman"/>
          <w:color w:val="000000" w:themeColor="text1"/>
          <w:szCs w:val="24"/>
        </w:rPr>
        <w:t xml:space="preserve">, </w:t>
      </w:r>
      <w:r w:rsidR="00BE3816" w:rsidRPr="002E6E04">
        <w:rPr>
          <w:rFonts w:cs="Times New Roman"/>
          <w:color w:val="000000" w:themeColor="text1"/>
          <w:szCs w:val="24"/>
        </w:rPr>
        <w:t>contribut</w:t>
      </w:r>
      <w:r w:rsidR="00053D1F" w:rsidRPr="002E6E04">
        <w:rPr>
          <w:rFonts w:cs="Times New Roman"/>
          <w:color w:val="000000" w:themeColor="text1"/>
          <w:szCs w:val="24"/>
        </w:rPr>
        <w:t>ing</w:t>
      </w:r>
      <w:r w:rsidR="00BE3816" w:rsidRPr="002E6E04">
        <w:rPr>
          <w:rFonts w:cs="Times New Roman"/>
          <w:color w:val="000000" w:themeColor="text1"/>
          <w:szCs w:val="24"/>
        </w:rPr>
        <w:t xml:space="preserve"> to</w:t>
      </w:r>
      <w:r w:rsidR="00F409F3" w:rsidRPr="002E6E04">
        <w:rPr>
          <w:rFonts w:cs="Times New Roman"/>
          <w:color w:val="000000" w:themeColor="text1"/>
          <w:szCs w:val="24"/>
        </w:rPr>
        <w:t>wards</w:t>
      </w:r>
      <w:r w:rsidR="00EE5889" w:rsidRPr="002E6E04">
        <w:rPr>
          <w:rFonts w:cs="Times New Roman"/>
          <w:color w:val="000000" w:themeColor="text1"/>
          <w:szCs w:val="24"/>
        </w:rPr>
        <w:t xml:space="preserve"> </w:t>
      </w:r>
      <w:r w:rsidR="00BE3816" w:rsidRPr="002E6E04">
        <w:rPr>
          <w:rFonts w:cs="Times New Roman"/>
          <w:color w:val="000000" w:themeColor="text1"/>
          <w:szCs w:val="24"/>
        </w:rPr>
        <w:t xml:space="preserve">a prolonged shortage of electricity supply that would </w:t>
      </w:r>
      <w:r w:rsidR="00B721F5" w:rsidRPr="002E6E04">
        <w:rPr>
          <w:rFonts w:cs="Times New Roman"/>
          <w:color w:val="000000" w:themeColor="text1"/>
          <w:szCs w:val="24"/>
        </w:rPr>
        <w:t xml:space="preserve">ultimately become known as the California energy crisis. </w:t>
      </w:r>
      <w:r w:rsidR="00455D76" w:rsidRPr="002E6E04">
        <w:rPr>
          <w:rFonts w:cs="Times New Roman"/>
          <w:color w:val="000000" w:themeColor="text1"/>
          <w:szCs w:val="24"/>
        </w:rPr>
        <w:t>Five years previously,</w:t>
      </w:r>
      <w:r w:rsidR="00370045" w:rsidRPr="002E6E04">
        <w:rPr>
          <w:rFonts w:cs="Times New Roman"/>
          <w:color w:val="000000" w:themeColor="text1"/>
          <w:szCs w:val="24"/>
        </w:rPr>
        <w:t xml:space="preserve"> California had dramatically reconfigured its energy supply industry, splitting up the large monopoly utilities and creating markets for electricity to be traded between various participants.</w:t>
      </w:r>
      <w:r w:rsidR="00C82697" w:rsidRPr="002E6E04">
        <w:rPr>
          <w:rFonts w:cs="Times New Roman"/>
          <w:color w:val="000000" w:themeColor="text1"/>
          <w:szCs w:val="24"/>
        </w:rPr>
        <w:t xml:space="preserve"> The move</w:t>
      </w:r>
      <w:r w:rsidR="00BE3816" w:rsidRPr="002E6E04">
        <w:rPr>
          <w:rFonts w:cs="Times New Roman"/>
          <w:color w:val="000000" w:themeColor="text1"/>
          <w:szCs w:val="24"/>
        </w:rPr>
        <w:t xml:space="preserve"> was the first of its kind within </w:t>
      </w:r>
      <w:r w:rsidR="00EE5889" w:rsidRPr="002E6E04">
        <w:rPr>
          <w:rFonts w:cs="Times New Roman"/>
          <w:color w:val="000000" w:themeColor="text1"/>
          <w:szCs w:val="24"/>
        </w:rPr>
        <w:t xml:space="preserve">the </w:t>
      </w:r>
      <w:r w:rsidR="00BE3816" w:rsidRPr="002E6E04">
        <w:rPr>
          <w:rFonts w:cs="Times New Roman"/>
          <w:color w:val="000000" w:themeColor="text1"/>
          <w:szCs w:val="24"/>
        </w:rPr>
        <w:t>US,</w:t>
      </w:r>
      <w:r w:rsidR="00C82697" w:rsidRPr="002E6E04">
        <w:rPr>
          <w:rFonts w:cs="Times New Roman"/>
          <w:color w:val="000000" w:themeColor="text1"/>
          <w:szCs w:val="24"/>
        </w:rPr>
        <w:t xml:space="preserve"> follow</w:t>
      </w:r>
      <w:r w:rsidR="00BE3816" w:rsidRPr="002E6E04">
        <w:rPr>
          <w:rFonts w:cs="Times New Roman"/>
          <w:color w:val="000000" w:themeColor="text1"/>
          <w:szCs w:val="24"/>
        </w:rPr>
        <w:t>ing</w:t>
      </w:r>
      <w:r w:rsidR="00C82697" w:rsidRPr="002E6E04">
        <w:rPr>
          <w:rFonts w:cs="Times New Roman"/>
          <w:color w:val="000000" w:themeColor="text1"/>
          <w:szCs w:val="24"/>
        </w:rPr>
        <w:t xml:space="preserve"> widespread liberalization of other regulated </w:t>
      </w:r>
      <w:r w:rsidR="00494C9F" w:rsidRPr="002E6E04">
        <w:rPr>
          <w:rFonts w:cs="Times New Roman"/>
          <w:color w:val="000000" w:themeColor="text1"/>
          <w:szCs w:val="24"/>
        </w:rPr>
        <w:t>industries like natural gas</w:t>
      </w:r>
      <w:r w:rsidR="00BE3816" w:rsidRPr="002E6E04">
        <w:rPr>
          <w:rFonts w:cs="Times New Roman"/>
          <w:color w:val="000000" w:themeColor="text1"/>
          <w:szCs w:val="24"/>
        </w:rPr>
        <w:t xml:space="preserve">, and </w:t>
      </w:r>
      <w:r w:rsidR="00053D1F" w:rsidRPr="002E6E04">
        <w:rPr>
          <w:rFonts w:cs="Times New Roman"/>
          <w:color w:val="000000" w:themeColor="text1"/>
          <w:szCs w:val="24"/>
        </w:rPr>
        <w:t>the system</w:t>
      </w:r>
      <w:r w:rsidR="00BE3816" w:rsidRPr="002E6E04">
        <w:rPr>
          <w:rFonts w:cs="Times New Roman"/>
          <w:color w:val="000000" w:themeColor="text1"/>
          <w:szCs w:val="24"/>
        </w:rPr>
        <w:t xml:space="preserve"> initially performed well following its inception in 1998. H</w:t>
      </w:r>
      <w:r w:rsidR="00494C9F" w:rsidRPr="002E6E04">
        <w:rPr>
          <w:rFonts w:cs="Times New Roman"/>
          <w:color w:val="000000" w:themeColor="text1"/>
          <w:szCs w:val="24"/>
        </w:rPr>
        <w:t>owever</w:t>
      </w:r>
      <w:r w:rsidR="00C82697" w:rsidRPr="002E6E04">
        <w:rPr>
          <w:rFonts w:cs="Times New Roman"/>
          <w:color w:val="000000" w:themeColor="text1"/>
          <w:szCs w:val="24"/>
        </w:rPr>
        <w:t>,</w:t>
      </w:r>
      <w:r w:rsidR="00370045" w:rsidRPr="002E6E04">
        <w:rPr>
          <w:color w:val="000000" w:themeColor="text1"/>
          <w:szCs w:val="24"/>
        </w:rPr>
        <w:t xml:space="preserve"> </w:t>
      </w:r>
      <w:r w:rsidR="00C82697" w:rsidRPr="002E6E04">
        <w:rPr>
          <w:color w:val="000000" w:themeColor="text1"/>
          <w:szCs w:val="24"/>
        </w:rPr>
        <w:t xml:space="preserve">by </w:t>
      </w:r>
      <w:r w:rsidR="00370045" w:rsidRPr="002E6E04">
        <w:rPr>
          <w:rFonts w:cs="Times New Roman"/>
          <w:color w:val="000000" w:themeColor="text1"/>
          <w:szCs w:val="24"/>
        </w:rPr>
        <w:t xml:space="preserve">the spring of 2000, </w:t>
      </w:r>
      <w:r w:rsidR="00BE3816" w:rsidRPr="002E6E04">
        <w:rPr>
          <w:rFonts w:cs="Times New Roman"/>
          <w:color w:val="000000" w:themeColor="text1"/>
          <w:szCs w:val="24"/>
        </w:rPr>
        <w:t xml:space="preserve">supply </w:t>
      </w:r>
      <w:r w:rsidR="00370045" w:rsidRPr="002E6E04">
        <w:rPr>
          <w:rFonts w:cs="Times New Roman"/>
          <w:color w:val="000000" w:themeColor="text1"/>
          <w:szCs w:val="24"/>
        </w:rPr>
        <w:t>problems</w:t>
      </w:r>
      <w:r w:rsidR="00B721F5" w:rsidRPr="002E6E04">
        <w:rPr>
          <w:rFonts w:cs="Times New Roman"/>
          <w:color w:val="000000" w:themeColor="text1"/>
          <w:szCs w:val="24"/>
        </w:rPr>
        <w:t xml:space="preserve"> </w:t>
      </w:r>
      <w:r w:rsidR="001E600B" w:rsidRPr="002E6E04">
        <w:rPr>
          <w:rFonts w:cs="Times New Roman"/>
          <w:color w:val="000000" w:themeColor="text1"/>
          <w:szCs w:val="24"/>
        </w:rPr>
        <w:t>began</w:t>
      </w:r>
      <w:r w:rsidR="00B721F5" w:rsidRPr="002E6E04">
        <w:rPr>
          <w:rFonts w:cs="Times New Roman"/>
          <w:color w:val="000000" w:themeColor="text1"/>
          <w:szCs w:val="24"/>
        </w:rPr>
        <w:t xml:space="preserve"> to appear</w:t>
      </w:r>
      <w:r w:rsidR="00F50088" w:rsidRPr="002E6E04">
        <w:rPr>
          <w:rFonts w:cs="Times New Roman"/>
          <w:color w:val="000000" w:themeColor="text1"/>
          <w:szCs w:val="24"/>
        </w:rPr>
        <w:t>, leading to sharp rises in the cost of wholesale electricity</w:t>
      </w:r>
      <w:r w:rsidR="00BE3816" w:rsidRPr="002E6E04">
        <w:rPr>
          <w:rFonts w:cs="Times New Roman"/>
          <w:color w:val="000000" w:themeColor="text1"/>
          <w:szCs w:val="24"/>
        </w:rPr>
        <w:t>.</w:t>
      </w:r>
      <w:r w:rsidR="007D3317" w:rsidRPr="002E6E04">
        <w:rPr>
          <w:rStyle w:val="EndnoteReference"/>
          <w:rFonts w:cs="Times New Roman"/>
          <w:color w:val="000000" w:themeColor="text1"/>
          <w:szCs w:val="24"/>
        </w:rPr>
        <w:endnoteReference w:id="2"/>
      </w:r>
      <w:r w:rsidR="007D3317" w:rsidRPr="002E6E04">
        <w:rPr>
          <w:rFonts w:cs="Times New Roman"/>
          <w:color w:val="000000" w:themeColor="text1"/>
          <w:szCs w:val="24"/>
        </w:rPr>
        <w:t xml:space="preserve"> </w:t>
      </w:r>
      <w:r w:rsidR="00B721F5" w:rsidRPr="002E6E04">
        <w:rPr>
          <w:rFonts w:cs="Times New Roman"/>
          <w:color w:val="000000" w:themeColor="text1"/>
          <w:szCs w:val="24"/>
        </w:rPr>
        <w:t xml:space="preserve"> </w:t>
      </w:r>
      <w:r w:rsidR="00BE3816" w:rsidRPr="002E6E04">
        <w:rPr>
          <w:rFonts w:cs="Times New Roman"/>
          <w:color w:val="000000" w:themeColor="text1"/>
          <w:szCs w:val="24"/>
        </w:rPr>
        <w:t xml:space="preserve">These </w:t>
      </w:r>
      <w:r w:rsidR="00F50088" w:rsidRPr="002E6E04">
        <w:rPr>
          <w:rFonts w:cs="Times New Roman"/>
          <w:color w:val="000000" w:themeColor="text1"/>
          <w:szCs w:val="24"/>
        </w:rPr>
        <w:t xml:space="preserve">problems </w:t>
      </w:r>
      <w:r w:rsidR="00B721F5" w:rsidRPr="002E6E04">
        <w:rPr>
          <w:rFonts w:cs="Times New Roman"/>
          <w:color w:val="000000" w:themeColor="text1"/>
          <w:szCs w:val="24"/>
        </w:rPr>
        <w:t xml:space="preserve">would </w:t>
      </w:r>
      <w:r w:rsidR="00370045" w:rsidRPr="002E6E04">
        <w:rPr>
          <w:rFonts w:cs="Times New Roman"/>
          <w:color w:val="000000" w:themeColor="text1"/>
          <w:szCs w:val="24"/>
        </w:rPr>
        <w:t>escalate dramatically</w:t>
      </w:r>
      <w:r w:rsidR="00BE3816" w:rsidRPr="002E6E04">
        <w:rPr>
          <w:rFonts w:cs="Times New Roman"/>
          <w:color w:val="000000" w:themeColor="text1"/>
          <w:szCs w:val="24"/>
        </w:rPr>
        <w:t xml:space="preserve"> o</w:t>
      </w:r>
      <w:r w:rsidR="00EE5889" w:rsidRPr="002E6E04">
        <w:rPr>
          <w:rFonts w:cs="Times New Roman"/>
          <w:color w:val="000000" w:themeColor="text1"/>
          <w:szCs w:val="24"/>
        </w:rPr>
        <w:t>ver</w:t>
      </w:r>
      <w:r w:rsidR="00BE3816" w:rsidRPr="002E6E04">
        <w:rPr>
          <w:rFonts w:cs="Times New Roman"/>
          <w:color w:val="000000" w:themeColor="text1"/>
          <w:szCs w:val="24"/>
        </w:rPr>
        <w:t xml:space="preserve"> the following year,</w:t>
      </w:r>
      <w:r w:rsidR="00B721F5" w:rsidRPr="002E6E04">
        <w:rPr>
          <w:rFonts w:cs="Times New Roman"/>
          <w:color w:val="000000" w:themeColor="text1"/>
          <w:szCs w:val="24"/>
        </w:rPr>
        <w:t xml:space="preserve"> result</w:t>
      </w:r>
      <w:r w:rsidR="00BE3816" w:rsidRPr="002E6E04">
        <w:rPr>
          <w:rFonts w:cs="Times New Roman"/>
          <w:color w:val="000000" w:themeColor="text1"/>
          <w:szCs w:val="24"/>
        </w:rPr>
        <w:t>ing</w:t>
      </w:r>
      <w:r w:rsidR="00B721F5" w:rsidRPr="002E6E04">
        <w:rPr>
          <w:rFonts w:cs="Times New Roman"/>
          <w:color w:val="000000" w:themeColor="text1"/>
          <w:szCs w:val="24"/>
        </w:rPr>
        <w:t xml:space="preserve"> in rolling </w:t>
      </w:r>
      <w:r w:rsidR="00370045" w:rsidRPr="002E6E04">
        <w:rPr>
          <w:rFonts w:cs="Times New Roman"/>
          <w:color w:val="000000" w:themeColor="text1"/>
          <w:szCs w:val="24"/>
        </w:rPr>
        <w:t>blackouts</w:t>
      </w:r>
      <w:r w:rsidR="00B721F5" w:rsidRPr="002E6E04">
        <w:rPr>
          <w:rFonts w:cs="Times New Roman"/>
          <w:color w:val="000000" w:themeColor="text1"/>
          <w:szCs w:val="24"/>
        </w:rPr>
        <w:t xml:space="preserve"> across the state</w:t>
      </w:r>
      <w:r w:rsidR="00370045" w:rsidRPr="002E6E04">
        <w:rPr>
          <w:rFonts w:cs="Times New Roman"/>
          <w:color w:val="000000" w:themeColor="text1"/>
          <w:szCs w:val="24"/>
        </w:rPr>
        <w:t xml:space="preserve">, </w:t>
      </w:r>
      <w:r w:rsidR="00B721F5" w:rsidRPr="002E6E04">
        <w:rPr>
          <w:rFonts w:cs="Times New Roman"/>
          <w:color w:val="000000" w:themeColor="text1"/>
          <w:szCs w:val="24"/>
        </w:rPr>
        <w:t xml:space="preserve">multiple </w:t>
      </w:r>
      <w:r w:rsidR="00370045" w:rsidRPr="002E6E04">
        <w:rPr>
          <w:rFonts w:cs="Times New Roman"/>
          <w:color w:val="000000" w:themeColor="text1"/>
          <w:szCs w:val="24"/>
        </w:rPr>
        <w:t>regulatory interventions</w:t>
      </w:r>
      <w:r w:rsidR="00B721F5" w:rsidRPr="002E6E04">
        <w:rPr>
          <w:rFonts w:cs="Times New Roman"/>
          <w:color w:val="000000" w:themeColor="text1"/>
          <w:szCs w:val="24"/>
        </w:rPr>
        <w:t>,</w:t>
      </w:r>
      <w:r w:rsidR="00370045" w:rsidRPr="002E6E04">
        <w:rPr>
          <w:rFonts w:cs="Times New Roman"/>
          <w:color w:val="000000" w:themeColor="text1"/>
          <w:szCs w:val="24"/>
        </w:rPr>
        <w:t xml:space="preserve"> and ruinous</w:t>
      </w:r>
      <w:r w:rsidR="00BE3816" w:rsidRPr="002E6E04">
        <w:rPr>
          <w:rFonts w:cs="Times New Roman"/>
          <w:color w:val="000000" w:themeColor="text1"/>
          <w:szCs w:val="24"/>
        </w:rPr>
        <w:t>ly</w:t>
      </w:r>
      <w:r w:rsidR="00370045" w:rsidRPr="002E6E04">
        <w:rPr>
          <w:rFonts w:cs="Times New Roman"/>
          <w:color w:val="000000" w:themeColor="text1"/>
          <w:szCs w:val="24"/>
        </w:rPr>
        <w:t xml:space="preserve"> </w:t>
      </w:r>
      <w:r w:rsidR="00BE3816" w:rsidRPr="002E6E04">
        <w:rPr>
          <w:rFonts w:cs="Times New Roman"/>
          <w:color w:val="000000" w:themeColor="text1"/>
          <w:szCs w:val="24"/>
        </w:rPr>
        <w:t>high e</w:t>
      </w:r>
      <w:r w:rsidR="00370045" w:rsidRPr="002E6E04">
        <w:rPr>
          <w:rFonts w:cs="Times New Roman"/>
          <w:color w:val="000000" w:themeColor="text1"/>
          <w:szCs w:val="24"/>
        </w:rPr>
        <w:t>nergy prices</w:t>
      </w:r>
      <w:r w:rsidR="00F50088" w:rsidRPr="002E6E04">
        <w:rPr>
          <w:rFonts w:cs="Times New Roman"/>
          <w:color w:val="000000" w:themeColor="text1"/>
          <w:szCs w:val="24"/>
        </w:rPr>
        <w:t xml:space="preserve"> for both the state’s citizens and its utility companies</w:t>
      </w:r>
      <w:r w:rsidR="00B721F5" w:rsidRPr="002E6E04">
        <w:rPr>
          <w:rFonts w:cs="Times New Roman"/>
          <w:color w:val="000000" w:themeColor="text1"/>
          <w:szCs w:val="24"/>
        </w:rPr>
        <w:t>.</w:t>
      </w:r>
    </w:p>
    <w:p w14:paraId="6683A7B6" w14:textId="02EB0206" w:rsidR="004A3B24" w:rsidRPr="002E6E04" w:rsidRDefault="00370045" w:rsidP="00563779">
      <w:pPr>
        <w:spacing w:after="0"/>
        <w:ind w:firstLine="720"/>
      </w:pPr>
      <w:r w:rsidRPr="0062108A">
        <w:rPr>
          <w:rFonts w:cs="Times New Roman"/>
          <w:color w:val="000000" w:themeColor="text1"/>
          <w:szCs w:val="24"/>
        </w:rPr>
        <w:t>While</w:t>
      </w:r>
      <w:r w:rsidR="00494C9F" w:rsidRPr="0062108A">
        <w:rPr>
          <w:rFonts w:cs="Times New Roman"/>
          <w:color w:val="000000" w:themeColor="text1"/>
          <w:szCs w:val="24"/>
        </w:rPr>
        <w:t xml:space="preserve"> similar practices</w:t>
      </w:r>
      <w:r w:rsidRPr="0062108A">
        <w:rPr>
          <w:rFonts w:cs="Times New Roman"/>
          <w:color w:val="000000" w:themeColor="text1"/>
          <w:szCs w:val="24"/>
        </w:rPr>
        <w:t xml:space="preserve"> were found elsewhere, Enron’s</w:t>
      </w:r>
      <w:r w:rsidR="00B33DA8" w:rsidRPr="0062108A">
        <w:rPr>
          <w:rFonts w:cs="Times New Roman"/>
          <w:color w:val="000000" w:themeColor="text1"/>
          <w:szCs w:val="24"/>
        </w:rPr>
        <w:t xml:space="preserve"> manipulation of California’s markets</w:t>
      </w:r>
      <w:r w:rsidR="00053D1F" w:rsidRPr="0062108A">
        <w:rPr>
          <w:rFonts w:cs="Times New Roman"/>
          <w:color w:val="000000" w:themeColor="text1"/>
          <w:szCs w:val="24"/>
        </w:rPr>
        <w:t xml:space="preserve"> </w:t>
      </w:r>
      <w:r w:rsidRPr="0062108A">
        <w:rPr>
          <w:rFonts w:cs="Times New Roman"/>
          <w:color w:val="000000" w:themeColor="text1"/>
          <w:szCs w:val="24"/>
        </w:rPr>
        <w:t>was particularly extreme</w:t>
      </w:r>
      <w:r w:rsidR="00291EED" w:rsidRPr="0062108A">
        <w:rPr>
          <w:rFonts w:cs="Times New Roman"/>
          <w:color w:val="000000" w:themeColor="text1"/>
          <w:szCs w:val="24"/>
        </w:rPr>
        <w:t>.</w:t>
      </w:r>
      <w:r w:rsidR="001E600B" w:rsidRPr="0062108A">
        <w:rPr>
          <w:rStyle w:val="EndnoteReference"/>
          <w:rFonts w:cs="Times New Roman"/>
          <w:color w:val="000000" w:themeColor="text1"/>
          <w:szCs w:val="24"/>
        </w:rPr>
        <w:endnoteReference w:id="3"/>
      </w:r>
      <w:r w:rsidR="00291EED" w:rsidRPr="0062108A">
        <w:rPr>
          <w:rFonts w:cs="Times New Roman"/>
          <w:color w:val="000000" w:themeColor="text1"/>
          <w:szCs w:val="24"/>
        </w:rPr>
        <w:t xml:space="preserve"> </w:t>
      </w:r>
      <w:r w:rsidR="00F50088" w:rsidRPr="00563779">
        <w:rPr>
          <w:rFonts w:cs="Times New Roman"/>
          <w:color w:val="000000" w:themeColor="text1"/>
          <w:szCs w:val="24"/>
        </w:rPr>
        <w:t xml:space="preserve">Specifically, </w:t>
      </w:r>
      <w:r w:rsidR="004A3B24" w:rsidRPr="00563779">
        <w:rPr>
          <w:color w:val="000000" w:themeColor="text1"/>
        </w:rPr>
        <w:t>Enron’s traders used their knowledge of the newly designed markets to artificially increase or decrease wholesale prices in their favor, which often involved submitting false supply and demand information, withholding available electricity, or scheduling energy they did not have.</w:t>
      </w:r>
      <w:r w:rsidR="004A3B24" w:rsidRPr="00563779">
        <w:rPr>
          <w:rFonts w:cs="Times New Roman"/>
          <w:b/>
          <w:bCs/>
          <w:color w:val="000000" w:themeColor="text1"/>
          <w:szCs w:val="24"/>
        </w:rPr>
        <w:t xml:space="preserve"> </w:t>
      </w:r>
      <w:r w:rsidR="004A3B24" w:rsidRPr="00563779">
        <w:rPr>
          <w:color w:val="000000" w:themeColor="text1"/>
        </w:rPr>
        <w:t xml:space="preserve">They also made use of flaws in the market’s </w:t>
      </w:r>
      <w:r w:rsidR="00EA0C62" w:rsidRPr="00563779">
        <w:rPr>
          <w:color w:val="000000" w:themeColor="text1"/>
        </w:rPr>
        <w:t xml:space="preserve">new </w:t>
      </w:r>
      <w:r w:rsidR="004A3B24" w:rsidRPr="00563779">
        <w:rPr>
          <w:color w:val="000000" w:themeColor="text1"/>
        </w:rPr>
        <w:t xml:space="preserve">computerised scheduling system, for instance, deliberately overloading parts of the grid to receive payments for then relieving it. </w:t>
      </w:r>
      <w:r w:rsidR="00F50088" w:rsidRPr="00563779">
        <w:rPr>
          <w:color w:val="000000" w:themeColor="text1"/>
        </w:rPr>
        <w:t>Additionally, t</w:t>
      </w:r>
      <w:r w:rsidR="004A3B24" w:rsidRPr="00563779">
        <w:rPr>
          <w:color w:val="000000" w:themeColor="text1"/>
        </w:rPr>
        <w:t>he FERC found that Enron had entered</w:t>
      </w:r>
      <w:r w:rsidR="00DF11FD" w:rsidRPr="00563779">
        <w:rPr>
          <w:color w:val="000000" w:themeColor="text1"/>
        </w:rPr>
        <w:t xml:space="preserve"> into</w:t>
      </w:r>
      <w:r w:rsidR="004A3B24" w:rsidRPr="00563779">
        <w:rPr>
          <w:color w:val="000000" w:themeColor="text1"/>
        </w:rPr>
        <w:t xml:space="preserve"> undisclosed partnerships with numerous market participants, which </w:t>
      </w:r>
      <w:r w:rsidR="00F409F3" w:rsidRPr="00563779">
        <w:rPr>
          <w:color w:val="000000" w:themeColor="text1"/>
        </w:rPr>
        <w:t>allowed them to control energy scheduling and physical infrastructure</w:t>
      </w:r>
      <w:r w:rsidR="003C52E0" w:rsidRPr="0062108A">
        <w:rPr>
          <w:color w:val="000000" w:themeColor="text1"/>
        </w:rPr>
        <w:t xml:space="preserve">. Not only did </w:t>
      </w:r>
      <w:r w:rsidR="00F409F3" w:rsidRPr="0062108A">
        <w:rPr>
          <w:color w:val="000000" w:themeColor="text1"/>
        </w:rPr>
        <w:t xml:space="preserve">these actions exacerbate </w:t>
      </w:r>
      <w:r w:rsidR="00F409F3" w:rsidRPr="0062108A">
        <w:rPr>
          <w:color w:val="000000" w:themeColor="text1"/>
        </w:rPr>
        <w:lastRenderedPageBreak/>
        <w:t>the state’s high energy prices and supply issues</w:t>
      </w:r>
      <w:r w:rsidR="00F409F3" w:rsidRPr="00563779">
        <w:rPr>
          <w:color w:val="000000" w:themeColor="text1"/>
        </w:rPr>
        <w:t>, they</w:t>
      </w:r>
      <w:r w:rsidR="003C52E0" w:rsidRPr="00563779">
        <w:rPr>
          <w:color w:val="000000" w:themeColor="text1"/>
        </w:rPr>
        <w:t xml:space="preserve"> </w:t>
      </w:r>
      <w:r w:rsidR="003C52E0" w:rsidRPr="00563779">
        <w:rPr>
          <w:rFonts w:cs="Times New Roman"/>
          <w:color w:val="000000" w:themeColor="text1"/>
          <w:szCs w:val="24"/>
        </w:rPr>
        <w:t>directly violate</w:t>
      </w:r>
      <w:r w:rsidR="005B3FFE" w:rsidRPr="00563779">
        <w:rPr>
          <w:rFonts w:cs="Times New Roman"/>
          <w:color w:val="000000" w:themeColor="text1"/>
          <w:szCs w:val="24"/>
        </w:rPr>
        <w:t>d</w:t>
      </w:r>
      <w:r w:rsidR="003C52E0" w:rsidRPr="00563779">
        <w:rPr>
          <w:rFonts w:cs="Times New Roman"/>
          <w:color w:val="000000" w:themeColor="text1"/>
          <w:szCs w:val="24"/>
        </w:rPr>
        <w:t xml:space="preserve"> Enron’s </w:t>
      </w:r>
      <w:r w:rsidR="00455D76" w:rsidRPr="00563779">
        <w:rPr>
          <w:rFonts w:cs="Times New Roman"/>
          <w:color w:val="000000" w:themeColor="text1"/>
          <w:szCs w:val="24"/>
        </w:rPr>
        <w:t>market-base rate authority,</w:t>
      </w:r>
      <w:r w:rsidR="003C52E0" w:rsidRPr="00563779">
        <w:rPr>
          <w:rFonts w:cs="Times New Roman"/>
          <w:color w:val="000000" w:themeColor="text1"/>
          <w:szCs w:val="24"/>
        </w:rPr>
        <w:t xml:space="preserve"> </w:t>
      </w:r>
      <w:r w:rsidR="00F409F3" w:rsidRPr="00563779">
        <w:rPr>
          <w:rFonts w:cs="Times New Roman"/>
          <w:color w:val="000000" w:themeColor="text1"/>
          <w:szCs w:val="24"/>
        </w:rPr>
        <w:t xml:space="preserve">and </w:t>
      </w:r>
      <w:r w:rsidR="003C52E0" w:rsidRPr="00563779">
        <w:rPr>
          <w:rFonts w:cs="Times New Roman"/>
          <w:color w:val="000000" w:themeColor="text1"/>
          <w:szCs w:val="24"/>
        </w:rPr>
        <w:t>also contravened numerous rules set out in the protocols designed to govern the new system</w:t>
      </w:r>
      <w:r w:rsidR="003C52E0" w:rsidRPr="0062108A">
        <w:rPr>
          <w:rFonts w:cs="Times New Roman"/>
          <w:color w:val="000000" w:themeColor="text1"/>
          <w:szCs w:val="24"/>
        </w:rPr>
        <w:t>.</w:t>
      </w:r>
      <w:r w:rsidR="001E600B" w:rsidRPr="0062108A">
        <w:rPr>
          <w:rStyle w:val="EndnoteReference"/>
          <w:rFonts w:cs="Times New Roman"/>
          <w:color w:val="000000" w:themeColor="text1"/>
          <w:szCs w:val="24"/>
        </w:rPr>
        <w:endnoteReference w:id="4"/>
      </w:r>
      <w:r w:rsidR="003C52E0" w:rsidRPr="0062108A">
        <w:rPr>
          <w:rFonts w:cs="Times New Roman"/>
          <w:color w:val="000000" w:themeColor="text1"/>
          <w:szCs w:val="24"/>
        </w:rPr>
        <w:t xml:space="preserve"> </w:t>
      </w:r>
      <w:r w:rsidR="00455D76" w:rsidRPr="0062108A">
        <w:rPr>
          <w:rFonts w:cs="Times New Roman"/>
          <w:color w:val="000000" w:themeColor="text1"/>
          <w:szCs w:val="24"/>
        </w:rPr>
        <w:t>Perhaps mo</w:t>
      </w:r>
      <w:r w:rsidR="00053D1F" w:rsidRPr="0062108A">
        <w:rPr>
          <w:rFonts w:cs="Times New Roman"/>
          <w:color w:val="000000" w:themeColor="text1"/>
          <w:szCs w:val="24"/>
        </w:rPr>
        <w:t>st</w:t>
      </w:r>
      <w:r w:rsidR="00455D76" w:rsidRPr="0062108A">
        <w:rPr>
          <w:rFonts w:cs="Times New Roman"/>
          <w:color w:val="000000" w:themeColor="text1"/>
          <w:szCs w:val="24"/>
        </w:rPr>
        <w:t xml:space="preserve"> significantly, they led to the criminal</w:t>
      </w:r>
      <w:r w:rsidR="00455D76" w:rsidRPr="002E6E04">
        <w:rPr>
          <w:rFonts w:cs="Times New Roman"/>
          <w:color w:val="000000" w:themeColor="text1"/>
          <w:szCs w:val="24"/>
        </w:rPr>
        <w:t xml:space="preserve"> guilty</w:t>
      </w:r>
      <w:r w:rsidR="004A3B24" w:rsidRPr="002E6E04">
        <w:rPr>
          <w:color w:val="000000" w:themeColor="text1"/>
        </w:rPr>
        <w:t xml:space="preserve"> pleas </w:t>
      </w:r>
      <w:r w:rsidR="00455D76" w:rsidRPr="002E6E04">
        <w:rPr>
          <w:color w:val="000000" w:themeColor="text1"/>
        </w:rPr>
        <w:t xml:space="preserve">of </w:t>
      </w:r>
      <w:r w:rsidR="004A3B24" w:rsidRPr="002E6E04">
        <w:rPr>
          <w:color w:val="000000" w:themeColor="text1"/>
        </w:rPr>
        <w:t>three of West Power’s most senior traders</w:t>
      </w:r>
      <w:r w:rsidR="003C7FD9" w:rsidRPr="002E6E04">
        <w:rPr>
          <w:color w:val="000000" w:themeColor="text1"/>
        </w:rPr>
        <w:t>:</w:t>
      </w:r>
      <w:r w:rsidR="00AD2CCA" w:rsidRPr="002E6E04">
        <w:rPr>
          <w:color w:val="000000" w:themeColor="text1"/>
        </w:rPr>
        <w:t xml:space="preserve"> </w:t>
      </w:r>
      <w:r w:rsidR="004A3B24" w:rsidRPr="002E6E04">
        <w:rPr>
          <w:color w:val="000000" w:themeColor="text1"/>
        </w:rPr>
        <w:t>Timothy Belden, John Forney and Jeffery Richter, who were convicted of intention t</w:t>
      </w:r>
      <w:r w:rsidR="004A3B24" w:rsidRPr="0062108A">
        <w:rPr>
          <w:color w:val="000000" w:themeColor="text1"/>
        </w:rPr>
        <w:t>o commit wire fraud</w:t>
      </w:r>
      <w:r w:rsidR="00993A52" w:rsidRPr="00563779">
        <w:rPr>
          <w:color w:val="000000" w:themeColor="text1"/>
        </w:rPr>
        <w:t xml:space="preserve">. </w:t>
      </w:r>
      <w:r w:rsidR="006B002D">
        <w:rPr>
          <w:color w:val="000000" w:themeColor="text1"/>
        </w:rPr>
        <w:t>Belden’s</w:t>
      </w:r>
      <w:r w:rsidR="0062108A" w:rsidRPr="00563779">
        <w:rPr>
          <w:color w:val="000000" w:themeColor="text1"/>
        </w:rPr>
        <w:t xml:space="preserve"> Plea Agreement acknowledged that,</w:t>
      </w:r>
      <w:r w:rsidR="00993A52" w:rsidRPr="0062108A">
        <w:rPr>
          <w:color w:val="000000" w:themeColor="text1"/>
        </w:rPr>
        <w:t xml:space="preserve"> “</w:t>
      </w:r>
      <w:r w:rsidR="00AF36C0">
        <w:rPr>
          <w:color w:val="000000" w:themeColor="text1"/>
        </w:rPr>
        <w:t>[</w:t>
      </w:r>
      <w:r w:rsidR="00AF36C0">
        <w:t>a]</w:t>
      </w:r>
      <w:r w:rsidR="004A3B24" w:rsidRPr="0062108A">
        <w:t xml:space="preserve">s a result of these false schedules, we were able to manipulate prices in certain markets, arbitrage price differences between the markets, obtain </w:t>
      </w:r>
      <w:r w:rsidR="00993A52" w:rsidRPr="0062108A">
        <w:t>‘</w:t>
      </w:r>
      <w:r w:rsidR="004A3B24" w:rsidRPr="005E21F2">
        <w:t>congestion management</w:t>
      </w:r>
      <w:r w:rsidR="00993A52" w:rsidRPr="005E21F2">
        <w:t>’</w:t>
      </w:r>
      <w:r w:rsidR="004A3B24" w:rsidRPr="005E21F2">
        <w:t xml:space="preserve"> payments in excess of what we would have received with accurate schedules, and receive prices for electricity above price caps </w:t>
      </w:r>
      <w:r w:rsidR="00993A52" w:rsidRPr="005E21F2">
        <w:t>. . . ”</w:t>
      </w:r>
      <w:r w:rsidR="004A3B24" w:rsidRPr="00563779">
        <w:rPr>
          <w:rStyle w:val="EndnoteReference"/>
          <w:i/>
          <w:iCs/>
          <w:color w:val="000000" w:themeColor="text1"/>
        </w:rPr>
        <w:endnoteReference w:id="5"/>
      </w:r>
    </w:p>
    <w:p w14:paraId="709C2B25" w14:textId="636DA0A8" w:rsidR="00D34596" w:rsidRPr="002E6E04" w:rsidRDefault="00D34596" w:rsidP="00D34596">
      <w:pPr>
        <w:spacing w:after="0"/>
        <w:ind w:firstLine="576"/>
        <w:rPr>
          <w:rFonts w:cs="Times New Roman"/>
          <w:color w:val="000000" w:themeColor="text1"/>
          <w:szCs w:val="24"/>
        </w:rPr>
      </w:pPr>
      <w:r w:rsidRPr="002E6E04">
        <w:rPr>
          <w:rFonts w:cs="Times New Roman"/>
          <w:color w:val="000000" w:themeColor="text1"/>
          <w:szCs w:val="24"/>
        </w:rPr>
        <w:t>Within this paper, we engage with the organizational corruption literature as a specific theoretical basis for better understanding Enron’s practices, and involvement in the California energy crisis.</w:t>
      </w:r>
      <w:r w:rsidR="00545C27" w:rsidRPr="002E6E04">
        <w:rPr>
          <w:rStyle w:val="EndnoteReference"/>
          <w:rFonts w:cs="Times New Roman"/>
          <w:color w:val="000000" w:themeColor="text1"/>
          <w:szCs w:val="24"/>
        </w:rPr>
        <w:endnoteReference w:id="6"/>
      </w:r>
      <w:r w:rsidRPr="002E6E04">
        <w:rPr>
          <w:rFonts w:cs="Times New Roman"/>
          <w:color w:val="000000" w:themeColor="text1"/>
          <w:szCs w:val="24"/>
        </w:rPr>
        <w:t xml:space="preserve"> Corruption represents a misuse of one’s position for personal or collective gain, and within a corporate context, such behaviors tend to manifest as illicit transactions (e.g., bribery), agreements (e.g., price fixing), deception (e.g., misleading investors) or manipulative practices (e.g., market abuse).</w:t>
      </w:r>
      <w:r w:rsidRPr="002E6E04">
        <w:rPr>
          <w:rStyle w:val="EndnoteReference"/>
          <w:rFonts w:cs="Times New Roman"/>
          <w:color w:val="000000" w:themeColor="text1"/>
          <w:szCs w:val="24"/>
        </w:rPr>
        <w:endnoteReference w:id="7"/>
      </w:r>
      <w:r w:rsidRPr="002E6E04">
        <w:rPr>
          <w:rFonts w:cs="Times New Roman"/>
          <w:color w:val="000000" w:themeColor="text1"/>
          <w:szCs w:val="24"/>
        </w:rPr>
        <w:t xml:space="preserve"> While the underlying social and economic causes of corruption have been extensively theorized, in depth empirical investigations are less common</w:t>
      </w:r>
      <w:r w:rsidR="00053D1F" w:rsidRPr="002E6E04">
        <w:rPr>
          <w:rFonts w:cs="Times New Roman"/>
          <w:color w:val="000000" w:themeColor="text1"/>
          <w:szCs w:val="24"/>
        </w:rPr>
        <w:t xml:space="preserve">, in part </w:t>
      </w:r>
      <w:r w:rsidR="00C228D6" w:rsidRPr="002E6E04">
        <w:rPr>
          <w:rFonts w:cs="Times New Roman"/>
          <w:color w:val="000000" w:themeColor="text1"/>
          <w:szCs w:val="24"/>
        </w:rPr>
        <w:t>due to the challenges surrounding i</w:t>
      </w:r>
      <w:r w:rsidR="002817AF" w:rsidRPr="002E6E04">
        <w:rPr>
          <w:rFonts w:cs="Times New Roman"/>
          <w:color w:val="000000" w:themeColor="text1"/>
          <w:szCs w:val="24"/>
        </w:rPr>
        <w:t>t</w:t>
      </w:r>
      <w:r w:rsidR="00C228D6" w:rsidRPr="002E6E04">
        <w:rPr>
          <w:rFonts w:cs="Times New Roman"/>
          <w:color w:val="000000" w:themeColor="text1"/>
          <w:szCs w:val="24"/>
        </w:rPr>
        <w:t>s observation</w:t>
      </w:r>
      <w:r w:rsidRPr="002E6E04">
        <w:rPr>
          <w:rFonts w:cs="Times New Roman"/>
          <w:color w:val="000000" w:themeColor="text1"/>
          <w:szCs w:val="24"/>
        </w:rPr>
        <w:t>. Accordingly, we have a fairly good idea about what makes organizations commit corrupt acts (often as a persistent and routine organizational practice), but we know relatively little about how corruption is conceived, managed, and coordinated</w:t>
      </w:r>
      <w:r w:rsidR="00053D1F" w:rsidRPr="002E6E04">
        <w:rPr>
          <w:rFonts w:cs="Times New Roman"/>
          <w:color w:val="000000" w:themeColor="text1"/>
          <w:szCs w:val="24"/>
        </w:rPr>
        <w:t xml:space="preserve"> over time</w:t>
      </w:r>
      <w:r w:rsidRPr="002E6E04">
        <w:rPr>
          <w:rFonts w:cs="Times New Roman"/>
          <w:color w:val="000000" w:themeColor="text1"/>
          <w:szCs w:val="24"/>
        </w:rPr>
        <w:t>. By extension, the role that outside organizations play is particularly unclear.</w:t>
      </w:r>
      <w:r w:rsidR="00053D1F" w:rsidRPr="002E6E04">
        <w:rPr>
          <w:rStyle w:val="EndnoteReference"/>
          <w:rFonts w:cs="Times New Roman"/>
          <w:color w:val="000000" w:themeColor="text1"/>
          <w:szCs w:val="24"/>
        </w:rPr>
        <w:endnoteReference w:id="8"/>
      </w:r>
      <w:r w:rsidRPr="002E6E04">
        <w:rPr>
          <w:rFonts w:cs="Times New Roman"/>
          <w:color w:val="000000" w:themeColor="text1"/>
          <w:szCs w:val="24"/>
        </w:rPr>
        <w:t xml:space="preserve"> Clearly, acts like bribery or price fixing involve external parties, but it is also conceivable that other forms of corruption extend beyond single organization context. Given these gaps, and the regular calls for more empirical elaboration of corrupt phenomena, we provide a historical account of Enron’s manipulation that is analytically structured around the elaboration of corruption as </w:t>
      </w:r>
      <w:r w:rsidR="002817AF" w:rsidRPr="002E6E04">
        <w:rPr>
          <w:rFonts w:cs="Times New Roman"/>
          <w:color w:val="000000" w:themeColor="text1"/>
          <w:szCs w:val="24"/>
        </w:rPr>
        <w:t xml:space="preserve">an </w:t>
      </w:r>
      <w:r w:rsidRPr="002E6E04">
        <w:rPr>
          <w:rFonts w:cs="Times New Roman"/>
          <w:color w:val="000000" w:themeColor="text1"/>
          <w:szCs w:val="24"/>
        </w:rPr>
        <w:t>organizational phenomenon.</w:t>
      </w:r>
      <w:r w:rsidRPr="002E6E04">
        <w:rPr>
          <w:rStyle w:val="EndnoteReference"/>
          <w:rFonts w:cs="Times New Roman"/>
          <w:color w:val="000000" w:themeColor="text1"/>
          <w:szCs w:val="24"/>
        </w:rPr>
        <w:endnoteReference w:id="9"/>
      </w:r>
      <w:r w:rsidRPr="002E6E04">
        <w:rPr>
          <w:rFonts w:cs="Times New Roman"/>
          <w:color w:val="000000" w:themeColor="text1"/>
          <w:szCs w:val="24"/>
        </w:rPr>
        <w:t xml:space="preserve"> </w:t>
      </w:r>
    </w:p>
    <w:p w14:paraId="1243FE1E" w14:textId="7E490B5D" w:rsidR="00D34596" w:rsidRPr="002E6E04" w:rsidRDefault="00525ABD" w:rsidP="00D34596">
      <w:pPr>
        <w:autoSpaceDE w:val="0"/>
        <w:autoSpaceDN w:val="0"/>
        <w:adjustRightInd w:val="0"/>
        <w:spacing w:after="0"/>
        <w:ind w:firstLine="576"/>
        <w:rPr>
          <w:rFonts w:cs="Times New Roman"/>
          <w:color w:val="000000" w:themeColor="text1"/>
          <w:szCs w:val="24"/>
        </w:rPr>
      </w:pPr>
      <w:r w:rsidRPr="002E6E04">
        <w:rPr>
          <w:rFonts w:cs="Times New Roman"/>
          <w:color w:val="000000" w:themeColor="text1"/>
          <w:szCs w:val="24"/>
        </w:rPr>
        <w:lastRenderedPageBreak/>
        <w:t>As</w:t>
      </w:r>
      <w:r w:rsidR="00BD286D" w:rsidRPr="002E6E04">
        <w:rPr>
          <w:rFonts w:cs="Times New Roman"/>
          <w:color w:val="000000" w:themeColor="text1"/>
          <w:szCs w:val="24"/>
        </w:rPr>
        <w:t xml:space="preserve"> a c</w:t>
      </w:r>
      <w:r w:rsidR="00E4706D" w:rsidRPr="002E6E04">
        <w:rPr>
          <w:rFonts w:cs="Times New Roman"/>
          <w:color w:val="000000" w:themeColor="text1"/>
          <w:szCs w:val="24"/>
        </w:rPr>
        <w:t>oncept</w:t>
      </w:r>
      <w:r w:rsidR="00BD286D" w:rsidRPr="002E6E04">
        <w:rPr>
          <w:rFonts w:cs="Times New Roman"/>
          <w:color w:val="000000" w:themeColor="text1"/>
          <w:szCs w:val="24"/>
        </w:rPr>
        <w:t>,</w:t>
      </w:r>
      <w:r w:rsidRPr="002E6E04">
        <w:rPr>
          <w:rFonts w:cs="Times New Roman"/>
          <w:color w:val="000000" w:themeColor="text1"/>
          <w:szCs w:val="24"/>
        </w:rPr>
        <w:t xml:space="preserve"> corrupt</w:t>
      </w:r>
      <w:r w:rsidR="00FB07A4" w:rsidRPr="002E6E04">
        <w:rPr>
          <w:rFonts w:cs="Times New Roman"/>
          <w:color w:val="000000" w:themeColor="text1"/>
          <w:szCs w:val="24"/>
        </w:rPr>
        <w:t>ion</w:t>
      </w:r>
      <w:r w:rsidRPr="002E6E04">
        <w:rPr>
          <w:rFonts w:cs="Times New Roman"/>
          <w:color w:val="000000" w:themeColor="text1"/>
          <w:szCs w:val="24"/>
        </w:rPr>
        <w:t xml:space="preserve"> </w:t>
      </w:r>
      <w:r w:rsidR="001D67CD">
        <w:rPr>
          <w:rFonts w:cs="Times New Roman"/>
          <w:color w:val="000000" w:themeColor="text1"/>
          <w:szCs w:val="24"/>
        </w:rPr>
        <w:t xml:space="preserve">is distinct </w:t>
      </w:r>
      <w:r w:rsidR="0011513F" w:rsidRPr="002E6E04">
        <w:rPr>
          <w:rFonts w:cs="Times New Roman"/>
          <w:color w:val="000000" w:themeColor="text1"/>
          <w:szCs w:val="24"/>
        </w:rPr>
        <w:t>from</w:t>
      </w:r>
      <w:r w:rsidRPr="002E6E04">
        <w:rPr>
          <w:rFonts w:cs="Times New Roman"/>
          <w:color w:val="000000" w:themeColor="text1"/>
          <w:szCs w:val="24"/>
        </w:rPr>
        <w:t xml:space="preserve"> criminality or illegality, </w:t>
      </w:r>
      <w:r w:rsidR="006D0495" w:rsidRPr="002E6E04">
        <w:rPr>
          <w:rFonts w:cs="Times New Roman"/>
          <w:color w:val="000000" w:themeColor="text1"/>
          <w:szCs w:val="24"/>
        </w:rPr>
        <w:t>which are dependent on</w:t>
      </w:r>
      <w:r w:rsidR="00C4302E">
        <w:rPr>
          <w:rFonts w:cs="Times New Roman"/>
          <w:color w:val="000000" w:themeColor="text1"/>
          <w:szCs w:val="24"/>
        </w:rPr>
        <w:t xml:space="preserve"> factors like</w:t>
      </w:r>
      <w:r w:rsidR="006D0495" w:rsidRPr="002E6E04">
        <w:rPr>
          <w:rFonts w:cs="Times New Roman"/>
          <w:color w:val="000000" w:themeColor="text1"/>
          <w:szCs w:val="24"/>
        </w:rPr>
        <w:t xml:space="preserve"> geographically specific </w:t>
      </w:r>
      <w:r w:rsidR="00C4302E">
        <w:rPr>
          <w:rFonts w:cs="Times New Roman"/>
          <w:color w:val="000000" w:themeColor="text1"/>
          <w:szCs w:val="24"/>
        </w:rPr>
        <w:t>laws</w:t>
      </w:r>
      <w:r w:rsidR="006D0495" w:rsidRPr="002E6E04">
        <w:rPr>
          <w:rFonts w:cs="Times New Roman"/>
          <w:color w:val="000000" w:themeColor="text1"/>
          <w:szCs w:val="24"/>
        </w:rPr>
        <w:t>, a</w:t>
      </w:r>
      <w:r w:rsidR="00C4302E">
        <w:rPr>
          <w:rFonts w:cs="Times New Roman"/>
          <w:color w:val="000000" w:themeColor="text1"/>
          <w:szCs w:val="24"/>
        </w:rPr>
        <w:t>n appetite</w:t>
      </w:r>
      <w:r w:rsidR="006D0495" w:rsidRPr="002E6E04">
        <w:rPr>
          <w:rFonts w:cs="Times New Roman"/>
          <w:color w:val="000000" w:themeColor="text1"/>
          <w:szCs w:val="24"/>
        </w:rPr>
        <w:t xml:space="preserve"> to prosecute or litigate, and a </w:t>
      </w:r>
      <w:r w:rsidR="00D748B8" w:rsidRPr="002E6E04">
        <w:rPr>
          <w:rFonts w:cs="Times New Roman"/>
          <w:color w:val="000000" w:themeColor="text1"/>
          <w:szCs w:val="24"/>
        </w:rPr>
        <w:t xml:space="preserve">particular </w:t>
      </w:r>
      <w:r w:rsidR="006D0495" w:rsidRPr="002E6E04">
        <w:rPr>
          <w:rFonts w:cs="Times New Roman"/>
          <w:color w:val="000000" w:themeColor="text1"/>
          <w:szCs w:val="24"/>
        </w:rPr>
        <w:t xml:space="preserve">judicial </w:t>
      </w:r>
      <w:r w:rsidR="001544F6" w:rsidRPr="002E6E04">
        <w:rPr>
          <w:rFonts w:cs="Times New Roman"/>
          <w:color w:val="000000" w:themeColor="text1"/>
          <w:szCs w:val="24"/>
        </w:rPr>
        <w:t>interpretation</w:t>
      </w:r>
      <w:r w:rsidR="006D0495" w:rsidRPr="002E6E04">
        <w:rPr>
          <w:rFonts w:cs="Times New Roman"/>
          <w:color w:val="000000" w:themeColor="text1"/>
          <w:szCs w:val="24"/>
        </w:rPr>
        <w:t xml:space="preserve">. </w:t>
      </w:r>
      <w:r w:rsidR="00387D87">
        <w:rPr>
          <w:rFonts w:cs="Times New Roman"/>
          <w:color w:val="000000" w:themeColor="text1"/>
          <w:szCs w:val="24"/>
        </w:rPr>
        <w:t xml:space="preserve">Moreover, </w:t>
      </w:r>
      <w:r w:rsidR="001D67CD">
        <w:rPr>
          <w:rFonts w:cs="Times New Roman"/>
          <w:color w:val="000000" w:themeColor="text1"/>
          <w:szCs w:val="24"/>
        </w:rPr>
        <w:t xml:space="preserve">while corruption often involves the breaking of laws, it </w:t>
      </w:r>
      <w:r w:rsidR="00387D87">
        <w:rPr>
          <w:rFonts w:cs="Times New Roman"/>
          <w:color w:val="000000" w:themeColor="text1"/>
          <w:szCs w:val="24"/>
        </w:rPr>
        <w:t xml:space="preserve">can </w:t>
      </w:r>
      <w:r w:rsidR="001D67CD">
        <w:rPr>
          <w:rFonts w:cs="Times New Roman"/>
          <w:color w:val="000000" w:themeColor="text1"/>
          <w:szCs w:val="24"/>
        </w:rPr>
        <w:t xml:space="preserve">also </w:t>
      </w:r>
      <w:r w:rsidR="00387D87">
        <w:rPr>
          <w:rFonts w:cs="Times New Roman"/>
          <w:color w:val="000000" w:themeColor="text1"/>
          <w:szCs w:val="24"/>
        </w:rPr>
        <w:t>extend beyond the technically illegal to includ</w:t>
      </w:r>
      <w:r w:rsidR="008E726B">
        <w:rPr>
          <w:rFonts w:cs="Times New Roman"/>
          <w:color w:val="000000" w:themeColor="text1"/>
          <w:szCs w:val="24"/>
        </w:rPr>
        <w:t>e</w:t>
      </w:r>
      <w:r w:rsidR="00387D87">
        <w:rPr>
          <w:rFonts w:cs="Times New Roman"/>
          <w:color w:val="000000" w:themeColor="text1"/>
          <w:szCs w:val="24"/>
        </w:rPr>
        <w:t xml:space="preserve"> wrongful activities that are judged to transgress </w:t>
      </w:r>
      <w:r w:rsidR="0099346D">
        <w:rPr>
          <w:rFonts w:cs="Times New Roman"/>
          <w:color w:val="000000" w:themeColor="text1"/>
          <w:szCs w:val="24"/>
        </w:rPr>
        <w:t xml:space="preserve">broader </w:t>
      </w:r>
      <w:r w:rsidR="00387D87">
        <w:rPr>
          <w:rFonts w:cs="Times New Roman"/>
          <w:color w:val="000000" w:themeColor="text1"/>
          <w:szCs w:val="24"/>
        </w:rPr>
        <w:t>social norms</w:t>
      </w:r>
      <w:r w:rsidR="006D0495" w:rsidRPr="002E6E04">
        <w:rPr>
          <w:rFonts w:cs="Times New Roman"/>
          <w:color w:val="000000" w:themeColor="text1"/>
          <w:szCs w:val="24"/>
        </w:rPr>
        <w:t>.</w:t>
      </w:r>
      <w:r w:rsidR="005334B5" w:rsidRPr="002E6E04">
        <w:rPr>
          <w:rStyle w:val="EndnoteReference"/>
          <w:rFonts w:cs="Times New Roman"/>
          <w:color w:val="000000" w:themeColor="text1"/>
          <w:szCs w:val="24"/>
        </w:rPr>
        <w:endnoteReference w:id="10"/>
      </w:r>
      <w:r w:rsidR="006D0495" w:rsidRPr="002E6E04">
        <w:rPr>
          <w:rFonts w:cs="Times New Roman"/>
          <w:color w:val="000000" w:themeColor="text1"/>
          <w:szCs w:val="24"/>
        </w:rPr>
        <w:t xml:space="preserve"> </w:t>
      </w:r>
      <w:r w:rsidR="005334B5" w:rsidRPr="002E6E04">
        <w:rPr>
          <w:rFonts w:cs="Times New Roman"/>
          <w:color w:val="000000" w:themeColor="text1"/>
          <w:szCs w:val="24"/>
        </w:rPr>
        <w:t>T</w:t>
      </w:r>
      <w:r w:rsidR="006D0495" w:rsidRPr="002E6E04">
        <w:rPr>
          <w:rFonts w:cs="Times New Roman"/>
          <w:color w:val="000000" w:themeColor="text1"/>
          <w:szCs w:val="24"/>
        </w:rPr>
        <w:t>his is an important historical consideration</w:t>
      </w:r>
      <w:r w:rsidR="00FB07A4" w:rsidRPr="002E6E04">
        <w:rPr>
          <w:rFonts w:cs="Times New Roman"/>
          <w:color w:val="000000" w:themeColor="text1"/>
          <w:szCs w:val="24"/>
        </w:rPr>
        <w:t>,</w:t>
      </w:r>
      <w:r w:rsidR="006D0495" w:rsidRPr="002E6E04">
        <w:rPr>
          <w:rFonts w:cs="Times New Roman"/>
          <w:color w:val="000000" w:themeColor="text1"/>
          <w:szCs w:val="24"/>
        </w:rPr>
        <w:t xml:space="preserve"> </w:t>
      </w:r>
      <w:r w:rsidR="005334B5" w:rsidRPr="002E6E04">
        <w:rPr>
          <w:rFonts w:cs="Times New Roman"/>
          <w:color w:val="000000" w:themeColor="text1"/>
          <w:szCs w:val="24"/>
        </w:rPr>
        <w:t>with</w:t>
      </w:r>
      <w:r w:rsidR="006D0495" w:rsidRPr="002E6E04">
        <w:rPr>
          <w:rFonts w:cs="Times New Roman"/>
          <w:color w:val="000000" w:themeColor="text1"/>
          <w:szCs w:val="24"/>
        </w:rPr>
        <w:t xml:space="preserve"> legal </w:t>
      </w:r>
      <w:r w:rsidR="00FB07A4" w:rsidRPr="002E6E04">
        <w:rPr>
          <w:rFonts w:cs="Times New Roman"/>
          <w:color w:val="000000" w:themeColor="text1"/>
          <w:szCs w:val="24"/>
        </w:rPr>
        <w:t>proceedings</w:t>
      </w:r>
      <w:r w:rsidR="006D0495" w:rsidRPr="002E6E04">
        <w:rPr>
          <w:rFonts w:cs="Times New Roman"/>
          <w:color w:val="000000" w:themeColor="text1"/>
          <w:szCs w:val="24"/>
        </w:rPr>
        <w:t xml:space="preserve"> subject to</w:t>
      </w:r>
      <w:r w:rsidR="005334B5" w:rsidRPr="002E6E04">
        <w:rPr>
          <w:rFonts w:cs="Times New Roman"/>
          <w:color w:val="000000" w:themeColor="text1"/>
          <w:szCs w:val="24"/>
        </w:rPr>
        <w:t xml:space="preserve"> social,</w:t>
      </w:r>
      <w:r w:rsidR="006D0495" w:rsidRPr="002E6E04">
        <w:rPr>
          <w:rFonts w:cs="Times New Roman"/>
          <w:color w:val="000000" w:themeColor="text1"/>
          <w:szCs w:val="24"/>
        </w:rPr>
        <w:t xml:space="preserve"> financial</w:t>
      </w:r>
      <w:r w:rsidR="005334B5" w:rsidRPr="002E6E04">
        <w:rPr>
          <w:rFonts w:cs="Times New Roman"/>
          <w:color w:val="000000" w:themeColor="text1"/>
          <w:szCs w:val="24"/>
        </w:rPr>
        <w:t>,</w:t>
      </w:r>
      <w:r w:rsidR="001544F6" w:rsidRPr="002E6E04">
        <w:rPr>
          <w:rFonts w:cs="Times New Roman"/>
          <w:color w:val="000000" w:themeColor="text1"/>
          <w:szCs w:val="24"/>
        </w:rPr>
        <w:t xml:space="preserve"> and </w:t>
      </w:r>
      <w:r w:rsidR="006D0495" w:rsidRPr="002E6E04">
        <w:rPr>
          <w:rFonts w:cs="Times New Roman"/>
          <w:color w:val="000000" w:themeColor="text1"/>
          <w:szCs w:val="24"/>
        </w:rPr>
        <w:t>political</w:t>
      </w:r>
      <w:r w:rsidR="001544F6" w:rsidRPr="002E6E04">
        <w:rPr>
          <w:rFonts w:cs="Times New Roman"/>
          <w:color w:val="000000" w:themeColor="text1"/>
          <w:szCs w:val="24"/>
        </w:rPr>
        <w:t xml:space="preserve"> </w:t>
      </w:r>
      <w:r w:rsidR="00053D1F" w:rsidRPr="002E6E04">
        <w:rPr>
          <w:rFonts w:cs="Times New Roman"/>
          <w:color w:val="000000" w:themeColor="text1"/>
          <w:szCs w:val="24"/>
        </w:rPr>
        <w:t>conditions</w:t>
      </w:r>
      <w:r w:rsidR="001544F6" w:rsidRPr="002E6E04">
        <w:rPr>
          <w:rFonts w:cs="Times New Roman"/>
          <w:color w:val="000000" w:themeColor="text1"/>
          <w:szCs w:val="24"/>
        </w:rPr>
        <w:t>,</w:t>
      </w:r>
      <w:r w:rsidR="006D0495" w:rsidRPr="002E6E04">
        <w:rPr>
          <w:rFonts w:cs="Times New Roman"/>
          <w:color w:val="000000" w:themeColor="text1"/>
          <w:szCs w:val="24"/>
        </w:rPr>
        <w:t xml:space="preserve"> a</w:t>
      </w:r>
      <w:r w:rsidR="001544F6" w:rsidRPr="002E6E04">
        <w:rPr>
          <w:rFonts w:cs="Times New Roman"/>
          <w:color w:val="000000" w:themeColor="text1"/>
          <w:szCs w:val="24"/>
        </w:rPr>
        <w:t>s well as the evidence available at the time.</w:t>
      </w:r>
      <w:r w:rsidR="00DA270F" w:rsidRPr="002E6E04">
        <w:rPr>
          <w:rFonts w:cs="Times New Roman"/>
          <w:color w:val="000000" w:themeColor="text1"/>
          <w:szCs w:val="24"/>
        </w:rPr>
        <w:t xml:space="preserve"> </w:t>
      </w:r>
      <w:r w:rsidR="00D46093" w:rsidRPr="002E6E04">
        <w:rPr>
          <w:rFonts w:cs="Times New Roman"/>
          <w:color w:val="000000" w:themeColor="text1"/>
          <w:szCs w:val="24"/>
        </w:rPr>
        <w:t xml:space="preserve">Moreover, convictions for </w:t>
      </w:r>
      <w:r w:rsidR="00053D1F" w:rsidRPr="002E6E04">
        <w:rPr>
          <w:rFonts w:cs="Times New Roman"/>
          <w:color w:val="000000" w:themeColor="text1"/>
          <w:szCs w:val="24"/>
        </w:rPr>
        <w:t xml:space="preserve">occupational </w:t>
      </w:r>
      <w:r w:rsidR="00D46093" w:rsidRPr="002E6E04">
        <w:rPr>
          <w:rFonts w:cs="Times New Roman"/>
          <w:color w:val="000000" w:themeColor="text1"/>
          <w:szCs w:val="24"/>
        </w:rPr>
        <w:t xml:space="preserve">crimes are comparatively rare, even when such behaviors were clearly widespread, because they </w:t>
      </w:r>
      <w:r w:rsidR="00926A3E" w:rsidRPr="002E6E04">
        <w:rPr>
          <w:color w:val="000000" w:themeColor="text1"/>
        </w:rPr>
        <w:t>often occupy an ambiguous space between ethically questionable and actively illegal.</w:t>
      </w:r>
      <w:r w:rsidR="00545C27" w:rsidRPr="002E6E04">
        <w:rPr>
          <w:rStyle w:val="EndnoteReference"/>
          <w:color w:val="000000" w:themeColor="text1"/>
        </w:rPr>
        <w:endnoteReference w:id="11"/>
      </w:r>
      <w:r w:rsidR="00926A3E" w:rsidRPr="002E6E04">
        <w:rPr>
          <w:color w:val="000000" w:themeColor="text1"/>
        </w:rPr>
        <w:t xml:space="preserve"> </w:t>
      </w:r>
      <w:r w:rsidR="00926A3E" w:rsidRPr="00563779">
        <w:rPr>
          <w:color w:val="000000" w:themeColor="text1"/>
        </w:rPr>
        <w:t xml:space="preserve">Nonetheless, </w:t>
      </w:r>
      <w:r w:rsidR="00B871ED">
        <w:rPr>
          <w:color w:val="000000" w:themeColor="text1"/>
        </w:rPr>
        <w:t xml:space="preserve">it has been widely recognized </w:t>
      </w:r>
      <w:r w:rsidR="00926A3E" w:rsidRPr="00563779">
        <w:rPr>
          <w:color w:val="000000" w:themeColor="text1"/>
        </w:rPr>
        <w:t xml:space="preserve">that Enron’s actions </w:t>
      </w:r>
      <w:r w:rsidR="00D46093" w:rsidRPr="00563779">
        <w:rPr>
          <w:color w:val="000000" w:themeColor="text1"/>
        </w:rPr>
        <w:t>in California</w:t>
      </w:r>
      <w:r w:rsidR="005D3240" w:rsidRPr="00563779">
        <w:rPr>
          <w:color w:val="000000" w:themeColor="text1"/>
        </w:rPr>
        <w:t xml:space="preserve"> </w:t>
      </w:r>
      <w:r w:rsidR="00926A3E" w:rsidRPr="00563779">
        <w:rPr>
          <w:rFonts w:cs="Times New Roman"/>
          <w:color w:val="000000" w:themeColor="text1"/>
          <w:szCs w:val="24"/>
        </w:rPr>
        <w:t>deviat</w:t>
      </w:r>
      <w:r w:rsidR="003C7FD9" w:rsidRPr="00563779">
        <w:rPr>
          <w:rFonts w:cs="Times New Roman"/>
          <w:color w:val="000000" w:themeColor="text1"/>
          <w:szCs w:val="24"/>
        </w:rPr>
        <w:t>ed</w:t>
      </w:r>
      <w:r w:rsidR="00926A3E" w:rsidRPr="00563779">
        <w:rPr>
          <w:rFonts w:cs="Times New Roman"/>
          <w:color w:val="000000" w:themeColor="text1"/>
          <w:szCs w:val="24"/>
        </w:rPr>
        <w:t xml:space="preserve"> from accept</w:t>
      </w:r>
      <w:r w:rsidR="0011513F" w:rsidRPr="00563779">
        <w:rPr>
          <w:rFonts w:cs="Times New Roman"/>
          <w:color w:val="000000" w:themeColor="text1"/>
          <w:szCs w:val="24"/>
        </w:rPr>
        <w:t>able</w:t>
      </w:r>
      <w:r w:rsidR="00926A3E" w:rsidRPr="00563779">
        <w:rPr>
          <w:rFonts w:cs="Times New Roman"/>
          <w:color w:val="000000" w:themeColor="text1"/>
          <w:szCs w:val="24"/>
        </w:rPr>
        <w:t xml:space="preserve"> social norm</w:t>
      </w:r>
      <w:r w:rsidR="0011513F" w:rsidRPr="00563779">
        <w:rPr>
          <w:rFonts w:cs="Times New Roman"/>
          <w:color w:val="000000" w:themeColor="text1"/>
          <w:szCs w:val="24"/>
        </w:rPr>
        <w:t>s</w:t>
      </w:r>
      <w:r w:rsidR="00926A3E" w:rsidRPr="00563779">
        <w:rPr>
          <w:rFonts w:cs="Times New Roman"/>
          <w:color w:val="000000" w:themeColor="text1"/>
          <w:szCs w:val="24"/>
        </w:rPr>
        <w:t>,</w:t>
      </w:r>
      <w:r w:rsidR="005334B5" w:rsidRPr="00563779">
        <w:rPr>
          <w:color w:val="000000" w:themeColor="text1"/>
        </w:rPr>
        <w:t xml:space="preserve"> both </w:t>
      </w:r>
      <w:r w:rsidR="003C3BB0" w:rsidRPr="00563779">
        <w:rPr>
          <w:color w:val="000000" w:themeColor="text1"/>
        </w:rPr>
        <w:t>as a matter of ethical standard</w:t>
      </w:r>
      <w:r w:rsidR="005334B5" w:rsidRPr="00563779">
        <w:rPr>
          <w:color w:val="000000" w:themeColor="text1"/>
        </w:rPr>
        <w:t xml:space="preserve"> and as a point of law</w:t>
      </w:r>
      <w:r w:rsidR="00BD286D" w:rsidRPr="000978E4">
        <w:rPr>
          <w:color w:val="000000" w:themeColor="text1"/>
        </w:rPr>
        <w:t>.</w:t>
      </w:r>
      <w:r w:rsidR="00600D95" w:rsidRPr="000978E4">
        <w:rPr>
          <w:rStyle w:val="EndnoteReference"/>
          <w:color w:val="000000" w:themeColor="text1"/>
        </w:rPr>
        <w:endnoteReference w:id="12"/>
      </w:r>
      <w:r w:rsidR="00BD286D" w:rsidRPr="000978E4">
        <w:rPr>
          <w:color w:val="000000" w:themeColor="text1"/>
        </w:rPr>
        <w:t xml:space="preserve"> </w:t>
      </w:r>
      <w:r w:rsidR="00B42524" w:rsidRPr="000978E4">
        <w:rPr>
          <w:color w:val="000000" w:themeColor="text1"/>
        </w:rPr>
        <w:t>Thus,</w:t>
      </w:r>
      <w:r w:rsidR="00B42524" w:rsidRPr="002E6E04">
        <w:rPr>
          <w:color w:val="000000" w:themeColor="text1"/>
        </w:rPr>
        <w:t xml:space="preserve"> </w:t>
      </w:r>
      <w:r w:rsidR="007D709E" w:rsidRPr="002E6E04">
        <w:rPr>
          <w:color w:val="000000" w:themeColor="text1"/>
        </w:rPr>
        <w:t>ours is</w:t>
      </w:r>
      <w:r w:rsidR="003C7FD9" w:rsidRPr="002E6E04">
        <w:rPr>
          <w:color w:val="000000" w:themeColor="text1"/>
        </w:rPr>
        <w:t xml:space="preserve"> a</w:t>
      </w:r>
      <w:r w:rsidR="00B871ED">
        <w:rPr>
          <w:color w:val="000000" w:themeColor="text1"/>
        </w:rPr>
        <w:t>n</w:t>
      </w:r>
      <w:r w:rsidR="00B42524" w:rsidRPr="002E6E04">
        <w:rPr>
          <w:color w:val="000000" w:themeColor="text1"/>
        </w:rPr>
        <w:t xml:space="preserve"> </w:t>
      </w:r>
      <w:r w:rsidR="00B871ED">
        <w:rPr>
          <w:color w:val="000000" w:themeColor="text1"/>
        </w:rPr>
        <w:t>established</w:t>
      </w:r>
      <w:r w:rsidR="00B42524" w:rsidRPr="002E6E04">
        <w:rPr>
          <w:color w:val="000000" w:themeColor="text1"/>
        </w:rPr>
        <w:t xml:space="preserve"> case of wrongdoing, </w:t>
      </w:r>
      <w:r w:rsidR="007D709E" w:rsidRPr="002E6E04">
        <w:rPr>
          <w:color w:val="000000" w:themeColor="text1"/>
        </w:rPr>
        <w:t>which offers an entry</w:t>
      </w:r>
      <w:r w:rsidR="00051239" w:rsidRPr="002E6E04">
        <w:rPr>
          <w:color w:val="000000" w:themeColor="text1"/>
        </w:rPr>
        <w:t xml:space="preserve"> point</w:t>
      </w:r>
      <w:r w:rsidR="007D709E" w:rsidRPr="002E6E04">
        <w:rPr>
          <w:color w:val="000000" w:themeColor="text1"/>
        </w:rPr>
        <w:t xml:space="preserve"> from which to explore </w:t>
      </w:r>
      <w:r w:rsidR="00B42524" w:rsidRPr="002E6E04">
        <w:rPr>
          <w:rFonts w:cs="Times New Roman"/>
          <w:color w:val="000000" w:themeColor="text1"/>
          <w:szCs w:val="24"/>
        </w:rPr>
        <w:t xml:space="preserve">how organizational corruption was </w:t>
      </w:r>
      <w:r w:rsidR="00D46093" w:rsidRPr="002E6E04">
        <w:rPr>
          <w:rFonts w:cs="Times New Roman"/>
          <w:color w:val="000000" w:themeColor="text1"/>
          <w:szCs w:val="24"/>
        </w:rPr>
        <w:t>enacted over time</w:t>
      </w:r>
      <w:r w:rsidR="00B42524" w:rsidRPr="002E6E04">
        <w:rPr>
          <w:rFonts w:cs="Times New Roman"/>
          <w:color w:val="000000" w:themeColor="text1"/>
          <w:szCs w:val="24"/>
        </w:rPr>
        <w:t xml:space="preserve"> within </w:t>
      </w:r>
      <w:r w:rsidR="007D709E" w:rsidRPr="002E6E04">
        <w:rPr>
          <w:rFonts w:cs="Times New Roman"/>
          <w:color w:val="000000" w:themeColor="text1"/>
          <w:szCs w:val="24"/>
        </w:rPr>
        <w:t>an organizational</w:t>
      </w:r>
      <w:r w:rsidR="00B42524" w:rsidRPr="002E6E04">
        <w:rPr>
          <w:rFonts w:cs="Times New Roman"/>
          <w:color w:val="000000" w:themeColor="text1"/>
          <w:szCs w:val="24"/>
        </w:rPr>
        <w:t xml:space="preserve"> division and </w:t>
      </w:r>
      <w:r w:rsidR="007F0997">
        <w:rPr>
          <w:rFonts w:cs="Times New Roman"/>
          <w:color w:val="000000" w:themeColor="text1"/>
          <w:szCs w:val="24"/>
        </w:rPr>
        <w:t xml:space="preserve">through </w:t>
      </w:r>
      <w:r w:rsidR="00B42524" w:rsidRPr="002E6E04">
        <w:rPr>
          <w:rFonts w:cs="Times New Roman"/>
          <w:color w:val="000000" w:themeColor="text1"/>
          <w:szCs w:val="24"/>
        </w:rPr>
        <w:t xml:space="preserve">its relationship </w:t>
      </w:r>
      <w:r w:rsidR="007F0997">
        <w:rPr>
          <w:rFonts w:cs="Times New Roman"/>
          <w:color w:val="000000" w:themeColor="text1"/>
          <w:szCs w:val="24"/>
        </w:rPr>
        <w:t>to</w:t>
      </w:r>
      <w:r w:rsidR="007F0997" w:rsidRPr="002E6E04">
        <w:rPr>
          <w:rFonts w:cs="Times New Roman"/>
          <w:color w:val="000000" w:themeColor="text1"/>
          <w:szCs w:val="24"/>
        </w:rPr>
        <w:t xml:space="preserve"> </w:t>
      </w:r>
      <w:r w:rsidR="00B42524" w:rsidRPr="002E6E04">
        <w:rPr>
          <w:rFonts w:cs="Times New Roman"/>
          <w:color w:val="000000" w:themeColor="text1"/>
          <w:szCs w:val="24"/>
        </w:rPr>
        <w:t>other market participants.</w:t>
      </w:r>
      <w:r w:rsidR="000978E4">
        <w:rPr>
          <w:rFonts w:cs="Times New Roman"/>
          <w:color w:val="000000" w:themeColor="text1"/>
          <w:szCs w:val="24"/>
        </w:rPr>
        <w:t xml:space="preserve"> </w:t>
      </w:r>
    </w:p>
    <w:p w14:paraId="65800B5A" w14:textId="603FED38" w:rsidR="00A97D89" w:rsidRPr="002E6E04" w:rsidRDefault="008E1838" w:rsidP="003D4B15">
      <w:pPr>
        <w:spacing w:after="0"/>
        <w:ind w:firstLine="576"/>
        <w:rPr>
          <w:rFonts w:cs="Times New Roman"/>
          <w:color w:val="000000" w:themeColor="text1"/>
          <w:szCs w:val="24"/>
        </w:rPr>
      </w:pPr>
      <w:r w:rsidRPr="002E6E04">
        <w:rPr>
          <w:rFonts w:cs="Times New Roman"/>
          <w:color w:val="000000" w:themeColor="text1"/>
          <w:szCs w:val="24"/>
        </w:rPr>
        <w:t xml:space="preserve">Our analysis </w:t>
      </w:r>
      <w:r w:rsidR="00E70C3B" w:rsidRPr="002E6E04">
        <w:rPr>
          <w:rFonts w:cs="Times New Roman"/>
          <w:color w:val="000000" w:themeColor="text1"/>
          <w:szCs w:val="24"/>
        </w:rPr>
        <w:t xml:space="preserve">of these activities </w:t>
      </w:r>
      <w:r w:rsidRPr="002E6E04">
        <w:rPr>
          <w:rFonts w:cs="Times New Roman"/>
          <w:color w:val="000000" w:themeColor="text1"/>
          <w:szCs w:val="24"/>
        </w:rPr>
        <w:t>offers several contributions, the first of which is to add historical insight into Enron’s history</w:t>
      </w:r>
      <w:r w:rsidR="00BF0D98" w:rsidRPr="002E6E04">
        <w:rPr>
          <w:rFonts w:cs="Times New Roman"/>
          <w:color w:val="000000" w:themeColor="text1"/>
          <w:szCs w:val="24"/>
        </w:rPr>
        <w:t xml:space="preserve">. Because Enron is </w:t>
      </w:r>
      <w:r w:rsidR="000E16C1" w:rsidRPr="002E6E04">
        <w:rPr>
          <w:rFonts w:cs="Times New Roman"/>
          <w:color w:val="000000" w:themeColor="text1"/>
          <w:szCs w:val="24"/>
        </w:rPr>
        <w:t>notorious</w:t>
      </w:r>
      <w:r w:rsidR="00611910" w:rsidRPr="002E6E04">
        <w:rPr>
          <w:rFonts w:cs="Times New Roman"/>
          <w:color w:val="000000" w:themeColor="text1"/>
          <w:szCs w:val="24"/>
        </w:rPr>
        <w:t xml:space="preserve"> </w:t>
      </w:r>
      <w:r w:rsidR="003F7FA7" w:rsidRPr="002E6E04">
        <w:rPr>
          <w:rFonts w:cs="Times New Roman"/>
          <w:color w:val="000000" w:themeColor="text1"/>
          <w:szCs w:val="24"/>
        </w:rPr>
        <w:t>for the</w:t>
      </w:r>
      <w:r w:rsidR="00BF0D98" w:rsidRPr="002E6E04">
        <w:rPr>
          <w:rFonts w:cs="Times New Roman"/>
          <w:color w:val="000000" w:themeColor="text1"/>
          <w:szCs w:val="24"/>
        </w:rPr>
        <w:t xml:space="preserve"> extraordinary</w:t>
      </w:r>
      <w:r w:rsidR="003F7FA7" w:rsidRPr="002E6E04">
        <w:rPr>
          <w:rFonts w:cs="Times New Roman"/>
          <w:color w:val="000000" w:themeColor="text1"/>
          <w:szCs w:val="24"/>
        </w:rPr>
        <w:t xml:space="preserve"> </w:t>
      </w:r>
      <w:r w:rsidR="00611910" w:rsidRPr="002E6E04">
        <w:rPr>
          <w:rFonts w:cs="Times New Roman"/>
          <w:color w:val="000000" w:themeColor="text1"/>
          <w:szCs w:val="24"/>
        </w:rPr>
        <w:t>accountancy scandal that</w:t>
      </w:r>
      <w:r w:rsidR="00C34951" w:rsidRPr="002E6E04">
        <w:rPr>
          <w:rFonts w:cs="Times New Roman"/>
          <w:color w:val="000000" w:themeColor="text1"/>
          <w:szCs w:val="24"/>
        </w:rPr>
        <w:t xml:space="preserve"> emerged in late 2001</w:t>
      </w:r>
      <w:r w:rsidR="00BF0D98" w:rsidRPr="002E6E04">
        <w:rPr>
          <w:rFonts w:cs="Times New Roman"/>
          <w:color w:val="000000" w:themeColor="text1"/>
          <w:szCs w:val="24"/>
        </w:rPr>
        <w:t xml:space="preserve">, </w:t>
      </w:r>
      <w:r w:rsidR="00223554" w:rsidRPr="002E6E04">
        <w:rPr>
          <w:rFonts w:cs="Times New Roman"/>
          <w:color w:val="000000" w:themeColor="text1"/>
          <w:szCs w:val="24"/>
        </w:rPr>
        <w:t>its</w:t>
      </w:r>
      <w:r w:rsidR="00611910" w:rsidRPr="002E6E04">
        <w:rPr>
          <w:rFonts w:cs="Times New Roman"/>
          <w:color w:val="000000" w:themeColor="text1"/>
          <w:szCs w:val="24"/>
        </w:rPr>
        <w:t xml:space="preserve"> involvement in the </w:t>
      </w:r>
      <w:r w:rsidR="00BB6CFD" w:rsidRPr="002E6E04">
        <w:rPr>
          <w:rFonts w:cs="Times New Roman"/>
          <w:color w:val="000000" w:themeColor="text1"/>
          <w:szCs w:val="24"/>
        </w:rPr>
        <w:t>2000-2001</w:t>
      </w:r>
      <w:r w:rsidR="00611910" w:rsidRPr="002E6E04">
        <w:rPr>
          <w:rFonts w:cs="Times New Roman"/>
          <w:color w:val="000000" w:themeColor="text1"/>
          <w:szCs w:val="24"/>
        </w:rPr>
        <w:t xml:space="preserve"> </w:t>
      </w:r>
      <w:r w:rsidR="00B414EA" w:rsidRPr="002E6E04">
        <w:rPr>
          <w:rFonts w:cs="Times New Roman"/>
          <w:color w:val="000000" w:themeColor="text1"/>
          <w:szCs w:val="24"/>
        </w:rPr>
        <w:t>e</w:t>
      </w:r>
      <w:r w:rsidR="00611910" w:rsidRPr="002E6E04">
        <w:rPr>
          <w:rFonts w:cs="Times New Roman"/>
          <w:color w:val="000000" w:themeColor="text1"/>
          <w:szCs w:val="24"/>
        </w:rPr>
        <w:t xml:space="preserve">nergy </w:t>
      </w:r>
      <w:r w:rsidR="00B414EA" w:rsidRPr="002E6E04">
        <w:rPr>
          <w:rFonts w:cs="Times New Roman"/>
          <w:color w:val="000000" w:themeColor="text1"/>
          <w:szCs w:val="24"/>
        </w:rPr>
        <w:t>c</w:t>
      </w:r>
      <w:r w:rsidR="00611910" w:rsidRPr="002E6E04">
        <w:rPr>
          <w:rFonts w:cs="Times New Roman"/>
          <w:color w:val="000000" w:themeColor="text1"/>
          <w:szCs w:val="24"/>
        </w:rPr>
        <w:t>risis</w:t>
      </w:r>
      <w:r w:rsidR="00E80CB4" w:rsidRPr="002E6E04">
        <w:rPr>
          <w:rFonts w:cs="Times New Roman"/>
          <w:color w:val="000000" w:themeColor="text1"/>
          <w:szCs w:val="24"/>
        </w:rPr>
        <w:t xml:space="preserve"> </w:t>
      </w:r>
      <w:r w:rsidR="00611910" w:rsidRPr="002E6E04">
        <w:rPr>
          <w:rFonts w:cs="Times New Roman"/>
          <w:color w:val="000000" w:themeColor="text1"/>
          <w:szCs w:val="24"/>
        </w:rPr>
        <w:t>has been somewhat overshadowed</w:t>
      </w:r>
      <w:r w:rsidR="00BF0D98" w:rsidRPr="002E6E04">
        <w:rPr>
          <w:rFonts w:cs="Times New Roman"/>
          <w:color w:val="000000" w:themeColor="text1"/>
          <w:szCs w:val="24"/>
        </w:rPr>
        <w:t>.</w:t>
      </w:r>
      <w:r w:rsidR="00736C78" w:rsidRPr="002E6E04">
        <w:rPr>
          <w:rFonts w:cs="Times New Roman"/>
          <w:color w:val="000000" w:themeColor="text1"/>
          <w:szCs w:val="24"/>
        </w:rPr>
        <w:t xml:space="preserve"> </w:t>
      </w:r>
      <w:r w:rsidR="007A0568" w:rsidRPr="002E6E04">
        <w:rPr>
          <w:rFonts w:cs="Times New Roman"/>
          <w:color w:val="000000" w:themeColor="text1"/>
          <w:szCs w:val="24"/>
        </w:rPr>
        <w:t>Thus, focus has fallen primarily on its</w:t>
      </w:r>
      <w:r w:rsidR="00BB6CFD" w:rsidRPr="002E6E04">
        <w:rPr>
          <w:rFonts w:cs="Times New Roman"/>
          <w:color w:val="000000" w:themeColor="text1"/>
          <w:szCs w:val="24"/>
        </w:rPr>
        <w:t xml:space="preserve"> Houston-based </w:t>
      </w:r>
      <w:r w:rsidR="00005789" w:rsidRPr="002E6E04">
        <w:rPr>
          <w:rFonts w:cs="Times New Roman"/>
          <w:color w:val="000000" w:themeColor="text1"/>
          <w:szCs w:val="24"/>
        </w:rPr>
        <w:t>executives</w:t>
      </w:r>
      <w:r w:rsidR="00BB6CFD" w:rsidRPr="002E6E04">
        <w:rPr>
          <w:rFonts w:cs="Times New Roman"/>
          <w:color w:val="000000" w:themeColor="text1"/>
          <w:szCs w:val="24"/>
        </w:rPr>
        <w:t xml:space="preserve"> and</w:t>
      </w:r>
      <w:r w:rsidR="00501C08" w:rsidRPr="002E6E04">
        <w:rPr>
          <w:rFonts w:cs="Times New Roman"/>
          <w:color w:val="000000" w:themeColor="text1"/>
          <w:szCs w:val="24"/>
        </w:rPr>
        <w:t xml:space="preserve"> </w:t>
      </w:r>
      <w:r w:rsidR="00BB6CFD" w:rsidRPr="002E6E04">
        <w:rPr>
          <w:rFonts w:cs="Times New Roman"/>
          <w:color w:val="000000" w:themeColor="text1"/>
          <w:szCs w:val="24"/>
        </w:rPr>
        <w:t xml:space="preserve">the firm’s </w:t>
      </w:r>
      <w:r w:rsidR="00501C08" w:rsidRPr="002E6E04">
        <w:rPr>
          <w:rFonts w:cs="Times New Roman"/>
          <w:color w:val="000000" w:themeColor="text1"/>
          <w:szCs w:val="24"/>
        </w:rPr>
        <w:t>wider political and cultural significance.</w:t>
      </w:r>
      <w:r w:rsidR="00473125" w:rsidRPr="002E6E04">
        <w:rPr>
          <w:rFonts w:cs="Times New Roman"/>
          <w:color w:val="000000" w:themeColor="text1"/>
          <w:szCs w:val="24"/>
        </w:rPr>
        <w:t xml:space="preserve"> For instance, Malcolm Salter shows how </w:t>
      </w:r>
      <w:r w:rsidR="00453429" w:rsidRPr="002E6E04">
        <w:rPr>
          <w:rFonts w:cs="Times New Roman"/>
          <w:color w:val="000000" w:themeColor="text1"/>
          <w:szCs w:val="24"/>
        </w:rPr>
        <w:t>it</w:t>
      </w:r>
      <w:r w:rsidR="00E73FEC" w:rsidRPr="002E6E04">
        <w:rPr>
          <w:rFonts w:cs="Times New Roman"/>
          <w:color w:val="000000" w:themeColor="text1"/>
          <w:szCs w:val="24"/>
        </w:rPr>
        <w:t>s</w:t>
      </w:r>
      <w:r w:rsidR="00453429" w:rsidRPr="002E6E04">
        <w:rPr>
          <w:rFonts w:cs="Times New Roman"/>
          <w:color w:val="000000" w:themeColor="text1"/>
          <w:szCs w:val="24"/>
        </w:rPr>
        <w:t xml:space="preserve"> </w:t>
      </w:r>
      <w:r w:rsidR="00473125" w:rsidRPr="002E6E04">
        <w:rPr>
          <w:rFonts w:cs="Times New Roman"/>
          <w:color w:val="000000" w:themeColor="text1"/>
          <w:szCs w:val="24"/>
        </w:rPr>
        <w:t>leadership created conditions that embedded self-interested behaviors and compromised the judgments of those faced with ethically uncertain decisions.</w:t>
      </w:r>
      <w:r w:rsidR="00473125" w:rsidRPr="002E6E04">
        <w:rPr>
          <w:rStyle w:val="EndnoteReference"/>
          <w:rFonts w:cs="Times New Roman"/>
          <w:color w:val="000000" w:themeColor="text1"/>
          <w:szCs w:val="24"/>
        </w:rPr>
        <w:endnoteReference w:id="13"/>
      </w:r>
      <w:r w:rsidR="00E25253" w:rsidRPr="002E6E04">
        <w:rPr>
          <w:rFonts w:cs="Times New Roman"/>
          <w:color w:val="000000" w:themeColor="text1"/>
          <w:szCs w:val="24"/>
        </w:rPr>
        <w:t xml:space="preserve"> </w:t>
      </w:r>
      <w:r w:rsidR="00EF0D79" w:rsidRPr="00EF0D79">
        <w:rPr>
          <w:rFonts w:cs="Times New Roman"/>
          <w:color w:val="000000" w:themeColor="text1"/>
          <w:szCs w:val="24"/>
        </w:rPr>
        <w:t>Similarly, Gavin Benke use</w:t>
      </w:r>
      <w:r w:rsidR="0049744B">
        <w:rPr>
          <w:rFonts w:cs="Times New Roman"/>
          <w:color w:val="000000" w:themeColor="text1"/>
          <w:szCs w:val="24"/>
        </w:rPr>
        <w:t>s</w:t>
      </w:r>
      <w:r w:rsidR="00EF0D79" w:rsidRPr="00EF0D79">
        <w:rPr>
          <w:rFonts w:cs="Times New Roman"/>
          <w:color w:val="000000" w:themeColor="text1"/>
          <w:szCs w:val="24"/>
        </w:rPr>
        <w:t xml:space="preserve"> Enron as a lens to explore broader trends of neoliberalism and globalization, </w:t>
      </w:r>
      <w:r w:rsidR="00643A29">
        <w:rPr>
          <w:rFonts w:cs="Times New Roman"/>
          <w:color w:val="000000" w:themeColor="text1"/>
          <w:szCs w:val="24"/>
        </w:rPr>
        <w:t>underscoring</w:t>
      </w:r>
      <w:r w:rsidR="00EF0D79" w:rsidRPr="00EF0D79">
        <w:rPr>
          <w:rFonts w:cs="Times New Roman"/>
          <w:color w:val="000000" w:themeColor="text1"/>
          <w:szCs w:val="24"/>
        </w:rPr>
        <w:t xml:space="preserve"> as he does that "[t]wo separate debacles in 2000 and 2001</w:t>
      </w:r>
      <w:r w:rsidR="00EF0D79">
        <w:rPr>
          <w:rFonts w:cs="Times New Roman"/>
          <w:color w:val="000000" w:themeColor="text1"/>
          <w:szCs w:val="24"/>
        </w:rPr>
        <w:t xml:space="preserve"> -</w:t>
      </w:r>
      <w:r w:rsidR="00EF0D79" w:rsidRPr="00EF0D79">
        <w:rPr>
          <w:rFonts w:cs="Times New Roman"/>
          <w:color w:val="000000" w:themeColor="text1"/>
          <w:szCs w:val="24"/>
        </w:rPr>
        <w:t xml:space="preserve"> the California energy crisis and the revelation of accounting fraud </w:t>
      </w:r>
      <w:r w:rsidR="00EF0D79">
        <w:rPr>
          <w:rFonts w:cs="Times New Roman"/>
          <w:color w:val="000000" w:themeColor="text1"/>
          <w:szCs w:val="24"/>
        </w:rPr>
        <w:t>-</w:t>
      </w:r>
      <w:r w:rsidR="00EF0D79" w:rsidRPr="00EF0D79">
        <w:rPr>
          <w:rFonts w:cs="Times New Roman"/>
          <w:color w:val="000000" w:themeColor="text1"/>
          <w:szCs w:val="24"/>
        </w:rPr>
        <w:t xml:space="preserve"> transformed the company into a symbol for all the ills of the deregulation..." </w:t>
      </w:r>
      <w:r w:rsidR="00736C78" w:rsidRPr="00E63D4D">
        <w:rPr>
          <w:rStyle w:val="EndnoteReference"/>
          <w:rFonts w:cs="Times New Roman"/>
          <w:color w:val="000000" w:themeColor="text1"/>
          <w:szCs w:val="24"/>
        </w:rPr>
        <w:endnoteReference w:id="14"/>
      </w:r>
      <w:r w:rsidR="00C7160F" w:rsidRPr="00E63D4D">
        <w:rPr>
          <w:rFonts w:cs="Times New Roman"/>
          <w:color w:val="000000" w:themeColor="text1"/>
          <w:szCs w:val="24"/>
        </w:rPr>
        <w:t xml:space="preserve"> </w:t>
      </w:r>
    </w:p>
    <w:p w14:paraId="6D258707" w14:textId="36FEBE19" w:rsidR="00223554" w:rsidRPr="002E6E04" w:rsidRDefault="00223554">
      <w:pPr>
        <w:spacing w:after="0"/>
        <w:ind w:firstLine="576"/>
        <w:rPr>
          <w:rFonts w:cs="Times New Roman"/>
          <w:color w:val="000000" w:themeColor="text1"/>
          <w:szCs w:val="24"/>
        </w:rPr>
      </w:pPr>
      <w:r w:rsidRPr="002E6E04">
        <w:rPr>
          <w:rFonts w:cs="Times New Roman"/>
          <w:color w:val="000000" w:themeColor="text1"/>
          <w:szCs w:val="24"/>
        </w:rPr>
        <w:lastRenderedPageBreak/>
        <w:t xml:space="preserve">The </w:t>
      </w:r>
      <w:r w:rsidR="00D608EA" w:rsidRPr="002E6E04">
        <w:rPr>
          <w:rFonts w:cs="Times New Roman"/>
          <w:color w:val="000000" w:themeColor="text1"/>
          <w:szCs w:val="24"/>
        </w:rPr>
        <w:t>history</w:t>
      </w:r>
      <w:r w:rsidRPr="002E6E04">
        <w:rPr>
          <w:rFonts w:cs="Times New Roman"/>
          <w:color w:val="000000" w:themeColor="text1"/>
          <w:szCs w:val="24"/>
        </w:rPr>
        <w:t xml:space="preserve"> w</w:t>
      </w:r>
      <w:r w:rsidR="008B2EA1" w:rsidRPr="002E6E04">
        <w:rPr>
          <w:rFonts w:cs="Times New Roman"/>
          <w:color w:val="000000" w:themeColor="text1"/>
          <w:szCs w:val="24"/>
        </w:rPr>
        <w:t>e</w:t>
      </w:r>
      <w:r w:rsidRPr="002E6E04">
        <w:rPr>
          <w:rFonts w:cs="Times New Roman"/>
          <w:color w:val="000000" w:themeColor="text1"/>
          <w:szCs w:val="24"/>
        </w:rPr>
        <w:t xml:space="preserve"> present also</w:t>
      </w:r>
      <w:r w:rsidR="005D3240" w:rsidRPr="002E6E04">
        <w:rPr>
          <w:color w:val="000000" w:themeColor="text1"/>
          <w:szCs w:val="24"/>
        </w:rPr>
        <w:t xml:space="preserve"> </w:t>
      </w:r>
      <w:r w:rsidR="00DE1296" w:rsidRPr="002E6E04">
        <w:rPr>
          <w:color w:val="000000" w:themeColor="text1"/>
          <w:szCs w:val="24"/>
        </w:rPr>
        <w:t>contributes</w:t>
      </w:r>
      <w:r w:rsidR="005D3240" w:rsidRPr="002E6E04">
        <w:rPr>
          <w:color w:val="000000" w:themeColor="text1"/>
          <w:szCs w:val="24"/>
        </w:rPr>
        <w:t xml:space="preserve"> to the literature on organizational corruption, </w:t>
      </w:r>
      <w:r w:rsidR="00DE1296" w:rsidRPr="002E6E04">
        <w:rPr>
          <w:color w:val="000000" w:themeColor="text1"/>
          <w:szCs w:val="24"/>
        </w:rPr>
        <w:t xml:space="preserve">constituting </w:t>
      </w:r>
      <w:r w:rsidR="00A2553E" w:rsidRPr="002E6E04">
        <w:rPr>
          <w:color w:val="000000" w:themeColor="text1"/>
          <w:szCs w:val="24"/>
        </w:rPr>
        <w:t>a historically informed theoretical narrative with both historical veracity and conceptual rigor</w:t>
      </w:r>
      <w:r w:rsidR="00DE1296" w:rsidRPr="002E6E04">
        <w:rPr>
          <w:color w:val="000000" w:themeColor="text1"/>
          <w:szCs w:val="24"/>
        </w:rPr>
        <w:t xml:space="preserve"> (what </w:t>
      </w:r>
      <w:r w:rsidR="000978E4">
        <w:rPr>
          <w:color w:val="000000" w:themeColor="text1"/>
          <w:szCs w:val="24"/>
        </w:rPr>
        <w:t xml:space="preserve">Mairi </w:t>
      </w:r>
      <w:r w:rsidR="00DE1296" w:rsidRPr="002E6E04">
        <w:rPr>
          <w:color w:val="000000" w:themeColor="text1"/>
          <w:szCs w:val="24"/>
        </w:rPr>
        <w:t>Maclean et al. call “dual integrity”)</w:t>
      </w:r>
      <w:r w:rsidR="00A2553E" w:rsidRPr="002E6E04">
        <w:rPr>
          <w:color w:val="000000" w:themeColor="text1"/>
          <w:szCs w:val="24"/>
        </w:rPr>
        <w:t>.</w:t>
      </w:r>
      <w:r w:rsidR="00BF0D98" w:rsidRPr="002E6E04">
        <w:rPr>
          <w:rStyle w:val="EndnoteReference"/>
          <w:rFonts w:cs="Times New Roman"/>
          <w:color w:val="000000" w:themeColor="text1"/>
          <w:szCs w:val="24"/>
        </w:rPr>
        <w:endnoteReference w:id="15"/>
      </w:r>
      <w:r w:rsidR="00BF0D98" w:rsidRPr="002E6E04">
        <w:rPr>
          <w:rFonts w:cs="Times New Roman"/>
          <w:color w:val="000000" w:themeColor="text1"/>
          <w:szCs w:val="24"/>
        </w:rPr>
        <w:t xml:space="preserve"> </w:t>
      </w:r>
      <w:r w:rsidR="00DE1296" w:rsidRPr="002E6E04">
        <w:rPr>
          <w:color w:val="000000" w:themeColor="text1"/>
          <w:szCs w:val="24"/>
        </w:rPr>
        <w:t xml:space="preserve">Empirically, we add insight into the workings of a corrupt organization and how corrupt practices evolve over time, something a historical approach is uniquely placed to provide. In particular, </w:t>
      </w:r>
      <w:r w:rsidR="00034078" w:rsidRPr="002E6E04">
        <w:rPr>
          <w:color w:val="000000" w:themeColor="text1"/>
          <w:szCs w:val="24"/>
        </w:rPr>
        <w:t>we</w:t>
      </w:r>
      <w:r w:rsidR="00DE1296" w:rsidRPr="002E6E04">
        <w:rPr>
          <w:color w:val="000000" w:themeColor="text1"/>
          <w:szCs w:val="24"/>
        </w:rPr>
        <w:t xml:space="preserve"> show </w:t>
      </w:r>
      <w:r w:rsidR="00034078" w:rsidRPr="002E6E04">
        <w:rPr>
          <w:color w:val="000000" w:themeColor="text1"/>
          <w:szCs w:val="24"/>
        </w:rPr>
        <w:t xml:space="preserve">the extent to which </w:t>
      </w:r>
      <w:r w:rsidR="007D4D4D" w:rsidRPr="002E6E04">
        <w:rPr>
          <w:color w:val="000000" w:themeColor="text1"/>
          <w:szCs w:val="24"/>
        </w:rPr>
        <w:t>normalized</w:t>
      </w:r>
      <w:r w:rsidR="00FB29F5" w:rsidRPr="002E6E04">
        <w:rPr>
          <w:color w:val="000000" w:themeColor="text1"/>
          <w:szCs w:val="24"/>
        </w:rPr>
        <w:t xml:space="preserve"> </w:t>
      </w:r>
      <w:r w:rsidR="00034078" w:rsidRPr="002E6E04">
        <w:rPr>
          <w:color w:val="000000" w:themeColor="text1"/>
          <w:szCs w:val="24"/>
        </w:rPr>
        <w:t>corrupt</w:t>
      </w:r>
      <w:r w:rsidR="00FB29F5" w:rsidRPr="002E6E04">
        <w:rPr>
          <w:color w:val="000000" w:themeColor="text1"/>
          <w:szCs w:val="24"/>
        </w:rPr>
        <w:t xml:space="preserve">ion </w:t>
      </w:r>
      <w:r w:rsidR="00034078" w:rsidRPr="002E6E04">
        <w:rPr>
          <w:color w:val="000000" w:themeColor="text1"/>
          <w:szCs w:val="24"/>
        </w:rPr>
        <w:t xml:space="preserve">can be embedded within </w:t>
      </w:r>
      <w:r w:rsidR="009C3068" w:rsidRPr="002E6E04">
        <w:rPr>
          <w:color w:val="000000" w:themeColor="text1"/>
          <w:szCs w:val="24"/>
        </w:rPr>
        <w:t>inter-</w:t>
      </w:r>
      <w:r w:rsidR="00034078" w:rsidRPr="002E6E04">
        <w:rPr>
          <w:color w:val="000000" w:themeColor="text1"/>
          <w:szCs w:val="24"/>
        </w:rPr>
        <w:t xml:space="preserve">organizational processes, and the </w:t>
      </w:r>
      <w:r w:rsidR="00FB29F5" w:rsidRPr="002E6E04">
        <w:rPr>
          <w:color w:val="000000" w:themeColor="text1"/>
          <w:szCs w:val="24"/>
        </w:rPr>
        <w:t>adaptation</w:t>
      </w:r>
      <w:r w:rsidR="00034078" w:rsidRPr="002E6E04">
        <w:rPr>
          <w:color w:val="000000" w:themeColor="text1"/>
          <w:szCs w:val="24"/>
        </w:rPr>
        <w:t xml:space="preserve"> of these practices in the face of increased public and organizational scrutiny</w:t>
      </w:r>
      <w:r w:rsidR="00034078" w:rsidRPr="000978E4">
        <w:rPr>
          <w:color w:val="000000" w:themeColor="text1"/>
          <w:szCs w:val="24"/>
        </w:rPr>
        <w:t xml:space="preserve">. </w:t>
      </w:r>
      <w:r w:rsidR="00FB29F5" w:rsidRPr="00563779">
        <w:rPr>
          <w:color w:val="000000" w:themeColor="text1"/>
          <w:szCs w:val="24"/>
        </w:rPr>
        <w:t>Conceptually</w:t>
      </w:r>
      <w:r w:rsidR="005D3240" w:rsidRPr="00563779">
        <w:rPr>
          <w:color w:val="000000" w:themeColor="text1"/>
          <w:szCs w:val="24"/>
        </w:rPr>
        <w:t xml:space="preserve">, we </w:t>
      </w:r>
      <w:r w:rsidR="00FA2A3E" w:rsidRPr="00563779">
        <w:rPr>
          <w:rFonts w:cs="Times New Roman"/>
          <w:color w:val="000000" w:themeColor="text1"/>
          <w:szCs w:val="24"/>
        </w:rPr>
        <w:t>develop</w:t>
      </w:r>
      <w:r w:rsidR="00D608EA" w:rsidRPr="00563779">
        <w:rPr>
          <w:rFonts w:cs="Times New Roman"/>
          <w:color w:val="000000" w:themeColor="text1"/>
          <w:szCs w:val="24"/>
        </w:rPr>
        <w:t xml:space="preserve"> </w:t>
      </w:r>
      <w:r w:rsidR="009C315E" w:rsidRPr="00563779">
        <w:rPr>
          <w:rFonts w:cs="Times New Roman"/>
          <w:color w:val="000000" w:themeColor="text1"/>
          <w:szCs w:val="24"/>
        </w:rPr>
        <w:t>the particular</w:t>
      </w:r>
      <w:r w:rsidR="00034078" w:rsidRPr="00563779">
        <w:rPr>
          <w:rFonts w:cs="Times New Roman"/>
          <w:color w:val="000000" w:themeColor="text1"/>
          <w:szCs w:val="24"/>
        </w:rPr>
        <w:t xml:space="preserve"> nature</w:t>
      </w:r>
      <w:r w:rsidR="009C315E" w:rsidRPr="00563779">
        <w:rPr>
          <w:rFonts w:cs="Times New Roman"/>
          <w:color w:val="000000" w:themeColor="text1"/>
          <w:szCs w:val="24"/>
        </w:rPr>
        <w:t xml:space="preserve"> </w:t>
      </w:r>
      <w:r w:rsidR="00CB211B" w:rsidRPr="00563779">
        <w:rPr>
          <w:rFonts w:cs="Times New Roman"/>
          <w:color w:val="000000" w:themeColor="text1"/>
          <w:szCs w:val="24"/>
        </w:rPr>
        <w:t xml:space="preserve">of Enron’s </w:t>
      </w:r>
      <w:r w:rsidR="00034078" w:rsidRPr="00563779">
        <w:rPr>
          <w:rFonts w:cs="Times New Roman"/>
          <w:color w:val="000000" w:themeColor="text1"/>
          <w:szCs w:val="24"/>
        </w:rPr>
        <w:t>corruption</w:t>
      </w:r>
      <w:r w:rsidR="00D608EA" w:rsidRPr="00563779">
        <w:rPr>
          <w:rFonts w:cs="Times New Roman"/>
          <w:color w:val="000000" w:themeColor="text1"/>
          <w:szCs w:val="24"/>
        </w:rPr>
        <w:t>, which</w:t>
      </w:r>
      <w:r w:rsidR="009825B2" w:rsidRPr="00563779">
        <w:rPr>
          <w:rFonts w:cs="Times New Roman"/>
          <w:color w:val="000000" w:themeColor="text1"/>
          <w:szCs w:val="24"/>
        </w:rPr>
        <w:t xml:space="preserve">, while orchestrated by Enron as the primary actor, nevertheless </w:t>
      </w:r>
      <w:r w:rsidR="00D34596" w:rsidRPr="00563779">
        <w:rPr>
          <w:rFonts w:cs="Times New Roman"/>
          <w:color w:val="000000" w:themeColor="text1"/>
          <w:szCs w:val="24"/>
        </w:rPr>
        <w:t>was</w:t>
      </w:r>
      <w:r w:rsidR="009825B2" w:rsidRPr="00563779">
        <w:rPr>
          <w:rFonts w:cs="Times New Roman"/>
          <w:color w:val="000000" w:themeColor="text1"/>
          <w:szCs w:val="24"/>
        </w:rPr>
        <w:t xml:space="preserve"> facilitated by a network of partner firms around </w:t>
      </w:r>
      <w:r w:rsidR="00462BA2" w:rsidRPr="00563779">
        <w:rPr>
          <w:rFonts w:cs="Times New Roman"/>
          <w:color w:val="000000" w:themeColor="text1"/>
          <w:szCs w:val="24"/>
        </w:rPr>
        <w:t>Enron and</w:t>
      </w:r>
      <w:r w:rsidR="009825B2" w:rsidRPr="00563779">
        <w:rPr>
          <w:rFonts w:cs="Times New Roman"/>
          <w:color w:val="000000" w:themeColor="text1"/>
          <w:szCs w:val="24"/>
        </w:rPr>
        <w:t xml:space="preserve"> could not have taken </w:t>
      </w:r>
      <w:r w:rsidR="00462BA2" w:rsidRPr="00563779">
        <w:rPr>
          <w:rFonts w:cs="Times New Roman"/>
          <w:color w:val="000000" w:themeColor="text1"/>
          <w:szCs w:val="24"/>
        </w:rPr>
        <w:t>place</w:t>
      </w:r>
      <w:r w:rsidR="009825B2" w:rsidRPr="00563779">
        <w:rPr>
          <w:rFonts w:cs="Times New Roman"/>
          <w:color w:val="000000" w:themeColor="text1"/>
          <w:szCs w:val="24"/>
        </w:rPr>
        <w:t xml:space="preserve"> without the active involvement of these network </w:t>
      </w:r>
      <w:r w:rsidR="009825B2" w:rsidRPr="00E63D4D">
        <w:rPr>
          <w:rFonts w:cs="Times New Roman"/>
          <w:color w:val="000000" w:themeColor="text1"/>
          <w:szCs w:val="24"/>
        </w:rPr>
        <w:t>partners</w:t>
      </w:r>
      <w:r w:rsidR="00D608EA" w:rsidRPr="001F7A46">
        <w:rPr>
          <w:rFonts w:cs="Times New Roman"/>
          <w:color w:val="000000" w:themeColor="text1"/>
          <w:szCs w:val="24"/>
        </w:rPr>
        <w:t>.</w:t>
      </w:r>
      <w:r w:rsidR="005D4EC6" w:rsidRPr="001F7A46">
        <w:rPr>
          <w:rStyle w:val="EndnoteReference"/>
          <w:rFonts w:cs="Times New Roman"/>
          <w:color w:val="000000" w:themeColor="text1"/>
          <w:szCs w:val="24"/>
        </w:rPr>
        <w:endnoteReference w:id="16"/>
      </w:r>
      <w:r w:rsidR="000978E4" w:rsidRPr="00E63D4D">
        <w:rPr>
          <w:rFonts w:cs="Times New Roman"/>
          <w:color w:val="000000" w:themeColor="text1"/>
          <w:szCs w:val="24"/>
        </w:rPr>
        <w:t xml:space="preserve"> </w:t>
      </w:r>
      <w:r w:rsidR="009825B2" w:rsidRPr="002A1BDF">
        <w:rPr>
          <w:rFonts w:cs="Times New Roman"/>
          <w:color w:val="000000" w:themeColor="text1"/>
          <w:szCs w:val="24"/>
        </w:rPr>
        <w:t xml:space="preserve">We label </w:t>
      </w:r>
      <w:r w:rsidR="000B5476" w:rsidRPr="002A1BDF">
        <w:rPr>
          <w:rFonts w:cs="Times New Roman"/>
          <w:color w:val="000000" w:themeColor="text1"/>
          <w:szCs w:val="24"/>
        </w:rPr>
        <w:t>this</w:t>
      </w:r>
      <w:r w:rsidR="009825B2" w:rsidRPr="002A1BDF">
        <w:rPr>
          <w:rFonts w:cs="Times New Roman"/>
          <w:color w:val="000000" w:themeColor="text1"/>
          <w:szCs w:val="24"/>
        </w:rPr>
        <w:t xml:space="preserve"> </w:t>
      </w:r>
      <w:r w:rsidR="000B5476" w:rsidRPr="002A1BDF">
        <w:rPr>
          <w:rFonts w:cs="Times New Roman"/>
          <w:i/>
          <w:iCs/>
          <w:color w:val="000000" w:themeColor="text1"/>
          <w:szCs w:val="24"/>
        </w:rPr>
        <w:t>network-enabled corruption</w:t>
      </w:r>
      <w:r w:rsidR="000B5476" w:rsidRPr="002A1BDF">
        <w:rPr>
          <w:rFonts w:cs="Times New Roman"/>
          <w:color w:val="000000" w:themeColor="text1"/>
          <w:szCs w:val="24"/>
        </w:rPr>
        <w:t xml:space="preserve">, </w:t>
      </w:r>
      <w:r w:rsidR="000B5476" w:rsidRPr="002A1BDF">
        <w:rPr>
          <w:color w:val="000000" w:themeColor="text1"/>
        </w:rPr>
        <w:t xml:space="preserve">a type of corruption in which a </w:t>
      </w:r>
      <w:r w:rsidR="000B5476" w:rsidRPr="002A1BDF">
        <w:rPr>
          <w:rFonts w:cs="Times New Roman"/>
          <w:color w:val="000000" w:themeColor="text1"/>
          <w:szCs w:val="24"/>
        </w:rPr>
        <w:t>dominant organization (in this case, Enron) coordinates with a</w:t>
      </w:r>
      <w:r w:rsidRPr="002A1BDF">
        <w:rPr>
          <w:rFonts w:cs="Times New Roman"/>
          <w:color w:val="000000" w:themeColor="text1"/>
          <w:szCs w:val="24"/>
        </w:rPr>
        <w:t xml:space="preserve"> network of partner</w:t>
      </w:r>
      <w:r w:rsidR="005D3240" w:rsidRPr="002A1BDF">
        <w:rPr>
          <w:rFonts w:cs="Times New Roman"/>
          <w:color w:val="000000" w:themeColor="text1"/>
          <w:szCs w:val="24"/>
        </w:rPr>
        <w:t xml:space="preserve"> </w:t>
      </w:r>
      <w:r w:rsidRPr="002A1BDF">
        <w:rPr>
          <w:rFonts w:cs="Times New Roman"/>
          <w:color w:val="000000" w:themeColor="text1"/>
          <w:szCs w:val="24"/>
        </w:rPr>
        <w:t>organizations</w:t>
      </w:r>
      <w:r w:rsidR="000B5476" w:rsidRPr="002A1BDF">
        <w:rPr>
          <w:rFonts w:cs="Times New Roman"/>
          <w:color w:val="000000" w:themeColor="text1"/>
          <w:szCs w:val="24"/>
        </w:rPr>
        <w:t xml:space="preserve"> to achieve illicit ends</w:t>
      </w:r>
      <w:r w:rsidRPr="002A1BDF">
        <w:rPr>
          <w:rFonts w:cs="Times New Roman"/>
          <w:color w:val="000000" w:themeColor="text1"/>
          <w:szCs w:val="24"/>
        </w:rPr>
        <w:t>.</w:t>
      </w:r>
      <w:r w:rsidRPr="002E6E04">
        <w:rPr>
          <w:rFonts w:cs="Times New Roman"/>
          <w:color w:val="000000" w:themeColor="text1"/>
          <w:szCs w:val="24"/>
        </w:rPr>
        <w:t xml:space="preserve"> </w:t>
      </w:r>
      <w:r w:rsidR="00CB211B" w:rsidRPr="002E6E04">
        <w:rPr>
          <w:rFonts w:cs="Times New Roman"/>
          <w:color w:val="000000" w:themeColor="text1"/>
          <w:szCs w:val="24"/>
        </w:rPr>
        <w:t xml:space="preserve">This accounts for situations where corruption is primarily </w:t>
      </w:r>
      <w:r w:rsidR="00450E81" w:rsidRPr="002E6E04">
        <w:rPr>
          <w:rFonts w:cs="Times New Roman"/>
          <w:color w:val="000000" w:themeColor="text1"/>
          <w:szCs w:val="24"/>
        </w:rPr>
        <w:t>organized</w:t>
      </w:r>
      <w:r w:rsidR="00CB211B" w:rsidRPr="002E6E04">
        <w:rPr>
          <w:rFonts w:cs="Times New Roman"/>
          <w:color w:val="000000" w:themeColor="text1"/>
          <w:szCs w:val="24"/>
        </w:rPr>
        <w:t xml:space="preserve"> and enacted by a single organization, but sustained by other organizations who are a removed, but nonetheless vital</w:t>
      </w:r>
      <w:r w:rsidR="008E726B">
        <w:rPr>
          <w:rFonts w:cs="Times New Roman"/>
          <w:color w:val="000000" w:themeColor="text1"/>
          <w:szCs w:val="24"/>
        </w:rPr>
        <w:t>,</w:t>
      </w:r>
      <w:r w:rsidR="00CB211B" w:rsidRPr="002E6E04">
        <w:rPr>
          <w:rFonts w:cs="Times New Roman"/>
          <w:color w:val="000000" w:themeColor="text1"/>
          <w:szCs w:val="24"/>
        </w:rPr>
        <w:t xml:space="preserve"> component.</w:t>
      </w:r>
      <w:r w:rsidR="000B5476" w:rsidRPr="002E6E04">
        <w:rPr>
          <w:rFonts w:cs="Times New Roman"/>
          <w:color w:val="000000" w:themeColor="text1"/>
          <w:szCs w:val="24"/>
        </w:rPr>
        <w:t xml:space="preserve"> </w:t>
      </w:r>
      <w:r w:rsidR="009415E4" w:rsidRPr="002E6E04">
        <w:rPr>
          <w:rFonts w:cs="Times New Roman"/>
          <w:color w:val="000000" w:themeColor="text1"/>
          <w:szCs w:val="24"/>
        </w:rPr>
        <w:t>I</w:t>
      </w:r>
      <w:r w:rsidR="00CB211B" w:rsidRPr="002E6E04">
        <w:rPr>
          <w:rFonts w:cs="Times New Roman"/>
          <w:color w:val="000000" w:themeColor="text1"/>
          <w:szCs w:val="24"/>
        </w:rPr>
        <w:t>nter-organizational corruption in this form is</w:t>
      </w:r>
      <w:r w:rsidR="00607ABB" w:rsidRPr="002E6E04">
        <w:rPr>
          <w:rFonts w:cs="Times New Roman"/>
          <w:color w:val="000000" w:themeColor="text1"/>
          <w:szCs w:val="24"/>
        </w:rPr>
        <w:t xml:space="preserve"> less likely to be seen </w:t>
      </w:r>
      <w:r w:rsidR="00117CE9" w:rsidRPr="002E6E04">
        <w:rPr>
          <w:rFonts w:cs="Times New Roman"/>
          <w:color w:val="000000" w:themeColor="text1"/>
          <w:szCs w:val="24"/>
        </w:rPr>
        <w:t xml:space="preserve">horizontally </w:t>
      </w:r>
      <w:r w:rsidR="00CB211B" w:rsidRPr="002E6E04">
        <w:rPr>
          <w:rFonts w:cs="Times New Roman"/>
          <w:color w:val="000000" w:themeColor="text1"/>
          <w:szCs w:val="24"/>
        </w:rPr>
        <w:t xml:space="preserve">among </w:t>
      </w:r>
      <w:r w:rsidR="00117CE9" w:rsidRPr="002E6E04">
        <w:rPr>
          <w:rFonts w:cs="Times New Roman"/>
          <w:color w:val="000000" w:themeColor="text1"/>
          <w:szCs w:val="24"/>
        </w:rPr>
        <w:t xml:space="preserve">collusive </w:t>
      </w:r>
      <w:r w:rsidR="00CB211B" w:rsidRPr="002E6E04">
        <w:rPr>
          <w:rFonts w:cs="Times New Roman"/>
          <w:color w:val="000000" w:themeColor="text1"/>
          <w:szCs w:val="24"/>
        </w:rPr>
        <w:t>competitors</w:t>
      </w:r>
      <w:r w:rsidR="00117CE9" w:rsidRPr="002E6E04">
        <w:rPr>
          <w:rFonts w:cs="Times New Roman"/>
          <w:color w:val="000000" w:themeColor="text1"/>
          <w:szCs w:val="24"/>
        </w:rPr>
        <w:t xml:space="preserve">, and, as </w:t>
      </w:r>
      <w:r w:rsidR="00CB211B" w:rsidRPr="002E6E04">
        <w:rPr>
          <w:rFonts w:cs="Times New Roman"/>
          <w:color w:val="000000" w:themeColor="text1"/>
          <w:szCs w:val="24"/>
        </w:rPr>
        <w:t>in our case</w:t>
      </w:r>
      <w:r w:rsidR="00117CE9" w:rsidRPr="002E6E04">
        <w:rPr>
          <w:rFonts w:cs="Times New Roman"/>
          <w:color w:val="000000" w:themeColor="text1"/>
          <w:szCs w:val="24"/>
        </w:rPr>
        <w:t>, can</w:t>
      </w:r>
      <w:r w:rsidR="00CB211B" w:rsidRPr="002E6E04">
        <w:rPr>
          <w:rFonts w:cs="Times New Roman"/>
          <w:color w:val="000000" w:themeColor="text1"/>
          <w:szCs w:val="24"/>
        </w:rPr>
        <w:t xml:space="preserve"> exist </w:t>
      </w:r>
      <w:r w:rsidR="00117CE9" w:rsidRPr="002E6E04">
        <w:rPr>
          <w:rFonts w:cs="Times New Roman"/>
          <w:color w:val="000000" w:themeColor="text1"/>
          <w:szCs w:val="24"/>
        </w:rPr>
        <w:t>with</w:t>
      </w:r>
      <w:r w:rsidR="00CB211B" w:rsidRPr="002E6E04">
        <w:rPr>
          <w:rFonts w:cs="Times New Roman"/>
          <w:color w:val="000000" w:themeColor="text1"/>
          <w:szCs w:val="24"/>
        </w:rPr>
        <w:t xml:space="preserve">in ostensibly </w:t>
      </w:r>
      <w:r w:rsidR="00C818C5" w:rsidRPr="002E6E04">
        <w:rPr>
          <w:rFonts w:cs="Times New Roman"/>
          <w:color w:val="000000" w:themeColor="text1"/>
          <w:szCs w:val="24"/>
        </w:rPr>
        <w:t>legitimate market relations</w:t>
      </w:r>
      <w:r w:rsidR="00600D95" w:rsidRPr="002E6E04">
        <w:rPr>
          <w:rFonts w:cs="Times New Roman"/>
          <w:color w:val="000000" w:themeColor="text1"/>
          <w:szCs w:val="24"/>
        </w:rPr>
        <w:t xml:space="preserve"> of service provider and client</w:t>
      </w:r>
      <w:r w:rsidRPr="002E6E04">
        <w:rPr>
          <w:rFonts w:cs="Times New Roman"/>
          <w:color w:val="000000" w:themeColor="text1"/>
          <w:szCs w:val="24"/>
        </w:rPr>
        <w:t>.</w:t>
      </w:r>
      <w:r w:rsidRPr="002E6E04">
        <w:rPr>
          <w:rStyle w:val="EndnoteReference"/>
          <w:rFonts w:cs="Times New Roman"/>
          <w:color w:val="000000" w:themeColor="text1"/>
          <w:szCs w:val="24"/>
        </w:rPr>
        <w:endnoteReference w:id="17"/>
      </w:r>
      <w:r w:rsidRPr="002E6E04">
        <w:rPr>
          <w:rFonts w:cs="Times New Roman"/>
          <w:color w:val="000000" w:themeColor="text1"/>
          <w:szCs w:val="24"/>
        </w:rPr>
        <w:t xml:space="preserve"> </w:t>
      </w:r>
      <w:r w:rsidR="00804C06" w:rsidRPr="00563779">
        <w:rPr>
          <w:rFonts w:cs="Times New Roman"/>
          <w:color w:val="000000" w:themeColor="text1"/>
          <w:szCs w:val="24"/>
        </w:rPr>
        <w:t xml:space="preserve">Similarly, it </w:t>
      </w:r>
      <w:r w:rsidR="00804C06" w:rsidRPr="00A84E06">
        <w:rPr>
          <w:rFonts w:cs="Times New Roman"/>
          <w:color w:val="000000" w:themeColor="text1"/>
          <w:szCs w:val="24"/>
        </w:rPr>
        <w:t>differs from</w:t>
      </w:r>
      <w:r w:rsidR="009B566B" w:rsidRPr="00A84E06">
        <w:rPr>
          <w:rFonts w:cs="Times New Roman"/>
          <w:color w:val="000000" w:themeColor="text1"/>
          <w:szCs w:val="24"/>
        </w:rPr>
        <w:t xml:space="preserve"> other</w:t>
      </w:r>
      <w:r w:rsidR="00804C06" w:rsidRPr="00A84E06">
        <w:rPr>
          <w:rFonts w:cs="Times New Roman"/>
          <w:color w:val="000000" w:themeColor="text1"/>
          <w:szCs w:val="24"/>
        </w:rPr>
        <w:t xml:space="preserve"> notions of network</w:t>
      </w:r>
      <w:r w:rsidR="008D10DE" w:rsidRPr="00A84E06">
        <w:rPr>
          <w:rFonts w:cs="Times New Roman"/>
          <w:color w:val="000000" w:themeColor="text1"/>
          <w:szCs w:val="24"/>
        </w:rPr>
        <w:t>ed</w:t>
      </w:r>
      <w:r w:rsidR="00804C06" w:rsidRPr="00A84E06">
        <w:rPr>
          <w:rFonts w:cs="Times New Roman"/>
          <w:color w:val="000000" w:themeColor="text1"/>
          <w:szCs w:val="24"/>
        </w:rPr>
        <w:t xml:space="preserve"> corruption, </w:t>
      </w:r>
      <w:r w:rsidR="000B5476" w:rsidRPr="00A84E06">
        <w:rPr>
          <w:rFonts w:cs="Times New Roman"/>
          <w:color w:val="000000" w:themeColor="text1"/>
          <w:szCs w:val="24"/>
        </w:rPr>
        <w:t>which revolve around</w:t>
      </w:r>
      <w:r w:rsidR="00804C06" w:rsidRPr="00A84E06">
        <w:rPr>
          <w:rFonts w:cs="Times New Roman"/>
          <w:color w:val="000000" w:themeColor="text1"/>
          <w:szCs w:val="24"/>
        </w:rPr>
        <w:t xml:space="preserve"> </w:t>
      </w:r>
      <w:r w:rsidR="00CB211B" w:rsidRPr="00A84E06">
        <w:rPr>
          <w:rFonts w:cs="Times New Roman"/>
          <w:color w:val="000000" w:themeColor="text1"/>
          <w:szCs w:val="24"/>
        </w:rPr>
        <w:t xml:space="preserve">illicit </w:t>
      </w:r>
      <w:r w:rsidR="00804C06" w:rsidRPr="00A84E06">
        <w:rPr>
          <w:rFonts w:cs="Times New Roman"/>
          <w:color w:val="000000" w:themeColor="text1"/>
          <w:szCs w:val="24"/>
        </w:rPr>
        <w:t>transactional activities l</w:t>
      </w:r>
      <w:r w:rsidR="009C3068" w:rsidRPr="00A84E06">
        <w:rPr>
          <w:rFonts w:cs="Times New Roman"/>
          <w:color w:val="000000" w:themeColor="text1"/>
          <w:szCs w:val="24"/>
        </w:rPr>
        <w:t xml:space="preserve">ike </w:t>
      </w:r>
      <w:r w:rsidR="00804C06" w:rsidRPr="00A84E06">
        <w:rPr>
          <w:rFonts w:cs="Times New Roman"/>
          <w:color w:val="000000" w:themeColor="text1"/>
          <w:szCs w:val="24"/>
        </w:rPr>
        <w:t>bribery</w:t>
      </w:r>
      <w:r w:rsidR="00194AAC" w:rsidRPr="00A84E06">
        <w:rPr>
          <w:rFonts w:cs="Times New Roman"/>
          <w:color w:val="000000" w:themeColor="text1"/>
          <w:szCs w:val="24"/>
        </w:rPr>
        <w:t xml:space="preserve"> or rent-seeking</w:t>
      </w:r>
      <w:r w:rsidR="000B5476" w:rsidRPr="00A84E06">
        <w:rPr>
          <w:rFonts w:cs="Times New Roman"/>
          <w:color w:val="000000" w:themeColor="text1"/>
          <w:szCs w:val="24"/>
        </w:rPr>
        <w:t xml:space="preserve">, generally between private and </w:t>
      </w:r>
      <w:r w:rsidR="009C3068" w:rsidRPr="00A84E06">
        <w:rPr>
          <w:rFonts w:cs="Times New Roman"/>
          <w:color w:val="000000" w:themeColor="text1"/>
          <w:szCs w:val="24"/>
        </w:rPr>
        <w:t>public</w:t>
      </w:r>
      <w:r w:rsidR="000B5476" w:rsidRPr="00A84E06">
        <w:rPr>
          <w:rFonts w:cs="Times New Roman"/>
          <w:color w:val="000000" w:themeColor="text1"/>
          <w:szCs w:val="24"/>
        </w:rPr>
        <w:t xml:space="preserve"> actors</w:t>
      </w:r>
      <w:r w:rsidR="00804C06" w:rsidRPr="00A84E06">
        <w:rPr>
          <w:rFonts w:cs="Times New Roman"/>
          <w:color w:val="000000" w:themeColor="text1"/>
          <w:szCs w:val="24"/>
        </w:rPr>
        <w:t>.</w:t>
      </w:r>
      <w:r w:rsidR="008059CE" w:rsidRPr="00563779">
        <w:rPr>
          <w:rStyle w:val="EndnoteReference"/>
          <w:rFonts w:cs="Times New Roman"/>
          <w:color w:val="000000" w:themeColor="text1"/>
          <w:szCs w:val="24"/>
        </w:rPr>
        <w:endnoteReference w:id="18"/>
      </w:r>
      <w:r w:rsidR="00804C06" w:rsidRPr="00563779">
        <w:rPr>
          <w:rFonts w:cs="Times New Roman"/>
          <w:color w:val="000000" w:themeColor="text1"/>
          <w:szCs w:val="24"/>
        </w:rPr>
        <w:t xml:space="preserve"> </w:t>
      </w:r>
      <w:r w:rsidRPr="00563779">
        <w:rPr>
          <w:rFonts w:cs="Times New Roman"/>
          <w:color w:val="000000" w:themeColor="text1"/>
          <w:szCs w:val="24"/>
        </w:rPr>
        <w:t>Th</w:t>
      </w:r>
      <w:r w:rsidR="00804C06" w:rsidRPr="00A84E06">
        <w:rPr>
          <w:rFonts w:cs="Times New Roman"/>
          <w:color w:val="000000" w:themeColor="text1"/>
          <w:szCs w:val="24"/>
        </w:rPr>
        <w:t>us, our narrative</w:t>
      </w:r>
      <w:r w:rsidRPr="00A84E06">
        <w:rPr>
          <w:rFonts w:cs="Times New Roman"/>
          <w:color w:val="000000" w:themeColor="text1"/>
          <w:szCs w:val="24"/>
        </w:rPr>
        <w:t xml:space="preserve"> presents a materially different way of looking at corruption as an </w:t>
      </w:r>
      <w:r w:rsidR="00FB29F5" w:rsidRPr="00A84E06">
        <w:rPr>
          <w:rFonts w:cs="Times New Roman"/>
          <w:color w:val="000000" w:themeColor="text1"/>
          <w:szCs w:val="24"/>
        </w:rPr>
        <w:t>inter-</w:t>
      </w:r>
      <w:r w:rsidRPr="00A84E06">
        <w:rPr>
          <w:rFonts w:cs="Times New Roman"/>
          <w:color w:val="000000" w:themeColor="text1"/>
          <w:szCs w:val="24"/>
        </w:rPr>
        <w:t xml:space="preserve">organizational </w:t>
      </w:r>
      <w:r w:rsidR="00FB29F5" w:rsidRPr="00A84E06">
        <w:rPr>
          <w:rFonts w:cs="Times New Roman"/>
          <w:color w:val="000000" w:themeColor="text1"/>
          <w:szCs w:val="24"/>
        </w:rPr>
        <w:t>phenomenon</w:t>
      </w:r>
      <w:r w:rsidR="00804C06" w:rsidRPr="00A84E06">
        <w:rPr>
          <w:rFonts w:cs="Times New Roman"/>
          <w:color w:val="000000" w:themeColor="text1"/>
          <w:szCs w:val="24"/>
        </w:rPr>
        <w:t>.</w:t>
      </w:r>
    </w:p>
    <w:p w14:paraId="6B0BF8B1" w14:textId="3CD3995C" w:rsidR="005272EF" w:rsidRDefault="000D08B0" w:rsidP="00F17FA4">
      <w:pPr>
        <w:spacing w:after="0"/>
        <w:ind w:firstLine="576"/>
        <w:rPr>
          <w:rFonts w:eastAsia="Times New Roman" w:cs="Times New Roman"/>
          <w:color w:val="000000" w:themeColor="text1"/>
          <w:szCs w:val="24"/>
          <w:lang w:eastAsia="en-GB"/>
        </w:rPr>
      </w:pPr>
      <w:r w:rsidRPr="002E6E04">
        <w:rPr>
          <w:rFonts w:eastAsia="Times New Roman" w:cs="Times New Roman"/>
          <w:color w:val="000000" w:themeColor="text1"/>
          <w:szCs w:val="24"/>
          <w:lang w:eastAsia="en-GB"/>
        </w:rPr>
        <w:t>In addition to its historical and theoretical contributions, this paper also h</w:t>
      </w:r>
      <w:r w:rsidR="0006783A" w:rsidRPr="002E6E04">
        <w:rPr>
          <w:rFonts w:eastAsia="Times New Roman" w:cs="Times New Roman"/>
          <w:color w:val="000000" w:themeColor="text1"/>
          <w:szCs w:val="24"/>
          <w:lang w:eastAsia="en-GB"/>
        </w:rPr>
        <w:t>olds</w:t>
      </w:r>
      <w:r w:rsidRPr="002E6E04">
        <w:rPr>
          <w:rFonts w:eastAsia="Times New Roman" w:cs="Times New Roman"/>
          <w:color w:val="000000" w:themeColor="text1"/>
          <w:szCs w:val="24"/>
          <w:lang w:eastAsia="en-GB"/>
        </w:rPr>
        <w:t xml:space="preserve"> methodological novelty</w:t>
      </w:r>
      <w:r w:rsidR="0006783A" w:rsidRPr="002E6E04">
        <w:rPr>
          <w:rFonts w:eastAsia="Times New Roman" w:cs="Times New Roman"/>
          <w:color w:val="000000" w:themeColor="text1"/>
          <w:szCs w:val="24"/>
          <w:lang w:eastAsia="en-GB"/>
        </w:rPr>
        <w:t xml:space="preserve">. </w:t>
      </w:r>
      <w:r w:rsidR="00D04DFD" w:rsidRPr="002E6E04">
        <w:rPr>
          <w:rFonts w:eastAsia="Times New Roman" w:cs="Times New Roman"/>
          <w:color w:val="000000" w:themeColor="text1"/>
          <w:szCs w:val="24"/>
          <w:lang w:eastAsia="en-GB"/>
        </w:rPr>
        <w:t xml:space="preserve">That is, we </w:t>
      </w:r>
      <w:r w:rsidR="003320E6" w:rsidRPr="002E6E04">
        <w:rPr>
          <w:rFonts w:cs="Times New Roman"/>
          <w:color w:val="000000" w:themeColor="text1"/>
          <w:szCs w:val="24"/>
        </w:rPr>
        <w:t>demonstrat</w:t>
      </w:r>
      <w:r w:rsidR="0006783A" w:rsidRPr="002E6E04">
        <w:rPr>
          <w:rFonts w:cs="Times New Roman"/>
          <w:color w:val="000000" w:themeColor="text1"/>
          <w:szCs w:val="24"/>
        </w:rPr>
        <w:t>e</w:t>
      </w:r>
      <w:r w:rsidR="009C315E" w:rsidRPr="002E6E04">
        <w:rPr>
          <w:rFonts w:cs="Times New Roman"/>
          <w:color w:val="000000" w:themeColor="text1"/>
          <w:szCs w:val="24"/>
        </w:rPr>
        <w:t xml:space="preserve"> how digital</w:t>
      </w:r>
      <w:r w:rsidR="003320E6" w:rsidRPr="002E6E04">
        <w:rPr>
          <w:rFonts w:cs="Times New Roman"/>
          <w:color w:val="000000" w:themeColor="text1"/>
          <w:szCs w:val="24"/>
        </w:rPr>
        <w:t>-era</w:t>
      </w:r>
      <w:r w:rsidR="009C315E" w:rsidRPr="002E6E04">
        <w:rPr>
          <w:rFonts w:cs="Times New Roman"/>
          <w:color w:val="000000" w:themeColor="text1"/>
          <w:szCs w:val="24"/>
        </w:rPr>
        <w:t xml:space="preserve"> </w:t>
      </w:r>
      <w:r w:rsidR="00B202CC" w:rsidRPr="002E6E04">
        <w:rPr>
          <w:rFonts w:cs="Times New Roman"/>
          <w:color w:val="000000" w:themeColor="text1"/>
          <w:szCs w:val="24"/>
        </w:rPr>
        <w:t>primary source</w:t>
      </w:r>
      <w:r w:rsidR="008B2EA1" w:rsidRPr="002E6E04">
        <w:rPr>
          <w:rFonts w:cs="Times New Roman"/>
          <w:color w:val="000000" w:themeColor="text1"/>
          <w:szCs w:val="24"/>
        </w:rPr>
        <w:t>s</w:t>
      </w:r>
      <w:r w:rsidR="00B202CC" w:rsidRPr="002E6E04">
        <w:rPr>
          <w:rFonts w:cs="Times New Roman"/>
          <w:color w:val="000000" w:themeColor="text1"/>
          <w:szCs w:val="24"/>
        </w:rPr>
        <w:t xml:space="preserve"> </w:t>
      </w:r>
      <w:r w:rsidR="009C315E" w:rsidRPr="002E6E04">
        <w:rPr>
          <w:rFonts w:cs="Times New Roman"/>
          <w:color w:val="000000" w:themeColor="text1"/>
          <w:szCs w:val="24"/>
        </w:rPr>
        <w:t>can</w:t>
      </w:r>
      <w:r w:rsidR="00B202CC" w:rsidRPr="002E6E04">
        <w:rPr>
          <w:rFonts w:cs="Times New Roman"/>
          <w:color w:val="000000" w:themeColor="text1"/>
          <w:szCs w:val="24"/>
        </w:rPr>
        <w:t xml:space="preserve"> </w:t>
      </w:r>
      <w:r w:rsidR="005246B9" w:rsidRPr="002E6E04">
        <w:rPr>
          <w:rFonts w:cs="Times New Roman"/>
          <w:color w:val="000000" w:themeColor="text1"/>
          <w:szCs w:val="24"/>
        </w:rPr>
        <w:t xml:space="preserve">be used to </w:t>
      </w:r>
      <w:r w:rsidR="00B202CC" w:rsidRPr="002E6E04">
        <w:rPr>
          <w:rFonts w:cs="Times New Roman"/>
          <w:color w:val="000000" w:themeColor="text1"/>
          <w:szCs w:val="24"/>
        </w:rPr>
        <w:t>provide an unprecedented view into the workings of a historically important organization,</w:t>
      </w:r>
      <w:r w:rsidR="009C315E" w:rsidRPr="002E6E04">
        <w:rPr>
          <w:rFonts w:cs="Times New Roman"/>
          <w:color w:val="000000" w:themeColor="text1"/>
          <w:szCs w:val="24"/>
        </w:rPr>
        <w:t xml:space="preserve"> </w:t>
      </w:r>
      <w:r w:rsidR="00A36C12" w:rsidRPr="002E6E04">
        <w:rPr>
          <w:rFonts w:cs="Times New Roman"/>
          <w:color w:val="000000" w:themeColor="text1"/>
          <w:szCs w:val="24"/>
        </w:rPr>
        <w:t>and how</w:t>
      </w:r>
      <w:r w:rsidR="005246B9" w:rsidRPr="002E6E04">
        <w:rPr>
          <w:rFonts w:cs="Times New Roman"/>
          <w:color w:val="000000" w:themeColor="text1"/>
          <w:szCs w:val="24"/>
        </w:rPr>
        <w:t xml:space="preserve"> they can elaborate usually hidden or under-represented historical events.</w:t>
      </w:r>
      <w:r w:rsidR="008B2EA1" w:rsidRPr="002E6E04">
        <w:rPr>
          <w:rStyle w:val="EndnoteReference"/>
          <w:rFonts w:cs="Times New Roman"/>
          <w:color w:val="000000" w:themeColor="text1"/>
          <w:szCs w:val="24"/>
        </w:rPr>
        <w:endnoteReference w:id="19"/>
      </w:r>
      <w:r w:rsidR="00B20FDD" w:rsidRPr="002E6E04">
        <w:rPr>
          <w:rFonts w:cs="Times New Roman"/>
          <w:color w:val="000000" w:themeColor="text1"/>
          <w:szCs w:val="24"/>
        </w:rPr>
        <w:t xml:space="preserve"> </w:t>
      </w:r>
      <w:r w:rsidR="00391820" w:rsidRPr="002E6E04">
        <w:rPr>
          <w:rFonts w:eastAsia="Times New Roman" w:cs="Times New Roman"/>
          <w:color w:val="000000" w:themeColor="text1"/>
          <w:szCs w:val="24"/>
          <w:lang w:eastAsia="en-GB"/>
        </w:rPr>
        <w:t xml:space="preserve">For </w:t>
      </w:r>
      <w:r w:rsidR="00391820" w:rsidRPr="002E6E04">
        <w:rPr>
          <w:rFonts w:eastAsia="Times New Roman" w:cs="Times New Roman"/>
          <w:color w:val="000000" w:themeColor="text1"/>
          <w:szCs w:val="24"/>
          <w:lang w:eastAsia="en-GB"/>
        </w:rPr>
        <w:lastRenderedPageBreak/>
        <w:t>business historians in particular, the</w:t>
      </w:r>
      <w:r w:rsidR="00B20FDD" w:rsidRPr="002E6E04">
        <w:rPr>
          <w:rFonts w:eastAsia="Times New Roman" w:cs="Times New Roman"/>
          <w:color w:val="000000" w:themeColor="text1"/>
          <w:szCs w:val="24"/>
          <w:lang w:eastAsia="en-GB"/>
        </w:rPr>
        <w:t xml:space="preserve"> growing</w:t>
      </w:r>
      <w:r w:rsidR="00391820" w:rsidRPr="002E6E04">
        <w:rPr>
          <w:rFonts w:eastAsia="Times New Roman" w:cs="Times New Roman"/>
          <w:color w:val="000000" w:themeColor="text1"/>
          <w:szCs w:val="24"/>
          <w:lang w:eastAsia="en-GB"/>
        </w:rPr>
        <w:t xml:space="preserve"> importance of digital sources is particularly clear, as great swaths of organizational records keeping and communication practice migrated to digital platforms from the mid-90s onwards.</w:t>
      </w:r>
      <w:r w:rsidR="00391820" w:rsidRPr="002E6E04">
        <w:rPr>
          <w:rStyle w:val="EndnoteReference"/>
          <w:rFonts w:eastAsia="Times New Roman" w:cs="Times New Roman"/>
          <w:color w:val="000000" w:themeColor="text1"/>
          <w:szCs w:val="24"/>
          <w:lang w:eastAsia="en-GB"/>
        </w:rPr>
        <w:endnoteReference w:id="20"/>
      </w:r>
      <w:r w:rsidR="00391820" w:rsidRPr="002E6E04">
        <w:rPr>
          <w:rFonts w:eastAsia="Times New Roman" w:cs="Times New Roman"/>
          <w:color w:val="000000" w:themeColor="text1"/>
          <w:szCs w:val="24"/>
          <w:lang w:eastAsia="en-GB"/>
        </w:rPr>
        <w:t xml:space="preserve"> Indeed, it is quite conceivable that to fully understand historically important events like the emergence of the dotcom economy or the 2007 final crisis, historians will need to engag</w:t>
      </w:r>
      <w:r w:rsidR="00921C21" w:rsidRPr="002E6E04">
        <w:rPr>
          <w:rFonts w:eastAsia="Times New Roman" w:cs="Times New Roman"/>
          <w:color w:val="000000" w:themeColor="text1"/>
          <w:szCs w:val="24"/>
          <w:lang w:eastAsia="en-GB"/>
        </w:rPr>
        <w:t>e</w:t>
      </w:r>
      <w:r w:rsidR="00391820" w:rsidRPr="002E6E04">
        <w:rPr>
          <w:rFonts w:eastAsia="Times New Roman" w:cs="Times New Roman"/>
          <w:color w:val="000000" w:themeColor="text1"/>
          <w:szCs w:val="24"/>
          <w:lang w:eastAsia="en-GB"/>
        </w:rPr>
        <w:t xml:space="preserve"> with these so called “born-digital” sources.</w:t>
      </w:r>
      <w:r w:rsidR="00391820" w:rsidRPr="002E6E04">
        <w:rPr>
          <w:rStyle w:val="EndnoteReference"/>
          <w:rFonts w:eastAsia="Times New Roman" w:cs="Times New Roman"/>
          <w:color w:val="000000" w:themeColor="text1"/>
          <w:szCs w:val="24"/>
          <w:lang w:eastAsia="en-GB"/>
        </w:rPr>
        <w:endnoteReference w:id="21"/>
      </w:r>
      <w:r w:rsidR="00391820" w:rsidRPr="002E6E04">
        <w:rPr>
          <w:rFonts w:eastAsia="Times New Roman" w:cs="Times New Roman"/>
          <w:color w:val="000000" w:themeColor="text1"/>
          <w:szCs w:val="24"/>
          <w:lang w:eastAsia="en-GB"/>
        </w:rPr>
        <w:t xml:space="preserve"> </w:t>
      </w:r>
    </w:p>
    <w:p w14:paraId="1C02450F" w14:textId="77777777" w:rsidR="00993A52" w:rsidRPr="002E6E04" w:rsidRDefault="00993A52" w:rsidP="00F17FA4">
      <w:pPr>
        <w:spacing w:after="0"/>
        <w:ind w:firstLine="576"/>
        <w:rPr>
          <w:rFonts w:cs="Times New Roman"/>
          <w:color w:val="000000" w:themeColor="text1"/>
          <w:szCs w:val="24"/>
        </w:rPr>
      </w:pPr>
    </w:p>
    <w:p w14:paraId="30D5E453" w14:textId="1B0C518B" w:rsidR="00F05E53" w:rsidRPr="002E6E04" w:rsidRDefault="00F05E53" w:rsidP="00F17FA4">
      <w:pPr>
        <w:pStyle w:val="Heading2"/>
        <w:numPr>
          <w:ilvl w:val="0"/>
          <w:numId w:val="0"/>
        </w:numPr>
      </w:pPr>
      <w:r w:rsidRPr="002E6E04">
        <w:t>Organizational Corruption</w:t>
      </w:r>
    </w:p>
    <w:p w14:paraId="14B21980" w14:textId="784A69BF" w:rsidR="0041647D" w:rsidRPr="002E6E04" w:rsidRDefault="009140BC" w:rsidP="0041647D">
      <w:pPr>
        <w:spacing w:after="0"/>
        <w:rPr>
          <w:rFonts w:cs="Times New Roman"/>
          <w:color w:val="000000" w:themeColor="text1"/>
          <w:szCs w:val="24"/>
        </w:rPr>
      </w:pPr>
      <w:r w:rsidRPr="002E6E04">
        <w:rPr>
          <w:rFonts w:cs="Times New Roman"/>
          <w:color w:val="000000" w:themeColor="text1"/>
          <w:szCs w:val="24"/>
        </w:rPr>
        <w:t>While c</w:t>
      </w:r>
      <w:r w:rsidR="007F4B2C" w:rsidRPr="002E6E04">
        <w:rPr>
          <w:rFonts w:cs="Times New Roman"/>
          <w:color w:val="000000" w:themeColor="text1"/>
          <w:szCs w:val="24"/>
        </w:rPr>
        <w:t xml:space="preserve">orruption </w:t>
      </w:r>
      <w:r w:rsidR="00D366E9" w:rsidRPr="002E6E04">
        <w:rPr>
          <w:rFonts w:cs="Times New Roman"/>
          <w:color w:val="000000" w:themeColor="text1"/>
          <w:szCs w:val="24"/>
        </w:rPr>
        <w:t xml:space="preserve">often represents </w:t>
      </w:r>
      <w:r w:rsidR="00A11A16" w:rsidRPr="002E6E04">
        <w:rPr>
          <w:rFonts w:cs="Times New Roman"/>
          <w:color w:val="000000" w:themeColor="text1"/>
          <w:szCs w:val="24"/>
        </w:rPr>
        <w:t xml:space="preserve">an </w:t>
      </w:r>
      <w:r w:rsidR="007F4B2C" w:rsidRPr="002E6E04">
        <w:rPr>
          <w:rFonts w:cs="Times New Roman"/>
          <w:color w:val="000000" w:themeColor="text1"/>
          <w:szCs w:val="24"/>
        </w:rPr>
        <w:t xml:space="preserve">abuse of publicly mandated </w:t>
      </w:r>
      <w:r w:rsidR="007A73D9" w:rsidRPr="002E6E04">
        <w:rPr>
          <w:rFonts w:cs="Times New Roman"/>
          <w:color w:val="000000" w:themeColor="text1"/>
          <w:szCs w:val="24"/>
        </w:rPr>
        <w:t>authority</w:t>
      </w:r>
      <w:r w:rsidRPr="002E6E04">
        <w:rPr>
          <w:rFonts w:cs="Times New Roman"/>
          <w:color w:val="000000" w:themeColor="text1"/>
          <w:szCs w:val="24"/>
        </w:rPr>
        <w:t xml:space="preserve"> </w:t>
      </w:r>
      <w:r w:rsidR="00D366E9" w:rsidRPr="002E6E04">
        <w:rPr>
          <w:rFonts w:cs="Times New Roman"/>
          <w:color w:val="000000" w:themeColor="text1"/>
          <w:szCs w:val="24"/>
        </w:rPr>
        <w:t>–</w:t>
      </w:r>
      <w:r w:rsidRPr="002E6E04">
        <w:rPr>
          <w:rFonts w:cs="Times New Roman"/>
          <w:color w:val="000000" w:themeColor="text1"/>
          <w:szCs w:val="24"/>
        </w:rPr>
        <w:t xml:space="preserve"> </w:t>
      </w:r>
      <w:r w:rsidR="00D366E9" w:rsidRPr="002E6E04">
        <w:rPr>
          <w:rFonts w:cs="Times New Roman"/>
          <w:color w:val="000000" w:themeColor="text1"/>
          <w:szCs w:val="24"/>
        </w:rPr>
        <w:t xml:space="preserve">necessitating </w:t>
      </w:r>
      <w:r w:rsidR="007F4B2C" w:rsidRPr="002E6E04">
        <w:rPr>
          <w:rFonts w:cs="Times New Roman"/>
          <w:color w:val="000000" w:themeColor="text1"/>
          <w:szCs w:val="24"/>
        </w:rPr>
        <w:t xml:space="preserve">the involvement of </w:t>
      </w:r>
      <w:r w:rsidR="00A11A16" w:rsidRPr="002E6E04">
        <w:rPr>
          <w:rFonts w:cs="Times New Roman"/>
          <w:color w:val="000000" w:themeColor="text1"/>
          <w:szCs w:val="24"/>
        </w:rPr>
        <w:t xml:space="preserve">a </w:t>
      </w:r>
      <w:r w:rsidR="007F4B2C" w:rsidRPr="002E6E04">
        <w:rPr>
          <w:rFonts w:cs="Times New Roman"/>
          <w:color w:val="000000" w:themeColor="text1"/>
          <w:szCs w:val="24"/>
        </w:rPr>
        <w:t>legislative or executive office</w:t>
      </w:r>
      <w:r w:rsidRPr="002E6E04">
        <w:rPr>
          <w:rFonts w:cs="Times New Roman"/>
          <w:color w:val="000000" w:themeColor="text1"/>
          <w:szCs w:val="24"/>
        </w:rPr>
        <w:t xml:space="preserve"> - the concept hold</w:t>
      </w:r>
      <w:r w:rsidR="009F0C32" w:rsidRPr="002E6E04">
        <w:rPr>
          <w:rFonts w:cs="Times New Roman"/>
          <w:color w:val="000000" w:themeColor="text1"/>
          <w:szCs w:val="24"/>
        </w:rPr>
        <w:t>s</w:t>
      </w:r>
      <w:r w:rsidRPr="002E6E04">
        <w:rPr>
          <w:rFonts w:cs="Times New Roman"/>
          <w:color w:val="000000" w:themeColor="text1"/>
          <w:szCs w:val="24"/>
        </w:rPr>
        <w:t xml:space="preserve"> relevance to </w:t>
      </w:r>
      <w:r w:rsidR="009F0C32" w:rsidRPr="002E6E04">
        <w:rPr>
          <w:rFonts w:cs="Times New Roman"/>
          <w:color w:val="000000" w:themeColor="text1"/>
          <w:szCs w:val="24"/>
        </w:rPr>
        <w:t>a</w:t>
      </w:r>
      <w:r w:rsidRPr="002E6E04">
        <w:rPr>
          <w:rFonts w:cs="Times New Roman"/>
          <w:color w:val="000000" w:themeColor="text1"/>
          <w:szCs w:val="24"/>
        </w:rPr>
        <w:t xml:space="preserve"> broad collection of social contexts</w:t>
      </w:r>
      <w:r w:rsidR="007F4B2C" w:rsidRPr="002E6E04">
        <w:rPr>
          <w:rFonts w:cs="Times New Roman"/>
          <w:color w:val="000000" w:themeColor="text1"/>
          <w:szCs w:val="24"/>
        </w:rPr>
        <w:t>.</w:t>
      </w:r>
      <w:r w:rsidR="007F4B2C" w:rsidRPr="002E6E04">
        <w:rPr>
          <w:rStyle w:val="EndnoteReference"/>
          <w:rFonts w:cs="Times New Roman"/>
          <w:color w:val="000000" w:themeColor="text1"/>
          <w:szCs w:val="24"/>
        </w:rPr>
        <w:endnoteReference w:id="22"/>
      </w:r>
      <w:r w:rsidR="007F4B2C" w:rsidRPr="002E6E04">
        <w:rPr>
          <w:rFonts w:cs="Times New Roman"/>
          <w:color w:val="000000" w:themeColor="text1"/>
          <w:szCs w:val="24"/>
        </w:rPr>
        <w:t xml:space="preserve"> </w:t>
      </w:r>
      <w:r w:rsidRPr="002E6E04">
        <w:rPr>
          <w:rFonts w:cs="Times New Roman"/>
          <w:color w:val="000000" w:themeColor="text1"/>
          <w:szCs w:val="24"/>
        </w:rPr>
        <w:t>Indeed</w:t>
      </w:r>
      <w:r w:rsidR="00A11A16" w:rsidRPr="002E6E04">
        <w:rPr>
          <w:rFonts w:cs="Times New Roman"/>
          <w:color w:val="000000" w:themeColor="text1"/>
          <w:szCs w:val="24"/>
        </w:rPr>
        <w:t xml:space="preserve">, </w:t>
      </w:r>
      <w:r w:rsidR="009F0C32" w:rsidRPr="002E6E04">
        <w:rPr>
          <w:rFonts w:cs="Times New Roman"/>
          <w:color w:val="000000" w:themeColor="text1"/>
          <w:szCs w:val="24"/>
        </w:rPr>
        <w:t xml:space="preserve">the </w:t>
      </w:r>
      <w:r w:rsidR="00005789" w:rsidRPr="002E6E04">
        <w:rPr>
          <w:rFonts w:cs="Times New Roman"/>
          <w:color w:val="000000" w:themeColor="text1"/>
          <w:szCs w:val="24"/>
        </w:rPr>
        <w:t>conceptualization</w:t>
      </w:r>
      <w:r w:rsidR="00F05E53" w:rsidRPr="002E6E04">
        <w:rPr>
          <w:rFonts w:cs="Times New Roman"/>
          <w:color w:val="000000" w:themeColor="text1"/>
          <w:szCs w:val="24"/>
        </w:rPr>
        <w:t xml:space="preserve"> of </w:t>
      </w:r>
      <w:r w:rsidR="00E0075E" w:rsidRPr="002E6E04">
        <w:rPr>
          <w:rFonts w:cs="Times New Roman"/>
          <w:color w:val="000000" w:themeColor="text1"/>
          <w:szCs w:val="24"/>
        </w:rPr>
        <w:t xml:space="preserve">wrongful </w:t>
      </w:r>
      <w:r w:rsidR="00005789" w:rsidRPr="002E6E04">
        <w:rPr>
          <w:rFonts w:cs="Times New Roman"/>
          <w:color w:val="000000" w:themeColor="text1"/>
          <w:szCs w:val="24"/>
        </w:rPr>
        <w:t>organizational</w:t>
      </w:r>
      <w:r w:rsidR="00A11A16" w:rsidRPr="002E6E04">
        <w:rPr>
          <w:rFonts w:cs="Times New Roman"/>
          <w:color w:val="000000" w:themeColor="text1"/>
          <w:szCs w:val="24"/>
        </w:rPr>
        <w:t xml:space="preserve"> </w:t>
      </w:r>
      <w:r w:rsidR="00F05E53" w:rsidRPr="002E6E04">
        <w:rPr>
          <w:rFonts w:cs="Times New Roman"/>
          <w:color w:val="000000" w:themeColor="text1"/>
          <w:szCs w:val="24"/>
        </w:rPr>
        <w:t>activit</w:t>
      </w:r>
      <w:r w:rsidR="0049587E" w:rsidRPr="002E6E04">
        <w:rPr>
          <w:rFonts w:cs="Times New Roman"/>
          <w:color w:val="000000" w:themeColor="text1"/>
          <w:szCs w:val="24"/>
        </w:rPr>
        <w:t>ies</w:t>
      </w:r>
      <w:r w:rsidR="00F05E53" w:rsidRPr="002E6E04">
        <w:rPr>
          <w:rFonts w:cs="Times New Roman"/>
          <w:color w:val="000000" w:themeColor="text1"/>
          <w:szCs w:val="24"/>
        </w:rPr>
        <w:t xml:space="preserve"> as</w:t>
      </w:r>
      <w:r w:rsidR="00F05E53" w:rsidRPr="002E6E04">
        <w:rPr>
          <w:rFonts w:cs="Times New Roman"/>
          <w:iCs/>
          <w:color w:val="000000" w:themeColor="text1"/>
          <w:szCs w:val="24"/>
        </w:rPr>
        <w:t xml:space="preserve"> corrupt</w:t>
      </w:r>
      <w:r w:rsidR="00497E6F" w:rsidRPr="002E6E04">
        <w:rPr>
          <w:rFonts w:cs="Times New Roman"/>
          <w:iCs/>
          <w:color w:val="000000" w:themeColor="text1"/>
          <w:szCs w:val="24"/>
        </w:rPr>
        <w:t>,</w:t>
      </w:r>
      <w:r w:rsidR="00F05E53" w:rsidRPr="002E6E04">
        <w:rPr>
          <w:rFonts w:cs="Times New Roman"/>
          <w:i/>
          <w:color w:val="000000" w:themeColor="text1"/>
          <w:szCs w:val="24"/>
        </w:rPr>
        <w:t xml:space="preserve"> </w:t>
      </w:r>
      <w:r w:rsidR="00F05E53" w:rsidRPr="002E6E04">
        <w:rPr>
          <w:rFonts w:cs="Times New Roman"/>
          <w:color w:val="000000" w:themeColor="text1"/>
          <w:szCs w:val="24"/>
        </w:rPr>
        <w:t xml:space="preserve">has gained </w:t>
      </w:r>
      <w:r w:rsidR="003F7C5F" w:rsidRPr="002E6E04">
        <w:rPr>
          <w:rFonts w:cs="Times New Roman"/>
          <w:color w:val="000000" w:themeColor="text1"/>
          <w:szCs w:val="24"/>
        </w:rPr>
        <w:t xml:space="preserve">significant </w:t>
      </w:r>
      <w:r w:rsidR="007A73D9" w:rsidRPr="002E6E04">
        <w:rPr>
          <w:rFonts w:cs="Times New Roman"/>
          <w:color w:val="000000" w:themeColor="text1"/>
          <w:szCs w:val="24"/>
        </w:rPr>
        <w:t>prominence</w:t>
      </w:r>
      <w:r w:rsidR="001529CE" w:rsidRPr="002E6E04">
        <w:rPr>
          <w:rFonts w:cs="Times New Roman"/>
          <w:color w:val="000000" w:themeColor="text1"/>
          <w:szCs w:val="24"/>
        </w:rPr>
        <w:t xml:space="preserve">, </w:t>
      </w:r>
      <w:r w:rsidR="000332C9" w:rsidRPr="002E6E04">
        <w:rPr>
          <w:rFonts w:cs="Times New Roman"/>
          <w:color w:val="000000" w:themeColor="text1"/>
          <w:szCs w:val="24"/>
        </w:rPr>
        <w:t>embodying</w:t>
      </w:r>
      <w:r w:rsidR="00DD3CB5" w:rsidRPr="002E6E04">
        <w:rPr>
          <w:rFonts w:cs="Times New Roman"/>
          <w:color w:val="000000" w:themeColor="text1"/>
          <w:szCs w:val="24"/>
        </w:rPr>
        <w:t xml:space="preserve"> what </w:t>
      </w:r>
      <w:r w:rsidR="00764D91">
        <w:rPr>
          <w:rFonts w:cs="Times New Roman"/>
          <w:color w:val="000000" w:themeColor="text1"/>
          <w:szCs w:val="24"/>
        </w:rPr>
        <w:t xml:space="preserve">Blake </w:t>
      </w:r>
      <w:r w:rsidR="00DD3CB5" w:rsidRPr="002E6E04">
        <w:rPr>
          <w:rFonts w:cs="Times New Roman"/>
          <w:color w:val="000000" w:themeColor="text1"/>
          <w:szCs w:val="24"/>
        </w:rPr>
        <w:t xml:space="preserve">Ashforth and </w:t>
      </w:r>
      <w:r w:rsidR="00764D91">
        <w:rPr>
          <w:rFonts w:cs="Times New Roman"/>
          <w:color w:val="000000" w:themeColor="text1"/>
          <w:szCs w:val="24"/>
        </w:rPr>
        <w:t xml:space="preserve">Vikas </w:t>
      </w:r>
      <w:r w:rsidR="00DD3CB5" w:rsidRPr="002E6E04">
        <w:rPr>
          <w:rFonts w:cs="Times New Roman"/>
          <w:color w:val="000000" w:themeColor="text1"/>
          <w:szCs w:val="24"/>
        </w:rPr>
        <w:t xml:space="preserve">Anand refer to as </w:t>
      </w:r>
      <w:r w:rsidR="004A0255" w:rsidRPr="002E6E04">
        <w:rPr>
          <w:rFonts w:cs="Times New Roman"/>
          <w:color w:val="000000" w:themeColor="text1"/>
          <w:szCs w:val="24"/>
        </w:rPr>
        <w:t>“the illicit use of one’s position of power for perceived personal or collective gain</w:t>
      </w:r>
      <w:r w:rsidR="00145774" w:rsidRPr="002E6E04">
        <w:rPr>
          <w:rFonts w:cs="Times New Roman"/>
          <w:color w:val="000000" w:themeColor="text1"/>
          <w:szCs w:val="24"/>
        </w:rPr>
        <w:t>.</w:t>
      </w:r>
      <w:r w:rsidR="004A0255" w:rsidRPr="002E6E04">
        <w:rPr>
          <w:rFonts w:cs="Times New Roman"/>
          <w:color w:val="000000" w:themeColor="text1"/>
          <w:szCs w:val="24"/>
        </w:rPr>
        <w:t>”</w:t>
      </w:r>
      <w:r w:rsidR="001D4C1E" w:rsidRPr="002E6E04">
        <w:rPr>
          <w:rStyle w:val="EndnoteReference"/>
          <w:rFonts w:cs="Times New Roman"/>
          <w:color w:val="000000" w:themeColor="text1"/>
        </w:rPr>
        <w:endnoteReference w:id="23"/>
      </w:r>
      <w:r w:rsidR="007A73D9" w:rsidRPr="002E6E04">
        <w:rPr>
          <w:rFonts w:cs="Times New Roman"/>
          <w:color w:val="000000" w:themeColor="text1"/>
          <w:szCs w:val="24"/>
        </w:rPr>
        <w:t xml:space="preserve"> </w:t>
      </w:r>
      <w:r w:rsidR="002453A9" w:rsidRPr="002E6E04">
        <w:rPr>
          <w:rFonts w:cs="Times New Roman"/>
          <w:color w:val="000000" w:themeColor="text1"/>
          <w:szCs w:val="24"/>
        </w:rPr>
        <w:t xml:space="preserve">Thus, while </w:t>
      </w:r>
      <w:r w:rsidR="00214589" w:rsidRPr="002E6E04">
        <w:rPr>
          <w:rFonts w:cs="Times New Roman"/>
          <w:color w:val="000000" w:themeColor="text1"/>
          <w:szCs w:val="24"/>
        </w:rPr>
        <w:t>lawfulness</w:t>
      </w:r>
      <w:r w:rsidR="002453A9" w:rsidRPr="002E6E04">
        <w:rPr>
          <w:rFonts w:cs="Times New Roman"/>
          <w:color w:val="000000" w:themeColor="text1"/>
          <w:szCs w:val="24"/>
        </w:rPr>
        <w:t xml:space="preserve"> is often an important consideration in cases of corruption, it is not a defining criterion, as is the case with white-collar crime, corporate fraud or other related terms.</w:t>
      </w:r>
      <w:r w:rsidR="002453A9" w:rsidRPr="002E6E04">
        <w:rPr>
          <w:rStyle w:val="EndnoteReference"/>
          <w:rFonts w:cs="Times New Roman"/>
          <w:color w:val="000000" w:themeColor="text1"/>
          <w:szCs w:val="24"/>
        </w:rPr>
        <w:endnoteReference w:id="24"/>
      </w:r>
      <w:r w:rsidR="002453A9" w:rsidRPr="002E6E04">
        <w:rPr>
          <w:rFonts w:cs="Times New Roman"/>
          <w:color w:val="000000" w:themeColor="text1"/>
          <w:szCs w:val="24"/>
        </w:rPr>
        <w:t xml:space="preserve"> </w:t>
      </w:r>
      <w:r w:rsidR="00F224DA" w:rsidRPr="002E6E04">
        <w:rPr>
          <w:rFonts w:cs="Times New Roman"/>
          <w:color w:val="000000" w:themeColor="text1"/>
          <w:szCs w:val="24"/>
        </w:rPr>
        <w:t xml:space="preserve">Instead, corruption focuses on the underlying social phenomena behind such activities, in that they </w:t>
      </w:r>
      <w:r w:rsidR="001D4C1E" w:rsidRPr="002E6E04">
        <w:rPr>
          <w:rFonts w:cs="Times New Roman"/>
          <w:color w:val="000000" w:themeColor="text1"/>
          <w:szCs w:val="24"/>
        </w:rPr>
        <w:t>deviate from</w:t>
      </w:r>
      <w:r w:rsidR="00F224DA" w:rsidRPr="002E6E04">
        <w:rPr>
          <w:rFonts w:cs="Times New Roman"/>
          <w:color w:val="000000" w:themeColor="text1"/>
          <w:szCs w:val="24"/>
        </w:rPr>
        <w:t xml:space="preserve"> accepted </w:t>
      </w:r>
      <w:r w:rsidR="001D4C1E" w:rsidRPr="002E6E04">
        <w:rPr>
          <w:rFonts w:cs="Times New Roman"/>
          <w:color w:val="000000" w:themeColor="text1"/>
          <w:szCs w:val="24"/>
        </w:rPr>
        <w:t>social norms,</w:t>
      </w:r>
      <w:r w:rsidR="00F224DA" w:rsidRPr="002E6E04">
        <w:rPr>
          <w:rFonts w:cs="Times New Roman"/>
          <w:color w:val="000000" w:themeColor="text1"/>
          <w:szCs w:val="24"/>
        </w:rPr>
        <w:t xml:space="preserve"> </w:t>
      </w:r>
      <w:r w:rsidR="002453A9" w:rsidRPr="002E6E04">
        <w:rPr>
          <w:rFonts w:cs="Times New Roman"/>
          <w:color w:val="000000" w:themeColor="text1"/>
          <w:szCs w:val="24"/>
        </w:rPr>
        <w:t>involve the</w:t>
      </w:r>
      <w:r w:rsidR="001D4C1E" w:rsidRPr="002E6E04">
        <w:rPr>
          <w:rFonts w:cs="Times New Roman"/>
          <w:color w:val="000000" w:themeColor="text1"/>
          <w:szCs w:val="24"/>
        </w:rPr>
        <w:t xml:space="preserve"> misappropriation of entrusted position</w:t>
      </w:r>
      <w:r w:rsidR="00F224DA" w:rsidRPr="002E6E04">
        <w:rPr>
          <w:rFonts w:cs="Times New Roman"/>
          <w:color w:val="000000" w:themeColor="text1"/>
          <w:szCs w:val="24"/>
        </w:rPr>
        <w:t xml:space="preserve">, and are enacted with a view to some form of undue </w:t>
      </w:r>
      <w:r w:rsidR="00920A7B" w:rsidRPr="002E6E04">
        <w:rPr>
          <w:rFonts w:cs="Times New Roman"/>
          <w:color w:val="000000" w:themeColor="text1"/>
          <w:szCs w:val="24"/>
        </w:rPr>
        <w:t>benefit</w:t>
      </w:r>
      <w:r w:rsidR="001D4C1E" w:rsidRPr="002E6E04">
        <w:rPr>
          <w:rFonts w:cs="Times New Roman"/>
          <w:color w:val="000000" w:themeColor="text1"/>
          <w:szCs w:val="24"/>
        </w:rPr>
        <w:t xml:space="preserve">. </w:t>
      </w:r>
      <w:r w:rsidR="000D6DB0" w:rsidRPr="002E6E04">
        <w:rPr>
          <w:color w:val="000000" w:themeColor="text1"/>
          <w:szCs w:val="24"/>
        </w:rPr>
        <w:t xml:space="preserve">Within an </w:t>
      </w:r>
      <w:r w:rsidR="00005789" w:rsidRPr="002E6E04">
        <w:rPr>
          <w:color w:val="000000" w:themeColor="text1"/>
          <w:szCs w:val="24"/>
        </w:rPr>
        <w:t>organizational</w:t>
      </w:r>
      <w:r w:rsidR="000D6DB0" w:rsidRPr="002E6E04">
        <w:rPr>
          <w:color w:val="000000" w:themeColor="text1"/>
          <w:szCs w:val="24"/>
        </w:rPr>
        <w:t xml:space="preserve"> context, </w:t>
      </w:r>
      <w:r w:rsidR="00905142" w:rsidRPr="002E6E04">
        <w:rPr>
          <w:color w:val="000000" w:themeColor="text1"/>
          <w:szCs w:val="24"/>
        </w:rPr>
        <w:t>actors</w:t>
      </w:r>
      <w:r w:rsidR="00D366E9" w:rsidRPr="002E6E04">
        <w:rPr>
          <w:color w:val="000000" w:themeColor="text1"/>
          <w:szCs w:val="24"/>
        </w:rPr>
        <w:t xml:space="preserve"> either </w:t>
      </w:r>
      <w:r w:rsidR="00905142" w:rsidRPr="002E6E04">
        <w:rPr>
          <w:color w:val="000000" w:themeColor="text1"/>
          <w:szCs w:val="24"/>
        </w:rPr>
        <w:t xml:space="preserve">leverage </w:t>
      </w:r>
      <w:r w:rsidR="000D6DB0" w:rsidRPr="002E6E04">
        <w:rPr>
          <w:color w:val="000000" w:themeColor="text1"/>
          <w:szCs w:val="24"/>
        </w:rPr>
        <w:t xml:space="preserve">corruption </w:t>
      </w:r>
      <w:r w:rsidR="00784CC8" w:rsidRPr="002E6E04">
        <w:rPr>
          <w:color w:val="000000" w:themeColor="text1"/>
          <w:szCs w:val="24"/>
        </w:rPr>
        <w:t>for the benefit of</w:t>
      </w:r>
      <w:r w:rsidR="00F47A9D" w:rsidRPr="002E6E04">
        <w:rPr>
          <w:color w:val="000000" w:themeColor="text1"/>
          <w:szCs w:val="24"/>
        </w:rPr>
        <w:t xml:space="preserve"> </w:t>
      </w:r>
      <w:r w:rsidR="00D366E9" w:rsidRPr="002E6E04">
        <w:rPr>
          <w:color w:val="000000" w:themeColor="text1"/>
          <w:szCs w:val="24"/>
        </w:rPr>
        <w:t xml:space="preserve">their </w:t>
      </w:r>
      <w:r w:rsidR="00005789" w:rsidRPr="002E6E04">
        <w:rPr>
          <w:color w:val="000000" w:themeColor="text1"/>
          <w:szCs w:val="24"/>
        </w:rPr>
        <w:t>organization</w:t>
      </w:r>
      <w:r w:rsidR="009F79C0" w:rsidRPr="002E6E04">
        <w:rPr>
          <w:color w:val="000000" w:themeColor="text1"/>
          <w:szCs w:val="24"/>
        </w:rPr>
        <w:t xml:space="preserve"> a</w:t>
      </w:r>
      <w:r w:rsidR="00887D12" w:rsidRPr="002E6E04">
        <w:rPr>
          <w:color w:val="000000" w:themeColor="text1"/>
          <w:szCs w:val="24"/>
        </w:rPr>
        <w:t>t</w:t>
      </w:r>
      <w:r w:rsidR="009F79C0" w:rsidRPr="002E6E04">
        <w:rPr>
          <w:color w:val="000000" w:themeColor="text1"/>
          <w:szCs w:val="24"/>
        </w:rPr>
        <w:t xml:space="preserve"> the expense of stakeholders</w:t>
      </w:r>
      <w:r w:rsidR="009F0C32" w:rsidRPr="002E6E04">
        <w:rPr>
          <w:color w:val="000000" w:themeColor="text1"/>
          <w:szCs w:val="24"/>
        </w:rPr>
        <w:t>,</w:t>
      </w:r>
      <w:r w:rsidR="001D4C1E" w:rsidRPr="002E6E04">
        <w:rPr>
          <w:color w:val="000000" w:themeColor="text1"/>
          <w:szCs w:val="24"/>
        </w:rPr>
        <w:t xml:space="preserve"> or</w:t>
      </w:r>
      <w:r w:rsidR="00905142" w:rsidRPr="002E6E04">
        <w:rPr>
          <w:color w:val="000000" w:themeColor="text1"/>
          <w:szCs w:val="24"/>
        </w:rPr>
        <w:t xml:space="preserve"> </w:t>
      </w:r>
      <w:r w:rsidR="00D366E9" w:rsidRPr="002E6E04">
        <w:rPr>
          <w:color w:val="000000" w:themeColor="text1"/>
          <w:szCs w:val="24"/>
        </w:rPr>
        <w:t xml:space="preserve">for </w:t>
      </w:r>
      <w:r w:rsidR="00905142" w:rsidRPr="002E6E04">
        <w:rPr>
          <w:color w:val="000000" w:themeColor="text1"/>
          <w:szCs w:val="24"/>
        </w:rPr>
        <w:t>themselves</w:t>
      </w:r>
      <w:r w:rsidR="009F79C0" w:rsidRPr="002E6E04">
        <w:rPr>
          <w:color w:val="000000" w:themeColor="text1"/>
          <w:szCs w:val="24"/>
        </w:rPr>
        <w:t xml:space="preserve"> at the expense of the</w:t>
      </w:r>
      <w:r w:rsidR="00D366E9" w:rsidRPr="002E6E04">
        <w:rPr>
          <w:color w:val="000000" w:themeColor="text1"/>
          <w:szCs w:val="24"/>
        </w:rPr>
        <w:t>ir</w:t>
      </w:r>
      <w:r w:rsidR="009F79C0" w:rsidRPr="002E6E04">
        <w:rPr>
          <w:color w:val="000000" w:themeColor="text1"/>
          <w:szCs w:val="24"/>
        </w:rPr>
        <w:t xml:space="preserve"> </w:t>
      </w:r>
      <w:r w:rsidR="00005789" w:rsidRPr="002E6E04">
        <w:rPr>
          <w:color w:val="000000" w:themeColor="text1"/>
          <w:szCs w:val="24"/>
        </w:rPr>
        <w:t>organization</w:t>
      </w:r>
      <w:r w:rsidR="00784CC8" w:rsidRPr="002E6E04">
        <w:rPr>
          <w:color w:val="000000" w:themeColor="text1"/>
          <w:szCs w:val="24"/>
        </w:rPr>
        <w:t>.</w:t>
      </w:r>
      <w:r w:rsidR="00887D12" w:rsidRPr="002E6E04">
        <w:rPr>
          <w:color w:val="000000" w:themeColor="text1"/>
          <w:szCs w:val="24"/>
        </w:rPr>
        <w:t xml:space="preserve"> </w:t>
      </w:r>
      <w:r w:rsidR="00A35F0A" w:rsidRPr="002E6E04">
        <w:rPr>
          <w:rFonts w:cs="Times New Roman"/>
          <w:color w:val="000000" w:themeColor="text1"/>
          <w:szCs w:val="24"/>
        </w:rPr>
        <w:t>W</w:t>
      </w:r>
      <w:r w:rsidR="009F0C32" w:rsidRPr="002E6E04">
        <w:rPr>
          <w:rFonts w:cs="Times New Roman"/>
          <w:color w:val="000000" w:themeColor="text1"/>
          <w:szCs w:val="24"/>
        </w:rPr>
        <w:t>e</w:t>
      </w:r>
      <w:r w:rsidR="003F7C5F" w:rsidRPr="002E6E04">
        <w:rPr>
          <w:rFonts w:cs="Times New Roman"/>
          <w:color w:val="000000" w:themeColor="text1"/>
          <w:szCs w:val="24"/>
        </w:rPr>
        <w:t xml:space="preserve"> focus </w:t>
      </w:r>
      <w:r w:rsidR="0099765B" w:rsidRPr="002E6E04">
        <w:rPr>
          <w:rFonts w:cs="Times New Roman"/>
          <w:color w:val="000000" w:themeColor="text1"/>
          <w:szCs w:val="24"/>
        </w:rPr>
        <w:t>on</w:t>
      </w:r>
      <w:r w:rsidR="008830AE" w:rsidRPr="002E6E04">
        <w:rPr>
          <w:rFonts w:cs="Times New Roman"/>
          <w:color w:val="000000" w:themeColor="text1"/>
          <w:szCs w:val="24"/>
        </w:rPr>
        <w:t xml:space="preserve"> </w:t>
      </w:r>
      <w:r w:rsidR="003F7C5F" w:rsidRPr="002E6E04">
        <w:rPr>
          <w:rFonts w:cs="Times New Roman"/>
          <w:color w:val="000000" w:themeColor="text1"/>
          <w:szCs w:val="24"/>
        </w:rPr>
        <w:t>corruption</w:t>
      </w:r>
      <w:r w:rsidR="00905142" w:rsidRPr="002E6E04">
        <w:rPr>
          <w:rFonts w:cs="Times New Roman"/>
          <w:color w:val="000000" w:themeColor="text1"/>
          <w:szCs w:val="24"/>
        </w:rPr>
        <w:t xml:space="preserve"> </w:t>
      </w:r>
      <w:r w:rsidR="0099765B" w:rsidRPr="002E6E04">
        <w:rPr>
          <w:rFonts w:cs="Times New Roman"/>
          <w:color w:val="000000" w:themeColor="text1"/>
          <w:szCs w:val="24"/>
        </w:rPr>
        <w:t>as the</w:t>
      </w:r>
      <w:r w:rsidR="00905142" w:rsidRPr="002E6E04">
        <w:rPr>
          <w:rFonts w:cs="Times New Roman"/>
          <w:color w:val="000000" w:themeColor="text1"/>
          <w:szCs w:val="24"/>
        </w:rPr>
        <w:t xml:space="preserve"> former, </w:t>
      </w:r>
      <w:r w:rsidR="00745330" w:rsidRPr="002E6E04">
        <w:rPr>
          <w:rFonts w:cs="Times New Roman"/>
          <w:color w:val="000000" w:themeColor="text1"/>
          <w:szCs w:val="24"/>
        </w:rPr>
        <w:t>focusing on wrongdoing that is</w:t>
      </w:r>
      <w:r w:rsidR="003F7C5F" w:rsidRPr="002E6E04">
        <w:rPr>
          <w:rFonts w:cs="Times New Roman"/>
          <w:color w:val="000000" w:themeColor="text1"/>
          <w:szCs w:val="24"/>
        </w:rPr>
        <w:t xml:space="preserve"> collective</w:t>
      </w:r>
      <w:r w:rsidR="00745330" w:rsidRPr="002E6E04">
        <w:rPr>
          <w:rFonts w:cs="Times New Roman"/>
          <w:color w:val="000000" w:themeColor="text1"/>
          <w:szCs w:val="24"/>
        </w:rPr>
        <w:t>ly</w:t>
      </w:r>
      <w:r w:rsidR="003F7C5F" w:rsidRPr="002E6E04">
        <w:rPr>
          <w:rFonts w:cs="Times New Roman"/>
          <w:color w:val="000000" w:themeColor="text1"/>
          <w:szCs w:val="24"/>
        </w:rPr>
        <w:t xml:space="preserve"> practice</w:t>
      </w:r>
      <w:r w:rsidR="00745330" w:rsidRPr="002E6E04">
        <w:rPr>
          <w:rFonts w:cs="Times New Roman"/>
          <w:color w:val="000000" w:themeColor="text1"/>
          <w:szCs w:val="24"/>
        </w:rPr>
        <w:t>d</w:t>
      </w:r>
      <w:r w:rsidR="00905142" w:rsidRPr="002E6E04">
        <w:rPr>
          <w:rFonts w:cs="Times New Roman"/>
          <w:color w:val="000000" w:themeColor="text1"/>
          <w:szCs w:val="24"/>
        </w:rPr>
        <w:t xml:space="preserve">, </w:t>
      </w:r>
      <w:r w:rsidR="00745330" w:rsidRPr="002E6E04">
        <w:rPr>
          <w:rFonts w:cs="Times New Roman"/>
          <w:color w:val="000000" w:themeColor="text1"/>
          <w:szCs w:val="24"/>
        </w:rPr>
        <w:t xml:space="preserve">and </w:t>
      </w:r>
      <w:r w:rsidR="00905142" w:rsidRPr="002E6E04">
        <w:rPr>
          <w:rFonts w:cs="Times New Roman"/>
          <w:color w:val="000000" w:themeColor="text1"/>
          <w:szCs w:val="24"/>
        </w:rPr>
        <w:t>primarily</w:t>
      </w:r>
      <w:r w:rsidR="003F7C5F" w:rsidRPr="002E6E04">
        <w:rPr>
          <w:rFonts w:cs="Times New Roman"/>
          <w:color w:val="000000" w:themeColor="text1"/>
          <w:szCs w:val="24"/>
        </w:rPr>
        <w:t xml:space="preserve"> enacted for </w:t>
      </w:r>
      <w:r w:rsidR="00005789" w:rsidRPr="002E6E04">
        <w:rPr>
          <w:rFonts w:cs="Times New Roman"/>
          <w:color w:val="000000" w:themeColor="text1"/>
          <w:szCs w:val="24"/>
        </w:rPr>
        <w:t>organizational</w:t>
      </w:r>
      <w:r w:rsidR="009F79C0" w:rsidRPr="002E6E04">
        <w:rPr>
          <w:rFonts w:cs="Times New Roman"/>
          <w:color w:val="000000" w:themeColor="text1"/>
          <w:szCs w:val="24"/>
        </w:rPr>
        <w:t xml:space="preserve"> </w:t>
      </w:r>
      <w:r w:rsidR="0049587E" w:rsidRPr="002E6E04">
        <w:rPr>
          <w:rFonts w:cs="Times New Roman"/>
          <w:color w:val="000000" w:themeColor="text1"/>
          <w:szCs w:val="24"/>
        </w:rPr>
        <w:t>gain</w:t>
      </w:r>
      <w:r w:rsidR="005609C5" w:rsidRPr="002E6E04">
        <w:rPr>
          <w:rFonts w:cs="Times New Roman"/>
          <w:color w:val="000000" w:themeColor="text1"/>
          <w:szCs w:val="24"/>
        </w:rPr>
        <w:t>.</w:t>
      </w:r>
      <w:r w:rsidR="006049A6" w:rsidRPr="002E6E04">
        <w:rPr>
          <w:rStyle w:val="EndnoteReference"/>
          <w:rFonts w:cs="Times New Roman"/>
          <w:color w:val="000000" w:themeColor="text1"/>
          <w:szCs w:val="24"/>
        </w:rPr>
        <w:endnoteReference w:id="25"/>
      </w:r>
    </w:p>
    <w:p w14:paraId="0DB39D1C" w14:textId="541D54E4" w:rsidR="001C5A8B" w:rsidRPr="002E6E04" w:rsidRDefault="009415E4" w:rsidP="001C5A8B">
      <w:pPr>
        <w:spacing w:after="0"/>
        <w:ind w:firstLine="576"/>
        <w:rPr>
          <w:rFonts w:cs="Times New Roman"/>
          <w:color w:val="000000" w:themeColor="text1"/>
          <w:szCs w:val="24"/>
        </w:rPr>
      </w:pPr>
      <w:r w:rsidRPr="002E6E04">
        <w:rPr>
          <w:rFonts w:cs="Times New Roman"/>
          <w:color w:val="000000" w:themeColor="text1"/>
          <w:szCs w:val="24"/>
        </w:rPr>
        <w:t xml:space="preserve">Such </w:t>
      </w:r>
      <w:r w:rsidR="00B71627" w:rsidRPr="002E6E04">
        <w:rPr>
          <w:rFonts w:cs="Times New Roman"/>
          <w:color w:val="000000" w:themeColor="text1"/>
          <w:szCs w:val="24"/>
        </w:rPr>
        <w:t>behaviors</w:t>
      </w:r>
      <w:r w:rsidRPr="002E6E04">
        <w:rPr>
          <w:rFonts w:cs="Times New Roman"/>
          <w:color w:val="000000" w:themeColor="text1"/>
          <w:szCs w:val="24"/>
        </w:rPr>
        <w:t xml:space="preserve"> ha</w:t>
      </w:r>
      <w:r w:rsidR="00B71627" w:rsidRPr="002E6E04">
        <w:rPr>
          <w:rFonts w:cs="Times New Roman"/>
          <w:color w:val="000000" w:themeColor="text1"/>
          <w:szCs w:val="24"/>
        </w:rPr>
        <w:t>ve</w:t>
      </w:r>
      <w:r w:rsidRPr="002E6E04">
        <w:rPr>
          <w:rFonts w:cs="Times New Roman"/>
          <w:color w:val="000000" w:themeColor="text1"/>
          <w:szCs w:val="24"/>
        </w:rPr>
        <w:t xml:space="preserve"> been seen as endemic within the late twentieth century and early millennium, aided by</w:t>
      </w:r>
      <w:r w:rsidR="00D34596" w:rsidRPr="002E6E04">
        <w:rPr>
          <w:rFonts w:cs="Times New Roman"/>
          <w:color w:val="000000" w:themeColor="text1"/>
          <w:szCs w:val="24"/>
        </w:rPr>
        <w:t xml:space="preserve"> </w:t>
      </w:r>
      <w:r w:rsidR="00D34596" w:rsidRPr="002E6E04">
        <w:rPr>
          <w:color w:val="000000" w:themeColor="text1"/>
        </w:rPr>
        <w:t>the emergence of increasingly ambiguous (de)regulation</w:t>
      </w:r>
      <w:r w:rsidR="00D34596" w:rsidRPr="002E6E04">
        <w:rPr>
          <w:rFonts w:cs="Times New Roman"/>
          <w:color w:val="000000" w:themeColor="text1"/>
          <w:szCs w:val="24"/>
        </w:rPr>
        <w:t xml:space="preserve"> and a push for entrepreneurial innovation more generally</w:t>
      </w:r>
      <w:r w:rsidR="00D34596" w:rsidRPr="002E6E04">
        <w:rPr>
          <w:color w:val="000000" w:themeColor="text1"/>
          <w:szCs w:val="24"/>
        </w:rPr>
        <w:t>.</w:t>
      </w:r>
      <w:r w:rsidR="00D34596" w:rsidRPr="002E6E04">
        <w:rPr>
          <w:rStyle w:val="EndnoteReference"/>
          <w:color w:val="000000" w:themeColor="text1"/>
          <w:szCs w:val="24"/>
        </w:rPr>
        <w:endnoteReference w:id="26"/>
      </w:r>
      <w:r w:rsidR="00D34596" w:rsidRPr="002E6E04">
        <w:rPr>
          <w:rFonts w:cs="Times New Roman"/>
          <w:color w:val="000000" w:themeColor="text1"/>
          <w:szCs w:val="24"/>
        </w:rPr>
        <w:t xml:space="preserve"> However, there is plenty of pervious historical precedence.</w:t>
      </w:r>
      <w:r w:rsidR="00D34596" w:rsidRPr="002E6E04">
        <w:rPr>
          <w:rStyle w:val="EndnoteReference"/>
          <w:rFonts w:cs="Times New Roman"/>
          <w:color w:val="000000" w:themeColor="text1"/>
          <w:szCs w:val="24"/>
        </w:rPr>
        <w:endnoteReference w:id="27"/>
      </w:r>
      <w:r w:rsidR="00D34596" w:rsidRPr="002E6E04">
        <w:rPr>
          <w:rFonts w:cs="Times New Roman"/>
          <w:color w:val="000000" w:themeColor="text1"/>
          <w:szCs w:val="24"/>
        </w:rPr>
        <w:t xml:space="preserve"> Within the early energy supply industry itself, the creation (and subsequent </w:t>
      </w:r>
      <w:r w:rsidR="00D34596" w:rsidRPr="002E6E04">
        <w:rPr>
          <w:rFonts w:cs="Times New Roman"/>
          <w:color w:val="000000" w:themeColor="text1"/>
          <w:szCs w:val="24"/>
        </w:rPr>
        <w:lastRenderedPageBreak/>
        <w:t>collapse) of the industry’s utility holding companies was a significant contributor to the Great Depression, disintegrating the corporate empires of energy tycoons like Samuel Insull.</w:t>
      </w:r>
      <w:r w:rsidR="00D34596" w:rsidRPr="002E6E04">
        <w:rPr>
          <w:rStyle w:val="EndnoteReference"/>
          <w:rFonts w:cs="Times New Roman"/>
          <w:color w:val="000000" w:themeColor="text1"/>
          <w:szCs w:val="24"/>
        </w:rPr>
        <w:endnoteReference w:id="28"/>
      </w:r>
      <w:r w:rsidR="00D34596" w:rsidRPr="002E6E04">
        <w:rPr>
          <w:rFonts w:cs="Times New Roman"/>
          <w:color w:val="000000" w:themeColor="text1"/>
          <w:szCs w:val="24"/>
        </w:rPr>
        <w:t xml:space="preserve"> While not themselves illegal, their unregulated expansion became a context for widespread investor speculation, market manipulation and embezzlement. Insull himself famously convinced th</w:t>
      </w:r>
      <w:r w:rsidR="00DD325F" w:rsidRPr="002E6E04">
        <w:rPr>
          <w:rFonts w:cs="Times New Roman"/>
          <w:color w:val="000000" w:themeColor="text1"/>
          <w:szCs w:val="24"/>
        </w:rPr>
        <w:t xml:space="preserve">e criminal </w:t>
      </w:r>
      <w:r w:rsidR="00D34596" w:rsidRPr="002E6E04">
        <w:rPr>
          <w:rFonts w:cs="Times New Roman"/>
          <w:color w:val="000000" w:themeColor="text1"/>
          <w:szCs w:val="24"/>
        </w:rPr>
        <w:t>courts that, though flawed, his actions were ultimately honest; but others, like Howard Hopson of Associated Gas &amp; Electric Co, were found to have committed numerous offences, including</w:t>
      </w:r>
      <w:r w:rsidR="00D34596" w:rsidRPr="002E6E04">
        <w:rPr>
          <w:rFonts w:cs="Times New Roman"/>
          <w:color w:val="000000" w:themeColor="text1"/>
          <w:szCs w:val="24"/>
          <w:shd w:val="clear" w:color="auto" w:fill="FFFFFF"/>
        </w:rPr>
        <w:t xml:space="preserve"> mail fraud, conspiracy, and unlawfully making profits</w:t>
      </w:r>
      <w:r w:rsidR="00D34596" w:rsidRPr="002E6E04">
        <w:rPr>
          <w:rFonts w:cs="Times New Roman"/>
          <w:color w:val="000000" w:themeColor="text1"/>
          <w:szCs w:val="24"/>
        </w:rPr>
        <w:t>.</w:t>
      </w:r>
      <w:r w:rsidR="00FD554E" w:rsidRPr="002E6E04">
        <w:rPr>
          <w:rStyle w:val="EndnoteReference"/>
          <w:rFonts w:cs="Times New Roman"/>
          <w:color w:val="000000" w:themeColor="text1"/>
          <w:szCs w:val="24"/>
        </w:rPr>
        <w:endnoteReference w:id="29"/>
      </w:r>
      <w:r w:rsidR="00384912" w:rsidRPr="002E6E04">
        <w:rPr>
          <w:rFonts w:cs="Times New Roman"/>
          <w:color w:val="000000" w:themeColor="text1"/>
          <w:szCs w:val="24"/>
        </w:rPr>
        <w:t xml:space="preserve"> </w:t>
      </w:r>
      <w:r w:rsidR="00AA54E2" w:rsidRPr="002E6E04">
        <w:rPr>
          <w:color w:val="000000" w:themeColor="text1"/>
          <w:szCs w:val="24"/>
        </w:rPr>
        <w:t>A</w:t>
      </w:r>
      <w:r w:rsidR="00280E8E" w:rsidRPr="002E6E04">
        <w:rPr>
          <w:color w:val="000000" w:themeColor="text1"/>
          <w:szCs w:val="24"/>
        </w:rPr>
        <w:t xml:space="preserve">s </w:t>
      </w:r>
      <w:r w:rsidR="00DD5D33" w:rsidRPr="002E6E04">
        <w:rPr>
          <w:color w:val="000000" w:themeColor="text1"/>
          <w:szCs w:val="24"/>
        </w:rPr>
        <w:t>Edwin Sutherland’s</w:t>
      </w:r>
      <w:r w:rsidR="004B0BCC" w:rsidRPr="002E6E04">
        <w:rPr>
          <w:color w:val="000000" w:themeColor="text1"/>
          <w:szCs w:val="24"/>
        </w:rPr>
        <w:t xml:space="preserve"> analysis of</w:t>
      </w:r>
      <w:r w:rsidR="00280E8E" w:rsidRPr="002E6E04">
        <w:rPr>
          <w:color w:val="000000" w:themeColor="text1"/>
          <w:szCs w:val="24"/>
        </w:rPr>
        <w:t xml:space="preserve"> </w:t>
      </w:r>
      <w:r w:rsidR="00280E8E" w:rsidRPr="002E6E04">
        <w:rPr>
          <w:rFonts w:cs="Times New Roman"/>
          <w:color w:val="000000" w:themeColor="text1"/>
          <w:szCs w:val="24"/>
        </w:rPr>
        <w:t>Associated Gas &amp; Electric</w:t>
      </w:r>
      <w:r w:rsidR="00280E8E" w:rsidRPr="002E6E04">
        <w:rPr>
          <w:color w:val="000000" w:themeColor="text1"/>
          <w:szCs w:val="24"/>
        </w:rPr>
        <w:t xml:space="preserve"> and fourteen other utilities </w:t>
      </w:r>
      <w:r w:rsidR="004B0BCC" w:rsidRPr="002E6E04">
        <w:rPr>
          <w:color w:val="000000" w:themeColor="text1"/>
          <w:szCs w:val="24"/>
        </w:rPr>
        <w:t>show</w:t>
      </w:r>
      <w:r w:rsidR="00290FA6" w:rsidRPr="002E6E04">
        <w:rPr>
          <w:color w:val="000000" w:themeColor="text1"/>
          <w:szCs w:val="24"/>
        </w:rPr>
        <w:t>s</w:t>
      </w:r>
      <w:r w:rsidR="004B0BCC" w:rsidRPr="002E6E04">
        <w:rPr>
          <w:color w:val="000000" w:themeColor="text1"/>
          <w:szCs w:val="24"/>
        </w:rPr>
        <w:t xml:space="preserve">, </w:t>
      </w:r>
      <w:r w:rsidR="00DD325F" w:rsidRPr="002E6E04">
        <w:rPr>
          <w:color w:val="000000" w:themeColor="text1"/>
          <w:szCs w:val="24"/>
        </w:rPr>
        <w:t>such cases were far from</w:t>
      </w:r>
      <w:r w:rsidR="00AA54E2" w:rsidRPr="002E6E04">
        <w:rPr>
          <w:color w:val="000000" w:themeColor="text1"/>
          <w:szCs w:val="24"/>
        </w:rPr>
        <w:t xml:space="preserve"> aberr</w:t>
      </w:r>
      <w:r w:rsidR="00DD325F" w:rsidRPr="002E6E04">
        <w:rPr>
          <w:color w:val="000000" w:themeColor="text1"/>
          <w:szCs w:val="24"/>
        </w:rPr>
        <w:t>ations</w:t>
      </w:r>
      <w:r w:rsidR="00AA54E2" w:rsidRPr="002E6E04">
        <w:rPr>
          <w:color w:val="000000" w:themeColor="text1"/>
          <w:szCs w:val="24"/>
        </w:rPr>
        <w:t xml:space="preserve">, </w:t>
      </w:r>
      <w:r w:rsidR="004B0BCC" w:rsidRPr="002E6E04">
        <w:rPr>
          <w:color w:val="000000" w:themeColor="text1"/>
          <w:szCs w:val="24"/>
        </w:rPr>
        <w:t>wit</w:t>
      </w:r>
      <w:r w:rsidR="00AA54E2" w:rsidRPr="002E6E04">
        <w:rPr>
          <w:color w:val="000000" w:themeColor="text1"/>
          <w:szCs w:val="24"/>
        </w:rPr>
        <w:t>h</w:t>
      </w:r>
      <w:r w:rsidR="00D53253" w:rsidRPr="002E6E04">
        <w:rPr>
          <w:color w:val="000000" w:themeColor="text1"/>
          <w:szCs w:val="24"/>
        </w:rPr>
        <w:t xml:space="preserve"> acts of</w:t>
      </w:r>
      <w:r w:rsidR="00AA54E2" w:rsidRPr="002E6E04">
        <w:rPr>
          <w:color w:val="000000" w:themeColor="text1"/>
          <w:szCs w:val="24"/>
        </w:rPr>
        <w:t xml:space="preserve"> collusion,</w:t>
      </w:r>
      <w:r w:rsidR="001F4A24" w:rsidRPr="002E6E04">
        <w:rPr>
          <w:color w:val="000000" w:themeColor="text1"/>
          <w:szCs w:val="24"/>
        </w:rPr>
        <w:t xml:space="preserve"> financial</w:t>
      </w:r>
      <w:r w:rsidR="00AA54E2" w:rsidRPr="002E6E04">
        <w:rPr>
          <w:color w:val="000000" w:themeColor="text1"/>
          <w:szCs w:val="24"/>
        </w:rPr>
        <w:t xml:space="preserve"> misrepresentation, and</w:t>
      </w:r>
      <w:r w:rsidR="006D6FCE" w:rsidRPr="002E6E04">
        <w:rPr>
          <w:color w:val="000000" w:themeColor="text1"/>
          <w:szCs w:val="24"/>
        </w:rPr>
        <w:t xml:space="preserve"> misappropriation </w:t>
      </w:r>
      <w:r w:rsidR="001F4A24" w:rsidRPr="002E6E04">
        <w:rPr>
          <w:color w:val="000000" w:themeColor="text1"/>
          <w:szCs w:val="24"/>
        </w:rPr>
        <w:t xml:space="preserve">rife </w:t>
      </w:r>
      <w:r w:rsidR="006D6FCE" w:rsidRPr="002E6E04">
        <w:rPr>
          <w:color w:val="000000" w:themeColor="text1"/>
          <w:szCs w:val="24"/>
        </w:rPr>
        <w:t>among the industry’s executive</w:t>
      </w:r>
      <w:r w:rsidR="00B71627" w:rsidRPr="002E6E04">
        <w:rPr>
          <w:color w:val="000000" w:themeColor="text1"/>
          <w:szCs w:val="24"/>
        </w:rPr>
        <w:t xml:space="preserve"> elite</w:t>
      </w:r>
      <w:r w:rsidR="001F4A24" w:rsidRPr="002E6E04">
        <w:rPr>
          <w:color w:val="000000" w:themeColor="text1"/>
          <w:szCs w:val="24"/>
        </w:rPr>
        <w:t>.</w:t>
      </w:r>
      <w:r w:rsidR="00321168" w:rsidRPr="002E6E04">
        <w:rPr>
          <w:rStyle w:val="EndnoteReference"/>
          <w:color w:val="000000" w:themeColor="text1"/>
          <w:szCs w:val="24"/>
        </w:rPr>
        <w:endnoteReference w:id="30"/>
      </w:r>
      <w:r w:rsidR="001F4A24" w:rsidRPr="002E6E04">
        <w:rPr>
          <w:color w:val="000000" w:themeColor="text1"/>
          <w:szCs w:val="24"/>
        </w:rPr>
        <w:t xml:space="preserve"> </w:t>
      </w:r>
      <w:r w:rsidR="00384912" w:rsidRPr="002E6E04">
        <w:rPr>
          <w:color w:val="000000" w:themeColor="text1"/>
          <w:szCs w:val="24"/>
        </w:rPr>
        <w:t xml:space="preserve"> Indeed</w:t>
      </w:r>
      <w:r w:rsidR="001C5A8B" w:rsidRPr="002E6E04">
        <w:rPr>
          <w:color w:val="000000" w:themeColor="text1"/>
          <w:szCs w:val="24"/>
        </w:rPr>
        <w:t xml:space="preserve">, </w:t>
      </w:r>
      <w:r w:rsidR="004B0BCC" w:rsidRPr="002E6E04">
        <w:rPr>
          <w:color w:val="000000" w:themeColor="text1"/>
          <w:szCs w:val="24"/>
        </w:rPr>
        <w:t>his work o</w:t>
      </w:r>
      <w:r w:rsidR="00235105" w:rsidRPr="002E6E04">
        <w:rPr>
          <w:color w:val="000000" w:themeColor="text1"/>
          <w:szCs w:val="24"/>
        </w:rPr>
        <w:t>n</w:t>
      </w:r>
      <w:r w:rsidR="004B0BCC" w:rsidRPr="002E6E04">
        <w:rPr>
          <w:color w:val="000000" w:themeColor="text1"/>
          <w:szCs w:val="24"/>
        </w:rPr>
        <w:t xml:space="preserve"> “white-collar crime” </w:t>
      </w:r>
      <w:r w:rsidR="00C31CE4" w:rsidRPr="002E6E04">
        <w:rPr>
          <w:color w:val="000000" w:themeColor="text1"/>
          <w:szCs w:val="24"/>
        </w:rPr>
        <w:t>broke new ground</w:t>
      </w:r>
      <w:r w:rsidR="00463CC7" w:rsidRPr="002E6E04">
        <w:rPr>
          <w:color w:val="000000" w:themeColor="text1"/>
          <w:szCs w:val="24"/>
        </w:rPr>
        <w:t xml:space="preserve">, </w:t>
      </w:r>
      <w:r w:rsidR="00B77AF0" w:rsidRPr="002E6E04">
        <w:rPr>
          <w:color w:val="000000" w:themeColor="text1"/>
          <w:szCs w:val="24"/>
        </w:rPr>
        <w:t>challenging</w:t>
      </w:r>
      <w:r w:rsidR="00496183" w:rsidRPr="002E6E04">
        <w:rPr>
          <w:color w:val="000000" w:themeColor="text1"/>
          <w:szCs w:val="24"/>
        </w:rPr>
        <w:t xml:space="preserve"> the</w:t>
      </w:r>
      <w:r w:rsidR="00B77AF0" w:rsidRPr="002E6E04">
        <w:rPr>
          <w:color w:val="000000" w:themeColor="text1"/>
          <w:szCs w:val="24"/>
        </w:rPr>
        <w:t xml:space="preserve"> </w:t>
      </w:r>
      <w:r w:rsidR="00272313" w:rsidRPr="002E6E04">
        <w:rPr>
          <w:color w:val="000000" w:themeColor="text1"/>
          <w:szCs w:val="24"/>
        </w:rPr>
        <w:t>assumption</w:t>
      </w:r>
      <w:r w:rsidR="00B77AF0" w:rsidRPr="002E6E04">
        <w:rPr>
          <w:color w:val="000000" w:themeColor="text1"/>
          <w:szCs w:val="24"/>
        </w:rPr>
        <w:t xml:space="preserve"> that </w:t>
      </w:r>
      <w:r w:rsidR="003A3CE0" w:rsidRPr="002E6E04">
        <w:rPr>
          <w:color w:val="000000" w:themeColor="text1"/>
          <w:szCs w:val="24"/>
        </w:rPr>
        <w:t xml:space="preserve">pervasive </w:t>
      </w:r>
      <w:r w:rsidR="00B77AF0" w:rsidRPr="002E6E04">
        <w:rPr>
          <w:color w:val="000000" w:themeColor="text1"/>
          <w:szCs w:val="24"/>
        </w:rPr>
        <w:t>crimin</w:t>
      </w:r>
      <w:r w:rsidR="003A3CE0" w:rsidRPr="002E6E04">
        <w:rPr>
          <w:color w:val="000000" w:themeColor="text1"/>
          <w:szCs w:val="24"/>
        </w:rPr>
        <w:t>ality</w:t>
      </w:r>
      <w:r w:rsidR="00B77AF0" w:rsidRPr="002E6E04">
        <w:rPr>
          <w:color w:val="000000" w:themeColor="text1"/>
          <w:szCs w:val="24"/>
        </w:rPr>
        <w:t xml:space="preserve"> </w:t>
      </w:r>
      <w:r w:rsidR="003A3CE0" w:rsidRPr="002E6E04">
        <w:rPr>
          <w:color w:val="000000" w:themeColor="text1"/>
          <w:szCs w:val="24"/>
        </w:rPr>
        <w:t>was</w:t>
      </w:r>
      <w:r w:rsidR="00B77AF0" w:rsidRPr="002E6E04">
        <w:rPr>
          <w:color w:val="000000" w:themeColor="text1"/>
          <w:szCs w:val="24"/>
        </w:rPr>
        <w:t xml:space="preserve"> the preserve of </w:t>
      </w:r>
      <w:r w:rsidR="00463CC7" w:rsidRPr="002E6E04">
        <w:rPr>
          <w:color w:val="000000" w:themeColor="text1"/>
          <w:szCs w:val="24"/>
        </w:rPr>
        <w:t xml:space="preserve">the </w:t>
      </w:r>
      <w:r w:rsidR="00B77AF0" w:rsidRPr="002E6E04">
        <w:rPr>
          <w:color w:val="000000" w:themeColor="text1"/>
          <w:szCs w:val="24"/>
        </w:rPr>
        <w:t>lower-class</w:t>
      </w:r>
      <w:r w:rsidR="00463CC7" w:rsidRPr="002E6E04">
        <w:rPr>
          <w:color w:val="000000" w:themeColor="text1"/>
          <w:szCs w:val="24"/>
        </w:rPr>
        <w:t>es and the</w:t>
      </w:r>
      <w:r w:rsidR="00831EB3" w:rsidRPr="002E6E04">
        <w:rPr>
          <w:color w:val="000000" w:themeColor="text1"/>
          <w:szCs w:val="24"/>
        </w:rPr>
        <w:t>ir</w:t>
      </w:r>
      <w:r w:rsidR="00463CC7" w:rsidRPr="002E6E04">
        <w:rPr>
          <w:color w:val="000000" w:themeColor="text1"/>
          <w:szCs w:val="24"/>
        </w:rPr>
        <w:t xml:space="preserve"> </w:t>
      </w:r>
      <w:r w:rsidR="00235105" w:rsidRPr="002E6E04">
        <w:rPr>
          <w:color w:val="000000" w:themeColor="text1"/>
          <w:szCs w:val="24"/>
        </w:rPr>
        <w:t>circumstances and</w:t>
      </w:r>
      <w:r w:rsidR="003A3CE0" w:rsidRPr="002E6E04">
        <w:rPr>
          <w:color w:val="000000" w:themeColor="text1"/>
          <w:szCs w:val="24"/>
        </w:rPr>
        <w:t xml:space="preserve"> showing that </w:t>
      </w:r>
      <w:r w:rsidR="00235105" w:rsidRPr="002E6E04">
        <w:rPr>
          <w:color w:val="000000" w:themeColor="text1"/>
          <w:szCs w:val="24"/>
        </w:rPr>
        <w:t xml:space="preserve">the </w:t>
      </w:r>
      <w:r w:rsidR="003A3CE0" w:rsidRPr="002E6E04">
        <w:rPr>
          <w:color w:val="000000" w:themeColor="text1"/>
          <w:szCs w:val="24"/>
        </w:rPr>
        <w:t>well-to-do were more than capable of committing serious crimes</w:t>
      </w:r>
      <w:r w:rsidR="00235105" w:rsidRPr="002E6E04">
        <w:rPr>
          <w:color w:val="000000" w:themeColor="text1"/>
          <w:szCs w:val="24"/>
        </w:rPr>
        <w:t>, particularly through their organizational position.</w:t>
      </w:r>
      <w:r w:rsidR="00463CC7" w:rsidRPr="002E6E04">
        <w:rPr>
          <w:rStyle w:val="EndnoteReference"/>
          <w:color w:val="000000" w:themeColor="text1"/>
          <w:szCs w:val="24"/>
        </w:rPr>
        <w:endnoteReference w:id="31"/>
      </w:r>
      <w:r w:rsidR="00463CC7" w:rsidRPr="002E6E04">
        <w:rPr>
          <w:color w:val="000000" w:themeColor="text1"/>
          <w:szCs w:val="24"/>
        </w:rPr>
        <w:t xml:space="preserve"> </w:t>
      </w:r>
      <w:r w:rsidR="003A3CE0" w:rsidRPr="002E6E04">
        <w:rPr>
          <w:color w:val="000000" w:themeColor="text1"/>
          <w:szCs w:val="24"/>
        </w:rPr>
        <w:t>Though</w:t>
      </w:r>
      <w:r w:rsidR="00C31CE4" w:rsidRPr="002E6E04">
        <w:rPr>
          <w:color w:val="000000" w:themeColor="text1"/>
          <w:szCs w:val="24"/>
        </w:rPr>
        <w:t xml:space="preserve"> </w:t>
      </w:r>
      <w:r w:rsidR="00321168" w:rsidRPr="002E6E04">
        <w:rPr>
          <w:color w:val="000000" w:themeColor="text1"/>
          <w:szCs w:val="24"/>
        </w:rPr>
        <w:t>it was</w:t>
      </w:r>
      <w:r w:rsidR="00235105" w:rsidRPr="002E6E04">
        <w:rPr>
          <w:color w:val="000000" w:themeColor="text1"/>
          <w:szCs w:val="24"/>
        </w:rPr>
        <w:t xml:space="preserve"> </w:t>
      </w:r>
      <w:r w:rsidR="00831EB3" w:rsidRPr="002E6E04">
        <w:rPr>
          <w:color w:val="000000" w:themeColor="text1"/>
          <w:szCs w:val="24"/>
        </w:rPr>
        <w:t xml:space="preserve">subsequently </w:t>
      </w:r>
      <w:r w:rsidR="00235105" w:rsidRPr="002E6E04">
        <w:rPr>
          <w:color w:val="000000" w:themeColor="text1"/>
          <w:szCs w:val="24"/>
        </w:rPr>
        <w:t>criticized</w:t>
      </w:r>
      <w:r w:rsidR="00C31CE4" w:rsidRPr="002E6E04">
        <w:rPr>
          <w:color w:val="000000" w:themeColor="text1"/>
          <w:szCs w:val="24"/>
        </w:rPr>
        <w:t xml:space="preserve"> for overfoc</w:t>
      </w:r>
      <w:r w:rsidR="00235105" w:rsidRPr="002E6E04">
        <w:rPr>
          <w:color w:val="000000" w:themeColor="text1"/>
          <w:szCs w:val="24"/>
        </w:rPr>
        <w:t>using</w:t>
      </w:r>
      <w:r w:rsidR="00C31CE4" w:rsidRPr="002E6E04">
        <w:rPr>
          <w:color w:val="000000" w:themeColor="text1"/>
          <w:szCs w:val="24"/>
        </w:rPr>
        <w:t xml:space="preserve"> on the offender (over the offence), </w:t>
      </w:r>
      <w:r w:rsidR="00321168" w:rsidRPr="002E6E04">
        <w:rPr>
          <w:color w:val="000000" w:themeColor="text1"/>
          <w:szCs w:val="24"/>
        </w:rPr>
        <w:t>his work here</w:t>
      </w:r>
      <w:r w:rsidR="00235105" w:rsidRPr="002E6E04">
        <w:rPr>
          <w:color w:val="000000" w:themeColor="text1"/>
          <w:szCs w:val="24"/>
        </w:rPr>
        <w:t xml:space="preserve"> made </w:t>
      </w:r>
      <w:r w:rsidR="00321168" w:rsidRPr="002E6E04">
        <w:rPr>
          <w:color w:val="000000" w:themeColor="text1"/>
          <w:szCs w:val="24"/>
        </w:rPr>
        <w:t>forensically clear</w:t>
      </w:r>
      <w:r w:rsidR="00235105" w:rsidRPr="002E6E04">
        <w:rPr>
          <w:color w:val="000000" w:themeColor="text1"/>
          <w:szCs w:val="24"/>
        </w:rPr>
        <w:t xml:space="preserve"> the prevalence</w:t>
      </w:r>
      <w:r w:rsidR="00321168" w:rsidRPr="002E6E04">
        <w:rPr>
          <w:color w:val="000000" w:themeColor="text1"/>
          <w:szCs w:val="24"/>
        </w:rPr>
        <w:t xml:space="preserve">, </w:t>
      </w:r>
      <w:r w:rsidR="00235105" w:rsidRPr="002E6E04">
        <w:rPr>
          <w:color w:val="000000" w:themeColor="text1"/>
          <w:szCs w:val="24"/>
        </w:rPr>
        <w:t>sever</w:t>
      </w:r>
      <w:r w:rsidR="00290FA6" w:rsidRPr="002E6E04">
        <w:rPr>
          <w:color w:val="000000" w:themeColor="text1"/>
          <w:szCs w:val="24"/>
        </w:rPr>
        <w:t>ity</w:t>
      </w:r>
      <w:r w:rsidR="00321168" w:rsidRPr="002E6E04">
        <w:rPr>
          <w:color w:val="000000" w:themeColor="text1"/>
          <w:szCs w:val="24"/>
        </w:rPr>
        <w:t xml:space="preserve"> and social cost</w:t>
      </w:r>
      <w:r w:rsidR="00290FA6" w:rsidRPr="002E6E04">
        <w:rPr>
          <w:color w:val="000000" w:themeColor="text1"/>
          <w:szCs w:val="24"/>
        </w:rPr>
        <w:t xml:space="preserve"> </w:t>
      </w:r>
      <w:r w:rsidR="00235105" w:rsidRPr="002E6E04">
        <w:rPr>
          <w:color w:val="000000" w:themeColor="text1"/>
          <w:szCs w:val="24"/>
        </w:rPr>
        <w:t>of wrongdoing with</w:t>
      </w:r>
      <w:r w:rsidR="00450E81">
        <w:rPr>
          <w:color w:val="000000" w:themeColor="text1"/>
          <w:szCs w:val="24"/>
        </w:rPr>
        <w:t>in</w:t>
      </w:r>
      <w:r w:rsidR="003A3CE0" w:rsidRPr="002E6E04">
        <w:rPr>
          <w:color w:val="000000" w:themeColor="text1"/>
          <w:szCs w:val="24"/>
        </w:rPr>
        <w:t xml:space="preserve"> organizational and economic contexts.</w:t>
      </w:r>
      <w:r w:rsidR="00321168" w:rsidRPr="002E6E04">
        <w:rPr>
          <w:rStyle w:val="EndnoteReference"/>
          <w:color w:val="000000" w:themeColor="text1"/>
          <w:szCs w:val="24"/>
        </w:rPr>
        <w:endnoteReference w:id="32"/>
      </w:r>
      <w:r w:rsidR="003A3CE0" w:rsidRPr="002E6E04">
        <w:rPr>
          <w:color w:val="000000" w:themeColor="text1"/>
          <w:szCs w:val="24"/>
        </w:rPr>
        <w:t xml:space="preserve"> </w:t>
      </w:r>
    </w:p>
    <w:p w14:paraId="1ED796C3" w14:textId="0CA3709B" w:rsidR="00CC5F12" w:rsidRPr="002E6E04" w:rsidRDefault="003A3CE0" w:rsidP="000A03EA">
      <w:pPr>
        <w:spacing w:after="0"/>
        <w:ind w:firstLine="576"/>
        <w:rPr>
          <w:color w:val="000000" w:themeColor="text1"/>
          <w:szCs w:val="24"/>
        </w:rPr>
      </w:pPr>
      <w:r w:rsidRPr="002E6E04">
        <w:rPr>
          <w:rFonts w:cs="Times New Roman"/>
          <w:color w:val="000000" w:themeColor="text1"/>
          <w:szCs w:val="24"/>
        </w:rPr>
        <w:t xml:space="preserve">While Sutherland’s work centered around relatively senior executives, </w:t>
      </w:r>
      <w:r w:rsidR="00B71627" w:rsidRPr="002E6E04">
        <w:rPr>
          <w:rFonts w:cs="Times New Roman"/>
          <w:color w:val="000000" w:themeColor="text1"/>
          <w:szCs w:val="24"/>
        </w:rPr>
        <w:t xml:space="preserve">corruption </w:t>
      </w:r>
      <w:r w:rsidR="001C5A8B" w:rsidRPr="002E6E04">
        <w:rPr>
          <w:rFonts w:cs="Times New Roman"/>
          <w:color w:val="000000" w:themeColor="text1"/>
          <w:szCs w:val="24"/>
        </w:rPr>
        <w:t>within organizations often transcends villainized individual</w:t>
      </w:r>
      <w:r w:rsidR="00235105" w:rsidRPr="002E6E04">
        <w:rPr>
          <w:rFonts w:cs="Times New Roman"/>
          <w:color w:val="000000" w:themeColor="text1"/>
          <w:szCs w:val="24"/>
        </w:rPr>
        <w:t>s</w:t>
      </w:r>
      <w:r w:rsidR="001C5A8B" w:rsidRPr="002E6E04">
        <w:rPr>
          <w:rFonts w:cs="Times New Roman"/>
          <w:color w:val="000000" w:themeColor="text1"/>
          <w:szCs w:val="24"/>
        </w:rPr>
        <w:t xml:space="preserve"> like Hopson, permeating throughout an organization’s structure and hierarchy. John Brook’s analysis of price fixing between General Electric and other post-war heavy electrical equipment manufacturers highlights that, even when wrongdoing is expressly prohibited, it can become a widespread and implicitly accepted practice.</w:t>
      </w:r>
      <w:r w:rsidR="001C5A8B" w:rsidRPr="002E6E04">
        <w:rPr>
          <w:rStyle w:val="EndnoteReference"/>
          <w:rFonts w:cs="Times New Roman"/>
          <w:color w:val="000000" w:themeColor="text1"/>
          <w:szCs w:val="24"/>
        </w:rPr>
        <w:endnoteReference w:id="33"/>
      </w:r>
      <w:r w:rsidR="001C5A8B" w:rsidRPr="002E6E04">
        <w:rPr>
          <w:rFonts w:cs="Times New Roman"/>
          <w:color w:val="000000" w:themeColor="text1"/>
          <w:szCs w:val="24"/>
        </w:rPr>
        <w:t xml:space="preserve"> </w:t>
      </w:r>
      <w:r w:rsidR="00830C51" w:rsidRPr="002E6E04">
        <w:rPr>
          <w:color w:val="000000" w:themeColor="text1"/>
          <w:szCs w:val="24"/>
        </w:rPr>
        <w:t>O</w:t>
      </w:r>
      <w:r w:rsidR="00DD5D33" w:rsidRPr="002E6E04">
        <w:rPr>
          <w:color w:val="000000" w:themeColor="text1"/>
          <w:szCs w:val="24"/>
        </w:rPr>
        <w:t>rganizational corruption</w:t>
      </w:r>
      <w:r w:rsidR="00463CC7" w:rsidRPr="002E6E04">
        <w:rPr>
          <w:color w:val="000000" w:themeColor="text1"/>
          <w:szCs w:val="24"/>
        </w:rPr>
        <w:t xml:space="preserve"> </w:t>
      </w:r>
      <w:r w:rsidR="00235105" w:rsidRPr="002E6E04">
        <w:rPr>
          <w:color w:val="000000" w:themeColor="text1"/>
          <w:szCs w:val="24"/>
        </w:rPr>
        <w:t xml:space="preserve">research </w:t>
      </w:r>
      <w:r w:rsidR="00831EB3" w:rsidRPr="002E6E04">
        <w:rPr>
          <w:color w:val="000000" w:themeColor="text1"/>
          <w:szCs w:val="24"/>
        </w:rPr>
        <w:t>highligh</w:t>
      </w:r>
      <w:r w:rsidR="00235105" w:rsidRPr="002E6E04">
        <w:rPr>
          <w:color w:val="000000" w:themeColor="text1"/>
          <w:szCs w:val="24"/>
        </w:rPr>
        <w:t>ts</w:t>
      </w:r>
      <w:r w:rsidR="00463CC7" w:rsidRPr="002E6E04">
        <w:rPr>
          <w:color w:val="000000" w:themeColor="text1"/>
          <w:szCs w:val="24"/>
        </w:rPr>
        <w:t xml:space="preserve"> </w:t>
      </w:r>
      <w:r w:rsidR="00831EB3" w:rsidRPr="002E6E04">
        <w:rPr>
          <w:color w:val="000000" w:themeColor="text1"/>
          <w:szCs w:val="24"/>
        </w:rPr>
        <w:t>the importance</w:t>
      </w:r>
      <w:r w:rsidR="00DD5D33" w:rsidRPr="002E6E04">
        <w:rPr>
          <w:color w:val="000000" w:themeColor="text1"/>
          <w:szCs w:val="24"/>
        </w:rPr>
        <w:t xml:space="preserve"> </w:t>
      </w:r>
      <w:r w:rsidR="00AF36C0">
        <w:rPr>
          <w:color w:val="000000" w:themeColor="text1"/>
          <w:szCs w:val="24"/>
        </w:rPr>
        <w:t xml:space="preserve">of </w:t>
      </w:r>
      <w:r w:rsidR="00005789" w:rsidRPr="002E6E04">
        <w:rPr>
          <w:color w:val="000000" w:themeColor="text1"/>
          <w:szCs w:val="24"/>
        </w:rPr>
        <w:t>organizational</w:t>
      </w:r>
      <w:r w:rsidR="00A87792" w:rsidRPr="002E6E04">
        <w:rPr>
          <w:color w:val="000000" w:themeColor="text1"/>
          <w:szCs w:val="24"/>
        </w:rPr>
        <w:t xml:space="preserve"> </w:t>
      </w:r>
      <w:r w:rsidR="00005789" w:rsidRPr="002E6E04">
        <w:rPr>
          <w:color w:val="000000" w:themeColor="text1"/>
          <w:szCs w:val="24"/>
        </w:rPr>
        <w:t>characteristics</w:t>
      </w:r>
      <w:r w:rsidR="00A87792" w:rsidRPr="002E6E04">
        <w:rPr>
          <w:color w:val="000000" w:themeColor="text1"/>
          <w:szCs w:val="24"/>
        </w:rPr>
        <w:t xml:space="preserve"> and </w:t>
      </w:r>
      <w:r w:rsidR="00DD5D33" w:rsidRPr="002E6E04">
        <w:rPr>
          <w:color w:val="000000" w:themeColor="text1"/>
          <w:szCs w:val="24"/>
        </w:rPr>
        <w:t>conditions</w:t>
      </w:r>
      <w:r w:rsidR="00037E2E" w:rsidRPr="002E6E04">
        <w:rPr>
          <w:color w:val="000000" w:themeColor="text1"/>
          <w:szCs w:val="24"/>
        </w:rPr>
        <w:t xml:space="preserve"> </w:t>
      </w:r>
      <w:r w:rsidR="00A87792" w:rsidRPr="002E6E04">
        <w:rPr>
          <w:color w:val="000000" w:themeColor="text1"/>
          <w:szCs w:val="24"/>
        </w:rPr>
        <w:t>(e.g.</w:t>
      </w:r>
      <w:r w:rsidR="00D159B6" w:rsidRPr="002E6E04">
        <w:rPr>
          <w:color w:val="000000" w:themeColor="text1"/>
          <w:szCs w:val="24"/>
        </w:rPr>
        <w:t>,</w:t>
      </w:r>
      <w:r w:rsidR="00BE60DF" w:rsidRPr="002E6E04">
        <w:rPr>
          <w:color w:val="000000" w:themeColor="text1"/>
          <w:szCs w:val="24"/>
        </w:rPr>
        <w:t xml:space="preserve"> </w:t>
      </w:r>
      <w:r w:rsidR="00A87792" w:rsidRPr="002E6E04">
        <w:rPr>
          <w:color w:val="000000" w:themeColor="text1"/>
          <w:szCs w:val="24"/>
        </w:rPr>
        <w:t>competition, resource scarcity)</w:t>
      </w:r>
      <w:r w:rsidR="007715BC" w:rsidRPr="002E6E04">
        <w:rPr>
          <w:color w:val="000000" w:themeColor="text1"/>
          <w:szCs w:val="24"/>
        </w:rPr>
        <w:t xml:space="preserve"> that </w:t>
      </w:r>
      <w:r w:rsidR="00005789" w:rsidRPr="002E6E04">
        <w:rPr>
          <w:color w:val="000000" w:themeColor="text1"/>
          <w:szCs w:val="24"/>
        </w:rPr>
        <w:t>coerce</w:t>
      </w:r>
      <w:r w:rsidR="007715BC" w:rsidRPr="002E6E04">
        <w:rPr>
          <w:color w:val="000000" w:themeColor="text1"/>
          <w:szCs w:val="24"/>
        </w:rPr>
        <w:t xml:space="preserve"> or facilitate a decision to act wrongfully</w:t>
      </w:r>
      <w:r w:rsidR="000C794C" w:rsidRPr="002E6E04">
        <w:rPr>
          <w:color w:val="000000" w:themeColor="text1"/>
          <w:szCs w:val="24"/>
        </w:rPr>
        <w:t>.</w:t>
      </w:r>
      <w:r w:rsidR="00037E2E" w:rsidRPr="002E6E04">
        <w:rPr>
          <w:rStyle w:val="EndnoteReference"/>
          <w:color w:val="000000" w:themeColor="text1"/>
          <w:szCs w:val="24"/>
        </w:rPr>
        <w:endnoteReference w:id="34"/>
      </w:r>
      <w:r w:rsidR="000C794C" w:rsidRPr="002E6E04">
        <w:rPr>
          <w:color w:val="000000" w:themeColor="text1"/>
          <w:szCs w:val="24"/>
        </w:rPr>
        <w:t xml:space="preserve"> </w:t>
      </w:r>
      <w:r w:rsidR="00ED44D1" w:rsidRPr="002E6E04">
        <w:rPr>
          <w:color w:val="000000" w:themeColor="text1"/>
          <w:szCs w:val="24"/>
        </w:rPr>
        <w:t xml:space="preserve">While this is suggestive of a rational calculation of risk and return, such assessments – if </w:t>
      </w:r>
      <w:r w:rsidR="00005789" w:rsidRPr="002E6E04">
        <w:rPr>
          <w:color w:val="000000" w:themeColor="text1"/>
          <w:szCs w:val="24"/>
        </w:rPr>
        <w:t>consciously</w:t>
      </w:r>
      <w:r w:rsidR="00ED44D1" w:rsidRPr="002E6E04">
        <w:rPr>
          <w:color w:val="000000" w:themeColor="text1"/>
          <w:szCs w:val="24"/>
        </w:rPr>
        <w:t xml:space="preserve"> made at all – are </w:t>
      </w:r>
      <w:r w:rsidR="00463CC7" w:rsidRPr="002E6E04">
        <w:rPr>
          <w:color w:val="000000" w:themeColor="text1"/>
          <w:szCs w:val="24"/>
        </w:rPr>
        <w:t xml:space="preserve">invariably </w:t>
      </w:r>
      <w:r w:rsidR="00ED44D1" w:rsidRPr="002E6E04">
        <w:rPr>
          <w:color w:val="000000" w:themeColor="text1"/>
          <w:szCs w:val="24"/>
        </w:rPr>
        <w:t>bounded by</w:t>
      </w:r>
      <w:r w:rsidR="00831EB3" w:rsidRPr="002E6E04">
        <w:rPr>
          <w:color w:val="000000" w:themeColor="text1"/>
          <w:szCs w:val="24"/>
        </w:rPr>
        <w:t xml:space="preserve"> the</w:t>
      </w:r>
      <w:r w:rsidR="00ED44D1" w:rsidRPr="002E6E04">
        <w:rPr>
          <w:color w:val="000000" w:themeColor="text1"/>
          <w:szCs w:val="24"/>
        </w:rPr>
        <w:t xml:space="preserve"> </w:t>
      </w:r>
      <w:r w:rsidR="00005789" w:rsidRPr="002E6E04">
        <w:rPr>
          <w:color w:val="000000" w:themeColor="text1"/>
          <w:szCs w:val="24"/>
        </w:rPr>
        <w:t>incomplete</w:t>
      </w:r>
      <w:r w:rsidR="00ED44D1" w:rsidRPr="002E6E04">
        <w:rPr>
          <w:color w:val="000000" w:themeColor="text1"/>
          <w:szCs w:val="24"/>
        </w:rPr>
        <w:t xml:space="preserve"> </w:t>
      </w:r>
      <w:r w:rsidR="00ED44D1" w:rsidRPr="002E6E04">
        <w:rPr>
          <w:color w:val="000000" w:themeColor="text1"/>
          <w:szCs w:val="24"/>
        </w:rPr>
        <w:lastRenderedPageBreak/>
        <w:t xml:space="preserve">information </w:t>
      </w:r>
      <w:r w:rsidR="00831EB3" w:rsidRPr="002E6E04">
        <w:rPr>
          <w:color w:val="000000" w:themeColor="text1"/>
          <w:szCs w:val="24"/>
        </w:rPr>
        <w:t>available to</w:t>
      </w:r>
      <w:r w:rsidR="00ED44D1" w:rsidRPr="002E6E04">
        <w:rPr>
          <w:color w:val="000000" w:themeColor="text1"/>
          <w:szCs w:val="24"/>
        </w:rPr>
        <w:t xml:space="preserve"> actors</w:t>
      </w:r>
      <w:r w:rsidR="00831EB3" w:rsidRPr="002E6E04">
        <w:rPr>
          <w:color w:val="000000" w:themeColor="text1"/>
          <w:szCs w:val="24"/>
        </w:rPr>
        <w:t>, along with their</w:t>
      </w:r>
      <w:r w:rsidR="00ED44D1" w:rsidRPr="002E6E04">
        <w:rPr>
          <w:color w:val="000000" w:themeColor="text1"/>
          <w:szCs w:val="24"/>
        </w:rPr>
        <w:t xml:space="preserve"> own </w:t>
      </w:r>
      <w:r w:rsidR="00005789" w:rsidRPr="002E6E04">
        <w:rPr>
          <w:color w:val="000000" w:themeColor="text1"/>
          <w:szCs w:val="24"/>
        </w:rPr>
        <w:t>cognitive</w:t>
      </w:r>
      <w:r w:rsidR="00ED44D1" w:rsidRPr="002E6E04">
        <w:rPr>
          <w:color w:val="000000" w:themeColor="text1"/>
          <w:szCs w:val="24"/>
        </w:rPr>
        <w:t xml:space="preserve"> limitations. </w:t>
      </w:r>
      <w:r w:rsidR="00A87792" w:rsidRPr="002E6E04">
        <w:rPr>
          <w:color w:val="000000" w:themeColor="text1"/>
          <w:szCs w:val="24"/>
        </w:rPr>
        <w:t xml:space="preserve">Nonetheless, where structural conditions present the potential for reward (or </w:t>
      </w:r>
      <w:r w:rsidR="007715BC" w:rsidRPr="002E6E04">
        <w:rPr>
          <w:color w:val="000000" w:themeColor="text1"/>
          <w:szCs w:val="24"/>
        </w:rPr>
        <w:t>forfeiture</w:t>
      </w:r>
      <w:r w:rsidR="00A87792" w:rsidRPr="002E6E04">
        <w:rPr>
          <w:color w:val="000000" w:themeColor="text1"/>
          <w:szCs w:val="24"/>
        </w:rPr>
        <w:t>), they can create a</w:t>
      </w:r>
      <w:r w:rsidR="00DE07ED" w:rsidRPr="002E6E04">
        <w:rPr>
          <w:color w:val="000000" w:themeColor="text1"/>
          <w:szCs w:val="24"/>
        </w:rPr>
        <w:t xml:space="preserve"> criminogenic environment, wh</w:t>
      </w:r>
      <w:r w:rsidR="00A87792" w:rsidRPr="002E6E04">
        <w:rPr>
          <w:color w:val="000000" w:themeColor="text1"/>
          <w:szCs w:val="24"/>
        </w:rPr>
        <w:t>ich</w:t>
      </w:r>
      <w:r w:rsidR="00DC3192" w:rsidRPr="002E6E04">
        <w:rPr>
          <w:color w:val="000000" w:themeColor="text1"/>
          <w:szCs w:val="24"/>
        </w:rPr>
        <w:t xml:space="preserve"> encourage</w:t>
      </w:r>
      <w:r w:rsidR="00A87792" w:rsidRPr="002E6E04">
        <w:rPr>
          <w:color w:val="000000" w:themeColor="text1"/>
          <w:szCs w:val="24"/>
        </w:rPr>
        <w:t>s</w:t>
      </w:r>
      <w:r w:rsidR="00DC3192" w:rsidRPr="002E6E04">
        <w:rPr>
          <w:color w:val="000000" w:themeColor="text1"/>
          <w:szCs w:val="24"/>
        </w:rPr>
        <w:t xml:space="preserve"> </w:t>
      </w:r>
      <w:r w:rsidR="002B1B7F" w:rsidRPr="002E6E04">
        <w:rPr>
          <w:color w:val="000000" w:themeColor="text1"/>
          <w:szCs w:val="24"/>
        </w:rPr>
        <w:t>or even compel</w:t>
      </w:r>
      <w:r w:rsidR="007715BC" w:rsidRPr="002E6E04">
        <w:rPr>
          <w:color w:val="000000" w:themeColor="text1"/>
          <w:szCs w:val="24"/>
        </w:rPr>
        <w:t xml:space="preserve">s </w:t>
      </w:r>
      <w:r w:rsidR="00005789" w:rsidRPr="002E6E04">
        <w:rPr>
          <w:color w:val="000000" w:themeColor="text1"/>
          <w:szCs w:val="24"/>
        </w:rPr>
        <w:t>misconduct</w:t>
      </w:r>
      <w:r w:rsidR="002B1B7F" w:rsidRPr="002E6E04">
        <w:rPr>
          <w:color w:val="000000" w:themeColor="text1"/>
          <w:szCs w:val="24"/>
        </w:rPr>
        <w:t>.</w:t>
      </w:r>
      <w:r w:rsidR="00ED44D1" w:rsidRPr="002E6E04">
        <w:rPr>
          <w:color w:val="000000" w:themeColor="text1"/>
          <w:szCs w:val="24"/>
        </w:rPr>
        <w:t xml:space="preserve"> This was seen within the US saving and loans industry, when regulations governing thrift </w:t>
      </w:r>
      <w:r w:rsidR="00005789" w:rsidRPr="002E6E04">
        <w:rPr>
          <w:color w:val="000000" w:themeColor="text1"/>
          <w:szCs w:val="24"/>
        </w:rPr>
        <w:t>institutions</w:t>
      </w:r>
      <w:r w:rsidR="00ED44D1" w:rsidRPr="002E6E04">
        <w:rPr>
          <w:color w:val="000000" w:themeColor="text1"/>
          <w:szCs w:val="24"/>
        </w:rPr>
        <w:t xml:space="preserve"> were relaxed, precipitating widespread fraudulent </w:t>
      </w:r>
      <w:r w:rsidR="00005789" w:rsidRPr="002E6E04">
        <w:rPr>
          <w:color w:val="000000" w:themeColor="text1"/>
          <w:szCs w:val="24"/>
        </w:rPr>
        <w:t>behavior</w:t>
      </w:r>
      <w:r w:rsidR="00ED44D1" w:rsidRPr="002E6E04">
        <w:rPr>
          <w:color w:val="000000" w:themeColor="text1"/>
          <w:szCs w:val="24"/>
        </w:rPr>
        <w:t>.</w:t>
      </w:r>
      <w:r w:rsidR="0033170E" w:rsidRPr="002E6E04">
        <w:rPr>
          <w:rStyle w:val="EndnoteReference"/>
          <w:color w:val="000000" w:themeColor="text1"/>
          <w:szCs w:val="24"/>
        </w:rPr>
        <w:endnoteReference w:id="35"/>
      </w:r>
      <w:r w:rsidR="00ED44D1" w:rsidRPr="002E6E04">
        <w:rPr>
          <w:color w:val="000000" w:themeColor="text1"/>
          <w:szCs w:val="24"/>
        </w:rPr>
        <w:t xml:space="preserve"> </w:t>
      </w:r>
      <w:r w:rsidR="007715BC" w:rsidRPr="002E6E04">
        <w:rPr>
          <w:color w:val="000000" w:themeColor="text1"/>
          <w:szCs w:val="24"/>
        </w:rPr>
        <w:t>Similarly</w:t>
      </w:r>
      <w:r w:rsidR="00CC5F12" w:rsidRPr="002E6E04">
        <w:rPr>
          <w:color w:val="000000" w:themeColor="text1"/>
          <w:szCs w:val="24"/>
        </w:rPr>
        <w:t xml:space="preserve">, </w:t>
      </w:r>
      <w:r w:rsidR="00005789" w:rsidRPr="002E6E04">
        <w:rPr>
          <w:color w:val="000000" w:themeColor="text1"/>
          <w:szCs w:val="24"/>
        </w:rPr>
        <w:t>globalization</w:t>
      </w:r>
      <w:r w:rsidR="000C794C" w:rsidRPr="002E6E04">
        <w:rPr>
          <w:color w:val="000000" w:themeColor="text1"/>
          <w:szCs w:val="24"/>
        </w:rPr>
        <w:t xml:space="preserve"> and the neoliberal turn toward deregulation since the 1980s is often lamented for</w:t>
      </w:r>
      <w:r w:rsidR="00CC5F12" w:rsidRPr="002E6E04">
        <w:rPr>
          <w:color w:val="000000" w:themeColor="text1"/>
          <w:szCs w:val="24"/>
        </w:rPr>
        <w:t xml:space="preserve"> </w:t>
      </w:r>
      <w:r w:rsidR="00DE07ED" w:rsidRPr="002E6E04">
        <w:rPr>
          <w:color w:val="000000" w:themeColor="text1"/>
          <w:szCs w:val="24"/>
        </w:rPr>
        <w:t xml:space="preserve">their </w:t>
      </w:r>
      <w:r w:rsidR="00CC5F12" w:rsidRPr="002E6E04">
        <w:rPr>
          <w:color w:val="000000" w:themeColor="text1"/>
          <w:szCs w:val="24"/>
        </w:rPr>
        <w:t>catalytic effect</w:t>
      </w:r>
      <w:r w:rsidR="00BE60DF" w:rsidRPr="002E6E04">
        <w:rPr>
          <w:color w:val="000000" w:themeColor="text1"/>
          <w:szCs w:val="24"/>
        </w:rPr>
        <w:t>s</w:t>
      </w:r>
      <w:r w:rsidR="00CC5F12" w:rsidRPr="002E6E04">
        <w:rPr>
          <w:color w:val="000000" w:themeColor="text1"/>
          <w:szCs w:val="24"/>
        </w:rPr>
        <w:t xml:space="preserve"> on levels of </w:t>
      </w:r>
      <w:r w:rsidR="000C794C" w:rsidRPr="002E6E04">
        <w:rPr>
          <w:color w:val="000000" w:themeColor="text1"/>
          <w:szCs w:val="24"/>
        </w:rPr>
        <w:t xml:space="preserve">corporate illegality and </w:t>
      </w:r>
      <w:r w:rsidR="007715BC" w:rsidRPr="002E6E04">
        <w:rPr>
          <w:color w:val="000000" w:themeColor="text1"/>
          <w:szCs w:val="24"/>
        </w:rPr>
        <w:t>corruption</w:t>
      </w:r>
      <w:r w:rsidR="005F175B" w:rsidRPr="002E6E04">
        <w:rPr>
          <w:color w:val="000000" w:themeColor="text1"/>
          <w:szCs w:val="24"/>
        </w:rPr>
        <w:t>.</w:t>
      </w:r>
      <w:r w:rsidR="005F175B" w:rsidRPr="002E6E04">
        <w:rPr>
          <w:rStyle w:val="EndnoteReference"/>
          <w:color w:val="000000" w:themeColor="text1"/>
          <w:szCs w:val="24"/>
        </w:rPr>
        <w:endnoteReference w:id="36"/>
      </w:r>
      <w:r w:rsidR="00641449" w:rsidRPr="002E6E04">
        <w:rPr>
          <w:color w:val="000000" w:themeColor="text1"/>
          <w:szCs w:val="24"/>
        </w:rPr>
        <w:t xml:space="preserve"> </w:t>
      </w:r>
      <w:r w:rsidR="005F175B" w:rsidRPr="002E6E04">
        <w:rPr>
          <w:color w:val="000000" w:themeColor="text1"/>
          <w:szCs w:val="24"/>
        </w:rPr>
        <w:t xml:space="preserve">Here, as with the 1929 </w:t>
      </w:r>
      <w:r w:rsidR="00A54A29" w:rsidRPr="002E6E04">
        <w:rPr>
          <w:color w:val="000000" w:themeColor="text1"/>
          <w:szCs w:val="24"/>
        </w:rPr>
        <w:t>C</w:t>
      </w:r>
      <w:r w:rsidR="005F175B" w:rsidRPr="002E6E04">
        <w:rPr>
          <w:color w:val="000000" w:themeColor="text1"/>
          <w:szCs w:val="24"/>
        </w:rPr>
        <w:t>rash</w:t>
      </w:r>
      <w:r w:rsidR="00985F50" w:rsidRPr="002E6E04">
        <w:rPr>
          <w:color w:val="000000" w:themeColor="text1"/>
          <w:szCs w:val="24"/>
        </w:rPr>
        <w:t>,</w:t>
      </w:r>
      <w:r w:rsidR="005F175B" w:rsidRPr="002E6E04">
        <w:rPr>
          <w:color w:val="000000" w:themeColor="text1"/>
          <w:szCs w:val="24"/>
        </w:rPr>
        <w:t xml:space="preserve"> </w:t>
      </w:r>
      <w:r w:rsidR="00985F50" w:rsidRPr="002E6E04">
        <w:rPr>
          <w:color w:val="000000" w:themeColor="text1"/>
          <w:szCs w:val="24"/>
        </w:rPr>
        <w:t>a focus on</w:t>
      </w:r>
      <w:r w:rsidR="00A54A29" w:rsidRPr="002E6E04">
        <w:rPr>
          <w:color w:val="000000" w:themeColor="text1"/>
          <w:szCs w:val="24"/>
        </w:rPr>
        <w:t xml:space="preserve"> financial</w:t>
      </w:r>
      <w:r w:rsidR="00985F50" w:rsidRPr="002E6E04">
        <w:rPr>
          <w:color w:val="000000" w:themeColor="text1"/>
          <w:szCs w:val="24"/>
        </w:rPr>
        <w:t xml:space="preserve"> innovation </w:t>
      </w:r>
      <w:r w:rsidR="007715BC" w:rsidRPr="002E6E04">
        <w:rPr>
          <w:color w:val="000000" w:themeColor="text1"/>
          <w:szCs w:val="24"/>
        </w:rPr>
        <w:t>and glo</w:t>
      </w:r>
      <w:r w:rsidR="002A38A5" w:rsidRPr="002E6E04">
        <w:rPr>
          <w:color w:val="000000" w:themeColor="text1"/>
          <w:szCs w:val="24"/>
        </w:rPr>
        <w:t>b</w:t>
      </w:r>
      <w:r w:rsidR="007715BC" w:rsidRPr="002E6E04">
        <w:rPr>
          <w:color w:val="000000" w:themeColor="text1"/>
          <w:szCs w:val="24"/>
        </w:rPr>
        <w:t>al competitiveness</w:t>
      </w:r>
      <w:r w:rsidR="00985F50" w:rsidRPr="002E6E04">
        <w:rPr>
          <w:color w:val="000000" w:themeColor="text1"/>
          <w:szCs w:val="24"/>
        </w:rPr>
        <w:t xml:space="preserve"> </w:t>
      </w:r>
      <w:r w:rsidR="00A54A29" w:rsidRPr="002E6E04">
        <w:rPr>
          <w:color w:val="000000" w:themeColor="text1"/>
          <w:szCs w:val="24"/>
        </w:rPr>
        <w:t xml:space="preserve">was seen to </w:t>
      </w:r>
      <w:r w:rsidR="00F55800" w:rsidRPr="002E6E04">
        <w:rPr>
          <w:color w:val="000000" w:themeColor="text1"/>
          <w:szCs w:val="24"/>
        </w:rPr>
        <w:t>blur</w:t>
      </w:r>
      <w:r w:rsidR="00410A9D" w:rsidRPr="002E6E04">
        <w:rPr>
          <w:color w:val="000000" w:themeColor="text1"/>
          <w:szCs w:val="24"/>
        </w:rPr>
        <w:t xml:space="preserve"> </w:t>
      </w:r>
      <w:r w:rsidR="002B1B7F" w:rsidRPr="002E6E04">
        <w:rPr>
          <w:color w:val="000000" w:themeColor="text1"/>
          <w:szCs w:val="24"/>
        </w:rPr>
        <w:t>accept</w:t>
      </w:r>
      <w:r w:rsidR="0005248D" w:rsidRPr="002E6E04">
        <w:rPr>
          <w:color w:val="000000" w:themeColor="text1"/>
          <w:szCs w:val="24"/>
        </w:rPr>
        <w:t>ed</w:t>
      </w:r>
      <w:r w:rsidR="00641449" w:rsidRPr="002E6E04">
        <w:rPr>
          <w:color w:val="000000" w:themeColor="text1"/>
          <w:szCs w:val="24"/>
        </w:rPr>
        <w:t xml:space="preserve"> business norms</w:t>
      </w:r>
      <w:r w:rsidR="002B1B7F" w:rsidRPr="002E6E04">
        <w:rPr>
          <w:color w:val="000000" w:themeColor="text1"/>
          <w:szCs w:val="24"/>
        </w:rPr>
        <w:t xml:space="preserve"> and </w:t>
      </w:r>
      <w:r w:rsidR="00005789" w:rsidRPr="002E6E04">
        <w:rPr>
          <w:color w:val="000000" w:themeColor="text1"/>
          <w:szCs w:val="24"/>
        </w:rPr>
        <w:t>heightened</w:t>
      </w:r>
      <w:r w:rsidR="00410A9D" w:rsidRPr="002E6E04">
        <w:rPr>
          <w:color w:val="000000" w:themeColor="text1"/>
          <w:szCs w:val="24"/>
        </w:rPr>
        <w:t xml:space="preserve"> </w:t>
      </w:r>
      <w:r w:rsidR="00005789" w:rsidRPr="002E6E04">
        <w:rPr>
          <w:color w:val="000000" w:themeColor="text1"/>
          <w:szCs w:val="24"/>
        </w:rPr>
        <w:t>expectations</w:t>
      </w:r>
      <w:r w:rsidR="00410A9D" w:rsidRPr="002E6E04">
        <w:rPr>
          <w:color w:val="000000" w:themeColor="text1"/>
          <w:szCs w:val="24"/>
        </w:rPr>
        <w:t xml:space="preserve"> for extraordinary </w:t>
      </w:r>
      <w:r w:rsidR="00D84D78" w:rsidRPr="002E6E04">
        <w:rPr>
          <w:color w:val="000000" w:themeColor="text1"/>
          <w:szCs w:val="24"/>
        </w:rPr>
        <w:t>performance</w:t>
      </w:r>
      <w:r w:rsidR="000C794C" w:rsidRPr="002E6E04">
        <w:rPr>
          <w:color w:val="000000" w:themeColor="text1"/>
          <w:szCs w:val="24"/>
        </w:rPr>
        <w:t>.</w:t>
      </w:r>
      <w:r w:rsidR="000C794C" w:rsidRPr="002E6E04">
        <w:rPr>
          <w:rStyle w:val="EndnoteReference"/>
          <w:color w:val="000000" w:themeColor="text1"/>
          <w:szCs w:val="24"/>
        </w:rPr>
        <w:endnoteReference w:id="37"/>
      </w:r>
      <w:r w:rsidR="000C794C" w:rsidRPr="002E6E04">
        <w:rPr>
          <w:color w:val="000000" w:themeColor="text1"/>
          <w:szCs w:val="24"/>
        </w:rPr>
        <w:t xml:space="preserve"> </w:t>
      </w:r>
    </w:p>
    <w:p w14:paraId="27749AF8" w14:textId="346FC910" w:rsidR="00CB6844" w:rsidRPr="002E6E04" w:rsidRDefault="00DD5D33" w:rsidP="000C794C">
      <w:pPr>
        <w:spacing w:after="0"/>
        <w:ind w:firstLine="576"/>
        <w:rPr>
          <w:color w:val="000000" w:themeColor="text1"/>
          <w:szCs w:val="24"/>
        </w:rPr>
      </w:pPr>
      <w:r w:rsidRPr="002E6E04">
        <w:rPr>
          <w:color w:val="000000" w:themeColor="text1"/>
          <w:szCs w:val="24"/>
        </w:rPr>
        <w:t xml:space="preserve">Within </w:t>
      </w:r>
      <w:r w:rsidR="00005789" w:rsidRPr="002E6E04">
        <w:rPr>
          <w:color w:val="000000" w:themeColor="text1"/>
          <w:szCs w:val="24"/>
        </w:rPr>
        <w:t>organizations</w:t>
      </w:r>
      <w:r w:rsidR="002D6800" w:rsidRPr="002E6E04">
        <w:rPr>
          <w:color w:val="000000" w:themeColor="text1"/>
          <w:szCs w:val="24"/>
        </w:rPr>
        <w:t>,</w:t>
      </w:r>
      <w:r w:rsidR="00B31200" w:rsidRPr="002E6E04">
        <w:rPr>
          <w:color w:val="000000" w:themeColor="text1"/>
          <w:szCs w:val="24"/>
        </w:rPr>
        <w:t xml:space="preserve"> </w:t>
      </w:r>
      <w:r w:rsidR="00260F30" w:rsidRPr="002E6E04">
        <w:rPr>
          <w:color w:val="000000" w:themeColor="text1"/>
          <w:szCs w:val="24"/>
        </w:rPr>
        <w:t xml:space="preserve">systemic </w:t>
      </w:r>
      <w:r w:rsidR="00005789" w:rsidRPr="002E6E04">
        <w:rPr>
          <w:color w:val="000000" w:themeColor="text1"/>
          <w:szCs w:val="24"/>
        </w:rPr>
        <w:t>characteristics</w:t>
      </w:r>
      <w:r w:rsidR="00410A9D" w:rsidRPr="002E6E04">
        <w:rPr>
          <w:color w:val="000000" w:themeColor="text1"/>
          <w:szCs w:val="24"/>
        </w:rPr>
        <w:t xml:space="preserve"> </w:t>
      </w:r>
      <w:r w:rsidR="00260F30" w:rsidRPr="002E6E04">
        <w:rPr>
          <w:color w:val="000000" w:themeColor="text1"/>
          <w:szCs w:val="24"/>
        </w:rPr>
        <w:t xml:space="preserve">such as culture, leadership, </w:t>
      </w:r>
      <w:r w:rsidR="002877EA" w:rsidRPr="002E6E04">
        <w:rPr>
          <w:color w:val="000000" w:themeColor="text1"/>
          <w:szCs w:val="24"/>
        </w:rPr>
        <w:t>and</w:t>
      </w:r>
      <w:r w:rsidR="00260F30" w:rsidRPr="002E6E04">
        <w:rPr>
          <w:color w:val="000000" w:themeColor="text1"/>
          <w:szCs w:val="24"/>
        </w:rPr>
        <w:t xml:space="preserve"> </w:t>
      </w:r>
      <w:r w:rsidR="00F4146C" w:rsidRPr="002E6E04">
        <w:rPr>
          <w:color w:val="000000" w:themeColor="text1"/>
          <w:szCs w:val="24"/>
        </w:rPr>
        <w:t>incentive</w:t>
      </w:r>
      <w:r w:rsidR="00410A9D" w:rsidRPr="002E6E04">
        <w:rPr>
          <w:color w:val="000000" w:themeColor="text1"/>
          <w:szCs w:val="24"/>
        </w:rPr>
        <w:t>s</w:t>
      </w:r>
      <w:r w:rsidR="00D366E9" w:rsidRPr="002E6E04">
        <w:rPr>
          <w:color w:val="000000" w:themeColor="text1"/>
          <w:szCs w:val="24"/>
        </w:rPr>
        <w:t xml:space="preserve"> can facilitate corruption</w:t>
      </w:r>
      <w:r w:rsidR="00260F30" w:rsidRPr="002E6E04">
        <w:rPr>
          <w:color w:val="000000" w:themeColor="text1"/>
          <w:szCs w:val="24"/>
        </w:rPr>
        <w:t xml:space="preserve">, </w:t>
      </w:r>
      <w:r w:rsidR="007B4105" w:rsidRPr="002E6E04">
        <w:rPr>
          <w:color w:val="000000" w:themeColor="text1"/>
          <w:szCs w:val="24"/>
        </w:rPr>
        <w:t>encourag</w:t>
      </w:r>
      <w:r w:rsidR="00D366E9" w:rsidRPr="002E6E04">
        <w:rPr>
          <w:color w:val="000000" w:themeColor="text1"/>
          <w:szCs w:val="24"/>
        </w:rPr>
        <w:t>ing</w:t>
      </w:r>
      <w:r w:rsidR="007B4105" w:rsidRPr="002E6E04">
        <w:rPr>
          <w:color w:val="000000" w:themeColor="text1"/>
          <w:szCs w:val="24"/>
        </w:rPr>
        <w:t xml:space="preserve"> and ultimately </w:t>
      </w:r>
      <w:r w:rsidR="00D366E9" w:rsidRPr="002E6E04">
        <w:rPr>
          <w:color w:val="000000" w:themeColor="text1"/>
          <w:szCs w:val="24"/>
        </w:rPr>
        <w:t>embedding</w:t>
      </w:r>
      <w:r w:rsidR="007B4105" w:rsidRPr="002E6E04">
        <w:rPr>
          <w:color w:val="000000" w:themeColor="text1"/>
          <w:szCs w:val="24"/>
        </w:rPr>
        <w:t xml:space="preserve"> </w:t>
      </w:r>
      <w:r w:rsidR="00D366E9" w:rsidRPr="002E6E04">
        <w:rPr>
          <w:color w:val="000000" w:themeColor="text1"/>
          <w:szCs w:val="24"/>
        </w:rPr>
        <w:t>it</w:t>
      </w:r>
      <w:r w:rsidR="007B4105" w:rsidRPr="002E6E04">
        <w:rPr>
          <w:color w:val="000000" w:themeColor="text1"/>
          <w:szCs w:val="24"/>
        </w:rPr>
        <w:t xml:space="preserve"> as an </w:t>
      </w:r>
      <w:r w:rsidR="00005789" w:rsidRPr="002E6E04">
        <w:rPr>
          <w:color w:val="000000" w:themeColor="text1"/>
          <w:szCs w:val="24"/>
        </w:rPr>
        <w:t>acceptable</w:t>
      </w:r>
      <w:r w:rsidR="007B4105" w:rsidRPr="002E6E04">
        <w:rPr>
          <w:color w:val="000000" w:themeColor="text1"/>
          <w:szCs w:val="24"/>
        </w:rPr>
        <w:t xml:space="preserve"> means to goal attainment.</w:t>
      </w:r>
      <w:r w:rsidR="00B31200" w:rsidRPr="002E6E04">
        <w:rPr>
          <w:color w:val="000000" w:themeColor="text1"/>
          <w:szCs w:val="24"/>
        </w:rPr>
        <w:t xml:space="preserve"> </w:t>
      </w:r>
      <w:r w:rsidR="007B4105" w:rsidRPr="002E6E04">
        <w:rPr>
          <w:color w:val="000000" w:themeColor="text1"/>
          <w:szCs w:val="24"/>
        </w:rPr>
        <w:t>T</w:t>
      </w:r>
      <w:r w:rsidR="00AA49EA" w:rsidRPr="002E6E04">
        <w:rPr>
          <w:color w:val="000000" w:themeColor="text1"/>
          <w:szCs w:val="24"/>
        </w:rPr>
        <w:t>h</w:t>
      </w:r>
      <w:r w:rsidR="007B4105" w:rsidRPr="002E6E04">
        <w:rPr>
          <w:color w:val="000000" w:themeColor="text1"/>
          <w:szCs w:val="24"/>
        </w:rPr>
        <w:t>e</w:t>
      </w:r>
      <w:r w:rsidR="00AA49EA" w:rsidRPr="002E6E04">
        <w:rPr>
          <w:color w:val="000000" w:themeColor="text1"/>
          <w:szCs w:val="24"/>
        </w:rPr>
        <w:t xml:space="preserve"> </w:t>
      </w:r>
      <w:r w:rsidR="0041647D" w:rsidRPr="002E6E04">
        <w:rPr>
          <w:color w:val="000000" w:themeColor="text1"/>
          <w:szCs w:val="24"/>
        </w:rPr>
        <w:t xml:space="preserve">process by </w:t>
      </w:r>
      <w:r w:rsidR="002D6800" w:rsidRPr="002E6E04">
        <w:rPr>
          <w:color w:val="000000" w:themeColor="text1"/>
          <w:szCs w:val="24"/>
        </w:rPr>
        <w:t xml:space="preserve">which </w:t>
      </w:r>
      <w:r w:rsidR="00F4146C" w:rsidRPr="002E6E04">
        <w:rPr>
          <w:color w:val="000000" w:themeColor="text1"/>
          <w:szCs w:val="24"/>
        </w:rPr>
        <w:t xml:space="preserve">these </w:t>
      </w:r>
      <w:r w:rsidR="00AA49EA" w:rsidRPr="002E6E04">
        <w:rPr>
          <w:color w:val="000000" w:themeColor="text1"/>
          <w:szCs w:val="24"/>
        </w:rPr>
        <w:t>corrupt</w:t>
      </w:r>
      <w:r w:rsidR="002D6800" w:rsidRPr="002E6E04">
        <w:rPr>
          <w:color w:val="000000" w:themeColor="text1"/>
          <w:szCs w:val="24"/>
        </w:rPr>
        <w:t xml:space="preserve"> </w:t>
      </w:r>
      <w:r w:rsidR="00005789" w:rsidRPr="002E6E04">
        <w:rPr>
          <w:color w:val="000000" w:themeColor="text1"/>
          <w:szCs w:val="24"/>
        </w:rPr>
        <w:t>behaviors</w:t>
      </w:r>
      <w:r w:rsidR="002D6800" w:rsidRPr="002E6E04">
        <w:rPr>
          <w:color w:val="000000" w:themeColor="text1"/>
          <w:szCs w:val="24"/>
        </w:rPr>
        <w:t xml:space="preserve"> </w:t>
      </w:r>
      <w:r w:rsidR="00E075FB" w:rsidRPr="002E6E04">
        <w:rPr>
          <w:color w:val="000000" w:themeColor="text1"/>
          <w:szCs w:val="24"/>
        </w:rPr>
        <w:t>are</w:t>
      </w:r>
      <w:r w:rsidR="002D6800" w:rsidRPr="002E6E04">
        <w:rPr>
          <w:color w:val="000000" w:themeColor="text1"/>
          <w:szCs w:val="24"/>
        </w:rPr>
        <w:t xml:space="preserve"> </w:t>
      </w:r>
      <w:r w:rsidR="00005789" w:rsidRPr="002E6E04">
        <w:rPr>
          <w:color w:val="000000" w:themeColor="text1"/>
          <w:szCs w:val="24"/>
        </w:rPr>
        <w:t>normalized</w:t>
      </w:r>
      <w:r w:rsidR="007B4105" w:rsidRPr="002E6E04">
        <w:rPr>
          <w:color w:val="000000" w:themeColor="text1"/>
          <w:szCs w:val="24"/>
        </w:rPr>
        <w:t xml:space="preserve"> </w:t>
      </w:r>
      <w:r w:rsidR="00744969" w:rsidRPr="002E6E04">
        <w:rPr>
          <w:color w:val="000000" w:themeColor="text1"/>
          <w:szCs w:val="24"/>
        </w:rPr>
        <w:t>further shows</w:t>
      </w:r>
      <w:r w:rsidR="00BF36AB" w:rsidRPr="002E6E04">
        <w:rPr>
          <w:color w:val="000000" w:themeColor="text1"/>
          <w:szCs w:val="24"/>
        </w:rPr>
        <w:t xml:space="preserve"> how</w:t>
      </w:r>
      <w:r w:rsidR="005B63A0" w:rsidRPr="002E6E04">
        <w:rPr>
          <w:color w:val="000000" w:themeColor="text1"/>
          <w:szCs w:val="24"/>
        </w:rPr>
        <w:t xml:space="preserve"> </w:t>
      </w:r>
      <w:r w:rsidR="00744969" w:rsidRPr="002E6E04">
        <w:rPr>
          <w:color w:val="000000" w:themeColor="text1"/>
          <w:szCs w:val="24"/>
        </w:rPr>
        <w:t xml:space="preserve">the </w:t>
      </w:r>
      <w:r w:rsidR="005B63A0" w:rsidRPr="002E6E04">
        <w:rPr>
          <w:color w:val="000000" w:themeColor="text1"/>
          <w:szCs w:val="24"/>
        </w:rPr>
        <w:t xml:space="preserve">mindful </w:t>
      </w:r>
      <w:r w:rsidR="00744969" w:rsidRPr="002E6E04">
        <w:rPr>
          <w:color w:val="000000" w:themeColor="text1"/>
          <w:szCs w:val="24"/>
        </w:rPr>
        <w:t>action</w:t>
      </w:r>
      <w:r w:rsidR="00F4146C" w:rsidRPr="002E6E04">
        <w:rPr>
          <w:color w:val="000000" w:themeColor="text1"/>
          <w:szCs w:val="24"/>
        </w:rPr>
        <w:t xml:space="preserve"> of a limited few</w:t>
      </w:r>
      <w:r w:rsidR="005B63A0" w:rsidRPr="002E6E04">
        <w:rPr>
          <w:color w:val="000000" w:themeColor="text1"/>
          <w:szCs w:val="24"/>
        </w:rPr>
        <w:t xml:space="preserve"> </w:t>
      </w:r>
      <w:r w:rsidR="00E075FB" w:rsidRPr="002E6E04">
        <w:rPr>
          <w:color w:val="000000" w:themeColor="text1"/>
          <w:szCs w:val="24"/>
        </w:rPr>
        <w:t xml:space="preserve">can </w:t>
      </w:r>
      <w:r w:rsidR="005B63A0" w:rsidRPr="002E6E04">
        <w:rPr>
          <w:color w:val="000000" w:themeColor="text1"/>
          <w:szCs w:val="24"/>
        </w:rPr>
        <w:t>become increasingly mindless</w:t>
      </w:r>
      <w:r w:rsidR="00F4146C" w:rsidRPr="002E6E04">
        <w:rPr>
          <w:color w:val="000000" w:themeColor="text1"/>
          <w:szCs w:val="24"/>
        </w:rPr>
        <w:t xml:space="preserve"> and widespread</w:t>
      </w:r>
      <w:r w:rsidR="005B63A0" w:rsidRPr="002E6E04">
        <w:rPr>
          <w:color w:val="000000" w:themeColor="text1"/>
          <w:szCs w:val="24"/>
        </w:rPr>
        <w:t xml:space="preserve">, as they are </w:t>
      </w:r>
      <w:r w:rsidR="007B4105" w:rsidRPr="002E6E04">
        <w:rPr>
          <w:color w:val="000000" w:themeColor="text1"/>
          <w:szCs w:val="24"/>
        </w:rPr>
        <w:t>incorporated</w:t>
      </w:r>
      <w:r w:rsidR="005B63A0" w:rsidRPr="002E6E04">
        <w:rPr>
          <w:color w:val="000000" w:themeColor="text1"/>
          <w:szCs w:val="24"/>
        </w:rPr>
        <w:t xml:space="preserve"> within an </w:t>
      </w:r>
      <w:r w:rsidR="00005789" w:rsidRPr="002E6E04">
        <w:rPr>
          <w:color w:val="000000" w:themeColor="text1"/>
          <w:szCs w:val="24"/>
        </w:rPr>
        <w:t>organization’s</w:t>
      </w:r>
      <w:r w:rsidR="005B63A0" w:rsidRPr="002E6E04">
        <w:rPr>
          <w:color w:val="000000" w:themeColor="text1"/>
          <w:szCs w:val="24"/>
        </w:rPr>
        <w:t xml:space="preserve"> structures and processes.</w:t>
      </w:r>
      <w:r w:rsidR="0049587E" w:rsidRPr="002E6E04">
        <w:rPr>
          <w:rStyle w:val="EndnoteReference"/>
          <w:color w:val="000000" w:themeColor="text1"/>
          <w:szCs w:val="24"/>
        </w:rPr>
        <w:endnoteReference w:id="38"/>
      </w:r>
      <w:r w:rsidR="00BF36AB" w:rsidRPr="002E6E04">
        <w:rPr>
          <w:color w:val="000000" w:themeColor="text1"/>
          <w:szCs w:val="24"/>
        </w:rPr>
        <w:t xml:space="preserve"> </w:t>
      </w:r>
      <w:r w:rsidR="00CB6844" w:rsidRPr="002E6E04">
        <w:rPr>
          <w:color w:val="000000" w:themeColor="text1"/>
          <w:szCs w:val="24"/>
        </w:rPr>
        <w:t xml:space="preserve">Even in cases where </w:t>
      </w:r>
      <w:r w:rsidR="007B4105" w:rsidRPr="002E6E04">
        <w:rPr>
          <w:color w:val="000000" w:themeColor="text1"/>
          <w:szCs w:val="24"/>
        </w:rPr>
        <w:t>wrongdoers</w:t>
      </w:r>
      <w:r w:rsidR="00CB6844" w:rsidRPr="002E6E04">
        <w:rPr>
          <w:color w:val="000000" w:themeColor="text1"/>
          <w:szCs w:val="24"/>
        </w:rPr>
        <w:t xml:space="preserve"> </w:t>
      </w:r>
      <w:r w:rsidR="00F4146C" w:rsidRPr="002E6E04">
        <w:rPr>
          <w:color w:val="000000" w:themeColor="text1"/>
          <w:szCs w:val="24"/>
        </w:rPr>
        <w:t>are</w:t>
      </w:r>
      <w:r w:rsidR="007B4105" w:rsidRPr="002E6E04">
        <w:rPr>
          <w:color w:val="000000" w:themeColor="text1"/>
          <w:szCs w:val="24"/>
        </w:rPr>
        <w:t xml:space="preserve"> aware</w:t>
      </w:r>
      <w:r w:rsidR="00F4146C" w:rsidRPr="002E6E04">
        <w:rPr>
          <w:color w:val="000000" w:themeColor="text1"/>
          <w:szCs w:val="24"/>
        </w:rPr>
        <w:t xml:space="preserve"> of the</w:t>
      </w:r>
      <w:r w:rsidR="007B4105" w:rsidRPr="002E6E04">
        <w:rPr>
          <w:color w:val="000000" w:themeColor="text1"/>
          <w:szCs w:val="24"/>
        </w:rPr>
        <w:t xml:space="preserve"> transgressive</w:t>
      </w:r>
      <w:r w:rsidR="00F4146C" w:rsidRPr="002E6E04">
        <w:rPr>
          <w:color w:val="000000" w:themeColor="text1"/>
          <w:szCs w:val="24"/>
        </w:rPr>
        <w:t xml:space="preserve"> nature of their actions</w:t>
      </w:r>
      <w:r w:rsidR="00CB6844" w:rsidRPr="002E6E04">
        <w:rPr>
          <w:color w:val="000000" w:themeColor="text1"/>
          <w:szCs w:val="24"/>
        </w:rPr>
        <w:t xml:space="preserve">, they often use alternative </w:t>
      </w:r>
      <w:r w:rsidR="003A2A83" w:rsidRPr="002E6E04">
        <w:rPr>
          <w:color w:val="000000" w:themeColor="text1"/>
          <w:szCs w:val="24"/>
        </w:rPr>
        <w:t xml:space="preserve">interpretations to </w:t>
      </w:r>
      <w:r w:rsidR="00005789" w:rsidRPr="002E6E04">
        <w:rPr>
          <w:color w:val="000000" w:themeColor="text1"/>
          <w:szCs w:val="24"/>
        </w:rPr>
        <w:t>rationalize</w:t>
      </w:r>
      <w:r w:rsidR="00CB6844" w:rsidRPr="002E6E04">
        <w:rPr>
          <w:color w:val="000000" w:themeColor="text1"/>
          <w:szCs w:val="24"/>
        </w:rPr>
        <w:t xml:space="preserve"> the</w:t>
      </w:r>
      <w:r w:rsidR="00F4146C" w:rsidRPr="002E6E04">
        <w:rPr>
          <w:color w:val="000000" w:themeColor="text1"/>
          <w:szCs w:val="24"/>
        </w:rPr>
        <w:t>m</w:t>
      </w:r>
      <w:r w:rsidR="00CB6844" w:rsidRPr="002E6E04">
        <w:rPr>
          <w:color w:val="000000" w:themeColor="text1"/>
          <w:szCs w:val="24"/>
        </w:rPr>
        <w:t>, r</w:t>
      </w:r>
      <w:r w:rsidR="003A2A83" w:rsidRPr="002E6E04">
        <w:rPr>
          <w:color w:val="000000" w:themeColor="text1"/>
          <w:szCs w:val="24"/>
        </w:rPr>
        <w:t>eframing</w:t>
      </w:r>
      <w:r w:rsidR="00CB6844" w:rsidRPr="002E6E04">
        <w:rPr>
          <w:color w:val="000000" w:themeColor="text1"/>
          <w:szCs w:val="24"/>
        </w:rPr>
        <w:t xml:space="preserve"> dissonant information </w:t>
      </w:r>
      <w:r w:rsidR="003A2A83" w:rsidRPr="002E6E04">
        <w:rPr>
          <w:color w:val="000000" w:themeColor="text1"/>
          <w:szCs w:val="24"/>
        </w:rPr>
        <w:t>in line with a self-deceptive but morally tolerable explanation.</w:t>
      </w:r>
      <w:r w:rsidR="003A2A83" w:rsidRPr="002E6E04">
        <w:rPr>
          <w:rStyle w:val="EndnoteReference"/>
          <w:color w:val="000000" w:themeColor="text1"/>
          <w:szCs w:val="24"/>
        </w:rPr>
        <w:endnoteReference w:id="39"/>
      </w:r>
      <w:r w:rsidR="003A2A83" w:rsidRPr="002E6E04">
        <w:rPr>
          <w:color w:val="000000" w:themeColor="text1"/>
          <w:szCs w:val="24"/>
        </w:rPr>
        <w:t xml:space="preserve"> </w:t>
      </w:r>
      <w:r w:rsidR="0075517E" w:rsidRPr="002E6E04">
        <w:rPr>
          <w:color w:val="000000" w:themeColor="text1"/>
          <w:szCs w:val="24"/>
        </w:rPr>
        <w:t xml:space="preserve">Incumbent perpetrators also use </w:t>
      </w:r>
      <w:r w:rsidR="00005789" w:rsidRPr="002E6E04">
        <w:rPr>
          <w:color w:val="000000" w:themeColor="text1"/>
          <w:szCs w:val="24"/>
        </w:rPr>
        <w:t>rationalizations</w:t>
      </w:r>
      <w:r w:rsidR="00E97ABC" w:rsidRPr="002E6E04">
        <w:rPr>
          <w:color w:val="000000" w:themeColor="text1"/>
          <w:szCs w:val="24"/>
        </w:rPr>
        <w:t xml:space="preserve"> </w:t>
      </w:r>
      <w:r w:rsidR="0075517E" w:rsidRPr="002E6E04">
        <w:rPr>
          <w:color w:val="000000" w:themeColor="text1"/>
          <w:szCs w:val="24"/>
        </w:rPr>
        <w:t>r</w:t>
      </w:r>
      <w:r w:rsidR="00410A9D" w:rsidRPr="002E6E04">
        <w:rPr>
          <w:color w:val="000000" w:themeColor="text1"/>
          <w:szCs w:val="24"/>
        </w:rPr>
        <w:t xml:space="preserve">hetorically </w:t>
      </w:r>
      <w:r w:rsidR="00E97ABC" w:rsidRPr="002E6E04">
        <w:rPr>
          <w:color w:val="000000" w:themeColor="text1"/>
          <w:szCs w:val="24"/>
        </w:rPr>
        <w:t xml:space="preserve">to </w:t>
      </w:r>
      <w:r w:rsidR="00005789" w:rsidRPr="002E6E04">
        <w:rPr>
          <w:color w:val="000000" w:themeColor="text1"/>
          <w:szCs w:val="24"/>
        </w:rPr>
        <w:t>socialize</w:t>
      </w:r>
      <w:r w:rsidR="00E97ABC" w:rsidRPr="002E6E04">
        <w:rPr>
          <w:color w:val="000000" w:themeColor="text1"/>
          <w:szCs w:val="24"/>
        </w:rPr>
        <w:t xml:space="preserve"> </w:t>
      </w:r>
      <w:r w:rsidR="009B12B6" w:rsidRPr="002E6E04">
        <w:rPr>
          <w:color w:val="000000" w:themeColor="text1"/>
          <w:szCs w:val="24"/>
        </w:rPr>
        <w:t>newcomers</w:t>
      </w:r>
      <w:r w:rsidR="00410A9D" w:rsidRPr="002E6E04">
        <w:rPr>
          <w:color w:val="000000" w:themeColor="text1"/>
          <w:szCs w:val="24"/>
        </w:rPr>
        <w:t xml:space="preserve"> in</w:t>
      </w:r>
      <w:r w:rsidR="00BB72FC" w:rsidRPr="002E6E04">
        <w:rPr>
          <w:color w:val="000000" w:themeColor="text1"/>
          <w:szCs w:val="24"/>
        </w:rPr>
        <w:t>to</w:t>
      </w:r>
      <w:r w:rsidR="00410A9D" w:rsidRPr="002E6E04">
        <w:rPr>
          <w:color w:val="000000" w:themeColor="text1"/>
          <w:szCs w:val="24"/>
        </w:rPr>
        <w:t xml:space="preserve"> the group</w:t>
      </w:r>
      <w:r w:rsidR="002718A3" w:rsidRPr="002E6E04">
        <w:rPr>
          <w:color w:val="000000" w:themeColor="text1"/>
          <w:szCs w:val="24"/>
        </w:rPr>
        <w:t>’s</w:t>
      </w:r>
      <w:r w:rsidR="00410A9D" w:rsidRPr="002E6E04">
        <w:rPr>
          <w:color w:val="000000" w:themeColor="text1"/>
          <w:szCs w:val="24"/>
        </w:rPr>
        <w:t xml:space="preserve"> </w:t>
      </w:r>
      <w:r w:rsidR="00005789" w:rsidRPr="002E6E04">
        <w:rPr>
          <w:color w:val="000000" w:themeColor="text1"/>
          <w:szCs w:val="24"/>
        </w:rPr>
        <w:t>particularistic</w:t>
      </w:r>
      <w:r w:rsidR="00410A9D" w:rsidRPr="002E6E04">
        <w:rPr>
          <w:color w:val="000000" w:themeColor="text1"/>
          <w:szCs w:val="24"/>
        </w:rPr>
        <w:t xml:space="preserve"> worldview</w:t>
      </w:r>
      <w:r w:rsidR="00E97ABC" w:rsidRPr="002E6E04">
        <w:rPr>
          <w:color w:val="000000" w:themeColor="text1"/>
          <w:szCs w:val="24"/>
        </w:rPr>
        <w:t>.</w:t>
      </w:r>
      <w:r w:rsidR="00F25AED" w:rsidRPr="002E6E04">
        <w:rPr>
          <w:color w:val="000000" w:themeColor="text1"/>
          <w:szCs w:val="24"/>
        </w:rPr>
        <w:t xml:space="preserve"> </w:t>
      </w:r>
      <w:r w:rsidR="00532386" w:rsidRPr="002E6E04">
        <w:rPr>
          <w:color w:val="000000" w:themeColor="text1"/>
          <w:szCs w:val="24"/>
        </w:rPr>
        <w:t>While these theor</w:t>
      </w:r>
      <w:r w:rsidR="002718A3" w:rsidRPr="002E6E04">
        <w:rPr>
          <w:color w:val="000000" w:themeColor="text1"/>
          <w:szCs w:val="24"/>
        </w:rPr>
        <w:t>ies</w:t>
      </w:r>
      <w:r w:rsidR="00532386" w:rsidRPr="002E6E04">
        <w:rPr>
          <w:color w:val="000000" w:themeColor="text1"/>
          <w:szCs w:val="24"/>
        </w:rPr>
        <w:t xml:space="preserve"> provide a</w:t>
      </w:r>
      <w:r w:rsidR="003A2A83" w:rsidRPr="002E6E04">
        <w:rPr>
          <w:color w:val="000000" w:themeColor="text1"/>
          <w:szCs w:val="24"/>
        </w:rPr>
        <w:t xml:space="preserve"> valuable insight </w:t>
      </w:r>
      <w:r w:rsidR="00744969" w:rsidRPr="002E6E04">
        <w:rPr>
          <w:color w:val="000000" w:themeColor="text1"/>
          <w:szCs w:val="24"/>
        </w:rPr>
        <w:t>into</w:t>
      </w:r>
      <w:r w:rsidR="00532386" w:rsidRPr="002E6E04">
        <w:rPr>
          <w:color w:val="000000" w:themeColor="text1"/>
          <w:szCs w:val="24"/>
        </w:rPr>
        <w:t xml:space="preserve"> corruption as an </w:t>
      </w:r>
      <w:r w:rsidR="00005789" w:rsidRPr="002E6E04">
        <w:rPr>
          <w:color w:val="000000" w:themeColor="text1"/>
          <w:szCs w:val="24"/>
        </w:rPr>
        <w:t>organizational</w:t>
      </w:r>
      <w:r w:rsidR="00532386" w:rsidRPr="002E6E04">
        <w:rPr>
          <w:color w:val="000000" w:themeColor="text1"/>
          <w:szCs w:val="24"/>
        </w:rPr>
        <w:t xml:space="preserve"> phenomenon, they </w:t>
      </w:r>
      <w:r w:rsidR="001902BD" w:rsidRPr="002E6E04">
        <w:rPr>
          <w:color w:val="000000" w:themeColor="text1"/>
          <w:szCs w:val="24"/>
        </w:rPr>
        <w:t>generally</w:t>
      </w:r>
      <w:r w:rsidR="00532386" w:rsidRPr="002E6E04">
        <w:rPr>
          <w:color w:val="000000" w:themeColor="text1"/>
          <w:szCs w:val="24"/>
        </w:rPr>
        <w:t xml:space="preserve"> focus on </w:t>
      </w:r>
      <w:r w:rsidR="00744969" w:rsidRPr="002E6E04">
        <w:rPr>
          <w:color w:val="000000" w:themeColor="text1"/>
          <w:szCs w:val="24"/>
        </w:rPr>
        <w:t>what</w:t>
      </w:r>
      <w:r w:rsidR="003A2A83" w:rsidRPr="002E6E04">
        <w:rPr>
          <w:color w:val="000000" w:themeColor="text1"/>
          <w:szCs w:val="24"/>
        </w:rPr>
        <w:t xml:space="preserve"> engenders and maintains </w:t>
      </w:r>
      <w:r w:rsidR="006907F2" w:rsidRPr="002E6E04">
        <w:rPr>
          <w:color w:val="000000" w:themeColor="text1"/>
          <w:szCs w:val="24"/>
        </w:rPr>
        <w:t xml:space="preserve">a willingness to </w:t>
      </w:r>
      <w:r w:rsidR="00532386" w:rsidRPr="002E6E04">
        <w:rPr>
          <w:color w:val="000000" w:themeColor="text1"/>
          <w:szCs w:val="24"/>
        </w:rPr>
        <w:t>act</w:t>
      </w:r>
      <w:r w:rsidR="00744969" w:rsidRPr="002E6E04">
        <w:rPr>
          <w:color w:val="000000" w:themeColor="text1"/>
          <w:szCs w:val="24"/>
        </w:rPr>
        <w:t xml:space="preserve"> </w:t>
      </w:r>
      <w:r w:rsidR="00005789" w:rsidRPr="002E6E04">
        <w:rPr>
          <w:color w:val="000000" w:themeColor="text1"/>
          <w:szCs w:val="24"/>
        </w:rPr>
        <w:t>corruptly</w:t>
      </w:r>
      <w:r w:rsidR="00532386" w:rsidRPr="002E6E04">
        <w:rPr>
          <w:color w:val="000000" w:themeColor="text1"/>
          <w:szCs w:val="24"/>
        </w:rPr>
        <w:t>.</w:t>
      </w:r>
      <w:r w:rsidR="003A2A83" w:rsidRPr="002E6E04">
        <w:rPr>
          <w:color w:val="000000" w:themeColor="text1"/>
          <w:szCs w:val="24"/>
        </w:rPr>
        <w:t xml:space="preserve"> </w:t>
      </w:r>
      <w:r w:rsidR="00532386" w:rsidRPr="002E6E04">
        <w:rPr>
          <w:color w:val="000000" w:themeColor="text1"/>
          <w:szCs w:val="24"/>
        </w:rPr>
        <w:t xml:space="preserve">However, the practice of corruption </w:t>
      </w:r>
      <w:r w:rsidR="00744969" w:rsidRPr="002E6E04">
        <w:rPr>
          <w:color w:val="000000" w:themeColor="text1"/>
          <w:szCs w:val="24"/>
        </w:rPr>
        <w:t xml:space="preserve">remains </w:t>
      </w:r>
      <w:r w:rsidR="00005789" w:rsidRPr="002E6E04">
        <w:rPr>
          <w:color w:val="000000" w:themeColor="text1"/>
          <w:szCs w:val="24"/>
        </w:rPr>
        <w:t>largely</w:t>
      </w:r>
      <w:r w:rsidR="00744969" w:rsidRPr="002E6E04">
        <w:rPr>
          <w:color w:val="000000" w:themeColor="text1"/>
          <w:szCs w:val="24"/>
        </w:rPr>
        <w:t xml:space="preserve"> hidden behind its clandestine nature</w:t>
      </w:r>
      <w:r w:rsidR="00532386" w:rsidRPr="002E6E04">
        <w:rPr>
          <w:color w:val="000000" w:themeColor="text1"/>
          <w:szCs w:val="24"/>
        </w:rPr>
        <w:t>, and</w:t>
      </w:r>
      <w:r w:rsidR="0075517E" w:rsidRPr="002E6E04">
        <w:rPr>
          <w:color w:val="000000" w:themeColor="text1"/>
          <w:szCs w:val="24"/>
        </w:rPr>
        <w:t xml:space="preserve"> we still need to</w:t>
      </w:r>
      <w:r w:rsidR="00744969" w:rsidRPr="002E6E04">
        <w:rPr>
          <w:color w:val="000000" w:themeColor="text1"/>
          <w:szCs w:val="24"/>
        </w:rPr>
        <w:t xml:space="preserve"> empirical</w:t>
      </w:r>
      <w:r w:rsidR="00905142" w:rsidRPr="002E6E04">
        <w:rPr>
          <w:color w:val="000000" w:themeColor="text1"/>
          <w:szCs w:val="24"/>
        </w:rPr>
        <w:t>ly</w:t>
      </w:r>
      <w:r w:rsidR="00744969" w:rsidRPr="002E6E04">
        <w:rPr>
          <w:color w:val="000000" w:themeColor="text1"/>
          <w:szCs w:val="24"/>
        </w:rPr>
        <w:t xml:space="preserve"> </w:t>
      </w:r>
      <w:r w:rsidR="003A2A83" w:rsidRPr="002E6E04">
        <w:rPr>
          <w:color w:val="000000" w:themeColor="text1"/>
          <w:szCs w:val="24"/>
        </w:rPr>
        <w:t>elaborat</w:t>
      </w:r>
      <w:r w:rsidR="0075517E" w:rsidRPr="002E6E04">
        <w:rPr>
          <w:color w:val="000000" w:themeColor="text1"/>
          <w:szCs w:val="24"/>
        </w:rPr>
        <w:t>e</w:t>
      </w:r>
      <w:r w:rsidR="003A2A83" w:rsidRPr="002E6E04">
        <w:rPr>
          <w:color w:val="000000" w:themeColor="text1"/>
          <w:szCs w:val="24"/>
        </w:rPr>
        <w:t xml:space="preserve"> </w:t>
      </w:r>
      <w:r w:rsidR="00905142" w:rsidRPr="002E6E04">
        <w:rPr>
          <w:color w:val="000000" w:themeColor="text1"/>
          <w:szCs w:val="24"/>
        </w:rPr>
        <w:t>how it</w:t>
      </w:r>
      <w:r w:rsidR="00532386" w:rsidRPr="002E6E04">
        <w:rPr>
          <w:color w:val="000000" w:themeColor="text1"/>
          <w:szCs w:val="24"/>
        </w:rPr>
        <w:t xml:space="preserve"> is</w:t>
      </w:r>
      <w:r w:rsidR="005B040D" w:rsidRPr="002E6E04">
        <w:rPr>
          <w:color w:val="000000" w:themeColor="text1"/>
          <w:szCs w:val="24"/>
        </w:rPr>
        <w:t xml:space="preserve"> </w:t>
      </w:r>
      <w:r w:rsidR="00532386" w:rsidRPr="002E6E04">
        <w:rPr>
          <w:color w:val="000000" w:themeColor="text1"/>
          <w:szCs w:val="24"/>
        </w:rPr>
        <w:t xml:space="preserve">actually </w:t>
      </w:r>
      <w:r w:rsidR="005B040D" w:rsidRPr="002E6E04">
        <w:rPr>
          <w:color w:val="000000" w:themeColor="text1"/>
          <w:szCs w:val="24"/>
        </w:rPr>
        <w:t>incorporat</w:t>
      </w:r>
      <w:r w:rsidR="00532386" w:rsidRPr="002E6E04">
        <w:rPr>
          <w:color w:val="000000" w:themeColor="text1"/>
          <w:szCs w:val="24"/>
        </w:rPr>
        <w:t>ed</w:t>
      </w:r>
      <w:r w:rsidR="005B040D" w:rsidRPr="002E6E04">
        <w:rPr>
          <w:color w:val="000000" w:themeColor="text1"/>
          <w:szCs w:val="24"/>
        </w:rPr>
        <w:t xml:space="preserve"> </w:t>
      </w:r>
      <w:r w:rsidR="00532386" w:rsidRPr="002E6E04">
        <w:rPr>
          <w:color w:val="000000" w:themeColor="text1"/>
          <w:szCs w:val="24"/>
        </w:rPr>
        <w:t>and maintained within</w:t>
      </w:r>
      <w:r w:rsidR="00744969" w:rsidRPr="002E6E04">
        <w:rPr>
          <w:color w:val="000000" w:themeColor="text1"/>
          <w:szCs w:val="24"/>
        </w:rPr>
        <w:t xml:space="preserve"> </w:t>
      </w:r>
      <w:r w:rsidR="00005789" w:rsidRPr="002E6E04">
        <w:rPr>
          <w:color w:val="000000" w:themeColor="text1"/>
          <w:szCs w:val="24"/>
        </w:rPr>
        <w:t>discrete</w:t>
      </w:r>
      <w:r w:rsidR="005B040D" w:rsidRPr="002E6E04">
        <w:rPr>
          <w:color w:val="000000" w:themeColor="text1"/>
          <w:szCs w:val="24"/>
        </w:rPr>
        <w:t xml:space="preserve"> </w:t>
      </w:r>
      <w:r w:rsidR="00005789" w:rsidRPr="002E6E04">
        <w:rPr>
          <w:color w:val="000000" w:themeColor="text1"/>
          <w:szCs w:val="24"/>
        </w:rPr>
        <w:t>organizational</w:t>
      </w:r>
      <w:r w:rsidR="005B040D" w:rsidRPr="002E6E04">
        <w:rPr>
          <w:color w:val="000000" w:themeColor="text1"/>
          <w:szCs w:val="24"/>
        </w:rPr>
        <w:t xml:space="preserve"> </w:t>
      </w:r>
      <w:r w:rsidR="00744969" w:rsidRPr="002E6E04">
        <w:rPr>
          <w:color w:val="000000" w:themeColor="text1"/>
          <w:szCs w:val="24"/>
        </w:rPr>
        <w:t xml:space="preserve">and </w:t>
      </w:r>
      <w:r w:rsidR="00005789" w:rsidRPr="002E6E04">
        <w:rPr>
          <w:color w:val="000000" w:themeColor="text1"/>
          <w:szCs w:val="24"/>
        </w:rPr>
        <w:t>industry</w:t>
      </w:r>
      <w:r w:rsidR="00744969" w:rsidRPr="002E6E04">
        <w:rPr>
          <w:color w:val="000000" w:themeColor="text1"/>
          <w:szCs w:val="24"/>
        </w:rPr>
        <w:t xml:space="preserve"> contexts</w:t>
      </w:r>
      <w:r w:rsidR="005B040D" w:rsidRPr="002E6E04">
        <w:rPr>
          <w:color w:val="000000" w:themeColor="text1"/>
          <w:szCs w:val="24"/>
        </w:rPr>
        <w:t>.</w:t>
      </w:r>
    </w:p>
    <w:p w14:paraId="70A7ACF4" w14:textId="0D0C2B8F" w:rsidR="00C11FC5" w:rsidRDefault="00C11FC5" w:rsidP="00D34596">
      <w:pPr>
        <w:spacing w:after="0"/>
        <w:ind w:firstLine="576"/>
        <w:rPr>
          <w:color w:val="000000" w:themeColor="text1"/>
          <w:szCs w:val="24"/>
        </w:rPr>
      </w:pPr>
      <w:r w:rsidRPr="002E6E04">
        <w:rPr>
          <w:color w:val="000000" w:themeColor="text1"/>
          <w:szCs w:val="24"/>
        </w:rPr>
        <w:t>Furthermore, corruption</w:t>
      </w:r>
      <w:r w:rsidR="00820AF4" w:rsidRPr="002E6E04">
        <w:rPr>
          <w:color w:val="000000" w:themeColor="text1"/>
          <w:szCs w:val="24"/>
        </w:rPr>
        <w:t xml:space="preserve"> </w:t>
      </w:r>
      <w:r w:rsidRPr="002E6E04">
        <w:rPr>
          <w:color w:val="000000" w:themeColor="text1"/>
          <w:szCs w:val="24"/>
        </w:rPr>
        <w:t>as an inter-</w:t>
      </w:r>
      <w:r w:rsidR="00005789" w:rsidRPr="002E6E04">
        <w:rPr>
          <w:color w:val="000000" w:themeColor="text1"/>
          <w:szCs w:val="24"/>
        </w:rPr>
        <w:t>organizational</w:t>
      </w:r>
      <w:r w:rsidRPr="002E6E04">
        <w:rPr>
          <w:color w:val="000000" w:themeColor="text1"/>
          <w:szCs w:val="24"/>
        </w:rPr>
        <w:t xml:space="preserve"> phenomenon remains particularly </w:t>
      </w:r>
      <w:r w:rsidR="009B12B6" w:rsidRPr="002E6E04">
        <w:rPr>
          <w:color w:val="000000" w:themeColor="text1"/>
          <w:szCs w:val="24"/>
        </w:rPr>
        <w:t>underexplored</w:t>
      </w:r>
      <w:r w:rsidRPr="002E6E04">
        <w:rPr>
          <w:color w:val="000000" w:themeColor="text1"/>
          <w:szCs w:val="24"/>
        </w:rPr>
        <w:t>.</w:t>
      </w:r>
      <w:r w:rsidRPr="002E6E04">
        <w:rPr>
          <w:rStyle w:val="EndnoteReference"/>
          <w:rFonts w:cs="Times New Roman"/>
          <w:color w:val="000000" w:themeColor="text1"/>
          <w:szCs w:val="24"/>
        </w:rPr>
        <w:endnoteReference w:id="40"/>
      </w:r>
      <w:r w:rsidRPr="002E6E04">
        <w:rPr>
          <w:color w:val="000000" w:themeColor="text1"/>
          <w:szCs w:val="24"/>
        </w:rPr>
        <w:t xml:space="preserve"> </w:t>
      </w:r>
      <w:r w:rsidR="002718A3" w:rsidRPr="002E6E04">
        <w:rPr>
          <w:color w:val="000000" w:themeColor="text1"/>
          <w:szCs w:val="24"/>
        </w:rPr>
        <w:t xml:space="preserve">Beyond </w:t>
      </w:r>
      <w:r w:rsidR="00820AF4" w:rsidRPr="002E6E04">
        <w:rPr>
          <w:color w:val="000000" w:themeColor="text1"/>
          <w:szCs w:val="24"/>
        </w:rPr>
        <w:t>inherently</w:t>
      </w:r>
      <w:r w:rsidR="002718A3" w:rsidRPr="002E6E04">
        <w:rPr>
          <w:color w:val="000000" w:themeColor="text1"/>
          <w:szCs w:val="24"/>
        </w:rPr>
        <w:t xml:space="preserve"> inter-</w:t>
      </w:r>
      <w:r w:rsidR="00005789" w:rsidRPr="002E6E04">
        <w:rPr>
          <w:color w:val="000000" w:themeColor="text1"/>
          <w:szCs w:val="24"/>
        </w:rPr>
        <w:t>organizational</w:t>
      </w:r>
      <w:r w:rsidR="002718A3" w:rsidRPr="002E6E04">
        <w:rPr>
          <w:color w:val="000000" w:themeColor="text1"/>
          <w:szCs w:val="24"/>
        </w:rPr>
        <w:t xml:space="preserve"> collusion like price fixing</w:t>
      </w:r>
      <w:r w:rsidRPr="002E6E04">
        <w:rPr>
          <w:color w:val="000000" w:themeColor="text1"/>
          <w:szCs w:val="24"/>
        </w:rPr>
        <w:t>, there is</w:t>
      </w:r>
      <w:r w:rsidR="009B12B6" w:rsidRPr="002E6E04">
        <w:rPr>
          <w:color w:val="000000" w:themeColor="text1"/>
          <w:szCs w:val="24"/>
        </w:rPr>
        <w:t xml:space="preserve"> a </w:t>
      </w:r>
      <w:r w:rsidRPr="002E6E04">
        <w:rPr>
          <w:color w:val="000000" w:themeColor="text1"/>
          <w:szCs w:val="24"/>
        </w:rPr>
        <w:lastRenderedPageBreak/>
        <w:t xml:space="preserve">wealth of evidence showing that criminal and unethical </w:t>
      </w:r>
      <w:r w:rsidR="00005789" w:rsidRPr="002E6E04">
        <w:rPr>
          <w:color w:val="000000" w:themeColor="text1"/>
          <w:szCs w:val="24"/>
        </w:rPr>
        <w:t>organizational</w:t>
      </w:r>
      <w:r w:rsidRPr="002E6E04">
        <w:rPr>
          <w:color w:val="000000" w:themeColor="text1"/>
          <w:szCs w:val="24"/>
        </w:rPr>
        <w:t xml:space="preserve"> practices often </w:t>
      </w:r>
      <w:r w:rsidR="004776E9" w:rsidRPr="002E6E04">
        <w:rPr>
          <w:color w:val="000000" w:themeColor="text1"/>
          <w:szCs w:val="24"/>
        </w:rPr>
        <w:t>include</w:t>
      </w:r>
      <w:r w:rsidRPr="002E6E04">
        <w:rPr>
          <w:color w:val="000000" w:themeColor="text1"/>
          <w:szCs w:val="24"/>
        </w:rPr>
        <w:t xml:space="preserve"> actors from outside a single </w:t>
      </w:r>
      <w:r w:rsidR="00005789" w:rsidRPr="002E6E04">
        <w:rPr>
          <w:color w:val="000000" w:themeColor="text1"/>
          <w:szCs w:val="24"/>
        </w:rPr>
        <w:t>organization</w:t>
      </w:r>
      <w:r w:rsidRPr="002E6E04">
        <w:rPr>
          <w:color w:val="000000" w:themeColor="text1"/>
          <w:szCs w:val="24"/>
        </w:rPr>
        <w:t>. For instance, analysis of the US automobile industry shows that manufacture</w:t>
      </w:r>
      <w:r w:rsidR="001728E5" w:rsidRPr="002E6E04">
        <w:rPr>
          <w:color w:val="000000" w:themeColor="text1"/>
          <w:szCs w:val="24"/>
        </w:rPr>
        <w:t>r</w:t>
      </w:r>
      <w:r w:rsidRPr="002E6E04">
        <w:rPr>
          <w:color w:val="000000" w:themeColor="text1"/>
          <w:szCs w:val="24"/>
        </w:rPr>
        <w:t xml:space="preserve">s were complicit in the illegality of their franchise dealers, </w:t>
      </w:r>
      <w:r w:rsidR="00005789" w:rsidRPr="002E6E04">
        <w:rPr>
          <w:color w:val="000000" w:themeColor="text1"/>
          <w:szCs w:val="24"/>
        </w:rPr>
        <w:t>incentivizing</w:t>
      </w:r>
      <w:r w:rsidRPr="002E6E04">
        <w:rPr>
          <w:color w:val="000000" w:themeColor="text1"/>
          <w:szCs w:val="24"/>
        </w:rPr>
        <w:t xml:space="preserve"> illicit sales practices by exerting superior market </w:t>
      </w:r>
      <w:r w:rsidRPr="001F5054">
        <w:rPr>
          <w:color w:val="000000" w:themeColor="text1"/>
          <w:szCs w:val="24"/>
        </w:rPr>
        <w:t>power.</w:t>
      </w:r>
      <w:r w:rsidRPr="001F5054">
        <w:rPr>
          <w:rStyle w:val="EndnoteReference"/>
          <w:color w:val="000000" w:themeColor="text1"/>
          <w:szCs w:val="24"/>
        </w:rPr>
        <w:endnoteReference w:id="41"/>
      </w:r>
      <w:r w:rsidRPr="001F5054">
        <w:rPr>
          <w:color w:val="000000" w:themeColor="text1"/>
          <w:szCs w:val="24"/>
        </w:rPr>
        <w:t xml:space="preserve"> </w:t>
      </w:r>
      <w:r w:rsidRPr="00563779">
        <w:rPr>
          <w:color w:val="000000" w:themeColor="text1"/>
          <w:szCs w:val="24"/>
        </w:rPr>
        <w:t>Similarly, when Wall Street trader Dennis Levine embarked on an episode of sustained insider-trading, it was a carefully maintained network of external co-conspirators that provided the information material to his scheme</w:t>
      </w:r>
      <w:r w:rsidRPr="001F5054">
        <w:rPr>
          <w:color w:val="000000" w:themeColor="text1"/>
          <w:szCs w:val="24"/>
        </w:rPr>
        <w:t>.</w:t>
      </w:r>
      <w:r w:rsidRPr="001F5054">
        <w:rPr>
          <w:rStyle w:val="EndnoteReference"/>
          <w:color w:val="000000" w:themeColor="text1"/>
          <w:szCs w:val="24"/>
        </w:rPr>
        <w:endnoteReference w:id="42"/>
      </w:r>
      <w:r w:rsidRPr="002E6E04">
        <w:rPr>
          <w:color w:val="000000" w:themeColor="text1"/>
          <w:szCs w:val="24"/>
        </w:rPr>
        <w:t xml:space="preserve"> While inter-</w:t>
      </w:r>
      <w:r w:rsidR="00005789" w:rsidRPr="002E6E04">
        <w:rPr>
          <w:color w:val="000000" w:themeColor="text1"/>
          <w:szCs w:val="24"/>
        </w:rPr>
        <w:t>organizational</w:t>
      </w:r>
      <w:r w:rsidRPr="002E6E04">
        <w:rPr>
          <w:color w:val="000000" w:themeColor="text1"/>
          <w:szCs w:val="24"/>
        </w:rPr>
        <w:t xml:space="preserve">, the level of active collaboration in these cases remains </w:t>
      </w:r>
      <w:r w:rsidR="00BB72FC" w:rsidRPr="002E6E04">
        <w:rPr>
          <w:color w:val="000000" w:themeColor="text1"/>
          <w:szCs w:val="24"/>
        </w:rPr>
        <w:t>relatively</w:t>
      </w:r>
      <w:r w:rsidRPr="002E6E04">
        <w:rPr>
          <w:color w:val="000000" w:themeColor="text1"/>
          <w:szCs w:val="24"/>
        </w:rPr>
        <w:t xml:space="preserve"> low, with incidents of corruption still occurring largely within discrete </w:t>
      </w:r>
      <w:r w:rsidR="00005789" w:rsidRPr="002E6E04">
        <w:rPr>
          <w:color w:val="000000" w:themeColor="text1"/>
          <w:szCs w:val="24"/>
        </w:rPr>
        <w:t>organizational</w:t>
      </w:r>
      <w:r w:rsidRPr="002E6E04">
        <w:rPr>
          <w:color w:val="000000" w:themeColor="text1"/>
          <w:szCs w:val="24"/>
        </w:rPr>
        <w:t xml:space="preserve"> settings. However, some industries – </w:t>
      </w:r>
      <w:r w:rsidR="009961B6" w:rsidRPr="002E6E04">
        <w:rPr>
          <w:color w:val="000000" w:themeColor="text1"/>
          <w:szCs w:val="24"/>
        </w:rPr>
        <w:t>particularly</w:t>
      </w:r>
      <w:r w:rsidRPr="002E6E04">
        <w:rPr>
          <w:color w:val="000000" w:themeColor="text1"/>
          <w:szCs w:val="24"/>
        </w:rPr>
        <w:t xml:space="preserve"> those involving network technologies like electricity – necessitate far greater levels of inter-dependence between market participants, which in turn affects how </w:t>
      </w:r>
      <w:r w:rsidR="00005789" w:rsidRPr="002E6E04">
        <w:rPr>
          <w:color w:val="000000" w:themeColor="text1"/>
          <w:szCs w:val="24"/>
        </w:rPr>
        <w:t>organizations</w:t>
      </w:r>
      <w:r w:rsidRPr="002E6E04">
        <w:rPr>
          <w:color w:val="000000" w:themeColor="text1"/>
          <w:szCs w:val="24"/>
        </w:rPr>
        <w:t xml:space="preserve"> navigate institutional arrangements.</w:t>
      </w:r>
      <w:r w:rsidRPr="002E6E04">
        <w:rPr>
          <w:rStyle w:val="EndnoteReference"/>
          <w:color w:val="000000" w:themeColor="text1"/>
          <w:szCs w:val="24"/>
        </w:rPr>
        <w:endnoteReference w:id="43"/>
      </w:r>
      <w:r w:rsidRPr="002E6E04">
        <w:rPr>
          <w:color w:val="000000" w:themeColor="text1"/>
          <w:szCs w:val="24"/>
        </w:rPr>
        <w:t xml:space="preserve"> </w:t>
      </w:r>
      <w:r w:rsidR="00A13AF7" w:rsidRPr="002E6E04">
        <w:rPr>
          <w:color w:val="000000" w:themeColor="text1"/>
          <w:szCs w:val="24"/>
        </w:rPr>
        <w:t>W</w:t>
      </w:r>
      <w:r w:rsidRPr="002E6E04">
        <w:rPr>
          <w:color w:val="000000" w:themeColor="text1"/>
          <w:szCs w:val="24"/>
        </w:rPr>
        <w:t xml:space="preserve">here such settings are conducive to corrupt means, they present a highly relevant context from which to understand </w:t>
      </w:r>
      <w:r w:rsidR="00A13AF7" w:rsidRPr="002E6E04">
        <w:rPr>
          <w:color w:val="000000" w:themeColor="text1"/>
          <w:szCs w:val="24"/>
        </w:rPr>
        <w:t>structural boundaries of</w:t>
      </w:r>
      <w:r w:rsidRPr="002E6E04">
        <w:rPr>
          <w:color w:val="000000" w:themeColor="text1"/>
          <w:szCs w:val="24"/>
        </w:rPr>
        <w:t xml:space="preserve"> corruption as a </w:t>
      </w:r>
      <w:r w:rsidR="00A13AF7" w:rsidRPr="002E6E04">
        <w:rPr>
          <w:color w:val="000000" w:themeColor="text1"/>
          <w:szCs w:val="24"/>
        </w:rPr>
        <w:t>collective</w:t>
      </w:r>
      <w:r w:rsidRPr="002E6E04">
        <w:rPr>
          <w:color w:val="000000" w:themeColor="text1"/>
          <w:szCs w:val="24"/>
        </w:rPr>
        <w:t xml:space="preserve"> operational practice.</w:t>
      </w:r>
      <w:r w:rsidR="00897841" w:rsidRPr="002E6E04">
        <w:rPr>
          <w:color w:val="000000" w:themeColor="text1"/>
          <w:szCs w:val="24"/>
        </w:rPr>
        <w:t xml:space="preserve"> This is the case for </w:t>
      </w:r>
      <w:r w:rsidR="00935A5F" w:rsidRPr="002E6E04">
        <w:rPr>
          <w:color w:val="000000" w:themeColor="text1"/>
          <w:szCs w:val="24"/>
        </w:rPr>
        <w:t>Enron</w:t>
      </w:r>
      <w:r w:rsidR="00897841" w:rsidRPr="002E6E04">
        <w:rPr>
          <w:color w:val="000000" w:themeColor="text1"/>
          <w:szCs w:val="24"/>
        </w:rPr>
        <w:t xml:space="preserve">, and we discuss the sources from which </w:t>
      </w:r>
      <w:r w:rsidR="00935A5F" w:rsidRPr="002E6E04">
        <w:rPr>
          <w:color w:val="000000" w:themeColor="text1"/>
          <w:szCs w:val="24"/>
        </w:rPr>
        <w:t>we reconstruct these</w:t>
      </w:r>
      <w:r w:rsidR="00897841" w:rsidRPr="002E6E04">
        <w:rPr>
          <w:color w:val="000000" w:themeColor="text1"/>
          <w:szCs w:val="24"/>
        </w:rPr>
        <w:t xml:space="preserve"> activities in the next section.</w:t>
      </w:r>
    </w:p>
    <w:p w14:paraId="369A7A85" w14:textId="77777777" w:rsidR="008E7D5F" w:rsidRPr="002E6E04" w:rsidRDefault="008E7D5F" w:rsidP="00D34596">
      <w:pPr>
        <w:spacing w:after="0"/>
        <w:ind w:firstLine="576"/>
        <w:rPr>
          <w:color w:val="000000" w:themeColor="text1"/>
          <w:szCs w:val="24"/>
        </w:rPr>
      </w:pPr>
    </w:p>
    <w:p w14:paraId="45508E05" w14:textId="6012A37F" w:rsidR="004438D2" w:rsidRPr="002E6E04" w:rsidRDefault="008E7D5F" w:rsidP="004438D2">
      <w:pPr>
        <w:pStyle w:val="Heading2"/>
        <w:numPr>
          <w:ilvl w:val="0"/>
          <w:numId w:val="0"/>
        </w:numPr>
        <w:ind w:left="576" w:hanging="576"/>
      </w:pPr>
      <w:r>
        <w:t>Digital</w:t>
      </w:r>
      <w:r w:rsidR="009E4B9F" w:rsidRPr="002E6E04">
        <w:rPr>
          <w:i/>
          <w:iCs/>
        </w:rPr>
        <w:t xml:space="preserve"> </w:t>
      </w:r>
      <w:r w:rsidR="009E4B9F" w:rsidRPr="002E6E04">
        <w:t>s</w:t>
      </w:r>
      <w:r w:rsidR="004438D2" w:rsidRPr="002E6E04">
        <w:t>ources</w:t>
      </w:r>
    </w:p>
    <w:p w14:paraId="0319EA33" w14:textId="0297E7FF" w:rsidR="00341B11" w:rsidRPr="002E6E04" w:rsidRDefault="00EC523F" w:rsidP="00A55FFA">
      <w:pPr>
        <w:spacing w:after="0"/>
        <w:rPr>
          <w:color w:val="000000" w:themeColor="text1"/>
        </w:rPr>
      </w:pPr>
      <w:r w:rsidRPr="002E6E04">
        <w:rPr>
          <w:rFonts w:cs="Times New Roman"/>
          <w:noProof/>
          <w:color w:val="000000" w:themeColor="text1"/>
          <w:szCs w:val="24"/>
        </w:rPr>
        <w:t xml:space="preserve">As </w:t>
      </w:r>
      <w:r w:rsidR="00D742BE" w:rsidRPr="002E6E04">
        <w:rPr>
          <w:rFonts w:cs="Times New Roman"/>
          <w:noProof/>
          <w:color w:val="000000" w:themeColor="text1"/>
          <w:szCs w:val="24"/>
        </w:rPr>
        <w:t>highlighted</w:t>
      </w:r>
      <w:r w:rsidRPr="002E6E04">
        <w:rPr>
          <w:rFonts w:cs="Times New Roman"/>
          <w:noProof/>
          <w:color w:val="000000" w:themeColor="text1"/>
          <w:szCs w:val="24"/>
        </w:rPr>
        <w:t xml:space="preserve"> recently by Armando Castro and colleagues</w:t>
      </w:r>
      <w:r w:rsidR="00692F4F" w:rsidRPr="002E6E04">
        <w:rPr>
          <w:rFonts w:cs="Times New Roman"/>
          <w:noProof/>
          <w:color w:val="000000" w:themeColor="text1"/>
          <w:szCs w:val="24"/>
        </w:rPr>
        <w:t>,</w:t>
      </w:r>
      <w:r w:rsidRPr="002E6E04">
        <w:rPr>
          <w:rFonts w:cs="Times New Roman"/>
          <w:noProof/>
          <w:color w:val="000000" w:themeColor="text1"/>
          <w:szCs w:val="24"/>
        </w:rPr>
        <w:t xml:space="preserve"> </w:t>
      </w:r>
      <w:r w:rsidR="00692F4F" w:rsidRPr="002E6E04">
        <w:rPr>
          <w:rFonts w:cs="Times New Roman"/>
          <w:color w:val="000000" w:themeColor="text1"/>
          <w:szCs w:val="24"/>
        </w:rPr>
        <w:t xml:space="preserve">corruption </w:t>
      </w:r>
      <w:r w:rsidR="00692F4F" w:rsidRPr="002E6E04">
        <w:rPr>
          <w:rFonts w:eastAsia="Times New Roman" w:cs="Times New Roman"/>
          <w:bCs/>
          <w:snapToGrid w:val="0"/>
          <w:color w:val="000000" w:themeColor="text1"/>
          <w:szCs w:val="24"/>
        </w:rPr>
        <w:t>present</w:t>
      </w:r>
      <w:r w:rsidR="00363BF6" w:rsidRPr="002E6E04">
        <w:rPr>
          <w:rFonts w:eastAsia="Times New Roman" w:cs="Times New Roman"/>
          <w:bCs/>
          <w:snapToGrid w:val="0"/>
          <w:color w:val="000000" w:themeColor="text1"/>
          <w:szCs w:val="24"/>
        </w:rPr>
        <w:t>s</w:t>
      </w:r>
      <w:r w:rsidR="00692F4F" w:rsidRPr="002E6E04">
        <w:rPr>
          <w:rFonts w:eastAsia="Times New Roman" w:cs="Times New Roman"/>
          <w:bCs/>
          <w:snapToGrid w:val="0"/>
          <w:color w:val="000000" w:themeColor="text1"/>
          <w:szCs w:val="24"/>
        </w:rPr>
        <w:t xml:space="preserve"> a serious methodological challenge</w:t>
      </w:r>
      <w:r w:rsidR="00A056A0" w:rsidRPr="002E6E04">
        <w:rPr>
          <w:rFonts w:eastAsia="Times New Roman" w:cs="Times New Roman"/>
          <w:bCs/>
          <w:snapToGrid w:val="0"/>
          <w:color w:val="000000" w:themeColor="text1"/>
          <w:szCs w:val="24"/>
        </w:rPr>
        <w:t xml:space="preserve"> to management </w:t>
      </w:r>
      <w:r w:rsidR="00CE474B" w:rsidRPr="002E6E04">
        <w:rPr>
          <w:rFonts w:eastAsia="Times New Roman" w:cs="Times New Roman"/>
          <w:bCs/>
          <w:snapToGrid w:val="0"/>
          <w:color w:val="000000" w:themeColor="text1"/>
          <w:szCs w:val="24"/>
        </w:rPr>
        <w:t>scholars</w:t>
      </w:r>
      <w:r w:rsidR="00692F4F" w:rsidRPr="002E6E04">
        <w:rPr>
          <w:rFonts w:eastAsia="Times New Roman" w:cs="Times New Roman"/>
          <w:bCs/>
          <w:snapToGrid w:val="0"/>
          <w:color w:val="000000" w:themeColor="text1"/>
          <w:szCs w:val="24"/>
        </w:rPr>
        <w:t xml:space="preserve">, as </w:t>
      </w:r>
      <w:r w:rsidR="00692F4F" w:rsidRPr="002E6E04">
        <w:rPr>
          <w:color w:val="000000" w:themeColor="text1"/>
        </w:rPr>
        <w:t xml:space="preserve">the contexts in which it occurs are invariably clandestine, and </w:t>
      </w:r>
      <w:r w:rsidR="00A056A0" w:rsidRPr="002E6E04">
        <w:rPr>
          <w:color w:val="000000" w:themeColor="text1"/>
        </w:rPr>
        <w:t xml:space="preserve">thus </w:t>
      </w:r>
      <w:r w:rsidR="00692F4F" w:rsidRPr="002E6E04">
        <w:rPr>
          <w:color w:val="000000" w:themeColor="text1"/>
        </w:rPr>
        <w:t xml:space="preserve">difficult to </w:t>
      </w:r>
      <w:r w:rsidR="00A056A0" w:rsidRPr="002E6E04">
        <w:rPr>
          <w:color w:val="000000" w:themeColor="text1"/>
        </w:rPr>
        <w:t xml:space="preserve">directly </w:t>
      </w:r>
      <w:r w:rsidR="00692F4F" w:rsidRPr="002E6E04">
        <w:rPr>
          <w:color w:val="000000" w:themeColor="text1"/>
        </w:rPr>
        <w:t>study</w:t>
      </w:r>
      <w:r w:rsidR="00692F4F" w:rsidRPr="002E6E04">
        <w:rPr>
          <w:rFonts w:cs="Times New Roman"/>
          <w:color w:val="000000" w:themeColor="text1"/>
          <w:szCs w:val="24"/>
        </w:rPr>
        <w:t>.</w:t>
      </w:r>
      <w:r w:rsidR="00AA44D3" w:rsidRPr="002E6E04">
        <w:rPr>
          <w:rStyle w:val="EndnoteReference"/>
          <w:color w:val="000000" w:themeColor="text1"/>
        </w:rPr>
        <w:endnoteReference w:id="44"/>
      </w:r>
      <w:r w:rsidRPr="002E6E04">
        <w:rPr>
          <w:color w:val="000000" w:themeColor="text1"/>
        </w:rPr>
        <w:t xml:space="preserve"> </w:t>
      </w:r>
      <w:r w:rsidR="002C2FFA" w:rsidRPr="002E6E04">
        <w:rPr>
          <w:color w:val="000000" w:themeColor="text1"/>
        </w:rPr>
        <w:t>We believe that h</w:t>
      </w:r>
      <w:r w:rsidR="009B52A6" w:rsidRPr="002E6E04">
        <w:rPr>
          <w:color w:val="000000" w:themeColor="text1"/>
        </w:rPr>
        <w:t xml:space="preserve">istorical approaches </w:t>
      </w:r>
      <w:r w:rsidR="002C2FFA" w:rsidRPr="002E6E04">
        <w:rPr>
          <w:color w:val="000000" w:themeColor="text1"/>
        </w:rPr>
        <w:t>can add significant value as an</w:t>
      </w:r>
      <w:r w:rsidR="00A056A0" w:rsidRPr="002E6E04">
        <w:rPr>
          <w:color w:val="000000" w:themeColor="text1"/>
        </w:rPr>
        <w:t xml:space="preserve"> alternative to</w:t>
      </w:r>
      <w:r w:rsidR="00E725D8" w:rsidRPr="002E6E04">
        <w:rPr>
          <w:color w:val="000000" w:themeColor="text1"/>
        </w:rPr>
        <w:t xml:space="preserve"> the</w:t>
      </w:r>
      <w:r w:rsidR="00A056A0" w:rsidRPr="002E6E04">
        <w:rPr>
          <w:color w:val="000000" w:themeColor="text1"/>
        </w:rPr>
        <w:t xml:space="preserve"> social scientific methods</w:t>
      </w:r>
      <w:r w:rsidR="00E725D8" w:rsidRPr="002E6E04">
        <w:rPr>
          <w:color w:val="000000" w:themeColor="text1"/>
        </w:rPr>
        <w:t xml:space="preserve"> that predominate this area</w:t>
      </w:r>
      <w:r w:rsidR="00A056A0" w:rsidRPr="002E6E04">
        <w:rPr>
          <w:rFonts w:cs="Times New Roman"/>
          <w:color w:val="000000" w:themeColor="text1"/>
          <w:szCs w:val="24"/>
        </w:rPr>
        <w:t>.</w:t>
      </w:r>
      <w:r w:rsidR="00A056A0" w:rsidRPr="002E6E04">
        <w:rPr>
          <w:color w:val="000000" w:themeColor="text1"/>
        </w:rPr>
        <w:t xml:space="preserve"> Indeed, </w:t>
      </w:r>
      <w:r w:rsidR="009457CA" w:rsidRPr="002E6E04">
        <w:rPr>
          <w:color w:val="000000" w:themeColor="text1"/>
        </w:rPr>
        <w:t xml:space="preserve">business historians are well-positioned to contribute to wider debates in </w:t>
      </w:r>
      <w:r w:rsidR="00A056A0" w:rsidRPr="002E6E04">
        <w:rPr>
          <w:color w:val="000000" w:themeColor="text1"/>
        </w:rPr>
        <w:t xml:space="preserve">the study of </w:t>
      </w:r>
      <w:r w:rsidR="00D0294F" w:rsidRPr="002E6E04">
        <w:rPr>
          <w:color w:val="000000" w:themeColor="text1"/>
        </w:rPr>
        <w:t>wrongdoing</w:t>
      </w:r>
      <w:r w:rsidR="00A056A0" w:rsidRPr="002E6E04">
        <w:rPr>
          <w:color w:val="000000" w:themeColor="text1"/>
        </w:rPr>
        <w:t xml:space="preserve">, </w:t>
      </w:r>
      <w:r w:rsidR="006C7F83" w:rsidRPr="002E6E04">
        <w:rPr>
          <w:color w:val="000000" w:themeColor="text1"/>
        </w:rPr>
        <w:t xml:space="preserve">as has already been seen in related areas like </w:t>
      </w:r>
      <w:r w:rsidR="006C7F83" w:rsidRPr="002E6E04">
        <w:rPr>
          <w:rFonts w:cs="Times New Roman"/>
          <w:color w:val="000000" w:themeColor="text1"/>
          <w:szCs w:val="24"/>
        </w:rPr>
        <w:t>fraud and white-collar crime</w:t>
      </w:r>
      <w:r w:rsidR="006C7F83" w:rsidRPr="002E6E04">
        <w:rPr>
          <w:color w:val="000000" w:themeColor="text1"/>
        </w:rPr>
        <w:t>.</w:t>
      </w:r>
      <w:r w:rsidR="00695501" w:rsidRPr="002E6E04">
        <w:rPr>
          <w:rStyle w:val="EndnoteReference"/>
          <w:color w:val="000000" w:themeColor="text1"/>
        </w:rPr>
        <w:endnoteReference w:id="45"/>
      </w:r>
      <w:r w:rsidR="006C7F83" w:rsidRPr="002E6E04">
        <w:rPr>
          <w:color w:val="000000" w:themeColor="text1"/>
        </w:rPr>
        <w:t xml:space="preserve"> For such phenomena, </w:t>
      </w:r>
      <w:r w:rsidR="00B01DB2" w:rsidRPr="002E6E04">
        <w:rPr>
          <w:rFonts w:cs="Times New Roman"/>
          <w:color w:val="000000" w:themeColor="text1"/>
          <w:szCs w:val="24"/>
        </w:rPr>
        <w:t>t</w:t>
      </w:r>
      <w:r w:rsidR="00AA44D3" w:rsidRPr="002E6E04">
        <w:rPr>
          <w:rFonts w:cs="Times New Roman"/>
          <w:color w:val="000000" w:themeColor="text1"/>
          <w:szCs w:val="24"/>
        </w:rPr>
        <w:t>he selection of</w:t>
      </w:r>
      <w:r w:rsidR="00B01DB2" w:rsidRPr="002E6E04">
        <w:rPr>
          <w:rFonts w:cs="Times New Roman"/>
          <w:color w:val="000000" w:themeColor="text1"/>
          <w:szCs w:val="24"/>
        </w:rPr>
        <w:t xml:space="preserve"> </w:t>
      </w:r>
      <w:r w:rsidR="00AA44D3" w:rsidRPr="002E6E04">
        <w:rPr>
          <w:rFonts w:cs="Times New Roman"/>
          <w:color w:val="000000" w:themeColor="text1"/>
          <w:szCs w:val="24"/>
        </w:rPr>
        <w:t xml:space="preserve">a </w:t>
      </w:r>
      <w:r w:rsidR="00B01DB2" w:rsidRPr="002E6E04">
        <w:rPr>
          <w:rFonts w:cs="Times New Roman"/>
          <w:color w:val="000000" w:themeColor="text1"/>
          <w:szCs w:val="24"/>
        </w:rPr>
        <w:t xml:space="preserve">case or contextual setting is invariably </w:t>
      </w:r>
      <w:r w:rsidR="00CC7D91" w:rsidRPr="002E6E04">
        <w:rPr>
          <w:rFonts w:cs="Times New Roman"/>
          <w:color w:val="000000" w:themeColor="text1"/>
          <w:szCs w:val="24"/>
        </w:rPr>
        <w:t>in the past</w:t>
      </w:r>
      <w:r w:rsidR="00B01DB2" w:rsidRPr="002E6E04">
        <w:rPr>
          <w:rFonts w:cs="Times New Roman"/>
          <w:color w:val="000000" w:themeColor="text1"/>
          <w:szCs w:val="24"/>
        </w:rPr>
        <w:t xml:space="preserve"> and </w:t>
      </w:r>
      <w:r w:rsidR="00ED1738" w:rsidRPr="002E6E04">
        <w:rPr>
          <w:rFonts w:cs="Times New Roman"/>
          <w:color w:val="000000" w:themeColor="text1"/>
          <w:szCs w:val="24"/>
        </w:rPr>
        <w:t xml:space="preserve">events are </w:t>
      </w:r>
      <w:r w:rsidR="00B01DB2" w:rsidRPr="002E6E04">
        <w:rPr>
          <w:rFonts w:cs="Times New Roman"/>
          <w:color w:val="000000" w:themeColor="text1"/>
          <w:szCs w:val="24"/>
        </w:rPr>
        <w:t>often difficult to fully</w:t>
      </w:r>
      <w:r w:rsidR="00022272" w:rsidRPr="002E6E04">
        <w:rPr>
          <w:rFonts w:cs="Times New Roman"/>
          <w:color w:val="000000" w:themeColor="text1"/>
          <w:szCs w:val="24"/>
        </w:rPr>
        <w:t xml:space="preserve"> </w:t>
      </w:r>
      <w:r w:rsidR="009B52A6" w:rsidRPr="002E6E04">
        <w:rPr>
          <w:rFonts w:cs="Times New Roman"/>
          <w:color w:val="000000" w:themeColor="text1"/>
          <w:szCs w:val="24"/>
        </w:rPr>
        <w:t>appreciate</w:t>
      </w:r>
      <w:r w:rsidR="00B01DB2" w:rsidRPr="002E6E04">
        <w:rPr>
          <w:rFonts w:cs="Times New Roman"/>
          <w:color w:val="000000" w:themeColor="text1"/>
          <w:szCs w:val="24"/>
        </w:rPr>
        <w:t xml:space="preserve"> without sufficient </w:t>
      </w:r>
      <w:r w:rsidR="00B01DB2" w:rsidRPr="002E6E04">
        <w:rPr>
          <w:rFonts w:cs="Times New Roman"/>
          <w:color w:val="000000" w:themeColor="text1"/>
          <w:szCs w:val="24"/>
        </w:rPr>
        <w:lastRenderedPageBreak/>
        <w:t>hindsight</w:t>
      </w:r>
      <w:r w:rsidR="00022272" w:rsidRPr="002E6E04">
        <w:rPr>
          <w:rFonts w:cs="Times New Roman"/>
          <w:noProof/>
          <w:color w:val="000000" w:themeColor="text1"/>
          <w:szCs w:val="24"/>
        </w:rPr>
        <w:t>.</w:t>
      </w:r>
      <w:r w:rsidR="00D93236" w:rsidRPr="002E6E04">
        <w:rPr>
          <w:rStyle w:val="EndnoteReference"/>
          <w:rFonts w:cs="Times New Roman"/>
          <w:noProof/>
          <w:color w:val="000000" w:themeColor="text1"/>
          <w:szCs w:val="24"/>
        </w:rPr>
        <w:endnoteReference w:id="46"/>
      </w:r>
      <w:r w:rsidR="00341B11" w:rsidRPr="002E6E04">
        <w:rPr>
          <w:rFonts w:cs="Times New Roman"/>
          <w:noProof/>
          <w:color w:val="000000" w:themeColor="text1"/>
          <w:szCs w:val="24"/>
        </w:rPr>
        <w:t xml:space="preserve"> </w:t>
      </w:r>
      <w:r w:rsidR="003471B8" w:rsidRPr="002E6E04">
        <w:rPr>
          <w:rFonts w:cs="Times New Roman"/>
          <w:noProof/>
          <w:color w:val="000000" w:themeColor="text1"/>
          <w:szCs w:val="24"/>
        </w:rPr>
        <w:t>Moreover</w:t>
      </w:r>
      <w:r w:rsidR="007574EB" w:rsidRPr="002E6E04">
        <w:rPr>
          <w:rFonts w:cs="Times New Roman"/>
          <w:noProof/>
          <w:color w:val="000000" w:themeColor="text1"/>
          <w:szCs w:val="24"/>
        </w:rPr>
        <w:t>,</w:t>
      </w:r>
      <w:r w:rsidR="003471B8" w:rsidRPr="002E6E04">
        <w:rPr>
          <w:rFonts w:cs="Times New Roman"/>
          <w:noProof/>
          <w:color w:val="000000" w:themeColor="text1"/>
          <w:szCs w:val="24"/>
        </w:rPr>
        <w:t xml:space="preserve"> </w:t>
      </w:r>
      <w:r w:rsidR="00695501" w:rsidRPr="002E6E04">
        <w:rPr>
          <w:rFonts w:cs="Times New Roman"/>
          <w:noProof/>
          <w:color w:val="000000" w:themeColor="text1"/>
          <w:szCs w:val="24"/>
        </w:rPr>
        <w:t>information</w:t>
      </w:r>
      <w:r w:rsidR="00D0294F" w:rsidRPr="002E6E04">
        <w:rPr>
          <w:rFonts w:cs="Times New Roman"/>
          <w:noProof/>
          <w:color w:val="000000" w:themeColor="text1"/>
          <w:szCs w:val="24"/>
        </w:rPr>
        <w:t xml:space="preserve"> released during </w:t>
      </w:r>
      <w:r w:rsidR="00CC7D91" w:rsidRPr="002E6E04">
        <w:rPr>
          <w:rFonts w:cs="Times New Roman"/>
          <w:noProof/>
          <w:color w:val="000000" w:themeColor="text1"/>
          <w:szCs w:val="24"/>
        </w:rPr>
        <w:t xml:space="preserve"> subsequent</w:t>
      </w:r>
      <w:r w:rsidR="00D0294F" w:rsidRPr="002E6E04">
        <w:rPr>
          <w:rFonts w:cs="Times New Roman"/>
          <w:noProof/>
          <w:color w:val="000000" w:themeColor="text1"/>
          <w:szCs w:val="24"/>
        </w:rPr>
        <w:t xml:space="preserve"> judicial proceedings</w:t>
      </w:r>
      <w:r w:rsidR="007B3D5C" w:rsidRPr="002E6E04">
        <w:rPr>
          <w:rFonts w:cs="Times New Roman"/>
          <w:noProof/>
          <w:color w:val="000000" w:themeColor="text1"/>
          <w:szCs w:val="24"/>
        </w:rPr>
        <w:t xml:space="preserve"> </w:t>
      </w:r>
      <w:r w:rsidR="00E725D8" w:rsidRPr="002E6E04">
        <w:rPr>
          <w:rFonts w:cs="Times New Roman"/>
          <w:noProof/>
          <w:color w:val="000000" w:themeColor="text1"/>
          <w:szCs w:val="24"/>
        </w:rPr>
        <w:t>are</w:t>
      </w:r>
      <w:r w:rsidR="00341B11" w:rsidRPr="002E6E04">
        <w:rPr>
          <w:rFonts w:cs="Times New Roman"/>
          <w:noProof/>
          <w:color w:val="000000" w:themeColor="text1"/>
          <w:szCs w:val="24"/>
        </w:rPr>
        <w:t xml:space="preserve"> </w:t>
      </w:r>
      <w:r w:rsidR="00391820" w:rsidRPr="002E6E04">
        <w:rPr>
          <w:rFonts w:cs="Times New Roman"/>
          <w:noProof/>
          <w:color w:val="000000" w:themeColor="text1"/>
          <w:szCs w:val="24"/>
        </w:rPr>
        <w:t>often</w:t>
      </w:r>
      <w:r w:rsidR="00CE474B" w:rsidRPr="002E6E04">
        <w:rPr>
          <w:rFonts w:cs="Times New Roman"/>
          <w:noProof/>
          <w:color w:val="000000" w:themeColor="text1"/>
          <w:szCs w:val="24"/>
        </w:rPr>
        <w:t xml:space="preserve"> valued by those seeking to</w:t>
      </w:r>
      <w:r w:rsidR="00D0294F" w:rsidRPr="002E6E04">
        <w:rPr>
          <w:rFonts w:cs="Times New Roman"/>
          <w:noProof/>
          <w:color w:val="000000" w:themeColor="text1"/>
          <w:szCs w:val="24"/>
        </w:rPr>
        <w:t xml:space="preserve"> piece together and illum</w:t>
      </w:r>
      <w:r w:rsidR="00CC7D91" w:rsidRPr="002E6E04">
        <w:rPr>
          <w:rFonts w:cs="Times New Roman"/>
          <w:noProof/>
          <w:color w:val="000000" w:themeColor="text1"/>
          <w:szCs w:val="24"/>
        </w:rPr>
        <w:t>i</w:t>
      </w:r>
      <w:r w:rsidR="00D0294F" w:rsidRPr="002E6E04">
        <w:rPr>
          <w:rFonts w:cs="Times New Roman"/>
          <w:noProof/>
          <w:color w:val="000000" w:themeColor="text1"/>
          <w:szCs w:val="24"/>
        </w:rPr>
        <w:t>nate</w:t>
      </w:r>
      <w:r w:rsidR="007B3D5C" w:rsidRPr="002E6E04">
        <w:rPr>
          <w:rFonts w:cs="Times New Roman"/>
          <w:noProof/>
          <w:color w:val="000000" w:themeColor="text1"/>
          <w:szCs w:val="24"/>
        </w:rPr>
        <w:t xml:space="preserve"> otherwis</w:t>
      </w:r>
      <w:r w:rsidR="00D0294F" w:rsidRPr="002E6E04">
        <w:rPr>
          <w:rFonts w:cs="Times New Roman"/>
          <w:noProof/>
          <w:color w:val="000000" w:themeColor="text1"/>
          <w:szCs w:val="24"/>
        </w:rPr>
        <w:t>e</w:t>
      </w:r>
      <w:r w:rsidR="007B3D5C" w:rsidRPr="002E6E04">
        <w:rPr>
          <w:rFonts w:cs="Times New Roman"/>
          <w:noProof/>
          <w:color w:val="000000" w:themeColor="text1"/>
          <w:szCs w:val="24"/>
        </w:rPr>
        <w:t xml:space="preserve"> hidden aspect</w:t>
      </w:r>
      <w:r w:rsidR="00341B11" w:rsidRPr="002E6E04">
        <w:rPr>
          <w:rFonts w:cs="Times New Roman"/>
          <w:noProof/>
          <w:color w:val="000000" w:themeColor="text1"/>
          <w:szCs w:val="24"/>
        </w:rPr>
        <w:t>s</w:t>
      </w:r>
      <w:r w:rsidR="00FD0E70" w:rsidRPr="002E6E04">
        <w:rPr>
          <w:rFonts w:cs="Times New Roman"/>
          <w:noProof/>
          <w:color w:val="000000" w:themeColor="text1"/>
          <w:szCs w:val="24"/>
        </w:rPr>
        <w:t xml:space="preserve"> </w:t>
      </w:r>
      <w:r w:rsidR="00363BF6" w:rsidRPr="002E6E04">
        <w:rPr>
          <w:rFonts w:cs="Times New Roman"/>
          <w:noProof/>
          <w:color w:val="000000" w:themeColor="text1"/>
          <w:szCs w:val="24"/>
        </w:rPr>
        <w:t>of</w:t>
      </w:r>
      <w:r w:rsidR="007B3D5C" w:rsidRPr="002E6E04">
        <w:rPr>
          <w:rFonts w:cs="Times New Roman"/>
          <w:noProof/>
          <w:color w:val="000000" w:themeColor="text1"/>
          <w:szCs w:val="24"/>
        </w:rPr>
        <w:t xml:space="preserve"> </w:t>
      </w:r>
      <w:r w:rsidR="00341B11" w:rsidRPr="002E6E04">
        <w:rPr>
          <w:rFonts w:cs="Times New Roman"/>
          <w:noProof/>
          <w:color w:val="000000" w:themeColor="text1"/>
          <w:szCs w:val="24"/>
        </w:rPr>
        <w:t>organizational events and actions</w:t>
      </w:r>
      <w:r w:rsidR="00FF37DE" w:rsidRPr="002E6E04">
        <w:rPr>
          <w:rFonts w:cs="Times New Roman"/>
          <w:noProof/>
          <w:color w:val="000000" w:themeColor="text1"/>
          <w:szCs w:val="24"/>
        </w:rPr>
        <w:t>.</w:t>
      </w:r>
      <w:r w:rsidR="00341B11" w:rsidRPr="002E6E04">
        <w:rPr>
          <w:rFonts w:cs="Times New Roman"/>
          <w:noProof/>
          <w:color w:val="000000" w:themeColor="text1"/>
          <w:szCs w:val="24"/>
        </w:rPr>
        <w:t xml:space="preserve"> </w:t>
      </w:r>
      <w:r w:rsidR="00E725D8" w:rsidRPr="002E6E04">
        <w:rPr>
          <w:rFonts w:cs="Times New Roman"/>
          <w:noProof/>
          <w:color w:val="000000" w:themeColor="text1"/>
          <w:szCs w:val="24"/>
        </w:rPr>
        <w:t xml:space="preserve">These traces of the past </w:t>
      </w:r>
      <w:r w:rsidR="00CE474B" w:rsidRPr="002E6E04">
        <w:rPr>
          <w:rFonts w:cs="Times New Roman"/>
          <w:noProof/>
          <w:color w:val="000000" w:themeColor="text1"/>
          <w:szCs w:val="24"/>
        </w:rPr>
        <w:t>often take the form of retrospective inquiry reports</w:t>
      </w:r>
      <w:r w:rsidR="00391820" w:rsidRPr="002E6E04">
        <w:rPr>
          <w:rFonts w:cs="Times New Roman"/>
          <w:noProof/>
          <w:color w:val="000000" w:themeColor="text1"/>
          <w:szCs w:val="24"/>
        </w:rPr>
        <w:t xml:space="preserve"> and judgements</w:t>
      </w:r>
      <w:r w:rsidR="00CE474B" w:rsidRPr="002E6E04">
        <w:rPr>
          <w:rFonts w:cs="Times New Roman"/>
          <w:noProof/>
          <w:color w:val="000000" w:themeColor="text1"/>
          <w:szCs w:val="24"/>
        </w:rPr>
        <w:t>, or submitted evidence like</w:t>
      </w:r>
      <w:r w:rsidR="00ED1738" w:rsidRPr="002E6E04">
        <w:rPr>
          <w:rFonts w:cs="Times New Roman"/>
          <w:noProof/>
          <w:color w:val="000000" w:themeColor="text1"/>
          <w:szCs w:val="24"/>
        </w:rPr>
        <w:t xml:space="preserve"> </w:t>
      </w:r>
      <w:r w:rsidR="00E725D8" w:rsidRPr="002E6E04">
        <w:rPr>
          <w:rFonts w:cs="Times New Roman"/>
          <w:noProof/>
          <w:color w:val="000000" w:themeColor="text1"/>
          <w:szCs w:val="24"/>
        </w:rPr>
        <w:t>company records or</w:t>
      </w:r>
      <w:r w:rsidR="00ED1738" w:rsidRPr="002E6E04">
        <w:rPr>
          <w:rFonts w:cs="Times New Roman"/>
          <w:noProof/>
          <w:color w:val="000000" w:themeColor="text1"/>
          <w:szCs w:val="24"/>
        </w:rPr>
        <w:t xml:space="preserve"> social</w:t>
      </w:r>
      <w:r w:rsidR="00E725D8" w:rsidRPr="002E6E04">
        <w:rPr>
          <w:rFonts w:cs="Times New Roman"/>
          <w:noProof/>
          <w:color w:val="000000" w:themeColor="text1"/>
          <w:szCs w:val="24"/>
        </w:rPr>
        <w:t xml:space="preserve"> corr</w:t>
      </w:r>
      <w:r w:rsidR="00830B2A" w:rsidRPr="002E6E04">
        <w:rPr>
          <w:rFonts w:cs="Times New Roman"/>
          <w:noProof/>
          <w:color w:val="000000" w:themeColor="text1"/>
          <w:szCs w:val="24"/>
        </w:rPr>
        <w:t>e</w:t>
      </w:r>
      <w:r w:rsidR="00E725D8" w:rsidRPr="002E6E04">
        <w:rPr>
          <w:rFonts w:cs="Times New Roman"/>
          <w:noProof/>
          <w:color w:val="000000" w:themeColor="text1"/>
          <w:szCs w:val="24"/>
        </w:rPr>
        <w:t>spondence</w:t>
      </w:r>
      <w:r w:rsidR="00FD0E70" w:rsidRPr="002E6E04">
        <w:rPr>
          <w:rFonts w:cs="Times New Roman"/>
          <w:noProof/>
          <w:color w:val="000000" w:themeColor="text1"/>
          <w:szCs w:val="24"/>
        </w:rPr>
        <w:t xml:space="preserve"> </w:t>
      </w:r>
      <w:r w:rsidR="00363BF6" w:rsidRPr="002E6E04">
        <w:rPr>
          <w:rFonts w:cs="Times New Roman"/>
          <w:noProof/>
          <w:color w:val="000000" w:themeColor="text1"/>
          <w:szCs w:val="24"/>
        </w:rPr>
        <w:t>-</w:t>
      </w:r>
      <w:r w:rsidR="00FD0E70" w:rsidRPr="002E6E04">
        <w:rPr>
          <w:rFonts w:cs="Times New Roman"/>
          <w:noProof/>
          <w:color w:val="000000" w:themeColor="text1"/>
          <w:szCs w:val="24"/>
        </w:rPr>
        <w:t xml:space="preserve"> </w:t>
      </w:r>
      <w:r w:rsidR="00391820" w:rsidRPr="002E6E04">
        <w:rPr>
          <w:rFonts w:cs="Times New Roman"/>
          <w:noProof/>
          <w:color w:val="000000" w:themeColor="text1"/>
          <w:szCs w:val="24"/>
        </w:rPr>
        <w:t>materials</w:t>
      </w:r>
      <w:r w:rsidR="00E725D8" w:rsidRPr="002E6E04">
        <w:rPr>
          <w:rFonts w:cs="Times New Roman"/>
          <w:noProof/>
          <w:color w:val="000000" w:themeColor="text1"/>
          <w:szCs w:val="24"/>
        </w:rPr>
        <w:t xml:space="preserve"> </w:t>
      </w:r>
      <w:r w:rsidR="00ED1738" w:rsidRPr="002E6E04">
        <w:rPr>
          <w:rFonts w:cs="Times New Roman"/>
          <w:noProof/>
          <w:color w:val="000000" w:themeColor="text1"/>
          <w:szCs w:val="24"/>
        </w:rPr>
        <w:t xml:space="preserve">highly </w:t>
      </w:r>
      <w:r w:rsidR="00E725D8" w:rsidRPr="002E6E04">
        <w:rPr>
          <w:rFonts w:cs="Times New Roman"/>
          <w:noProof/>
          <w:color w:val="000000" w:themeColor="text1"/>
          <w:szCs w:val="24"/>
        </w:rPr>
        <w:t>suited to critical source analysis.</w:t>
      </w:r>
      <w:r w:rsidR="00ED1738" w:rsidRPr="002E6E04">
        <w:rPr>
          <w:rFonts w:cs="Times New Roman"/>
          <w:color w:val="000000" w:themeColor="text1"/>
          <w:szCs w:val="24"/>
        </w:rPr>
        <w:t xml:space="preserve"> Despite this,</w:t>
      </w:r>
      <w:r w:rsidR="00D0294F" w:rsidRPr="002E6E04">
        <w:rPr>
          <w:rFonts w:cs="Times New Roman"/>
          <w:color w:val="000000" w:themeColor="text1"/>
          <w:szCs w:val="24"/>
        </w:rPr>
        <w:t xml:space="preserve"> </w:t>
      </w:r>
      <w:r w:rsidR="00341B11" w:rsidRPr="002E6E04">
        <w:rPr>
          <w:rFonts w:cs="Times New Roman"/>
          <w:color w:val="000000" w:themeColor="text1"/>
          <w:szCs w:val="24"/>
        </w:rPr>
        <w:t xml:space="preserve">explicitly historical </w:t>
      </w:r>
      <w:r w:rsidR="00D0294F" w:rsidRPr="002E6E04">
        <w:rPr>
          <w:rFonts w:cs="Times New Roman"/>
          <w:color w:val="000000" w:themeColor="text1"/>
          <w:szCs w:val="24"/>
        </w:rPr>
        <w:t>studies on</w:t>
      </w:r>
      <w:r w:rsidR="00341B11" w:rsidRPr="002E6E04">
        <w:rPr>
          <w:rFonts w:cs="Times New Roman"/>
          <w:color w:val="000000" w:themeColor="text1"/>
          <w:szCs w:val="24"/>
        </w:rPr>
        <w:t xml:space="preserve"> organizational corruption are rare,</w:t>
      </w:r>
      <w:r w:rsidR="00ED1738" w:rsidRPr="002E6E04">
        <w:rPr>
          <w:rFonts w:cs="Times New Roman"/>
          <w:color w:val="000000" w:themeColor="text1"/>
          <w:szCs w:val="24"/>
        </w:rPr>
        <w:t xml:space="preserve"> and we suggest that </w:t>
      </w:r>
      <w:r w:rsidR="00363BF6" w:rsidRPr="002E6E04">
        <w:rPr>
          <w:rFonts w:cs="Times New Roman"/>
          <w:color w:val="000000" w:themeColor="text1"/>
          <w:szCs w:val="24"/>
        </w:rPr>
        <w:t>a more</w:t>
      </w:r>
      <w:r w:rsidR="00ED1738" w:rsidRPr="002E6E04">
        <w:rPr>
          <w:rFonts w:cs="Times New Roman"/>
          <w:color w:val="000000" w:themeColor="text1"/>
          <w:szCs w:val="24"/>
        </w:rPr>
        <w:t xml:space="preserve"> historically cognizant treatment of organizational corruption has scope to add significant empirical and theoretical understanding</w:t>
      </w:r>
      <w:r w:rsidR="00CE474B" w:rsidRPr="002E6E04">
        <w:rPr>
          <w:rFonts w:cs="Times New Roman"/>
          <w:color w:val="000000" w:themeColor="text1"/>
          <w:szCs w:val="24"/>
        </w:rPr>
        <w:t>.</w:t>
      </w:r>
    </w:p>
    <w:p w14:paraId="1223A0E6" w14:textId="6644E3C3" w:rsidR="00671BFE" w:rsidRPr="002E6E04" w:rsidRDefault="004B7457" w:rsidP="00ED1738">
      <w:pPr>
        <w:spacing w:after="0"/>
        <w:ind w:firstLine="720"/>
        <w:rPr>
          <w:rFonts w:cs="Times New Roman"/>
          <w:noProof/>
          <w:color w:val="000000" w:themeColor="text1"/>
          <w:szCs w:val="24"/>
        </w:rPr>
      </w:pPr>
      <w:r w:rsidRPr="002E6E04">
        <w:rPr>
          <w:rFonts w:cs="Times New Roman"/>
          <w:color w:val="000000" w:themeColor="text1"/>
          <w:szCs w:val="24"/>
        </w:rPr>
        <w:t>In th</w:t>
      </w:r>
      <w:r w:rsidR="00D30759" w:rsidRPr="002E6E04">
        <w:rPr>
          <w:rFonts w:cs="Times New Roman"/>
          <w:color w:val="000000" w:themeColor="text1"/>
          <w:szCs w:val="24"/>
        </w:rPr>
        <w:t>is</w:t>
      </w:r>
      <w:r w:rsidRPr="002E6E04">
        <w:rPr>
          <w:rFonts w:cs="Times New Roman"/>
          <w:color w:val="000000" w:themeColor="text1"/>
          <w:szCs w:val="24"/>
        </w:rPr>
        <w:t xml:space="preserve"> regard,</w:t>
      </w:r>
      <w:r w:rsidR="00CE474B" w:rsidRPr="002E6E04">
        <w:rPr>
          <w:rFonts w:cs="Times New Roman"/>
          <w:color w:val="000000" w:themeColor="text1"/>
          <w:szCs w:val="24"/>
        </w:rPr>
        <w:t xml:space="preserve"> more recent historical period</w:t>
      </w:r>
      <w:r w:rsidRPr="002E6E04">
        <w:rPr>
          <w:rFonts w:cs="Times New Roman"/>
          <w:color w:val="000000" w:themeColor="text1"/>
          <w:szCs w:val="24"/>
        </w:rPr>
        <w:t>s offer particularly rich insight</w:t>
      </w:r>
      <w:r w:rsidR="00CE474B" w:rsidRPr="002E6E04">
        <w:rPr>
          <w:rFonts w:cs="Times New Roman"/>
          <w:color w:val="000000" w:themeColor="text1"/>
          <w:szCs w:val="24"/>
        </w:rPr>
        <w:t>,</w:t>
      </w:r>
      <w:r w:rsidRPr="002E6E04">
        <w:rPr>
          <w:rFonts w:cs="Times New Roman"/>
          <w:color w:val="000000" w:themeColor="text1"/>
          <w:szCs w:val="24"/>
        </w:rPr>
        <w:t xml:space="preserve"> as</w:t>
      </w:r>
      <w:r w:rsidR="00CE474B" w:rsidRPr="002E6E04">
        <w:rPr>
          <w:rFonts w:eastAsia="Times New Roman" w:cs="Times New Roman"/>
          <w:color w:val="000000" w:themeColor="text1"/>
          <w:szCs w:val="24"/>
          <w:lang w:eastAsia="en-GB"/>
        </w:rPr>
        <w:t xml:space="preserve"> digital technologies like personal computers and the internet</w:t>
      </w:r>
      <w:r w:rsidRPr="002E6E04">
        <w:rPr>
          <w:rFonts w:eastAsia="Times New Roman" w:cs="Times New Roman"/>
          <w:color w:val="000000" w:themeColor="text1"/>
          <w:szCs w:val="24"/>
          <w:lang w:eastAsia="en-GB"/>
        </w:rPr>
        <w:t xml:space="preserve"> have changed the nature of those </w:t>
      </w:r>
      <w:r w:rsidR="00CE474B" w:rsidRPr="002E6E04">
        <w:rPr>
          <w:rFonts w:eastAsia="Times New Roman" w:cs="Times New Roman"/>
          <w:color w:val="000000" w:themeColor="text1"/>
          <w:szCs w:val="24"/>
          <w:lang w:eastAsia="en-GB"/>
        </w:rPr>
        <w:t>traces left behind</w:t>
      </w:r>
      <w:r w:rsidRPr="002E6E04">
        <w:rPr>
          <w:rFonts w:eastAsia="Times New Roman" w:cs="Times New Roman"/>
          <w:color w:val="000000" w:themeColor="text1"/>
          <w:szCs w:val="24"/>
          <w:lang w:eastAsia="en-GB"/>
        </w:rPr>
        <w:t>.</w:t>
      </w:r>
      <w:r w:rsidR="00CE474B" w:rsidRPr="002E6E04">
        <w:rPr>
          <w:rFonts w:cs="Times New Roman"/>
          <w:color w:val="000000" w:themeColor="text1"/>
          <w:szCs w:val="24"/>
        </w:rPr>
        <w:t xml:space="preserve"> </w:t>
      </w:r>
      <w:r w:rsidR="00E725D8" w:rsidRPr="002E6E04">
        <w:rPr>
          <w:rFonts w:cs="Times New Roman"/>
          <w:color w:val="000000" w:themeColor="text1"/>
          <w:szCs w:val="24"/>
        </w:rPr>
        <w:t>Within this research, we use a unique</w:t>
      </w:r>
      <w:r w:rsidR="00071CBB" w:rsidRPr="002E6E04">
        <w:rPr>
          <w:rFonts w:cs="Times New Roman"/>
          <w:color w:val="000000" w:themeColor="text1"/>
          <w:szCs w:val="24"/>
        </w:rPr>
        <w:t>ly rich</w:t>
      </w:r>
      <w:r w:rsidR="00E725D8" w:rsidRPr="002E6E04">
        <w:rPr>
          <w:rFonts w:cs="Times New Roman"/>
          <w:color w:val="000000" w:themeColor="text1"/>
          <w:szCs w:val="24"/>
        </w:rPr>
        <w:t xml:space="preserve"> collection of</w:t>
      </w:r>
      <w:r w:rsidRPr="002E6E04">
        <w:rPr>
          <w:rFonts w:cs="Times New Roman"/>
          <w:color w:val="000000" w:themeColor="text1"/>
          <w:szCs w:val="24"/>
        </w:rPr>
        <w:t xml:space="preserve"> digital</w:t>
      </w:r>
      <w:r w:rsidR="00E725D8" w:rsidRPr="002E6E04">
        <w:rPr>
          <w:rFonts w:cs="Times New Roman"/>
          <w:color w:val="000000" w:themeColor="text1"/>
          <w:szCs w:val="24"/>
        </w:rPr>
        <w:t xml:space="preserve"> historical sources to empirically elaborate </w:t>
      </w:r>
      <w:r w:rsidRPr="002E6E04">
        <w:rPr>
          <w:rFonts w:cs="Times New Roman"/>
          <w:color w:val="000000" w:themeColor="text1"/>
          <w:szCs w:val="24"/>
        </w:rPr>
        <w:t>historical events in ways that would not have been otherwise possible</w:t>
      </w:r>
      <w:r w:rsidR="00391820" w:rsidRPr="002E6E04">
        <w:rPr>
          <w:rFonts w:cs="Times New Roman"/>
          <w:color w:val="000000" w:themeColor="text1"/>
          <w:szCs w:val="24"/>
        </w:rPr>
        <w:t>.</w:t>
      </w:r>
      <w:r w:rsidR="00071CBB" w:rsidRPr="002E6E04">
        <w:rPr>
          <w:rStyle w:val="EndnoteReference"/>
          <w:rFonts w:cs="Times New Roman"/>
          <w:color w:val="000000" w:themeColor="text1"/>
          <w:szCs w:val="24"/>
        </w:rPr>
        <w:endnoteReference w:id="47"/>
      </w:r>
      <w:r w:rsidR="00CB3BD3" w:rsidRPr="002E6E04">
        <w:rPr>
          <w:rFonts w:eastAsia="Times New Roman" w:cs="Times New Roman"/>
          <w:color w:val="000000" w:themeColor="text1"/>
          <w:szCs w:val="24"/>
          <w:lang w:eastAsia="en-GB"/>
        </w:rPr>
        <w:t xml:space="preserve"> </w:t>
      </w:r>
      <w:r w:rsidR="00391820" w:rsidRPr="002E6E04">
        <w:rPr>
          <w:rFonts w:eastAsia="Times New Roman" w:cs="Times New Roman"/>
          <w:color w:val="000000" w:themeColor="text1"/>
          <w:szCs w:val="24"/>
          <w:lang w:eastAsia="en-GB"/>
        </w:rPr>
        <w:t xml:space="preserve">This is because digital technologies </w:t>
      </w:r>
      <w:r w:rsidR="00D11821" w:rsidRPr="002E6E04">
        <w:rPr>
          <w:rFonts w:eastAsia="Times New Roman" w:cs="Times New Roman"/>
          <w:color w:val="000000" w:themeColor="text1"/>
          <w:szCs w:val="24"/>
          <w:lang w:eastAsia="en-GB"/>
        </w:rPr>
        <w:t>preserve</w:t>
      </w:r>
      <w:r w:rsidR="00391820" w:rsidRPr="002E6E04">
        <w:rPr>
          <w:rFonts w:eastAsia="Times New Roman" w:cs="Times New Roman"/>
          <w:color w:val="000000" w:themeColor="text1"/>
          <w:szCs w:val="24"/>
          <w:lang w:eastAsia="en-GB"/>
        </w:rPr>
        <w:t xml:space="preserve"> organizational </w:t>
      </w:r>
      <w:r w:rsidR="00695501" w:rsidRPr="002E6E04">
        <w:rPr>
          <w:rFonts w:eastAsia="Times New Roman" w:cs="Times New Roman"/>
          <w:color w:val="000000" w:themeColor="text1"/>
          <w:szCs w:val="24"/>
          <w:lang w:eastAsia="en-GB"/>
        </w:rPr>
        <w:t>life</w:t>
      </w:r>
      <w:r w:rsidR="00391820" w:rsidRPr="002E6E04">
        <w:rPr>
          <w:rFonts w:eastAsia="Times New Roman" w:cs="Times New Roman"/>
          <w:color w:val="000000" w:themeColor="text1"/>
          <w:szCs w:val="24"/>
          <w:lang w:eastAsia="en-GB"/>
        </w:rPr>
        <w:t xml:space="preserve"> in way</w:t>
      </w:r>
      <w:r w:rsidR="00363BF6" w:rsidRPr="002E6E04">
        <w:rPr>
          <w:rFonts w:eastAsia="Times New Roman" w:cs="Times New Roman"/>
          <w:color w:val="000000" w:themeColor="text1"/>
          <w:szCs w:val="24"/>
          <w:lang w:eastAsia="en-GB"/>
        </w:rPr>
        <w:t>s</w:t>
      </w:r>
      <w:r w:rsidR="00391820" w:rsidRPr="002E6E04">
        <w:rPr>
          <w:rFonts w:eastAsia="Times New Roman" w:cs="Times New Roman"/>
          <w:color w:val="000000" w:themeColor="text1"/>
          <w:szCs w:val="24"/>
          <w:lang w:eastAsia="en-GB"/>
        </w:rPr>
        <w:t xml:space="preserve"> that analogue equivalents</w:t>
      </w:r>
      <w:r w:rsidR="00D11821" w:rsidRPr="002E6E04">
        <w:rPr>
          <w:rFonts w:eastAsia="Times New Roman" w:cs="Times New Roman"/>
          <w:color w:val="000000" w:themeColor="text1"/>
          <w:szCs w:val="24"/>
          <w:lang w:eastAsia="en-GB"/>
        </w:rPr>
        <w:t xml:space="preserve"> do not</w:t>
      </w:r>
      <w:r w:rsidR="00695501" w:rsidRPr="002E6E04">
        <w:rPr>
          <w:rFonts w:eastAsia="Times New Roman" w:cs="Times New Roman"/>
          <w:color w:val="000000" w:themeColor="text1"/>
          <w:szCs w:val="24"/>
          <w:lang w:eastAsia="en-GB"/>
        </w:rPr>
        <w:t xml:space="preserve">. In particular, </w:t>
      </w:r>
      <w:r w:rsidR="00071CBB" w:rsidRPr="002E6E04">
        <w:rPr>
          <w:rFonts w:eastAsia="Times New Roman" w:cs="Times New Roman"/>
          <w:color w:val="000000" w:themeColor="text1"/>
          <w:szCs w:val="24"/>
          <w:lang w:eastAsia="en-GB"/>
        </w:rPr>
        <w:t>communication technologies are</w:t>
      </w:r>
      <w:r w:rsidR="00D11821" w:rsidRPr="002E6E04">
        <w:rPr>
          <w:rFonts w:eastAsia="Times New Roman" w:cs="Times New Roman"/>
          <w:color w:val="000000" w:themeColor="text1"/>
          <w:szCs w:val="24"/>
          <w:lang w:eastAsia="en-GB"/>
        </w:rPr>
        <w:t xml:space="preserve"> very good a</w:t>
      </w:r>
      <w:r w:rsidR="008427ED" w:rsidRPr="002E6E04">
        <w:rPr>
          <w:rFonts w:eastAsia="Times New Roman" w:cs="Times New Roman"/>
          <w:color w:val="000000" w:themeColor="text1"/>
          <w:szCs w:val="24"/>
          <w:lang w:eastAsia="en-GB"/>
        </w:rPr>
        <w:t>t</w:t>
      </w:r>
      <w:r w:rsidR="00D11821" w:rsidRPr="002E6E04">
        <w:rPr>
          <w:rFonts w:eastAsia="Times New Roman" w:cs="Times New Roman"/>
          <w:color w:val="000000" w:themeColor="text1"/>
          <w:szCs w:val="24"/>
          <w:lang w:eastAsia="en-GB"/>
        </w:rPr>
        <w:t xml:space="preserve"> capturing the ephemera of daily life from varied organizational contexts, rather than correspondence of high-level managers and executive</w:t>
      </w:r>
      <w:r w:rsidR="00363BF6" w:rsidRPr="002E6E04">
        <w:rPr>
          <w:rFonts w:eastAsia="Times New Roman" w:cs="Times New Roman"/>
          <w:color w:val="000000" w:themeColor="text1"/>
          <w:szCs w:val="24"/>
          <w:lang w:eastAsia="en-GB"/>
        </w:rPr>
        <w:t>s</w:t>
      </w:r>
      <w:r w:rsidR="00D11821" w:rsidRPr="002E6E04">
        <w:rPr>
          <w:rFonts w:eastAsia="Times New Roman" w:cs="Times New Roman"/>
          <w:color w:val="000000" w:themeColor="text1"/>
          <w:szCs w:val="24"/>
          <w:lang w:eastAsia="en-GB"/>
        </w:rPr>
        <w:t xml:space="preserve"> that are </w:t>
      </w:r>
      <w:r w:rsidR="00071CBB" w:rsidRPr="002E6E04">
        <w:rPr>
          <w:rFonts w:eastAsia="Times New Roman" w:cs="Times New Roman"/>
          <w:color w:val="000000" w:themeColor="text1"/>
          <w:szCs w:val="24"/>
          <w:lang w:eastAsia="en-GB"/>
        </w:rPr>
        <w:t>more typically</w:t>
      </w:r>
      <w:r w:rsidR="00D11821" w:rsidRPr="002E6E04">
        <w:rPr>
          <w:rFonts w:eastAsia="Times New Roman" w:cs="Times New Roman"/>
          <w:color w:val="000000" w:themeColor="text1"/>
          <w:szCs w:val="24"/>
          <w:lang w:eastAsia="en-GB"/>
        </w:rPr>
        <w:t xml:space="preserve"> well represented in traditional archives. F</w:t>
      </w:r>
      <w:r w:rsidR="00E6796A" w:rsidRPr="002E6E04">
        <w:rPr>
          <w:rFonts w:eastAsia="Times New Roman" w:cs="Times New Roman"/>
          <w:color w:val="000000" w:themeColor="text1"/>
          <w:szCs w:val="24"/>
          <w:lang w:eastAsia="en-GB"/>
        </w:rPr>
        <w:t>or us</w:t>
      </w:r>
      <w:r w:rsidR="00D11821" w:rsidRPr="002E6E04">
        <w:rPr>
          <w:rFonts w:eastAsia="Times New Roman" w:cs="Times New Roman"/>
          <w:color w:val="000000" w:themeColor="text1"/>
          <w:szCs w:val="24"/>
          <w:lang w:eastAsia="en-GB"/>
        </w:rPr>
        <w:t>, this provided a view that included b</w:t>
      </w:r>
      <w:r w:rsidR="00E6796A" w:rsidRPr="002E6E04">
        <w:rPr>
          <w:rFonts w:eastAsia="Times New Roman" w:cs="Times New Roman"/>
          <w:color w:val="000000" w:themeColor="text1"/>
          <w:szCs w:val="24"/>
          <w:lang w:eastAsia="en-GB"/>
        </w:rPr>
        <w:t>oth</w:t>
      </w:r>
      <w:r w:rsidR="00D11821" w:rsidRPr="002E6E04">
        <w:rPr>
          <w:rFonts w:eastAsia="Times New Roman" w:cs="Times New Roman"/>
          <w:color w:val="000000" w:themeColor="text1"/>
          <w:szCs w:val="24"/>
          <w:lang w:eastAsia="en-GB"/>
        </w:rPr>
        <w:t xml:space="preserve"> junior and senior divisional employees</w:t>
      </w:r>
      <w:r w:rsidR="00E6796A" w:rsidRPr="002E6E04">
        <w:rPr>
          <w:rFonts w:eastAsia="Times New Roman" w:cs="Times New Roman"/>
          <w:color w:val="000000" w:themeColor="text1"/>
          <w:szCs w:val="24"/>
          <w:lang w:eastAsia="en-GB"/>
        </w:rPr>
        <w:t>,</w:t>
      </w:r>
      <w:r w:rsidR="00D11821" w:rsidRPr="002E6E04">
        <w:rPr>
          <w:rFonts w:eastAsia="Times New Roman" w:cs="Times New Roman"/>
          <w:color w:val="000000" w:themeColor="text1"/>
          <w:szCs w:val="24"/>
          <w:lang w:eastAsia="en-GB"/>
        </w:rPr>
        <w:t xml:space="preserve"> as well as</w:t>
      </w:r>
      <w:r w:rsidR="00E6796A" w:rsidRPr="002E6E04">
        <w:rPr>
          <w:rFonts w:eastAsia="Times New Roman" w:cs="Times New Roman"/>
          <w:color w:val="000000" w:themeColor="text1"/>
          <w:szCs w:val="24"/>
          <w:lang w:eastAsia="en-GB"/>
        </w:rPr>
        <w:t xml:space="preserve"> their day-to-day interaction</w:t>
      </w:r>
      <w:r w:rsidR="00071CBB" w:rsidRPr="002E6E04">
        <w:rPr>
          <w:rFonts w:eastAsia="Times New Roman" w:cs="Times New Roman"/>
          <w:color w:val="000000" w:themeColor="text1"/>
          <w:szCs w:val="24"/>
          <w:lang w:eastAsia="en-GB"/>
        </w:rPr>
        <w:t>s</w:t>
      </w:r>
      <w:r w:rsidR="00E6796A" w:rsidRPr="002E6E04">
        <w:rPr>
          <w:rFonts w:eastAsia="Times New Roman" w:cs="Times New Roman"/>
          <w:color w:val="000000" w:themeColor="text1"/>
          <w:szCs w:val="24"/>
          <w:lang w:eastAsia="en-GB"/>
        </w:rPr>
        <w:t>, many of which were to</w:t>
      </w:r>
      <w:r w:rsidR="00D11821" w:rsidRPr="002E6E04">
        <w:rPr>
          <w:rFonts w:eastAsia="Times New Roman" w:cs="Times New Roman"/>
          <w:color w:val="000000" w:themeColor="text1"/>
          <w:szCs w:val="24"/>
          <w:lang w:eastAsia="en-GB"/>
        </w:rPr>
        <w:t xml:space="preserve">o fleeting to have survived as </w:t>
      </w:r>
      <w:r w:rsidR="00E6796A" w:rsidRPr="002E6E04">
        <w:rPr>
          <w:rFonts w:eastAsia="Times New Roman" w:cs="Times New Roman"/>
          <w:color w:val="000000" w:themeColor="text1"/>
          <w:szCs w:val="24"/>
          <w:lang w:eastAsia="en-GB"/>
        </w:rPr>
        <w:t xml:space="preserve">traditional </w:t>
      </w:r>
      <w:r w:rsidR="00D11821" w:rsidRPr="002E6E04">
        <w:rPr>
          <w:rFonts w:eastAsia="Times New Roman" w:cs="Times New Roman"/>
          <w:color w:val="000000" w:themeColor="text1"/>
          <w:szCs w:val="24"/>
          <w:lang w:eastAsia="en-GB"/>
        </w:rPr>
        <w:t>historical sources.</w:t>
      </w:r>
      <w:r w:rsidR="00E6796A" w:rsidRPr="002E6E04">
        <w:rPr>
          <w:rFonts w:eastAsia="Times New Roman" w:cs="Times New Roman"/>
          <w:color w:val="000000" w:themeColor="text1"/>
          <w:szCs w:val="24"/>
          <w:lang w:eastAsia="en-GB"/>
        </w:rPr>
        <w:t xml:space="preserve"> Moreover, such insights are of </w:t>
      </w:r>
      <w:r w:rsidR="00071CBB" w:rsidRPr="002E6E04">
        <w:rPr>
          <w:rFonts w:eastAsia="Times New Roman" w:cs="Times New Roman"/>
          <w:color w:val="000000" w:themeColor="text1"/>
          <w:szCs w:val="24"/>
          <w:lang w:eastAsia="en-GB"/>
        </w:rPr>
        <w:t xml:space="preserve">particular </w:t>
      </w:r>
      <w:r w:rsidR="00E6796A" w:rsidRPr="002E6E04">
        <w:rPr>
          <w:rFonts w:eastAsia="Times New Roman" w:cs="Times New Roman"/>
          <w:color w:val="000000" w:themeColor="text1"/>
          <w:szCs w:val="24"/>
          <w:lang w:eastAsia="en-GB"/>
        </w:rPr>
        <w:t xml:space="preserve">value to </w:t>
      </w:r>
      <w:r w:rsidR="00C01236" w:rsidRPr="002E6E04">
        <w:rPr>
          <w:rFonts w:eastAsia="Times New Roman" w:cs="Times New Roman"/>
          <w:color w:val="000000" w:themeColor="text1"/>
          <w:szCs w:val="24"/>
          <w:lang w:eastAsia="en-GB"/>
        </w:rPr>
        <w:t>understanding</w:t>
      </w:r>
      <w:r w:rsidR="00E6796A" w:rsidRPr="002E6E04">
        <w:rPr>
          <w:rFonts w:eastAsia="Times New Roman" w:cs="Times New Roman"/>
          <w:color w:val="000000" w:themeColor="text1"/>
          <w:szCs w:val="24"/>
          <w:lang w:eastAsia="en-GB"/>
        </w:rPr>
        <w:t xml:space="preserve"> wrongful behavior</w:t>
      </w:r>
      <w:r w:rsidR="00C01236" w:rsidRPr="002E6E04">
        <w:rPr>
          <w:rFonts w:eastAsia="Times New Roman" w:cs="Times New Roman"/>
          <w:color w:val="000000" w:themeColor="text1"/>
          <w:szCs w:val="24"/>
          <w:lang w:eastAsia="en-GB"/>
        </w:rPr>
        <w:t>s</w:t>
      </w:r>
      <w:r w:rsidR="00E6796A" w:rsidRPr="002E6E04">
        <w:rPr>
          <w:rFonts w:eastAsia="Times New Roman" w:cs="Times New Roman"/>
          <w:color w:val="000000" w:themeColor="text1"/>
          <w:szCs w:val="24"/>
          <w:lang w:eastAsia="en-GB"/>
        </w:rPr>
        <w:t xml:space="preserve">, </w:t>
      </w:r>
      <w:r w:rsidR="00C01236" w:rsidRPr="002E6E04">
        <w:rPr>
          <w:rFonts w:eastAsia="Times New Roman" w:cs="Times New Roman"/>
          <w:color w:val="000000" w:themeColor="text1"/>
          <w:szCs w:val="24"/>
          <w:lang w:eastAsia="en-GB"/>
        </w:rPr>
        <w:t>which are</w:t>
      </w:r>
      <w:r w:rsidR="00E6796A" w:rsidRPr="002E6E04">
        <w:rPr>
          <w:rFonts w:eastAsia="Times New Roman" w:cs="Times New Roman"/>
          <w:color w:val="000000" w:themeColor="text1"/>
          <w:szCs w:val="24"/>
          <w:lang w:eastAsia="en-GB"/>
        </w:rPr>
        <w:t xml:space="preserve"> usually piece</w:t>
      </w:r>
      <w:r w:rsidR="00194B20" w:rsidRPr="002E6E04">
        <w:rPr>
          <w:rFonts w:eastAsia="Times New Roman" w:cs="Times New Roman"/>
          <w:color w:val="000000" w:themeColor="text1"/>
          <w:szCs w:val="24"/>
          <w:lang w:eastAsia="en-GB"/>
        </w:rPr>
        <w:t>d</w:t>
      </w:r>
      <w:r w:rsidR="00E6796A" w:rsidRPr="002E6E04">
        <w:rPr>
          <w:rFonts w:eastAsia="Times New Roman" w:cs="Times New Roman"/>
          <w:color w:val="000000" w:themeColor="text1"/>
          <w:szCs w:val="24"/>
          <w:lang w:eastAsia="en-GB"/>
        </w:rPr>
        <w:t xml:space="preserve"> together from trial </w:t>
      </w:r>
      <w:r w:rsidR="00C01236" w:rsidRPr="002E6E04">
        <w:rPr>
          <w:rFonts w:eastAsia="Times New Roman" w:cs="Times New Roman"/>
          <w:color w:val="000000" w:themeColor="text1"/>
          <w:szCs w:val="24"/>
          <w:lang w:eastAsia="en-GB"/>
        </w:rPr>
        <w:t>proceedings</w:t>
      </w:r>
      <w:r w:rsidR="00A477A4" w:rsidRPr="002E6E04">
        <w:rPr>
          <w:rFonts w:eastAsia="Times New Roman" w:cs="Times New Roman"/>
          <w:color w:val="000000" w:themeColor="text1"/>
          <w:szCs w:val="24"/>
          <w:lang w:eastAsia="en-GB"/>
        </w:rPr>
        <w:t>, rather than fly-on-the-wall view</w:t>
      </w:r>
      <w:r w:rsidR="00071CBB" w:rsidRPr="002E6E04">
        <w:rPr>
          <w:rFonts w:eastAsia="Times New Roman" w:cs="Times New Roman"/>
          <w:color w:val="000000" w:themeColor="text1"/>
          <w:szCs w:val="24"/>
          <w:lang w:eastAsia="en-GB"/>
        </w:rPr>
        <w:t>s</w:t>
      </w:r>
      <w:r w:rsidR="00A477A4" w:rsidRPr="002E6E04">
        <w:rPr>
          <w:rFonts w:eastAsia="Times New Roman" w:cs="Times New Roman"/>
          <w:color w:val="000000" w:themeColor="text1"/>
          <w:szCs w:val="24"/>
          <w:lang w:eastAsia="en-GB"/>
        </w:rPr>
        <w:t xml:space="preserve"> into </w:t>
      </w:r>
      <w:r w:rsidR="00C61F57" w:rsidRPr="002E6E04">
        <w:rPr>
          <w:rFonts w:eastAsia="Times New Roman" w:cs="Times New Roman"/>
          <w:color w:val="000000" w:themeColor="text1"/>
          <w:szCs w:val="24"/>
          <w:lang w:eastAsia="en-GB"/>
        </w:rPr>
        <w:t xml:space="preserve">its </w:t>
      </w:r>
      <w:r w:rsidR="00C01236" w:rsidRPr="002E6E04">
        <w:rPr>
          <w:rFonts w:eastAsia="Times New Roman" w:cs="Times New Roman"/>
          <w:color w:val="000000" w:themeColor="text1"/>
          <w:szCs w:val="24"/>
          <w:lang w:eastAsia="en-GB"/>
        </w:rPr>
        <w:t xml:space="preserve">actual </w:t>
      </w:r>
      <w:r w:rsidR="00C61F57" w:rsidRPr="002E6E04">
        <w:rPr>
          <w:rFonts w:eastAsia="Times New Roman" w:cs="Times New Roman"/>
          <w:color w:val="000000" w:themeColor="text1"/>
          <w:szCs w:val="24"/>
          <w:lang w:eastAsia="en-GB"/>
        </w:rPr>
        <w:t>enactment</w:t>
      </w:r>
      <w:r w:rsidR="00E6796A" w:rsidRPr="002E6E04">
        <w:rPr>
          <w:rFonts w:eastAsia="Times New Roman" w:cs="Times New Roman"/>
          <w:color w:val="000000" w:themeColor="text1"/>
          <w:szCs w:val="24"/>
          <w:lang w:eastAsia="en-GB"/>
        </w:rPr>
        <w:t>.</w:t>
      </w:r>
      <w:r w:rsidR="00E4706D" w:rsidRPr="002E6E04">
        <w:rPr>
          <w:rStyle w:val="EndnoteReference"/>
          <w:rFonts w:eastAsia="Times New Roman" w:cs="Times New Roman"/>
          <w:color w:val="000000" w:themeColor="text1"/>
          <w:szCs w:val="24"/>
          <w:lang w:eastAsia="en-GB"/>
        </w:rPr>
        <w:endnoteReference w:id="48"/>
      </w:r>
      <w:r w:rsidR="00E6796A" w:rsidRPr="002E6E04">
        <w:rPr>
          <w:rFonts w:eastAsia="Times New Roman" w:cs="Times New Roman"/>
          <w:color w:val="000000" w:themeColor="text1"/>
          <w:szCs w:val="24"/>
          <w:lang w:eastAsia="en-GB"/>
        </w:rPr>
        <w:t xml:space="preserve"> </w:t>
      </w:r>
      <w:r w:rsidRPr="002E6E04">
        <w:rPr>
          <w:rFonts w:eastAsia="Times New Roman" w:cs="Times New Roman"/>
          <w:color w:val="000000" w:themeColor="text1"/>
          <w:szCs w:val="24"/>
          <w:lang w:eastAsia="en-GB"/>
        </w:rPr>
        <w:t xml:space="preserve">In this sense, our research is </w:t>
      </w:r>
      <w:r w:rsidR="00A477A4" w:rsidRPr="002E6E04">
        <w:rPr>
          <w:color w:val="000000" w:themeColor="text1"/>
        </w:rPr>
        <w:t>illustrative</w:t>
      </w:r>
      <w:r w:rsidRPr="002E6E04">
        <w:rPr>
          <w:color w:val="000000" w:themeColor="text1"/>
        </w:rPr>
        <w:t xml:space="preserve"> of both the </w:t>
      </w:r>
      <w:r w:rsidR="00071CBB" w:rsidRPr="002E6E04">
        <w:rPr>
          <w:color w:val="000000" w:themeColor="text1"/>
        </w:rPr>
        <w:t>“</w:t>
      </w:r>
      <w:r w:rsidRPr="002E6E04">
        <w:rPr>
          <w:color w:val="000000" w:themeColor="text1"/>
        </w:rPr>
        <w:t>digital shift</w:t>
      </w:r>
      <w:r w:rsidR="00071CBB" w:rsidRPr="002E6E04">
        <w:rPr>
          <w:color w:val="000000" w:themeColor="text1"/>
        </w:rPr>
        <w:t>”</w:t>
      </w:r>
      <w:r w:rsidRPr="002E6E04">
        <w:rPr>
          <w:color w:val="000000" w:themeColor="text1"/>
        </w:rPr>
        <w:t xml:space="preserve"> emerging within historical research generally, and the specific affordances such sources offer to </w:t>
      </w:r>
      <w:r w:rsidR="000A1BE9" w:rsidRPr="002E6E04">
        <w:rPr>
          <w:color w:val="000000" w:themeColor="text1"/>
        </w:rPr>
        <w:t xml:space="preserve">researching </w:t>
      </w:r>
      <w:r w:rsidRPr="002E6E04">
        <w:rPr>
          <w:color w:val="000000" w:themeColor="text1"/>
        </w:rPr>
        <w:t>otherwise hidden organizational phenomena.</w:t>
      </w:r>
      <w:r w:rsidR="00E4706D" w:rsidRPr="002E6E04">
        <w:rPr>
          <w:rStyle w:val="EndnoteReference"/>
          <w:color w:val="000000" w:themeColor="text1"/>
        </w:rPr>
        <w:endnoteReference w:id="49"/>
      </w:r>
    </w:p>
    <w:p w14:paraId="57FA0406" w14:textId="773A3F2E" w:rsidR="00FC00A6" w:rsidRPr="002E6E04" w:rsidRDefault="004F1B33" w:rsidP="00391820">
      <w:pPr>
        <w:spacing w:after="0"/>
        <w:ind w:firstLine="576"/>
        <w:rPr>
          <w:rFonts w:eastAsia="Times New Roman" w:cs="Times New Roman"/>
          <w:color w:val="000000" w:themeColor="text1"/>
          <w:szCs w:val="24"/>
          <w:lang w:eastAsia="en-GB"/>
        </w:rPr>
      </w:pPr>
      <w:r w:rsidRPr="002E6E04">
        <w:rPr>
          <w:color w:val="000000" w:themeColor="text1"/>
        </w:rPr>
        <w:lastRenderedPageBreak/>
        <w:t>The source</w:t>
      </w:r>
      <w:r w:rsidR="00AD2CCA" w:rsidRPr="002E6E04">
        <w:rPr>
          <w:color w:val="000000" w:themeColor="text1"/>
        </w:rPr>
        <w:t>s</w:t>
      </w:r>
      <w:r w:rsidRPr="002E6E04">
        <w:rPr>
          <w:color w:val="000000" w:themeColor="text1"/>
        </w:rPr>
        <w:t xml:space="preserve"> we used were mostly</w:t>
      </w:r>
      <w:r w:rsidR="004E3A8A" w:rsidRPr="002E6E04">
        <w:rPr>
          <w:color w:val="000000" w:themeColor="text1"/>
        </w:rPr>
        <w:t xml:space="preserve"> accessed via the FERC’s e-library, which provides online access to </w:t>
      </w:r>
      <w:r w:rsidR="00E6796A" w:rsidRPr="002E6E04">
        <w:rPr>
          <w:color w:val="000000" w:themeColor="text1"/>
        </w:rPr>
        <w:t>its public</w:t>
      </w:r>
      <w:r w:rsidR="008427ED" w:rsidRPr="002E6E04">
        <w:rPr>
          <w:color w:val="000000" w:themeColor="text1"/>
        </w:rPr>
        <w:t xml:space="preserve"> </w:t>
      </w:r>
      <w:r w:rsidR="004E3A8A" w:rsidRPr="002E6E04">
        <w:rPr>
          <w:color w:val="000000" w:themeColor="text1"/>
        </w:rPr>
        <w:t>collection</w:t>
      </w:r>
      <w:r w:rsidRPr="002E6E04">
        <w:rPr>
          <w:color w:val="000000" w:themeColor="text1"/>
        </w:rPr>
        <w:t xml:space="preserve"> of regulatory proceedings and related records</w:t>
      </w:r>
      <w:r w:rsidR="004E3A8A" w:rsidRPr="002E6E04">
        <w:rPr>
          <w:color w:val="000000" w:themeColor="text1"/>
        </w:rPr>
        <w:t>.</w:t>
      </w:r>
      <w:r w:rsidR="004B7457" w:rsidRPr="002E6E04">
        <w:rPr>
          <w:rStyle w:val="EndnoteReference"/>
          <w:color w:val="000000" w:themeColor="text1"/>
        </w:rPr>
        <w:endnoteReference w:id="50"/>
      </w:r>
      <w:r w:rsidR="00391820" w:rsidRPr="002E6E04">
        <w:rPr>
          <w:rFonts w:eastAsia="Times New Roman" w:cs="Times New Roman"/>
          <w:color w:val="000000" w:themeColor="text1"/>
          <w:szCs w:val="24"/>
          <w:lang w:eastAsia="en-GB"/>
        </w:rPr>
        <w:t xml:space="preserve"> </w:t>
      </w:r>
      <w:r w:rsidRPr="002E6E04">
        <w:rPr>
          <w:rFonts w:eastAsia="Times New Roman" w:cs="Times New Roman"/>
          <w:color w:val="000000" w:themeColor="text1"/>
          <w:szCs w:val="24"/>
          <w:lang w:eastAsia="en-GB"/>
        </w:rPr>
        <w:t xml:space="preserve">In particular, we made use of </w:t>
      </w:r>
      <w:r w:rsidRPr="002E6E04">
        <w:rPr>
          <w:rFonts w:cs="Times New Roman"/>
          <w:color w:val="000000" w:themeColor="text1"/>
          <w:szCs w:val="24"/>
        </w:rPr>
        <w:t>telephone transcriptions</w:t>
      </w:r>
      <w:r w:rsidR="004438D2" w:rsidRPr="002E6E04">
        <w:rPr>
          <w:rFonts w:cs="Times New Roman"/>
          <w:color w:val="000000" w:themeColor="text1"/>
          <w:szCs w:val="24"/>
        </w:rPr>
        <w:t xml:space="preserve"> relating to 380 </w:t>
      </w:r>
      <w:r w:rsidR="00947E75" w:rsidRPr="002E6E04">
        <w:rPr>
          <w:rFonts w:cs="Times New Roman"/>
          <w:color w:val="000000" w:themeColor="text1"/>
          <w:szCs w:val="24"/>
        </w:rPr>
        <w:t xml:space="preserve">timestamped </w:t>
      </w:r>
      <w:r w:rsidR="004438D2" w:rsidRPr="002E6E04">
        <w:rPr>
          <w:rFonts w:cs="Times New Roman"/>
          <w:color w:val="000000" w:themeColor="text1"/>
          <w:szCs w:val="24"/>
        </w:rPr>
        <w:t xml:space="preserve">trading-floor calls. </w:t>
      </w:r>
      <w:r w:rsidRPr="002E6E04">
        <w:rPr>
          <w:rFonts w:cs="Times New Roman"/>
          <w:color w:val="000000" w:themeColor="text1"/>
          <w:szCs w:val="24"/>
        </w:rPr>
        <w:t>Obtain</w:t>
      </w:r>
      <w:r w:rsidR="008427ED" w:rsidRPr="002E6E04">
        <w:rPr>
          <w:rFonts w:cs="Times New Roman"/>
          <w:color w:val="000000" w:themeColor="text1"/>
          <w:szCs w:val="24"/>
        </w:rPr>
        <w:t>ed</w:t>
      </w:r>
      <w:r w:rsidRPr="002E6E04">
        <w:rPr>
          <w:rFonts w:cs="Times New Roman"/>
          <w:color w:val="000000" w:themeColor="text1"/>
          <w:szCs w:val="24"/>
        </w:rPr>
        <w:t xml:space="preserve"> from digital audio tapes linked to each of Enron’s trading desks, t</w:t>
      </w:r>
      <w:r w:rsidR="004438D2" w:rsidRPr="002E6E04">
        <w:rPr>
          <w:rFonts w:cs="Times New Roman"/>
          <w:color w:val="000000" w:themeColor="text1"/>
          <w:szCs w:val="24"/>
        </w:rPr>
        <w:t>hese capture</w:t>
      </w:r>
      <w:r w:rsidRPr="002E6E04">
        <w:rPr>
          <w:rFonts w:cs="Times New Roman"/>
          <w:color w:val="000000" w:themeColor="text1"/>
          <w:szCs w:val="24"/>
        </w:rPr>
        <w:t xml:space="preserve"> the traders’</w:t>
      </w:r>
      <w:r w:rsidR="004438D2" w:rsidRPr="002E6E04">
        <w:rPr>
          <w:rFonts w:cs="Times New Roman"/>
          <w:color w:val="000000" w:themeColor="text1"/>
          <w:szCs w:val="24"/>
        </w:rPr>
        <w:t xml:space="preserve"> </w:t>
      </w:r>
      <w:r w:rsidR="00074E23" w:rsidRPr="002E6E04">
        <w:rPr>
          <w:rFonts w:cs="Times New Roman"/>
          <w:color w:val="000000" w:themeColor="text1"/>
          <w:szCs w:val="24"/>
        </w:rPr>
        <w:t xml:space="preserve">daily </w:t>
      </w:r>
      <w:r w:rsidR="004438D2" w:rsidRPr="002E6E04">
        <w:rPr>
          <w:rFonts w:cs="Times New Roman"/>
          <w:color w:val="000000" w:themeColor="text1"/>
          <w:szCs w:val="24"/>
        </w:rPr>
        <w:t>interaction</w:t>
      </w:r>
      <w:r w:rsidR="00DD3EA6" w:rsidRPr="002E6E04">
        <w:rPr>
          <w:rFonts w:cs="Times New Roman"/>
          <w:color w:val="000000" w:themeColor="text1"/>
          <w:szCs w:val="24"/>
        </w:rPr>
        <w:t>s</w:t>
      </w:r>
      <w:r w:rsidR="004438D2" w:rsidRPr="002E6E04">
        <w:rPr>
          <w:rFonts w:cs="Times New Roman"/>
          <w:color w:val="000000" w:themeColor="text1"/>
          <w:szCs w:val="24"/>
        </w:rPr>
        <w:t xml:space="preserve"> with various relevant parties, including colleagues, </w:t>
      </w:r>
      <w:r w:rsidR="00005789" w:rsidRPr="002E6E04">
        <w:rPr>
          <w:rFonts w:cs="Times New Roman"/>
          <w:color w:val="000000" w:themeColor="text1"/>
          <w:szCs w:val="24"/>
        </w:rPr>
        <w:t>competitors</w:t>
      </w:r>
      <w:r w:rsidR="004438D2" w:rsidRPr="002E6E04">
        <w:rPr>
          <w:rFonts w:cs="Times New Roman"/>
          <w:color w:val="000000" w:themeColor="text1"/>
          <w:szCs w:val="24"/>
        </w:rPr>
        <w:t>, customers, and regulatory representatives.</w:t>
      </w:r>
      <w:r w:rsidR="004438D2" w:rsidRPr="002E6E04">
        <w:rPr>
          <w:rStyle w:val="EndnoteReference"/>
          <w:rFonts w:cs="Times New Roman"/>
          <w:color w:val="000000" w:themeColor="text1"/>
          <w:szCs w:val="24"/>
        </w:rPr>
        <w:endnoteReference w:id="51"/>
      </w:r>
      <w:r w:rsidRPr="002E6E04">
        <w:rPr>
          <w:rFonts w:cs="Times New Roman"/>
          <w:color w:val="000000" w:themeColor="text1"/>
          <w:szCs w:val="24"/>
        </w:rPr>
        <w:t xml:space="preserve"> The </w:t>
      </w:r>
      <w:r w:rsidR="005C5A39" w:rsidRPr="002E6E04">
        <w:rPr>
          <w:rFonts w:cs="Times New Roman"/>
          <w:color w:val="000000" w:themeColor="text1"/>
          <w:szCs w:val="24"/>
        </w:rPr>
        <w:t xml:space="preserve">original recordings were created </w:t>
      </w:r>
      <w:r w:rsidR="00222584" w:rsidRPr="002E6E04">
        <w:rPr>
          <w:rFonts w:cs="Times New Roman"/>
          <w:color w:val="000000" w:themeColor="text1"/>
          <w:szCs w:val="24"/>
        </w:rPr>
        <w:t xml:space="preserve">and used internally </w:t>
      </w:r>
      <w:r w:rsidR="005C5A39" w:rsidRPr="002E6E04">
        <w:rPr>
          <w:rFonts w:cs="Times New Roman"/>
          <w:color w:val="000000" w:themeColor="text1"/>
          <w:szCs w:val="24"/>
        </w:rPr>
        <w:t>by Enron</w:t>
      </w:r>
      <w:r w:rsidRPr="002E6E04">
        <w:rPr>
          <w:rFonts w:cs="Times New Roman"/>
          <w:color w:val="000000" w:themeColor="text1"/>
          <w:szCs w:val="24"/>
        </w:rPr>
        <w:t>, primarily</w:t>
      </w:r>
      <w:r w:rsidR="00947E75" w:rsidRPr="002E6E04">
        <w:rPr>
          <w:rFonts w:cs="Times New Roman"/>
          <w:color w:val="000000" w:themeColor="text1"/>
          <w:szCs w:val="24"/>
        </w:rPr>
        <w:t xml:space="preserve"> </w:t>
      </w:r>
      <w:r w:rsidR="00820AF4" w:rsidRPr="002E6E04">
        <w:rPr>
          <w:rFonts w:cs="Times New Roman"/>
          <w:color w:val="000000" w:themeColor="text1"/>
          <w:szCs w:val="24"/>
        </w:rPr>
        <w:t>as means of recording oral offer and acceptance</w:t>
      </w:r>
      <w:r w:rsidR="005C5A39" w:rsidRPr="002E6E04">
        <w:rPr>
          <w:rFonts w:cs="Times New Roman"/>
          <w:color w:val="000000" w:themeColor="text1"/>
          <w:szCs w:val="24"/>
        </w:rPr>
        <w:t xml:space="preserve">, </w:t>
      </w:r>
      <w:r w:rsidRPr="002E6E04">
        <w:rPr>
          <w:rFonts w:cs="Times New Roman"/>
          <w:color w:val="000000" w:themeColor="text1"/>
          <w:szCs w:val="24"/>
        </w:rPr>
        <w:t xml:space="preserve">but </w:t>
      </w:r>
      <w:r w:rsidR="005C5A39" w:rsidRPr="002E6E04">
        <w:rPr>
          <w:rFonts w:cs="Times New Roman"/>
          <w:color w:val="000000" w:themeColor="text1"/>
          <w:szCs w:val="24"/>
        </w:rPr>
        <w:t>the</w:t>
      </w:r>
      <w:r w:rsidR="00947E75" w:rsidRPr="002E6E04">
        <w:rPr>
          <w:rFonts w:cs="Times New Roman"/>
          <w:color w:val="000000" w:themeColor="text1"/>
          <w:szCs w:val="24"/>
        </w:rPr>
        <w:t>y were seized under federal subpoena, w</w:t>
      </w:r>
      <w:r w:rsidR="00820AF4" w:rsidRPr="002E6E04">
        <w:rPr>
          <w:rFonts w:cs="Times New Roman"/>
          <w:color w:val="000000" w:themeColor="text1"/>
          <w:szCs w:val="24"/>
        </w:rPr>
        <w:t>h</w:t>
      </w:r>
      <w:r w:rsidR="00947E75" w:rsidRPr="002E6E04">
        <w:rPr>
          <w:rFonts w:cs="Times New Roman"/>
          <w:color w:val="000000" w:themeColor="text1"/>
          <w:szCs w:val="24"/>
        </w:rPr>
        <w:t>ere upon</w:t>
      </w:r>
      <w:r w:rsidR="005C5A39" w:rsidRPr="002E6E04">
        <w:rPr>
          <w:rFonts w:cs="Times New Roman"/>
          <w:color w:val="000000" w:themeColor="text1"/>
          <w:szCs w:val="24"/>
        </w:rPr>
        <w:t xml:space="preserve"> </w:t>
      </w:r>
      <w:r w:rsidR="004438D2" w:rsidRPr="002E6E04">
        <w:rPr>
          <w:rFonts w:cs="Times New Roman"/>
          <w:color w:val="000000" w:themeColor="text1"/>
          <w:szCs w:val="24"/>
        </w:rPr>
        <w:t>calls relevant to the case</w:t>
      </w:r>
      <w:r w:rsidR="00947E75" w:rsidRPr="002E6E04">
        <w:rPr>
          <w:rFonts w:cs="Times New Roman"/>
          <w:color w:val="000000" w:themeColor="text1"/>
          <w:szCs w:val="24"/>
        </w:rPr>
        <w:t xml:space="preserve"> were transcribed a</w:t>
      </w:r>
      <w:r w:rsidR="00074E23" w:rsidRPr="002E6E04">
        <w:rPr>
          <w:rFonts w:cs="Times New Roman"/>
          <w:color w:val="000000" w:themeColor="text1"/>
          <w:szCs w:val="24"/>
        </w:rPr>
        <w:t>nd</w:t>
      </w:r>
      <w:r w:rsidR="00947E75" w:rsidRPr="002E6E04">
        <w:rPr>
          <w:rFonts w:cs="Times New Roman"/>
          <w:color w:val="000000" w:themeColor="text1"/>
          <w:szCs w:val="24"/>
        </w:rPr>
        <w:t xml:space="preserve"> </w:t>
      </w:r>
      <w:r w:rsidRPr="002E6E04">
        <w:rPr>
          <w:rFonts w:cs="Times New Roman"/>
          <w:color w:val="000000" w:themeColor="text1"/>
          <w:szCs w:val="24"/>
        </w:rPr>
        <w:t>made public by the FERC</w:t>
      </w:r>
      <w:r w:rsidR="00947E75" w:rsidRPr="002E6E04">
        <w:rPr>
          <w:rFonts w:cs="Times New Roman"/>
          <w:color w:val="000000" w:themeColor="text1"/>
          <w:szCs w:val="24"/>
        </w:rPr>
        <w:t xml:space="preserve">. </w:t>
      </w:r>
      <w:r w:rsidRPr="002E6E04">
        <w:rPr>
          <w:rFonts w:cs="Times New Roman"/>
          <w:color w:val="000000" w:themeColor="text1"/>
          <w:szCs w:val="24"/>
        </w:rPr>
        <w:t>As a geographically dispersed and time sensitive task, the trading and scheduling of wholesale energy relied heavily</w:t>
      </w:r>
      <w:r w:rsidR="00FD0E70" w:rsidRPr="002E6E04">
        <w:rPr>
          <w:rFonts w:cs="Times New Roman"/>
          <w:color w:val="000000" w:themeColor="text1"/>
          <w:szCs w:val="24"/>
        </w:rPr>
        <w:t xml:space="preserve"> </w:t>
      </w:r>
      <w:r w:rsidR="00AD2CCA" w:rsidRPr="002E6E04">
        <w:rPr>
          <w:rFonts w:cs="Times New Roman"/>
          <w:color w:val="000000" w:themeColor="text1"/>
          <w:szCs w:val="24"/>
        </w:rPr>
        <w:t xml:space="preserve">on </w:t>
      </w:r>
      <w:r w:rsidRPr="002E6E04">
        <w:rPr>
          <w:rFonts w:cs="Times New Roman"/>
          <w:color w:val="000000" w:themeColor="text1"/>
          <w:szCs w:val="24"/>
        </w:rPr>
        <w:t>telephone conversation</w:t>
      </w:r>
      <w:r w:rsidR="008427ED" w:rsidRPr="002E6E04">
        <w:rPr>
          <w:rFonts w:cs="Times New Roman"/>
          <w:color w:val="000000" w:themeColor="text1"/>
          <w:szCs w:val="24"/>
        </w:rPr>
        <w:t>s</w:t>
      </w:r>
      <w:r w:rsidRPr="002E6E04">
        <w:rPr>
          <w:rFonts w:cs="Times New Roman"/>
          <w:color w:val="000000" w:themeColor="text1"/>
          <w:szCs w:val="24"/>
        </w:rPr>
        <w:t xml:space="preserve">, even over alternative forms of digital communication like email. </w:t>
      </w:r>
      <w:r w:rsidRPr="00563779">
        <w:rPr>
          <w:rFonts w:cs="Times New Roman"/>
          <w:color w:val="000000" w:themeColor="text1"/>
          <w:szCs w:val="24"/>
        </w:rPr>
        <w:t xml:space="preserve">As such, these records provided the main insight into how </w:t>
      </w:r>
      <w:r w:rsidR="00764D91">
        <w:rPr>
          <w:rFonts w:cs="Times New Roman"/>
          <w:color w:val="000000" w:themeColor="text1"/>
          <w:szCs w:val="24"/>
        </w:rPr>
        <w:t xml:space="preserve">managers at </w:t>
      </w:r>
      <w:r w:rsidRPr="00563779">
        <w:rPr>
          <w:rFonts w:cs="Times New Roman"/>
          <w:color w:val="000000" w:themeColor="text1"/>
          <w:szCs w:val="24"/>
        </w:rPr>
        <w:t xml:space="preserve">Enron organized corruption, both internally </w:t>
      </w:r>
      <w:r w:rsidR="00DD3EA6" w:rsidRPr="00563779">
        <w:rPr>
          <w:rFonts w:cs="Times New Roman"/>
          <w:color w:val="000000" w:themeColor="text1"/>
          <w:szCs w:val="24"/>
        </w:rPr>
        <w:t xml:space="preserve">throughout the division and its hierarchy </w:t>
      </w:r>
      <w:r w:rsidRPr="00563779">
        <w:rPr>
          <w:rFonts w:cs="Times New Roman"/>
          <w:color w:val="000000" w:themeColor="text1"/>
          <w:szCs w:val="24"/>
        </w:rPr>
        <w:t xml:space="preserve">and </w:t>
      </w:r>
      <w:r w:rsidR="00DD3EA6" w:rsidRPr="00563779">
        <w:rPr>
          <w:rFonts w:cs="Times New Roman"/>
          <w:color w:val="000000" w:themeColor="text1"/>
          <w:szCs w:val="24"/>
        </w:rPr>
        <w:t>with its partner organizations</w:t>
      </w:r>
      <w:r w:rsidR="00DD3EA6" w:rsidRPr="001F5054">
        <w:rPr>
          <w:rFonts w:cs="Times New Roman"/>
          <w:color w:val="000000" w:themeColor="text1"/>
          <w:szCs w:val="24"/>
        </w:rPr>
        <w:t xml:space="preserve">. Because only </w:t>
      </w:r>
      <w:r w:rsidR="00764266" w:rsidRPr="001F5054">
        <w:rPr>
          <w:rFonts w:cs="Times New Roman"/>
          <w:color w:val="000000" w:themeColor="text1"/>
          <w:szCs w:val="24"/>
        </w:rPr>
        <w:t xml:space="preserve">the most </w:t>
      </w:r>
      <w:r w:rsidR="00DD3EA6" w:rsidRPr="001F5054">
        <w:rPr>
          <w:rFonts w:cs="Times New Roman"/>
          <w:color w:val="000000" w:themeColor="text1"/>
          <w:szCs w:val="24"/>
        </w:rPr>
        <w:t>relevant</w:t>
      </w:r>
      <w:r w:rsidR="00764266" w:rsidRPr="001F5054">
        <w:rPr>
          <w:rFonts w:cs="Times New Roman"/>
          <w:color w:val="000000" w:themeColor="text1"/>
          <w:szCs w:val="24"/>
        </w:rPr>
        <w:t xml:space="preserve"> tapes for</w:t>
      </w:r>
      <w:r w:rsidR="00DD3EA6" w:rsidRPr="001F5054">
        <w:rPr>
          <w:rFonts w:cs="Times New Roman"/>
          <w:color w:val="000000" w:themeColor="text1"/>
          <w:szCs w:val="24"/>
        </w:rPr>
        <w:t xml:space="preserve"> the case were transcribed, the conversation</w:t>
      </w:r>
      <w:r w:rsidR="00AD2CCA" w:rsidRPr="001F5054">
        <w:rPr>
          <w:rFonts w:cs="Times New Roman"/>
          <w:color w:val="000000" w:themeColor="text1"/>
          <w:szCs w:val="24"/>
        </w:rPr>
        <w:t>s</w:t>
      </w:r>
      <w:r w:rsidR="00DD3EA6" w:rsidRPr="001F5054">
        <w:rPr>
          <w:rFonts w:cs="Times New Roman"/>
          <w:color w:val="000000" w:themeColor="text1"/>
          <w:szCs w:val="24"/>
        </w:rPr>
        <w:t xml:space="preserve"> made public are a</w:t>
      </w:r>
      <w:r w:rsidR="00764266" w:rsidRPr="001F5054">
        <w:rPr>
          <w:rFonts w:cs="Times New Roman"/>
          <w:color w:val="000000" w:themeColor="text1"/>
          <w:szCs w:val="24"/>
        </w:rPr>
        <w:t xml:space="preserve"> relatively</w:t>
      </w:r>
      <w:r w:rsidR="00DD3EA6" w:rsidRPr="001F5054">
        <w:rPr>
          <w:rFonts w:cs="Times New Roman"/>
          <w:color w:val="000000" w:themeColor="text1"/>
          <w:szCs w:val="24"/>
        </w:rPr>
        <w:t xml:space="preserve"> small sample </w:t>
      </w:r>
      <w:r w:rsidR="00764266" w:rsidRPr="001F5054">
        <w:rPr>
          <w:rFonts w:cs="Times New Roman"/>
          <w:color w:val="000000" w:themeColor="text1"/>
          <w:szCs w:val="24"/>
        </w:rPr>
        <w:t>of th</w:t>
      </w:r>
      <w:r w:rsidR="00FD0E70" w:rsidRPr="001F5054">
        <w:rPr>
          <w:rFonts w:cs="Times New Roman"/>
          <w:color w:val="000000" w:themeColor="text1"/>
          <w:szCs w:val="24"/>
        </w:rPr>
        <w:t>ose</w:t>
      </w:r>
      <w:r w:rsidR="00DD3EA6" w:rsidRPr="001F5054">
        <w:rPr>
          <w:rFonts w:cs="Times New Roman"/>
          <w:color w:val="000000" w:themeColor="text1"/>
          <w:szCs w:val="24"/>
        </w:rPr>
        <w:t xml:space="preserve"> originally obtained.</w:t>
      </w:r>
      <w:r w:rsidR="00764266" w:rsidRPr="001F5054">
        <w:rPr>
          <w:rStyle w:val="EndnoteReference"/>
          <w:rFonts w:cs="Times New Roman"/>
          <w:color w:val="000000" w:themeColor="text1"/>
          <w:szCs w:val="24"/>
        </w:rPr>
        <w:endnoteReference w:id="52"/>
      </w:r>
      <w:r w:rsidR="00DD3EA6" w:rsidRPr="001F5054">
        <w:rPr>
          <w:rFonts w:cs="Times New Roman"/>
          <w:color w:val="000000" w:themeColor="text1"/>
          <w:szCs w:val="24"/>
        </w:rPr>
        <w:t xml:space="preserve"> Nonetheless, they</w:t>
      </w:r>
      <w:r w:rsidR="004438D2" w:rsidRPr="001F5054">
        <w:rPr>
          <w:rFonts w:cs="Times New Roman"/>
          <w:color w:val="000000" w:themeColor="text1"/>
          <w:szCs w:val="24"/>
        </w:rPr>
        <w:t xml:space="preserve"> giv</w:t>
      </w:r>
      <w:r w:rsidR="00947E75" w:rsidRPr="001F5054">
        <w:rPr>
          <w:rFonts w:cs="Times New Roman"/>
          <w:color w:val="000000" w:themeColor="text1"/>
          <w:szCs w:val="24"/>
        </w:rPr>
        <w:t xml:space="preserve">e </w:t>
      </w:r>
      <w:r w:rsidR="004438D2" w:rsidRPr="001F5054">
        <w:rPr>
          <w:rFonts w:cs="Times New Roman"/>
          <w:color w:val="000000" w:themeColor="text1"/>
          <w:szCs w:val="24"/>
        </w:rPr>
        <w:t xml:space="preserve">a highly </w:t>
      </w:r>
      <w:r w:rsidR="00DD3EA6" w:rsidRPr="001F5054">
        <w:rPr>
          <w:rFonts w:cs="Times New Roman"/>
          <w:color w:val="000000" w:themeColor="text1"/>
          <w:szCs w:val="24"/>
        </w:rPr>
        <w:t>relevant</w:t>
      </w:r>
      <w:r w:rsidR="004438D2" w:rsidRPr="001F5054">
        <w:rPr>
          <w:rFonts w:cs="Times New Roman"/>
          <w:color w:val="000000" w:themeColor="text1"/>
          <w:szCs w:val="24"/>
        </w:rPr>
        <w:t xml:space="preserve"> sample of corruption-related interaction</w:t>
      </w:r>
      <w:r w:rsidR="00947E75" w:rsidRPr="001F5054">
        <w:rPr>
          <w:rFonts w:cs="Times New Roman"/>
          <w:color w:val="000000" w:themeColor="text1"/>
          <w:szCs w:val="24"/>
        </w:rPr>
        <w:t xml:space="preserve">, </w:t>
      </w:r>
      <w:r w:rsidR="00947E75" w:rsidRPr="00563779">
        <w:rPr>
          <w:rFonts w:cs="Times New Roman"/>
          <w:color w:val="000000" w:themeColor="text1"/>
          <w:szCs w:val="24"/>
        </w:rPr>
        <w:t xml:space="preserve">centering </w:t>
      </w:r>
      <w:r w:rsidR="00DD3EA6" w:rsidRPr="00563779">
        <w:rPr>
          <w:rFonts w:cs="Times New Roman"/>
          <w:color w:val="000000" w:themeColor="text1"/>
          <w:szCs w:val="24"/>
        </w:rPr>
        <w:t>around Enron’s manipulation of California energy markets and the key events in the energy crisis</w:t>
      </w:r>
      <w:r w:rsidR="00DD3EA6" w:rsidRPr="001F5054">
        <w:rPr>
          <w:rFonts w:cs="Times New Roman"/>
          <w:color w:val="000000" w:themeColor="text1"/>
          <w:szCs w:val="24"/>
        </w:rPr>
        <w:t>.</w:t>
      </w:r>
      <w:r w:rsidR="004438D2" w:rsidRPr="001F5054">
        <w:rPr>
          <w:rStyle w:val="EndnoteReference"/>
          <w:rFonts w:cs="Times New Roman"/>
          <w:color w:val="000000" w:themeColor="text1"/>
          <w:szCs w:val="24"/>
        </w:rPr>
        <w:endnoteReference w:id="53"/>
      </w:r>
      <w:r w:rsidR="00947E75" w:rsidRPr="002E6E04">
        <w:rPr>
          <w:rFonts w:cs="Times New Roman"/>
          <w:color w:val="000000" w:themeColor="text1"/>
          <w:szCs w:val="24"/>
        </w:rPr>
        <w:t xml:space="preserve"> </w:t>
      </w:r>
    </w:p>
    <w:p w14:paraId="49E51D15" w14:textId="7D067F6C" w:rsidR="005272EF" w:rsidRPr="002E6E04" w:rsidRDefault="008A2EB3" w:rsidP="004141BC">
      <w:pPr>
        <w:spacing w:after="0"/>
        <w:ind w:firstLine="576"/>
        <w:rPr>
          <w:rFonts w:eastAsia="Times New Roman" w:cs="Times New Roman"/>
          <w:color w:val="000000" w:themeColor="text1"/>
          <w:szCs w:val="24"/>
          <w:lang w:eastAsia="en-GB"/>
        </w:rPr>
      </w:pPr>
      <w:r w:rsidRPr="002E6E04">
        <w:rPr>
          <w:rFonts w:cs="Times New Roman"/>
          <w:color w:val="000000" w:themeColor="text1"/>
          <w:szCs w:val="24"/>
        </w:rPr>
        <w:t>We compl</w:t>
      </w:r>
      <w:r w:rsidR="005723AC" w:rsidRPr="002E6E04">
        <w:rPr>
          <w:rFonts w:cs="Times New Roman"/>
          <w:color w:val="000000" w:themeColor="text1"/>
          <w:szCs w:val="24"/>
        </w:rPr>
        <w:t>e</w:t>
      </w:r>
      <w:r w:rsidRPr="002E6E04">
        <w:rPr>
          <w:rFonts w:cs="Times New Roman"/>
          <w:color w:val="000000" w:themeColor="text1"/>
          <w:szCs w:val="24"/>
        </w:rPr>
        <w:t>ment these sources with other company documents filed during FERC’s investigation, including memos, meeting minutes and other standalone items of correspondence.</w:t>
      </w:r>
      <w:r w:rsidR="0086435A" w:rsidRPr="002E6E04">
        <w:rPr>
          <w:rFonts w:cs="Times New Roman"/>
          <w:color w:val="000000" w:themeColor="text1"/>
          <w:szCs w:val="24"/>
        </w:rPr>
        <w:t xml:space="preserve"> </w:t>
      </w:r>
      <w:r w:rsidR="00DD3EA6" w:rsidRPr="002E6E04">
        <w:rPr>
          <w:rFonts w:cs="Times New Roman"/>
          <w:color w:val="000000" w:themeColor="text1"/>
          <w:szCs w:val="24"/>
        </w:rPr>
        <w:t>T</w:t>
      </w:r>
      <w:r w:rsidR="0086435A" w:rsidRPr="002E6E04">
        <w:rPr>
          <w:rFonts w:cs="Times New Roman"/>
          <w:color w:val="000000" w:themeColor="text1"/>
          <w:szCs w:val="24"/>
        </w:rPr>
        <w:t xml:space="preserve">hese were generally </w:t>
      </w:r>
      <w:r w:rsidR="00CC282F" w:rsidRPr="002E6E04">
        <w:rPr>
          <w:rFonts w:cs="Times New Roman"/>
          <w:color w:val="000000" w:themeColor="text1"/>
          <w:szCs w:val="24"/>
        </w:rPr>
        <w:t>digitized</w:t>
      </w:r>
      <w:r w:rsidR="0086435A" w:rsidRPr="002E6E04">
        <w:rPr>
          <w:rFonts w:cs="Times New Roman"/>
          <w:color w:val="000000" w:themeColor="text1"/>
          <w:szCs w:val="24"/>
        </w:rPr>
        <w:t xml:space="preserve"> reproductions of printed documents that were submitted individually for their specific relevan</w:t>
      </w:r>
      <w:r w:rsidR="00074E23" w:rsidRPr="002E6E04">
        <w:rPr>
          <w:rFonts w:cs="Times New Roman"/>
          <w:color w:val="000000" w:themeColor="text1"/>
          <w:szCs w:val="24"/>
        </w:rPr>
        <w:t>ce</w:t>
      </w:r>
      <w:r w:rsidR="0086435A" w:rsidRPr="002E6E04">
        <w:rPr>
          <w:rFonts w:cs="Times New Roman"/>
          <w:color w:val="000000" w:themeColor="text1"/>
          <w:szCs w:val="24"/>
        </w:rPr>
        <w:t xml:space="preserve"> to a </w:t>
      </w:r>
      <w:r w:rsidR="00074E23" w:rsidRPr="002E6E04">
        <w:rPr>
          <w:rFonts w:cs="Times New Roman"/>
          <w:color w:val="000000" w:themeColor="text1"/>
          <w:szCs w:val="24"/>
        </w:rPr>
        <w:t xml:space="preserve">particular </w:t>
      </w:r>
      <w:r w:rsidR="0086435A" w:rsidRPr="002E6E04">
        <w:rPr>
          <w:rFonts w:cs="Times New Roman"/>
          <w:color w:val="000000" w:themeColor="text1"/>
          <w:szCs w:val="24"/>
        </w:rPr>
        <w:t xml:space="preserve">legal </w:t>
      </w:r>
      <w:r w:rsidR="008427ED" w:rsidRPr="002E6E04">
        <w:rPr>
          <w:rFonts w:cs="Times New Roman"/>
          <w:color w:val="000000" w:themeColor="text1"/>
          <w:szCs w:val="24"/>
        </w:rPr>
        <w:t>assertion</w:t>
      </w:r>
      <w:r w:rsidR="0086435A" w:rsidRPr="002E6E04">
        <w:rPr>
          <w:rFonts w:cs="Times New Roman"/>
          <w:color w:val="000000" w:themeColor="text1"/>
          <w:szCs w:val="24"/>
        </w:rPr>
        <w:t>.</w:t>
      </w:r>
      <w:r w:rsidRPr="002E6E04">
        <w:rPr>
          <w:rFonts w:cs="Times New Roman"/>
          <w:color w:val="000000" w:themeColor="text1"/>
          <w:szCs w:val="24"/>
        </w:rPr>
        <w:t xml:space="preserve"> </w:t>
      </w:r>
      <w:r w:rsidR="00CC282F" w:rsidRPr="002E6E04">
        <w:rPr>
          <w:rFonts w:cs="Times New Roman"/>
          <w:color w:val="000000" w:themeColor="text1"/>
          <w:szCs w:val="24"/>
        </w:rPr>
        <w:t>W</w:t>
      </w:r>
      <w:r w:rsidR="004438D2" w:rsidRPr="002E6E04">
        <w:rPr>
          <w:rFonts w:cs="Times New Roman"/>
          <w:color w:val="000000" w:themeColor="text1"/>
          <w:szCs w:val="24"/>
        </w:rPr>
        <w:t xml:space="preserve">e </w:t>
      </w:r>
      <w:r w:rsidR="00CC282F" w:rsidRPr="002E6E04">
        <w:rPr>
          <w:rFonts w:cs="Times New Roman"/>
          <w:color w:val="000000" w:themeColor="text1"/>
          <w:szCs w:val="24"/>
        </w:rPr>
        <w:t>also u</w:t>
      </w:r>
      <w:r w:rsidR="004438D2" w:rsidRPr="002E6E04">
        <w:rPr>
          <w:rFonts w:cs="Times New Roman"/>
          <w:color w:val="000000" w:themeColor="text1"/>
          <w:szCs w:val="24"/>
        </w:rPr>
        <w:t>se</w:t>
      </w:r>
      <w:r w:rsidR="00CC282F" w:rsidRPr="002E6E04">
        <w:rPr>
          <w:rFonts w:cs="Times New Roman"/>
          <w:color w:val="000000" w:themeColor="text1"/>
          <w:szCs w:val="24"/>
        </w:rPr>
        <w:t>d</w:t>
      </w:r>
      <w:r w:rsidR="004438D2" w:rsidRPr="002E6E04">
        <w:rPr>
          <w:rFonts w:cs="Times New Roman"/>
          <w:color w:val="000000" w:themeColor="text1"/>
          <w:szCs w:val="24"/>
        </w:rPr>
        <w:t xml:space="preserve"> legal documents such as </w:t>
      </w:r>
      <w:r w:rsidR="004438D2" w:rsidRPr="006810E1">
        <w:rPr>
          <w:rFonts w:cs="Times New Roman"/>
          <w:color w:val="000000" w:themeColor="text1"/>
          <w:szCs w:val="24"/>
        </w:rPr>
        <w:t>expert witness</w:t>
      </w:r>
      <w:r w:rsidR="0009116C" w:rsidRPr="006810E1">
        <w:rPr>
          <w:rFonts w:cs="Times New Roman"/>
          <w:color w:val="000000" w:themeColor="text1"/>
          <w:szCs w:val="24"/>
        </w:rPr>
        <w:t>’</w:t>
      </w:r>
      <w:r w:rsidR="004438D2" w:rsidRPr="006810E1">
        <w:rPr>
          <w:rFonts w:cs="Times New Roman"/>
          <w:color w:val="000000" w:themeColor="text1"/>
          <w:szCs w:val="24"/>
        </w:rPr>
        <w:t xml:space="preserve"> testimon</w:t>
      </w:r>
      <w:r w:rsidR="006810E1" w:rsidRPr="006810E1">
        <w:rPr>
          <w:rFonts w:cs="Times New Roman"/>
          <w:color w:val="000000" w:themeColor="text1"/>
          <w:szCs w:val="24"/>
        </w:rPr>
        <w:t>ies</w:t>
      </w:r>
      <w:r w:rsidR="0009116C" w:rsidRPr="006810E1">
        <w:rPr>
          <w:rFonts w:cs="Times New Roman"/>
          <w:color w:val="000000" w:themeColor="text1"/>
          <w:szCs w:val="24"/>
        </w:rPr>
        <w:t xml:space="preserve"> </w:t>
      </w:r>
      <w:r w:rsidR="00AD2CCA" w:rsidRPr="006810E1">
        <w:rPr>
          <w:rFonts w:cs="Times New Roman"/>
          <w:color w:val="000000" w:themeColor="text1"/>
          <w:szCs w:val="24"/>
        </w:rPr>
        <w:t>and</w:t>
      </w:r>
      <w:r w:rsidR="004438D2" w:rsidRPr="006810E1">
        <w:rPr>
          <w:rFonts w:cs="Times New Roman"/>
          <w:color w:val="000000" w:themeColor="text1"/>
          <w:szCs w:val="24"/>
        </w:rPr>
        <w:t xml:space="preserve"> legal</w:t>
      </w:r>
      <w:r w:rsidR="004438D2" w:rsidRPr="002E6E04">
        <w:rPr>
          <w:rFonts w:cs="Times New Roman"/>
          <w:color w:val="000000" w:themeColor="text1"/>
          <w:szCs w:val="24"/>
        </w:rPr>
        <w:t xml:space="preserve"> briefs</w:t>
      </w:r>
      <w:r w:rsidR="00CC282F" w:rsidRPr="002E6E04">
        <w:rPr>
          <w:rFonts w:cs="Times New Roman"/>
          <w:color w:val="000000" w:themeColor="text1"/>
          <w:szCs w:val="24"/>
        </w:rPr>
        <w:t>, which provided additional</w:t>
      </w:r>
      <w:r w:rsidR="00DD3EA6" w:rsidRPr="002E6E04">
        <w:rPr>
          <w:rFonts w:cs="Times New Roman"/>
          <w:color w:val="000000" w:themeColor="text1"/>
          <w:szCs w:val="24"/>
        </w:rPr>
        <w:t xml:space="preserve"> insight into the case</w:t>
      </w:r>
      <w:r w:rsidRPr="002E6E04">
        <w:rPr>
          <w:rFonts w:cs="Times New Roman"/>
          <w:color w:val="000000" w:themeColor="text1"/>
          <w:szCs w:val="24"/>
        </w:rPr>
        <w:t>.</w:t>
      </w:r>
      <w:r w:rsidR="004438D2" w:rsidRPr="002E6E04">
        <w:rPr>
          <w:rFonts w:cs="Times New Roman"/>
          <w:color w:val="000000" w:themeColor="text1"/>
          <w:szCs w:val="24"/>
        </w:rPr>
        <w:t xml:space="preserve"> </w:t>
      </w:r>
      <w:r w:rsidR="00DD3EA6" w:rsidRPr="002E6E04">
        <w:rPr>
          <w:rFonts w:cs="Times New Roman"/>
          <w:color w:val="000000" w:themeColor="text1"/>
          <w:szCs w:val="24"/>
        </w:rPr>
        <w:t>Importantly, t</w:t>
      </w:r>
      <w:r w:rsidRPr="002E6E04">
        <w:rPr>
          <w:rFonts w:cs="Times New Roman"/>
          <w:color w:val="000000" w:themeColor="text1"/>
          <w:szCs w:val="24"/>
        </w:rPr>
        <w:t>hese</w:t>
      </w:r>
      <w:r w:rsidR="00DD3EA6" w:rsidRPr="002E6E04">
        <w:rPr>
          <w:rFonts w:cs="Times New Roman"/>
          <w:color w:val="000000" w:themeColor="text1"/>
          <w:szCs w:val="24"/>
        </w:rPr>
        <w:t xml:space="preserve"> also</w:t>
      </w:r>
      <w:r w:rsidRPr="002E6E04">
        <w:rPr>
          <w:rFonts w:cs="Times New Roman"/>
          <w:color w:val="000000" w:themeColor="text1"/>
          <w:szCs w:val="24"/>
        </w:rPr>
        <w:t xml:space="preserve"> </w:t>
      </w:r>
      <w:r w:rsidR="008427ED" w:rsidRPr="002E6E04">
        <w:rPr>
          <w:rFonts w:cs="Times New Roman"/>
          <w:color w:val="000000" w:themeColor="text1"/>
          <w:szCs w:val="24"/>
        </w:rPr>
        <w:t xml:space="preserve">contextualize </w:t>
      </w:r>
      <w:r w:rsidR="00DD3EA6" w:rsidRPr="002E6E04">
        <w:rPr>
          <w:rFonts w:cs="Times New Roman"/>
          <w:color w:val="000000" w:themeColor="text1"/>
          <w:szCs w:val="24"/>
        </w:rPr>
        <w:t>the various documents submitted, as they would generally ci</w:t>
      </w:r>
      <w:r w:rsidR="00677CAE" w:rsidRPr="002E6E04">
        <w:rPr>
          <w:rFonts w:cs="Times New Roman"/>
          <w:color w:val="000000" w:themeColor="text1"/>
          <w:szCs w:val="24"/>
        </w:rPr>
        <w:t>te and explain</w:t>
      </w:r>
      <w:r w:rsidR="008427ED" w:rsidRPr="002E6E04">
        <w:rPr>
          <w:rFonts w:cs="Times New Roman"/>
          <w:color w:val="000000" w:themeColor="text1"/>
          <w:szCs w:val="24"/>
        </w:rPr>
        <w:t xml:space="preserve"> </w:t>
      </w:r>
      <w:r w:rsidR="00677CAE" w:rsidRPr="002E6E04">
        <w:rPr>
          <w:rFonts w:cs="Times New Roman"/>
          <w:color w:val="000000" w:themeColor="text1"/>
          <w:szCs w:val="24"/>
        </w:rPr>
        <w:t xml:space="preserve">those </w:t>
      </w:r>
      <w:r w:rsidR="008427ED" w:rsidRPr="002E6E04">
        <w:rPr>
          <w:rFonts w:cs="Times New Roman"/>
          <w:color w:val="000000" w:themeColor="text1"/>
          <w:szCs w:val="24"/>
        </w:rPr>
        <w:t>they</w:t>
      </w:r>
      <w:r w:rsidR="00677CAE" w:rsidRPr="002E6E04">
        <w:rPr>
          <w:rFonts w:cs="Times New Roman"/>
          <w:color w:val="000000" w:themeColor="text1"/>
          <w:szCs w:val="24"/>
        </w:rPr>
        <w:t xml:space="preserve"> submitted.</w:t>
      </w:r>
      <w:r w:rsidR="00DD3EA6" w:rsidRPr="002E6E04">
        <w:rPr>
          <w:rFonts w:cs="Times New Roman"/>
          <w:color w:val="000000" w:themeColor="text1"/>
          <w:szCs w:val="24"/>
        </w:rPr>
        <w:t xml:space="preserve"> </w:t>
      </w:r>
      <w:r w:rsidR="00391820" w:rsidRPr="002E6E04">
        <w:rPr>
          <w:rFonts w:cs="Times New Roman"/>
          <w:color w:val="000000" w:themeColor="text1"/>
          <w:szCs w:val="24"/>
        </w:rPr>
        <w:t xml:space="preserve">Additionally, we draw on a </w:t>
      </w:r>
      <w:r w:rsidR="00677CAE" w:rsidRPr="002E6E04">
        <w:rPr>
          <w:rFonts w:cs="Times New Roman"/>
          <w:color w:val="000000" w:themeColor="text1"/>
          <w:szCs w:val="24"/>
        </w:rPr>
        <w:t>dataset</w:t>
      </w:r>
      <w:r w:rsidR="00391820" w:rsidRPr="002E6E04">
        <w:rPr>
          <w:rFonts w:cs="Times New Roman"/>
          <w:color w:val="000000" w:themeColor="text1"/>
          <w:szCs w:val="24"/>
        </w:rPr>
        <w:t xml:space="preserve"> of</w:t>
      </w:r>
      <w:r w:rsidR="00677CAE" w:rsidRPr="002E6E04">
        <w:rPr>
          <w:rFonts w:cs="Times New Roman"/>
          <w:color w:val="000000" w:themeColor="text1"/>
          <w:szCs w:val="24"/>
        </w:rPr>
        <w:t xml:space="preserve"> </w:t>
      </w:r>
      <w:r w:rsidR="00391820" w:rsidRPr="002E6E04">
        <w:rPr>
          <w:rFonts w:cs="Times New Roman"/>
          <w:color w:val="000000" w:themeColor="text1"/>
          <w:szCs w:val="24"/>
        </w:rPr>
        <w:t>Enron</w:t>
      </w:r>
      <w:r w:rsidR="00677CAE" w:rsidRPr="002E6E04">
        <w:rPr>
          <w:rFonts w:cs="Times New Roman"/>
          <w:color w:val="000000" w:themeColor="text1"/>
          <w:szCs w:val="24"/>
        </w:rPr>
        <w:t>’s</w:t>
      </w:r>
      <w:r w:rsidR="00391820" w:rsidRPr="002E6E04">
        <w:rPr>
          <w:rFonts w:cs="Times New Roman"/>
          <w:color w:val="000000" w:themeColor="text1"/>
          <w:szCs w:val="24"/>
        </w:rPr>
        <w:t xml:space="preserve"> emails</w:t>
      </w:r>
      <w:r w:rsidR="00677CAE" w:rsidRPr="002E6E04">
        <w:rPr>
          <w:rFonts w:cs="Times New Roman"/>
          <w:color w:val="000000" w:themeColor="text1"/>
          <w:szCs w:val="24"/>
        </w:rPr>
        <w:t>,</w:t>
      </w:r>
      <w:r w:rsidR="00391820" w:rsidRPr="002E6E04">
        <w:rPr>
          <w:rFonts w:cs="Times New Roman"/>
          <w:color w:val="000000" w:themeColor="text1"/>
          <w:szCs w:val="24"/>
        </w:rPr>
        <w:t xml:space="preserve"> </w:t>
      </w:r>
      <w:r w:rsidR="00677CAE" w:rsidRPr="002E6E04">
        <w:rPr>
          <w:rFonts w:cs="Times New Roman"/>
          <w:color w:val="000000" w:themeColor="text1"/>
          <w:szCs w:val="24"/>
        </w:rPr>
        <w:t xml:space="preserve">publicly </w:t>
      </w:r>
      <w:r w:rsidR="00391820" w:rsidRPr="002E6E04">
        <w:rPr>
          <w:rFonts w:cs="Times New Roman"/>
          <w:color w:val="000000" w:themeColor="text1"/>
          <w:szCs w:val="24"/>
        </w:rPr>
        <w:t>released by the FERC in the fallout from the company’s failure.</w:t>
      </w:r>
      <w:r w:rsidR="00A81317" w:rsidRPr="002E6E04">
        <w:rPr>
          <w:rStyle w:val="EndnoteReference"/>
          <w:rFonts w:cs="Times New Roman"/>
          <w:color w:val="000000" w:themeColor="text1"/>
          <w:szCs w:val="24"/>
        </w:rPr>
        <w:endnoteReference w:id="54"/>
      </w:r>
      <w:r w:rsidR="00677CAE" w:rsidRPr="002E6E04">
        <w:rPr>
          <w:rFonts w:cs="Times New Roman"/>
          <w:color w:val="000000" w:themeColor="text1"/>
          <w:szCs w:val="24"/>
        </w:rPr>
        <w:t xml:space="preserve"> </w:t>
      </w:r>
      <w:r w:rsidR="00677CAE" w:rsidRPr="002E6E04">
        <w:rPr>
          <w:rFonts w:cs="Times New Roman"/>
          <w:color w:val="000000" w:themeColor="text1"/>
          <w:szCs w:val="24"/>
        </w:rPr>
        <w:lastRenderedPageBreak/>
        <w:t xml:space="preserve">Unlike the other sources we use, the emails were published </w:t>
      </w:r>
      <w:r w:rsidR="008427ED" w:rsidRPr="002E6E04">
        <w:rPr>
          <w:rFonts w:cs="Times New Roman"/>
          <w:color w:val="000000" w:themeColor="text1"/>
          <w:szCs w:val="24"/>
        </w:rPr>
        <w:t xml:space="preserve">as a corpus </w:t>
      </w:r>
      <w:r w:rsidR="00677CAE" w:rsidRPr="002E6E04">
        <w:rPr>
          <w:rFonts w:cs="Times New Roman"/>
          <w:color w:val="000000" w:themeColor="text1"/>
          <w:szCs w:val="24"/>
        </w:rPr>
        <w:t>for public and historical interest, rather individually based on specific legal arguments.</w:t>
      </w:r>
      <w:r w:rsidR="00391820" w:rsidRPr="002E6E04">
        <w:rPr>
          <w:rFonts w:cs="Times New Roman"/>
          <w:color w:val="000000" w:themeColor="text1"/>
          <w:szCs w:val="24"/>
        </w:rPr>
        <w:t xml:space="preserve"> </w:t>
      </w:r>
      <w:r w:rsidR="00677CAE" w:rsidRPr="002E6E04">
        <w:rPr>
          <w:rFonts w:cs="Times New Roman"/>
          <w:color w:val="000000" w:themeColor="text1"/>
          <w:szCs w:val="24"/>
        </w:rPr>
        <w:t>As such they represent a large, un</w:t>
      </w:r>
      <w:r w:rsidR="00B41063" w:rsidRPr="002E6E04">
        <w:rPr>
          <w:rFonts w:cs="Times New Roman"/>
          <w:color w:val="000000" w:themeColor="text1"/>
          <w:szCs w:val="24"/>
        </w:rPr>
        <w:t>-</w:t>
      </w:r>
      <w:r w:rsidR="00677CAE" w:rsidRPr="002E6E04">
        <w:rPr>
          <w:rFonts w:cs="Times New Roman"/>
          <w:color w:val="000000" w:themeColor="text1"/>
          <w:szCs w:val="24"/>
        </w:rPr>
        <w:t xml:space="preserve">curated dataset (over 500,000 emails from 150 accounts), and </w:t>
      </w:r>
      <w:r w:rsidR="00391820" w:rsidRPr="002E6E04">
        <w:rPr>
          <w:rFonts w:cs="Times New Roman"/>
          <w:color w:val="000000" w:themeColor="text1"/>
          <w:szCs w:val="24"/>
        </w:rPr>
        <w:t>we limited our focus to accounts relevant to the Portland trading-office.</w:t>
      </w:r>
      <w:r w:rsidR="00391820" w:rsidRPr="002E6E04">
        <w:rPr>
          <w:rStyle w:val="EndnoteReference"/>
          <w:rFonts w:cs="Times New Roman"/>
          <w:color w:val="000000" w:themeColor="text1"/>
          <w:szCs w:val="24"/>
        </w:rPr>
        <w:endnoteReference w:id="55"/>
      </w:r>
      <w:r w:rsidR="00391820" w:rsidRPr="002E6E04">
        <w:rPr>
          <w:rFonts w:cs="Times New Roman"/>
          <w:color w:val="000000" w:themeColor="text1"/>
          <w:szCs w:val="24"/>
        </w:rPr>
        <w:t xml:space="preserve"> </w:t>
      </w:r>
      <w:r w:rsidR="00677CAE" w:rsidRPr="002E6E04">
        <w:rPr>
          <w:rFonts w:cs="Times New Roman"/>
          <w:color w:val="000000" w:themeColor="text1"/>
          <w:szCs w:val="24"/>
        </w:rPr>
        <w:t xml:space="preserve">Together, these company records provided </w:t>
      </w:r>
      <w:r w:rsidR="00EC1F23" w:rsidRPr="002E6E04">
        <w:rPr>
          <w:rFonts w:cs="Times New Roman"/>
          <w:color w:val="000000" w:themeColor="text1"/>
          <w:szCs w:val="24"/>
        </w:rPr>
        <w:t>important additional source</w:t>
      </w:r>
      <w:r w:rsidR="00FD0E70" w:rsidRPr="002E6E04">
        <w:rPr>
          <w:rFonts w:cs="Times New Roman"/>
          <w:color w:val="000000" w:themeColor="text1"/>
          <w:szCs w:val="24"/>
        </w:rPr>
        <w:t>s</w:t>
      </w:r>
      <w:r w:rsidR="00EC1F23" w:rsidRPr="002E6E04">
        <w:rPr>
          <w:rFonts w:cs="Times New Roman"/>
          <w:color w:val="000000" w:themeColor="text1"/>
          <w:szCs w:val="24"/>
        </w:rPr>
        <w:t xml:space="preserve"> of insight</w:t>
      </w:r>
      <w:r w:rsidR="00677CAE" w:rsidRPr="002E6E04">
        <w:rPr>
          <w:rFonts w:cs="Times New Roman"/>
          <w:color w:val="000000" w:themeColor="text1"/>
          <w:szCs w:val="24"/>
        </w:rPr>
        <w:t>, add</w:t>
      </w:r>
      <w:r w:rsidR="008427ED" w:rsidRPr="002E6E04">
        <w:rPr>
          <w:rFonts w:cs="Times New Roman"/>
          <w:color w:val="000000" w:themeColor="text1"/>
          <w:szCs w:val="24"/>
        </w:rPr>
        <w:t xml:space="preserve">ing </w:t>
      </w:r>
      <w:r w:rsidR="00677CAE" w:rsidRPr="002E6E04">
        <w:rPr>
          <w:rFonts w:cs="Times New Roman"/>
          <w:color w:val="000000" w:themeColor="text1"/>
          <w:szCs w:val="24"/>
        </w:rPr>
        <w:t>details about the case and allowing us to better contextualize the often technical and partial nature of the surviving telephone correspondence.</w:t>
      </w:r>
    </w:p>
    <w:p w14:paraId="3EC5521F" w14:textId="6D8C17F9" w:rsidR="00CC282F" w:rsidRDefault="00F24FC8" w:rsidP="00EC1F23">
      <w:pPr>
        <w:spacing w:after="0"/>
        <w:ind w:firstLine="576"/>
        <w:rPr>
          <w:color w:val="000000" w:themeColor="text1"/>
        </w:rPr>
      </w:pPr>
      <w:r w:rsidRPr="002E6E04">
        <w:rPr>
          <w:color w:val="000000" w:themeColor="text1"/>
        </w:rPr>
        <w:t xml:space="preserve">In addition to the above primary sources, we also make use of summary reports and decisions that together concluded the </w:t>
      </w:r>
      <w:r w:rsidR="004D7A73" w:rsidRPr="002E6E04">
        <w:rPr>
          <w:color w:val="000000" w:themeColor="text1"/>
        </w:rPr>
        <w:t xml:space="preserve">various </w:t>
      </w:r>
      <w:r w:rsidRPr="002E6E04">
        <w:rPr>
          <w:color w:val="000000" w:themeColor="text1"/>
        </w:rPr>
        <w:t xml:space="preserve">legal proceedings </w:t>
      </w:r>
      <w:r w:rsidR="009E4B9F" w:rsidRPr="002E6E04">
        <w:rPr>
          <w:color w:val="000000" w:themeColor="text1"/>
        </w:rPr>
        <w:t>into California's energy crisis</w:t>
      </w:r>
      <w:r w:rsidRPr="002E6E04">
        <w:rPr>
          <w:color w:val="000000" w:themeColor="text1"/>
        </w:rPr>
        <w:t>.</w:t>
      </w:r>
      <w:r w:rsidR="009E4B9F" w:rsidRPr="002E6E04">
        <w:rPr>
          <w:color w:val="000000" w:themeColor="text1"/>
        </w:rPr>
        <w:t xml:space="preserve"> </w:t>
      </w:r>
      <w:r w:rsidRPr="002E6E04">
        <w:rPr>
          <w:color w:val="000000" w:themeColor="text1"/>
        </w:rPr>
        <w:t>While these p</w:t>
      </w:r>
      <w:r w:rsidR="009E4B9F" w:rsidRPr="002E6E04">
        <w:rPr>
          <w:color w:val="000000" w:themeColor="text1"/>
        </w:rPr>
        <w:t xml:space="preserve">rovide valuable </w:t>
      </w:r>
      <w:r w:rsidR="00AF6EF1" w:rsidRPr="002E6E04">
        <w:rPr>
          <w:color w:val="000000" w:themeColor="text1"/>
        </w:rPr>
        <w:t>insight</w:t>
      </w:r>
      <w:r w:rsidR="009E4B9F" w:rsidRPr="002E6E04">
        <w:rPr>
          <w:color w:val="000000" w:themeColor="text1"/>
        </w:rPr>
        <w:t>, they carry limitations</w:t>
      </w:r>
      <w:r w:rsidRPr="002E6E04">
        <w:rPr>
          <w:color w:val="000000" w:themeColor="text1"/>
        </w:rPr>
        <w:t xml:space="preserve"> as a source of historical record</w:t>
      </w:r>
      <w:r w:rsidR="009E4B9F" w:rsidRPr="002E6E04">
        <w:rPr>
          <w:color w:val="000000" w:themeColor="text1"/>
        </w:rPr>
        <w:t xml:space="preserve">. </w:t>
      </w:r>
      <w:r w:rsidR="00796EBC" w:rsidRPr="002E6E04">
        <w:rPr>
          <w:color w:val="000000" w:themeColor="text1"/>
        </w:rPr>
        <w:t>For one, legal decisions</w:t>
      </w:r>
      <w:r w:rsidR="009E4B9F" w:rsidRPr="002E6E04">
        <w:rPr>
          <w:color w:val="000000" w:themeColor="text1"/>
        </w:rPr>
        <w:t xml:space="preserve"> are relatively atemporal, being structured around specific legal issues and only considering </w:t>
      </w:r>
      <w:r w:rsidRPr="002E6E04">
        <w:rPr>
          <w:color w:val="000000" w:themeColor="text1"/>
        </w:rPr>
        <w:t>temporality</w:t>
      </w:r>
      <w:r w:rsidR="009E4B9F" w:rsidRPr="002E6E04">
        <w:rPr>
          <w:color w:val="000000" w:themeColor="text1"/>
        </w:rPr>
        <w:t xml:space="preserve"> </w:t>
      </w:r>
      <w:r w:rsidR="00D83B08" w:rsidRPr="002E6E04">
        <w:rPr>
          <w:color w:val="000000" w:themeColor="text1"/>
        </w:rPr>
        <w:t>when</w:t>
      </w:r>
      <w:r w:rsidR="009E4B9F" w:rsidRPr="002E6E04">
        <w:rPr>
          <w:color w:val="000000" w:themeColor="text1"/>
        </w:rPr>
        <w:t xml:space="preserve"> relevant </w:t>
      </w:r>
      <w:r w:rsidRPr="002E6E04">
        <w:rPr>
          <w:color w:val="000000" w:themeColor="text1"/>
        </w:rPr>
        <w:t>to the</w:t>
      </w:r>
      <w:r w:rsidR="009E4B9F" w:rsidRPr="002E6E04">
        <w:rPr>
          <w:color w:val="000000" w:themeColor="text1"/>
        </w:rPr>
        <w:t xml:space="preserve"> </w:t>
      </w:r>
      <w:r w:rsidRPr="002E6E04">
        <w:rPr>
          <w:color w:val="000000" w:themeColor="text1"/>
        </w:rPr>
        <w:t>case</w:t>
      </w:r>
      <w:r w:rsidR="009E4B9F" w:rsidRPr="002E6E04">
        <w:rPr>
          <w:color w:val="000000" w:themeColor="text1"/>
        </w:rPr>
        <w:t xml:space="preserve">. This makes past actions and events difficult </w:t>
      </w:r>
      <w:r w:rsidR="00796EBC" w:rsidRPr="002E6E04">
        <w:rPr>
          <w:color w:val="000000" w:themeColor="text1"/>
        </w:rPr>
        <w:t xml:space="preserve">to understand </w:t>
      </w:r>
      <w:r w:rsidR="009E4B9F" w:rsidRPr="002E6E04">
        <w:rPr>
          <w:color w:val="000000" w:themeColor="text1"/>
        </w:rPr>
        <w:t xml:space="preserve">without reinterpreting </w:t>
      </w:r>
      <w:r w:rsidR="00D83B08" w:rsidRPr="002E6E04">
        <w:rPr>
          <w:color w:val="000000" w:themeColor="text1"/>
        </w:rPr>
        <w:t xml:space="preserve">and reordering </w:t>
      </w:r>
      <w:r w:rsidR="00EC1F23" w:rsidRPr="002E6E04">
        <w:rPr>
          <w:color w:val="000000" w:themeColor="text1"/>
        </w:rPr>
        <w:t>their findings</w:t>
      </w:r>
      <w:r w:rsidR="009E4B9F" w:rsidRPr="002E6E04">
        <w:rPr>
          <w:color w:val="000000" w:themeColor="text1"/>
        </w:rPr>
        <w:t xml:space="preserve"> with a view to historical knowledge creation. </w:t>
      </w:r>
      <w:r w:rsidR="00D83B08" w:rsidRPr="002E6E04">
        <w:rPr>
          <w:color w:val="000000" w:themeColor="text1"/>
        </w:rPr>
        <w:t>Additionally,</w:t>
      </w:r>
      <w:r w:rsidR="001C5C48" w:rsidRPr="002E6E04">
        <w:rPr>
          <w:color w:val="000000" w:themeColor="text1"/>
        </w:rPr>
        <w:t xml:space="preserve"> as</w:t>
      </w:r>
      <w:r w:rsidR="00D83B08" w:rsidRPr="002E6E04">
        <w:rPr>
          <w:color w:val="000000" w:themeColor="text1"/>
        </w:rPr>
        <w:t xml:space="preserve"> </w:t>
      </w:r>
      <w:r w:rsidR="009E4B9F" w:rsidRPr="002E6E04">
        <w:rPr>
          <w:color w:val="000000" w:themeColor="text1"/>
        </w:rPr>
        <w:t xml:space="preserve">there </w:t>
      </w:r>
      <w:r w:rsidR="00D83B08" w:rsidRPr="002E6E04">
        <w:rPr>
          <w:color w:val="000000" w:themeColor="text1"/>
        </w:rPr>
        <w:t>were</w:t>
      </w:r>
      <w:r w:rsidR="009E4B9F" w:rsidRPr="002E6E04">
        <w:rPr>
          <w:color w:val="000000" w:themeColor="text1"/>
        </w:rPr>
        <w:t xml:space="preserve"> various </w:t>
      </w:r>
      <w:r w:rsidR="008427ED" w:rsidRPr="002E6E04">
        <w:rPr>
          <w:color w:val="000000" w:themeColor="text1"/>
        </w:rPr>
        <w:t>proceedings</w:t>
      </w:r>
      <w:r w:rsidR="009E4B9F" w:rsidRPr="002E6E04">
        <w:rPr>
          <w:color w:val="000000" w:themeColor="text1"/>
        </w:rPr>
        <w:t xml:space="preserve"> relevant to this case,</w:t>
      </w:r>
      <w:r w:rsidR="00D83B08" w:rsidRPr="002E6E04">
        <w:rPr>
          <w:color w:val="000000" w:themeColor="text1"/>
        </w:rPr>
        <w:t xml:space="preserve"> </w:t>
      </w:r>
      <w:r w:rsidR="001C5C48" w:rsidRPr="002E6E04">
        <w:rPr>
          <w:color w:val="000000" w:themeColor="text1"/>
        </w:rPr>
        <w:t xml:space="preserve">the </w:t>
      </w:r>
      <w:r w:rsidR="009E4B9F" w:rsidRPr="002E6E04">
        <w:rPr>
          <w:color w:val="000000" w:themeColor="text1"/>
        </w:rPr>
        <w:t>insight they provide</w:t>
      </w:r>
      <w:r w:rsidR="001C5C48" w:rsidRPr="002E6E04">
        <w:rPr>
          <w:color w:val="000000" w:themeColor="text1"/>
        </w:rPr>
        <w:t xml:space="preserve"> is very</w:t>
      </w:r>
      <w:r w:rsidR="009E4B9F" w:rsidRPr="002E6E04">
        <w:rPr>
          <w:color w:val="000000" w:themeColor="text1"/>
        </w:rPr>
        <w:t xml:space="preserve"> dispersed. </w:t>
      </w:r>
      <w:r w:rsidR="001C5C48" w:rsidRPr="002E6E04">
        <w:rPr>
          <w:color w:val="000000" w:themeColor="text1"/>
        </w:rPr>
        <w:t xml:space="preserve">In this sense, reading a single report – even the FERC’s </w:t>
      </w:r>
      <w:r w:rsidR="00EC1F23" w:rsidRPr="002E6E04">
        <w:rPr>
          <w:i/>
          <w:iCs/>
          <w:color w:val="000000" w:themeColor="text1"/>
        </w:rPr>
        <w:t>final</w:t>
      </w:r>
      <w:r w:rsidR="001C5C48" w:rsidRPr="002E6E04">
        <w:rPr>
          <w:color w:val="000000" w:themeColor="text1"/>
        </w:rPr>
        <w:t xml:space="preserve"> report – provide</w:t>
      </w:r>
      <w:r w:rsidR="00EC1F23" w:rsidRPr="002E6E04">
        <w:rPr>
          <w:color w:val="000000" w:themeColor="text1"/>
        </w:rPr>
        <w:t>s</w:t>
      </w:r>
      <w:r w:rsidR="001C5C48" w:rsidRPr="002E6E04">
        <w:rPr>
          <w:color w:val="000000" w:themeColor="text1"/>
        </w:rPr>
        <w:t xml:space="preserve"> a partial and relative</w:t>
      </w:r>
      <w:r w:rsidR="00796EBC" w:rsidRPr="002E6E04">
        <w:rPr>
          <w:color w:val="000000" w:themeColor="text1"/>
        </w:rPr>
        <w:t>ly</w:t>
      </w:r>
      <w:r w:rsidR="001C5C48" w:rsidRPr="002E6E04">
        <w:rPr>
          <w:color w:val="000000" w:themeColor="text1"/>
        </w:rPr>
        <w:t xml:space="preserve"> specific picture of the </w:t>
      </w:r>
      <w:r w:rsidR="00CC282F" w:rsidRPr="002E6E04">
        <w:rPr>
          <w:color w:val="000000" w:themeColor="text1"/>
        </w:rPr>
        <w:t>c</w:t>
      </w:r>
      <w:r w:rsidR="001C5C48" w:rsidRPr="002E6E04">
        <w:rPr>
          <w:color w:val="000000" w:themeColor="text1"/>
        </w:rPr>
        <w:t>risis and the action that contributed towards it.</w:t>
      </w:r>
      <w:r w:rsidR="003D62D4" w:rsidRPr="002E6E04">
        <w:rPr>
          <w:rStyle w:val="EndnoteReference"/>
          <w:color w:val="000000" w:themeColor="text1"/>
        </w:rPr>
        <w:endnoteReference w:id="56"/>
      </w:r>
      <w:r w:rsidR="003D62D4" w:rsidRPr="002E6E04">
        <w:rPr>
          <w:color w:val="000000" w:themeColor="text1"/>
          <w:szCs w:val="24"/>
        </w:rPr>
        <w:t xml:space="preserve"> </w:t>
      </w:r>
      <w:r w:rsidR="009E4B9F" w:rsidRPr="002E6E04">
        <w:rPr>
          <w:color w:val="000000" w:themeColor="text1"/>
        </w:rPr>
        <w:t>Moreover, these decisions themselves rely heavily on related briefs, exhibits and testimonials,</w:t>
      </w:r>
      <w:r w:rsidR="00796EBC" w:rsidRPr="002E6E04">
        <w:rPr>
          <w:color w:val="000000" w:themeColor="text1"/>
        </w:rPr>
        <w:t xml:space="preserve"> to</w:t>
      </w:r>
      <w:r w:rsidR="009E4B9F" w:rsidRPr="002E6E04">
        <w:rPr>
          <w:color w:val="000000" w:themeColor="text1"/>
        </w:rPr>
        <w:t xml:space="preserve"> contextualize the summary</w:t>
      </w:r>
      <w:r w:rsidR="00796EBC" w:rsidRPr="002E6E04">
        <w:rPr>
          <w:color w:val="000000" w:themeColor="text1"/>
        </w:rPr>
        <w:t xml:space="preserve"> discussion</w:t>
      </w:r>
      <w:r w:rsidR="009E4B9F" w:rsidRPr="002E6E04">
        <w:rPr>
          <w:color w:val="000000" w:themeColor="text1"/>
        </w:rPr>
        <w:t xml:space="preserve">. Without synthesizing this body of </w:t>
      </w:r>
      <w:r w:rsidR="00EC1F23" w:rsidRPr="002E6E04">
        <w:rPr>
          <w:color w:val="000000" w:themeColor="text1"/>
        </w:rPr>
        <w:t xml:space="preserve">supporting </w:t>
      </w:r>
      <w:r w:rsidR="009E4B9F" w:rsidRPr="002E6E04">
        <w:rPr>
          <w:color w:val="000000" w:themeColor="text1"/>
        </w:rPr>
        <w:t xml:space="preserve">legal material, a full appreciation of the case would be extremely hard to achieve. </w:t>
      </w:r>
      <w:r w:rsidR="00D83B08" w:rsidRPr="002E6E04">
        <w:rPr>
          <w:color w:val="000000" w:themeColor="text1"/>
        </w:rPr>
        <w:t>J</w:t>
      </w:r>
      <w:r w:rsidR="009E4B9F" w:rsidRPr="002E6E04">
        <w:rPr>
          <w:color w:val="000000" w:themeColor="text1"/>
        </w:rPr>
        <w:t xml:space="preserve">udicial process is </w:t>
      </w:r>
      <w:r w:rsidR="001856BB" w:rsidRPr="002E6E04">
        <w:rPr>
          <w:color w:val="000000" w:themeColor="text1"/>
        </w:rPr>
        <w:t xml:space="preserve">also </w:t>
      </w:r>
      <w:r w:rsidR="009E4B9F" w:rsidRPr="002E6E04">
        <w:rPr>
          <w:color w:val="000000" w:themeColor="text1"/>
        </w:rPr>
        <w:t>necessar</w:t>
      </w:r>
      <w:r w:rsidR="008427ED" w:rsidRPr="002E6E04">
        <w:rPr>
          <w:color w:val="000000" w:themeColor="text1"/>
        </w:rPr>
        <w:t>il</w:t>
      </w:r>
      <w:r w:rsidR="009E4B9F" w:rsidRPr="002E6E04">
        <w:rPr>
          <w:color w:val="000000" w:themeColor="text1"/>
        </w:rPr>
        <w:t>y bound by a duty to determine legal</w:t>
      </w:r>
      <w:r w:rsidR="00F24A5E" w:rsidRPr="002E6E04">
        <w:rPr>
          <w:color w:val="000000" w:themeColor="text1"/>
        </w:rPr>
        <w:t>ly</w:t>
      </w:r>
      <w:r w:rsidR="009E4B9F" w:rsidRPr="002E6E04">
        <w:rPr>
          <w:color w:val="000000" w:themeColor="text1"/>
        </w:rPr>
        <w:t xml:space="preserve"> relevant facts an</w:t>
      </w:r>
      <w:r w:rsidR="00F32211" w:rsidRPr="002E6E04">
        <w:rPr>
          <w:color w:val="000000" w:themeColor="text1"/>
        </w:rPr>
        <w:t>d</w:t>
      </w:r>
      <w:r w:rsidR="009E4B9F" w:rsidRPr="002E6E04">
        <w:rPr>
          <w:color w:val="000000" w:themeColor="text1"/>
        </w:rPr>
        <w:t xml:space="preserve"> apply the law. These circumstances mean that, while Enron's involvement in California's energy markets has been heavily investigated as a</w:t>
      </w:r>
      <w:r w:rsidR="00F32211" w:rsidRPr="002E6E04">
        <w:rPr>
          <w:color w:val="000000" w:themeColor="text1"/>
        </w:rPr>
        <w:t xml:space="preserve"> point of</w:t>
      </w:r>
      <w:r w:rsidR="009E4B9F" w:rsidRPr="002E6E04">
        <w:rPr>
          <w:color w:val="000000" w:themeColor="text1"/>
        </w:rPr>
        <w:t xml:space="preserve"> legal interest, the historical</w:t>
      </w:r>
      <w:r w:rsidR="008427ED" w:rsidRPr="002E6E04">
        <w:rPr>
          <w:color w:val="000000" w:themeColor="text1"/>
        </w:rPr>
        <w:t xml:space="preserve"> and conceptual</w:t>
      </w:r>
      <w:r w:rsidR="009E4B9F" w:rsidRPr="002E6E04">
        <w:rPr>
          <w:color w:val="000000" w:themeColor="text1"/>
        </w:rPr>
        <w:t xml:space="preserve"> importance of this case remains largely hidden.</w:t>
      </w:r>
      <w:r w:rsidR="004141BC" w:rsidRPr="002E6E04">
        <w:rPr>
          <w:color w:val="000000" w:themeColor="text1"/>
        </w:rPr>
        <w:t xml:space="preserve"> </w:t>
      </w:r>
    </w:p>
    <w:p w14:paraId="3280ABD0" w14:textId="77777777" w:rsidR="007902A3" w:rsidRPr="002E6E04" w:rsidRDefault="007902A3" w:rsidP="00EC1F23">
      <w:pPr>
        <w:spacing w:after="0"/>
        <w:ind w:firstLine="576"/>
        <w:rPr>
          <w:color w:val="000000" w:themeColor="text1"/>
        </w:rPr>
      </w:pPr>
    </w:p>
    <w:p w14:paraId="08D2C663" w14:textId="1096B82E" w:rsidR="000142AC" w:rsidRPr="002E6E04" w:rsidRDefault="000F0376" w:rsidP="000142AC">
      <w:pPr>
        <w:pStyle w:val="Heading2"/>
        <w:numPr>
          <w:ilvl w:val="0"/>
          <w:numId w:val="0"/>
        </w:numPr>
        <w:spacing w:line="480" w:lineRule="auto"/>
        <w:ind w:left="576" w:hanging="576"/>
        <w:rPr>
          <w:rFonts w:cs="Times New Roman"/>
        </w:rPr>
      </w:pPr>
      <w:r w:rsidRPr="002E6E04">
        <w:rPr>
          <w:rFonts w:cs="Times New Roman"/>
          <w:szCs w:val="24"/>
        </w:rPr>
        <w:lastRenderedPageBreak/>
        <w:t xml:space="preserve">Enron and California’s energy </w:t>
      </w:r>
      <w:r w:rsidR="007F75FE" w:rsidRPr="002E6E04">
        <w:rPr>
          <w:rFonts w:cs="Times New Roman"/>
          <w:szCs w:val="24"/>
        </w:rPr>
        <w:t>supply reforms</w:t>
      </w:r>
    </w:p>
    <w:p w14:paraId="208E7CF5" w14:textId="4B58D1C0" w:rsidR="000F0376" w:rsidRPr="002E6E04" w:rsidRDefault="00422258" w:rsidP="00E2760A">
      <w:pPr>
        <w:spacing w:after="0"/>
        <w:rPr>
          <w:rFonts w:cs="Times New Roman"/>
          <w:color w:val="000000" w:themeColor="text1"/>
          <w:szCs w:val="24"/>
        </w:rPr>
      </w:pPr>
      <w:r w:rsidRPr="002E6E04">
        <w:rPr>
          <w:rFonts w:cs="Times New Roman"/>
          <w:color w:val="000000" w:themeColor="text1"/>
          <w:szCs w:val="24"/>
        </w:rPr>
        <w:t xml:space="preserve">The energy company </w:t>
      </w:r>
      <w:r w:rsidR="000142AC" w:rsidRPr="002E6E04">
        <w:rPr>
          <w:rFonts w:cs="Times New Roman"/>
          <w:color w:val="000000" w:themeColor="text1"/>
          <w:szCs w:val="24"/>
        </w:rPr>
        <w:t>Enron was formed by the merger of Houston Natural Gas</w:t>
      </w:r>
      <w:r w:rsidR="00951F39" w:rsidRPr="002E6E04">
        <w:rPr>
          <w:rFonts w:cs="Times New Roman"/>
          <w:color w:val="000000" w:themeColor="text1"/>
          <w:szCs w:val="24"/>
        </w:rPr>
        <w:t xml:space="preserve"> </w:t>
      </w:r>
      <w:r w:rsidR="000142AC" w:rsidRPr="002E6E04">
        <w:rPr>
          <w:rFonts w:cs="Times New Roman"/>
          <w:color w:val="000000" w:themeColor="text1"/>
          <w:szCs w:val="24"/>
        </w:rPr>
        <w:t>and Omaha-based InterNorth in 1985</w:t>
      </w:r>
      <w:r w:rsidR="000F0376" w:rsidRPr="002E6E04">
        <w:rPr>
          <w:rFonts w:cs="Times New Roman"/>
          <w:color w:val="000000" w:themeColor="text1"/>
          <w:szCs w:val="24"/>
        </w:rPr>
        <w:t>, under the leadership of</w:t>
      </w:r>
      <w:r w:rsidR="00F731EB">
        <w:rPr>
          <w:rFonts w:cs="Times New Roman"/>
          <w:color w:val="000000" w:themeColor="text1"/>
          <w:szCs w:val="24"/>
        </w:rPr>
        <w:t xml:space="preserve"> the former’s CEO,</w:t>
      </w:r>
      <w:r w:rsidR="000F0376" w:rsidRPr="002E6E04">
        <w:rPr>
          <w:rFonts w:cs="Times New Roman"/>
          <w:color w:val="000000" w:themeColor="text1"/>
          <w:szCs w:val="24"/>
        </w:rPr>
        <w:t xml:space="preserve"> </w:t>
      </w:r>
      <w:r w:rsidR="000142AC" w:rsidRPr="002E6E04">
        <w:rPr>
          <w:rFonts w:cs="Times New Roman"/>
          <w:color w:val="000000" w:themeColor="text1"/>
          <w:szCs w:val="24"/>
        </w:rPr>
        <w:t>Ken Lay</w:t>
      </w:r>
      <w:r w:rsidR="00584C49">
        <w:rPr>
          <w:rFonts w:cs="Times New Roman"/>
          <w:color w:val="000000" w:themeColor="text1"/>
          <w:szCs w:val="24"/>
        </w:rPr>
        <w:t>.</w:t>
      </w:r>
      <w:r w:rsidR="001F5054">
        <w:rPr>
          <w:rFonts w:cs="Times New Roman"/>
          <w:color w:val="000000" w:themeColor="text1"/>
          <w:szCs w:val="24"/>
        </w:rPr>
        <w:t xml:space="preserve"> </w:t>
      </w:r>
      <w:r w:rsidR="000142AC" w:rsidRPr="002E6E04">
        <w:rPr>
          <w:rFonts w:cs="Times New Roman"/>
          <w:color w:val="000000" w:themeColor="text1"/>
          <w:szCs w:val="24"/>
        </w:rPr>
        <w:t>The new entity constituted a major player within the natural gas industry, controlling the largest system of transmission pipelines in North America.</w:t>
      </w:r>
      <w:r w:rsidR="00610903" w:rsidRPr="002E6E04">
        <w:rPr>
          <w:rStyle w:val="EndnoteReference"/>
          <w:rFonts w:cs="Times New Roman"/>
          <w:color w:val="000000" w:themeColor="text1"/>
          <w:szCs w:val="24"/>
        </w:rPr>
        <w:endnoteReference w:id="57"/>
      </w:r>
      <w:r w:rsidR="000142AC" w:rsidRPr="002E6E04">
        <w:rPr>
          <w:rFonts w:cs="Times New Roman"/>
          <w:color w:val="000000" w:themeColor="text1"/>
          <w:szCs w:val="24"/>
        </w:rPr>
        <w:t xml:space="preserve"> Lay </w:t>
      </w:r>
      <w:r w:rsidR="00AC4143" w:rsidRPr="002E6E04">
        <w:rPr>
          <w:rFonts w:cs="Times New Roman"/>
          <w:color w:val="000000" w:themeColor="text1"/>
          <w:szCs w:val="24"/>
        </w:rPr>
        <w:t xml:space="preserve">was </w:t>
      </w:r>
      <w:r w:rsidR="000025AC" w:rsidRPr="002E6E04">
        <w:rPr>
          <w:rFonts w:cs="Times New Roman"/>
          <w:color w:val="000000" w:themeColor="text1"/>
          <w:szCs w:val="24"/>
        </w:rPr>
        <w:t>a vocal</w:t>
      </w:r>
      <w:r w:rsidR="00851F95" w:rsidRPr="002E6E04">
        <w:rPr>
          <w:rFonts w:cs="Times New Roman"/>
          <w:color w:val="000000" w:themeColor="text1"/>
          <w:szCs w:val="24"/>
        </w:rPr>
        <w:t xml:space="preserve"> </w:t>
      </w:r>
      <w:r w:rsidR="00F97710" w:rsidRPr="002E6E04">
        <w:rPr>
          <w:rFonts w:cs="Times New Roman"/>
          <w:color w:val="000000" w:themeColor="text1"/>
          <w:szCs w:val="24"/>
        </w:rPr>
        <w:t>advocate</w:t>
      </w:r>
      <w:r w:rsidR="00851F95" w:rsidRPr="002E6E04">
        <w:rPr>
          <w:rFonts w:cs="Times New Roman"/>
          <w:color w:val="000000" w:themeColor="text1"/>
          <w:szCs w:val="24"/>
        </w:rPr>
        <w:t xml:space="preserve"> </w:t>
      </w:r>
      <w:r w:rsidR="00AC4143" w:rsidRPr="002E6E04">
        <w:rPr>
          <w:rFonts w:cs="Times New Roman"/>
          <w:color w:val="000000" w:themeColor="text1"/>
          <w:szCs w:val="24"/>
        </w:rPr>
        <w:t xml:space="preserve">of </w:t>
      </w:r>
      <w:r w:rsidR="000142AC" w:rsidRPr="002E6E04">
        <w:rPr>
          <w:rFonts w:cs="Times New Roman"/>
          <w:color w:val="000000" w:themeColor="text1"/>
          <w:szCs w:val="24"/>
        </w:rPr>
        <w:t>free market</w:t>
      </w:r>
      <w:r w:rsidR="00A82D7A" w:rsidRPr="002E6E04">
        <w:rPr>
          <w:rFonts w:cs="Times New Roman"/>
          <w:color w:val="000000" w:themeColor="text1"/>
          <w:szCs w:val="24"/>
        </w:rPr>
        <w:t>s,</w:t>
      </w:r>
      <w:r w:rsidR="000142AC" w:rsidRPr="002E6E04">
        <w:rPr>
          <w:rFonts w:cs="Times New Roman"/>
          <w:color w:val="000000" w:themeColor="text1"/>
          <w:szCs w:val="24"/>
        </w:rPr>
        <w:t xml:space="preserve"> </w:t>
      </w:r>
      <w:r w:rsidR="00A82D7A" w:rsidRPr="002E6E04">
        <w:rPr>
          <w:rFonts w:cs="Times New Roman"/>
          <w:color w:val="000000" w:themeColor="text1"/>
          <w:szCs w:val="24"/>
        </w:rPr>
        <w:t xml:space="preserve">and this </w:t>
      </w:r>
      <w:r w:rsidR="00343871" w:rsidRPr="002E6E04">
        <w:rPr>
          <w:rFonts w:cs="Times New Roman"/>
          <w:color w:val="000000" w:themeColor="text1"/>
          <w:szCs w:val="24"/>
        </w:rPr>
        <w:t xml:space="preserve">quickly </w:t>
      </w:r>
      <w:r w:rsidR="00A82D7A" w:rsidRPr="002E6E04">
        <w:rPr>
          <w:rFonts w:cs="Times New Roman"/>
          <w:color w:val="000000" w:themeColor="text1"/>
          <w:szCs w:val="24"/>
        </w:rPr>
        <w:t>became a core aspect of</w:t>
      </w:r>
      <w:r w:rsidR="000142AC" w:rsidRPr="002E6E04">
        <w:rPr>
          <w:rFonts w:cs="Times New Roman"/>
          <w:color w:val="000000" w:themeColor="text1"/>
          <w:szCs w:val="24"/>
        </w:rPr>
        <w:t xml:space="preserve"> </w:t>
      </w:r>
      <w:r w:rsidR="00715566" w:rsidRPr="002E6E04">
        <w:rPr>
          <w:rFonts w:cs="Times New Roman"/>
          <w:color w:val="000000" w:themeColor="text1"/>
          <w:szCs w:val="24"/>
        </w:rPr>
        <w:t>Enron</w:t>
      </w:r>
      <w:r w:rsidR="00E64FAF" w:rsidRPr="002E6E04">
        <w:rPr>
          <w:rFonts w:cs="Times New Roman"/>
          <w:color w:val="000000" w:themeColor="text1"/>
          <w:szCs w:val="24"/>
        </w:rPr>
        <w:t>’s</w:t>
      </w:r>
      <w:r w:rsidR="00715566" w:rsidRPr="002E6E04">
        <w:rPr>
          <w:rFonts w:cs="Times New Roman"/>
          <w:color w:val="000000" w:themeColor="text1"/>
          <w:szCs w:val="24"/>
        </w:rPr>
        <w:t xml:space="preserve"> </w:t>
      </w:r>
      <w:r w:rsidR="00A82D7A" w:rsidRPr="002E6E04">
        <w:rPr>
          <w:rFonts w:cs="Times New Roman"/>
          <w:color w:val="000000" w:themeColor="text1"/>
          <w:szCs w:val="24"/>
        </w:rPr>
        <w:t xml:space="preserve">public identity and </w:t>
      </w:r>
      <w:r w:rsidR="00A33D85" w:rsidRPr="002E6E04">
        <w:rPr>
          <w:rFonts w:cs="Times New Roman"/>
          <w:color w:val="000000" w:themeColor="text1"/>
          <w:szCs w:val="24"/>
        </w:rPr>
        <w:t>their justification</w:t>
      </w:r>
      <w:r w:rsidR="00A82D7A" w:rsidRPr="002E6E04">
        <w:rPr>
          <w:rFonts w:cs="Times New Roman"/>
          <w:color w:val="000000" w:themeColor="text1"/>
          <w:szCs w:val="24"/>
        </w:rPr>
        <w:t xml:space="preserve"> for liberalization within the energy industry</w:t>
      </w:r>
      <w:r w:rsidR="004A7859" w:rsidRPr="002E6E04">
        <w:rPr>
          <w:rFonts w:cs="Times New Roman"/>
          <w:color w:val="000000" w:themeColor="text1"/>
          <w:szCs w:val="24"/>
        </w:rPr>
        <w:t>.</w:t>
      </w:r>
      <w:r w:rsidR="00B715FC" w:rsidRPr="002E6E04">
        <w:rPr>
          <w:rStyle w:val="EndnoteReference"/>
          <w:rFonts w:cs="Times New Roman"/>
          <w:color w:val="000000" w:themeColor="text1"/>
          <w:szCs w:val="24"/>
        </w:rPr>
        <w:endnoteReference w:id="58"/>
      </w:r>
      <w:r w:rsidR="000142AC" w:rsidRPr="002E6E04">
        <w:rPr>
          <w:rFonts w:cs="Times New Roman"/>
          <w:color w:val="000000" w:themeColor="text1"/>
          <w:szCs w:val="24"/>
        </w:rPr>
        <w:t xml:space="preserve"> </w:t>
      </w:r>
      <w:r w:rsidR="00E97689" w:rsidRPr="002E6E04">
        <w:rPr>
          <w:rFonts w:cs="Times New Roman"/>
          <w:color w:val="000000" w:themeColor="text1"/>
          <w:szCs w:val="24"/>
        </w:rPr>
        <w:t>Thus, when</w:t>
      </w:r>
      <w:r w:rsidR="009164D0" w:rsidRPr="002E6E04">
        <w:rPr>
          <w:rFonts w:cs="Times New Roman"/>
          <w:color w:val="000000" w:themeColor="text1"/>
          <w:szCs w:val="24"/>
        </w:rPr>
        <w:t xml:space="preserve"> natural gas was deregulated in</w:t>
      </w:r>
      <w:r w:rsidR="006B6E34" w:rsidRPr="002E6E04">
        <w:rPr>
          <w:rFonts w:cs="Times New Roman"/>
          <w:color w:val="000000" w:themeColor="text1"/>
          <w:szCs w:val="24"/>
        </w:rPr>
        <w:t xml:space="preserve"> the late 80s</w:t>
      </w:r>
      <w:r w:rsidR="009164D0" w:rsidRPr="002E6E04">
        <w:rPr>
          <w:rFonts w:cs="Times New Roman"/>
          <w:color w:val="000000" w:themeColor="text1"/>
          <w:szCs w:val="24"/>
        </w:rPr>
        <w:t>, Enron l</w:t>
      </w:r>
      <w:r w:rsidR="00A82D7A" w:rsidRPr="002E6E04">
        <w:rPr>
          <w:rFonts w:cs="Times New Roman"/>
          <w:color w:val="000000" w:themeColor="text1"/>
          <w:szCs w:val="24"/>
        </w:rPr>
        <w:t>ook</w:t>
      </w:r>
      <w:r w:rsidR="009164D0" w:rsidRPr="002E6E04">
        <w:rPr>
          <w:rFonts w:cs="Times New Roman"/>
          <w:color w:val="000000" w:themeColor="text1"/>
          <w:szCs w:val="24"/>
        </w:rPr>
        <w:t>ed</w:t>
      </w:r>
      <w:r w:rsidR="00A82D7A" w:rsidRPr="002E6E04">
        <w:rPr>
          <w:rFonts w:cs="Times New Roman"/>
          <w:color w:val="000000" w:themeColor="text1"/>
          <w:szCs w:val="24"/>
        </w:rPr>
        <w:t xml:space="preserve"> to capitalize, </w:t>
      </w:r>
      <w:r w:rsidR="009164D0" w:rsidRPr="002E6E04">
        <w:rPr>
          <w:rFonts w:cs="Times New Roman"/>
          <w:color w:val="000000" w:themeColor="text1"/>
          <w:szCs w:val="24"/>
        </w:rPr>
        <w:t>wo</w:t>
      </w:r>
      <w:r w:rsidR="000142AC" w:rsidRPr="002E6E04">
        <w:rPr>
          <w:rFonts w:cs="Times New Roman"/>
          <w:color w:val="000000" w:themeColor="text1"/>
          <w:szCs w:val="24"/>
        </w:rPr>
        <w:t>rking with then McKinsey consultant, Jeff</w:t>
      </w:r>
      <w:r w:rsidR="00F47543" w:rsidRPr="002E6E04">
        <w:rPr>
          <w:rFonts w:cs="Times New Roman"/>
          <w:color w:val="000000" w:themeColor="text1"/>
          <w:szCs w:val="24"/>
        </w:rPr>
        <w:t>re</w:t>
      </w:r>
      <w:r w:rsidR="000142AC" w:rsidRPr="002E6E04">
        <w:rPr>
          <w:rFonts w:cs="Times New Roman"/>
          <w:color w:val="000000" w:themeColor="text1"/>
          <w:szCs w:val="24"/>
        </w:rPr>
        <w:t xml:space="preserve">y Skilling, to develop a new, commodity-based form of natural gas trading. Pitched as a </w:t>
      </w:r>
      <w:r w:rsidR="00514A1F" w:rsidRPr="002E6E04">
        <w:rPr>
          <w:rFonts w:cs="Times New Roman"/>
          <w:color w:val="000000" w:themeColor="text1"/>
          <w:szCs w:val="24"/>
        </w:rPr>
        <w:t>“</w:t>
      </w:r>
      <w:r w:rsidR="000142AC" w:rsidRPr="002E6E04">
        <w:rPr>
          <w:rFonts w:cs="Times New Roman"/>
          <w:color w:val="000000" w:themeColor="text1"/>
          <w:szCs w:val="24"/>
        </w:rPr>
        <w:t>gas bank</w:t>
      </w:r>
      <w:r w:rsidR="00514A1F" w:rsidRPr="002E6E04">
        <w:rPr>
          <w:rFonts w:cs="Times New Roman"/>
          <w:color w:val="000000" w:themeColor="text1"/>
          <w:szCs w:val="24"/>
        </w:rPr>
        <w:t>”</w:t>
      </w:r>
      <w:r w:rsidR="000142AC" w:rsidRPr="002E6E04">
        <w:rPr>
          <w:rFonts w:cs="Times New Roman"/>
          <w:color w:val="000000" w:themeColor="text1"/>
          <w:szCs w:val="24"/>
        </w:rPr>
        <w:t>, Skilling believed gas should be traded through a mediating partner rather than directly between buyer and seller</w:t>
      </w:r>
      <w:r w:rsidR="00273722" w:rsidRPr="002E6E04">
        <w:rPr>
          <w:rFonts w:cs="Times New Roman"/>
          <w:color w:val="000000" w:themeColor="text1"/>
          <w:szCs w:val="24"/>
        </w:rPr>
        <w:t>,</w:t>
      </w:r>
      <w:r w:rsidR="000142AC" w:rsidRPr="002E6E04">
        <w:rPr>
          <w:rFonts w:cs="Times New Roman"/>
          <w:color w:val="000000" w:themeColor="text1"/>
          <w:szCs w:val="24"/>
        </w:rPr>
        <w:t xml:space="preserve"> as was currently the case.</w:t>
      </w:r>
      <w:r w:rsidR="00610903" w:rsidRPr="002E6E04">
        <w:rPr>
          <w:rStyle w:val="EndnoteReference"/>
          <w:rFonts w:cs="Times New Roman"/>
          <w:color w:val="000000" w:themeColor="text1"/>
          <w:szCs w:val="24"/>
        </w:rPr>
        <w:endnoteReference w:id="59"/>
      </w:r>
      <w:r w:rsidR="00EE3420" w:rsidRPr="002E6E04">
        <w:rPr>
          <w:rFonts w:cs="Times New Roman"/>
          <w:color w:val="000000" w:themeColor="text1"/>
          <w:szCs w:val="24"/>
        </w:rPr>
        <w:t xml:space="preserve"> Enron would continue </w:t>
      </w:r>
      <w:r w:rsidR="001728E5" w:rsidRPr="002E6E04">
        <w:rPr>
          <w:rFonts w:cs="Times New Roman"/>
          <w:color w:val="000000" w:themeColor="text1"/>
          <w:szCs w:val="24"/>
        </w:rPr>
        <w:t xml:space="preserve">to </w:t>
      </w:r>
      <w:r w:rsidR="00EE3420" w:rsidRPr="002E6E04">
        <w:rPr>
          <w:rFonts w:cs="Times New Roman"/>
          <w:color w:val="000000" w:themeColor="text1"/>
          <w:szCs w:val="24"/>
        </w:rPr>
        <w:t xml:space="preserve">push the envelope of </w:t>
      </w:r>
      <w:r w:rsidR="00E719E2" w:rsidRPr="002E6E04">
        <w:rPr>
          <w:rFonts w:cs="Times New Roman"/>
          <w:color w:val="000000" w:themeColor="text1"/>
          <w:szCs w:val="24"/>
        </w:rPr>
        <w:t>financial</w:t>
      </w:r>
      <w:r w:rsidR="00EE3420" w:rsidRPr="002E6E04">
        <w:rPr>
          <w:rFonts w:cs="Times New Roman"/>
          <w:color w:val="000000" w:themeColor="text1"/>
          <w:szCs w:val="24"/>
        </w:rPr>
        <w:t xml:space="preserve"> innovation, </w:t>
      </w:r>
      <w:r w:rsidR="00250CCA" w:rsidRPr="002E6E04">
        <w:rPr>
          <w:rFonts w:cs="Times New Roman"/>
          <w:color w:val="000000" w:themeColor="text1"/>
          <w:szCs w:val="24"/>
        </w:rPr>
        <w:t>persuading</w:t>
      </w:r>
      <w:r w:rsidR="00865D83" w:rsidRPr="002E6E04">
        <w:rPr>
          <w:rFonts w:cs="Times New Roman"/>
          <w:color w:val="000000" w:themeColor="text1"/>
          <w:szCs w:val="24"/>
        </w:rPr>
        <w:t xml:space="preserve"> the energy sector to embrace ever great</w:t>
      </w:r>
      <w:r w:rsidR="001728E5" w:rsidRPr="002E6E04">
        <w:rPr>
          <w:rFonts w:cs="Times New Roman"/>
          <w:color w:val="000000" w:themeColor="text1"/>
          <w:szCs w:val="24"/>
        </w:rPr>
        <w:t>er</w:t>
      </w:r>
      <w:r w:rsidR="00865D83" w:rsidRPr="002E6E04">
        <w:rPr>
          <w:rFonts w:cs="Times New Roman"/>
          <w:color w:val="000000" w:themeColor="text1"/>
          <w:szCs w:val="24"/>
        </w:rPr>
        <w:t xml:space="preserve"> levels of commo</w:t>
      </w:r>
      <w:r w:rsidR="001728E5" w:rsidRPr="002E6E04">
        <w:rPr>
          <w:rFonts w:cs="Times New Roman"/>
          <w:color w:val="000000" w:themeColor="text1"/>
          <w:szCs w:val="24"/>
        </w:rPr>
        <w:t>dit</w:t>
      </w:r>
      <w:r w:rsidR="00865D83" w:rsidRPr="002E6E04">
        <w:rPr>
          <w:rFonts w:cs="Times New Roman"/>
          <w:color w:val="000000" w:themeColor="text1"/>
          <w:szCs w:val="24"/>
        </w:rPr>
        <w:t>ization and financial service provision.</w:t>
      </w:r>
      <w:r w:rsidR="00865D83" w:rsidRPr="002E6E04">
        <w:rPr>
          <w:rStyle w:val="EndnoteReference"/>
          <w:rFonts w:cs="Times New Roman"/>
          <w:color w:val="000000" w:themeColor="text1"/>
          <w:szCs w:val="24"/>
        </w:rPr>
        <w:endnoteReference w:id="60"/>
      </w:r>
    </w:p>
    <w:p w14:paraId="155C7EE0" w14:textId="645BD77F" w:rsidR="000142AC" w:rsidRPr="002E6E04" w:rsidRDefault="000142AC" w:rsidP="00E2760A">
      <w:pPr>
        <w:spacing w:after="0"/>
        <w:rPr>
          <w:rFonts w:cs="Times New Roman"/>
          <w:color w:val="000000" w:themeColor="text1"/>
          <w:szCs w:val="24"/>
        </w:rPr>
      </w:pPr>
      <w:r w:rsidRPr="002E6E04">
        <w:rPr>
          <w:rFonts w:cs="Times New Roman"/>
          <w:color w:val="000000" w:themeColor="text1"/>
          <w:szCs w:val="24"/>
        </w:rPr>
        <w:t xml:space="preserve"> </w:t>
      </w:r>
      <w:r w:rsidR="000F0376" w:rsidRPr="002E6E04">
        <w:rPr>
          <w:rFonts w:cs="Times New Roman"/>
          <w:color w:val="000000" w:themeColor="text1"/>
          <w:szCs w:val="24"/>
        </w:rPr>
        <w:tab/>
        <w:t>I</w:t>
      </w:r>
      <w:r w:rsidRPr="002E6E04">
        <w:rPr>
          <w:rFonts w:cs="Times New Roman"/>
          <w:color w:val="000000" w:themeColor="text1"/>
          <w:szCs w:val="24"/>
        </w:rPr>
        <w:t>n 1990</w:t>
      </w:r>
      <w:r w:rsidR="000F0376" w:rsidRPr="002E6E04">
        <w:rPr>
          <w:rFonts w:cs="Times New Roman"/>
          <w:color w:val="000000" w:themeColor="text1"/>
          <w:szCs w:val="24"/>
        </w:rPr>
        <w:t xml:space="preserve">, Skilling </w:t>
      </w:r>
      <w:r w:rsidRPr="002E6E04">
        <w:rPr>
          <w:rFonts w:cs="Times New Roman"/>
          <w:color w:val="000000" w:themeColor="text1"/>
          <w:szCs w:val="24"/>
        </w:rPr>
        <w:t xml:space="preserve">left McKinsey to head-up </w:t>
      </w:r>
      <w:r w:rsidR="000025AC" w:rsidRPr="002E6E04">
        <w:rPr>
          <w:rFonts w:cs="Times New Roman"/>
          <w:color w:val="000000" w:themeColor="text1"/>
          <w:szCs w:val="24"/>
        </w:rPr>
        <w:t>Enron’s</w:t>
      </w:r>
      <w:r w:rsidR="00A66950" w:rsidRPr="002E6E04">
        <w:rPr>
          <w:rFonts w:cs="Times New Roman"/>
          <w:color w:val="000000" w:themeColor="text1"/>
          <w:szCs w:val="24"/>
        </w:rPr>
        <w:t xml:space="preserve"> financial services </w:t>
      </w:r>
      <w:r w:rsidRPr="002E6E04">
        <w:rPr>
          <w:rFonts w:cs="Times New Roman"/>
          <w:color w:val="000000" w:themeColor="text1"/>
          <w:szCs w:val="24"/>
        </w:rPr>
        <w:t>divis</w:t>
      </w:r>
      <w:r w:rsidR="00A025B2" w:rsidRPr="002E6E04">
        <w:rPr>
          <w:rFonts w:cs="Times New Roman"/>
          <w:color w:val="000000" w:themeColor="text1"/>
          <w:szCs w:val="24"/>
        </w:rPr>
        <w:t>ion</w:t>
      </w:r>
      <w:r w:rsidRPr="002E6E04">
        <w:rPr>
          <w:rFonts w:cs="Times New Roman"/>
          <w:color w:val="000000" w:themeColor="text1"/>
          <w:szCs w:val="24"/>
        </w:rPr>
        <w:t>.</w:t>
      </w:r>
      <w:r w:rsidR="00610903" w:rsidRPr="002E6E04">
        <w:rPr>
          <w:rStyle w:val="EndnoteReference"/>
          <w:rFonts w:cs="Times New Roman"/>
          <w:color w:val="000000" w:themeColor="text1"/>
          <w:szCs w:val="24"/>
        </w:rPr>
        <w:endnoteReference w:id="61"/>
      </w:r>
      <w:r w:rsidRPr="002E6E04">
        <w:rPr>
          <w:rFonts w:cs="Times New Roman"/>
          <w:color w:val="000000" w:themeColor="text1"/>
          <w:szCs w:val="24"/>
        </w:rPr>
        <w:t xml:space="preserve"> </w:t>
      </w:r>
      <w:r w:rsidR="000F0376" w:rsidRPr="002E6E04">
        <w:rPr>
          <w:rFonts w:cs="Times New Roman"/>
          <w:color w:val="000000" w:themeColor="text1"/>
          <w:szCs w:val="24"/>
        </w:rPr>
        <w:t>His</w:t>
      </w:r>
      <w:r w:rsidRPr="002E6E04">
        <w:rPr>
          <w:rFonts w:cs="Times New Roman"/>
          <w:color w:val="000000" w:themeColor="text1"/>
          <w:szCs w:val="24"/>
        </w:rPr>
        <w:t xml:space="preserve"> experience in banking and </w:t>
      </w:r>
      <w:r w:rsidR="00005789" w:rsidRPr="002E6E04">
        <w:rPr>
          <w:rFonts w:cs="Times New Roman"/>
          <w:color w:val="000000" w:themeColor="text1"/>
          <w:szCs w:val="24"/>
        </w:rPr>
        <w:t>finance</w:t>
      </w:r>
      <w:r w:rsidRPr="002E6E04">
        <w:rPr>
          <w:rFonts w:cs="Times New Roman"/>
          <w:color w:val="000000" w:themeColor="text1"/>
          <w:szCs w:val="24"/>
        </w:rPr>
        <w:t xml:space="preserve"> influenced his </w:t>
      </w:r>
      <w:r w:rsidR="0085171A" w:rsidRPr="002E6E04">
        <w:rPr>
          <w:rFonts w:cs="Times New Roman"/>
          <w:color w:val="000000" w:themeColor="text1"/>
          <w:szCs w:val="24"/>
        </w:rPr>
        <w:t>commoditized</w:t>
      </w:r>
      <w:r w:rsidRPr="002E6E04">
        <w:rPr>
          <w:rFonts w:cs="Times New Roman"/>
          <w:color w:val="000000" w:themeColor="text1"/>
          <w:szCs w:val="24"/>
        </w:rPr>
        <w:t xml:space="preserve"> vision of income generation,</w:t>
      </w:r>
      <w:r w:rsidR="000F0376" w:rsidRPr="002E6E04">
        <w:rPr>
          <w:rFonts w:cs="Times New Roman"/>
          <w:color w:val="000000" w:themeColor="text1"/>
          <w:szCs w:val="24"/>
        </w:rPr>
        <w:t xml:space="preserve"> and he</w:t>
      </w:r>
      <w:r w:rsidRPr="002E6E04">
        <w:rPr>
          <w:rFonts w:cs="Times New Roman"/>
          <w:color w:val="000000" w:themeColor="text1"/>
          <w:szCs w:val="24"/>
        </w:rPr>
        <w:t xml:space="preserve"> soon turned the gas bank into a success</w:t>
      </w:r>
      <w:r w:rsidR="002453A9" w:rsidRPr="002E6E04">
        <w:rPr>
          <w:rFonts w:cs="Times New Roman"/>
          <w:color w:val="000000" w:themeColor="text1"/>
          <w:szCs w:val="24"/>
        </w:rPr>
        <w:t>, solidifying</w:t>
      </w:r>
      <w:r w:rsidRPr="002E6E04">
        <w:rPr>
          <w:rFonts w:cs="Times New Roman"/>
          <w:color w:val="000000" w:themeColor="text1"/>
          <w:szCs w:val="24"/>
        </w:rPr>
        <w:t xml:space="preserve"> his position within the firm.</w:t>
      </w:r>
      <w:r w:rsidR="00610903" w:rsidRPr="002E6E04">
        <w:rPr>
          <w:rStyle w:val="EndnoteReference"/>
          <w:rFonts w:cs="Times New Roman"/>
          <w:color w:val="000000" w:themeColor="text1"/>
          <w:szCs w:val="24"/>
        </w:rPr>
        <w:endnoteReference w:id="62"/>
      </w:r>
      <w:r w:rsidRPr="002E6E04">
        <w:rPr>
          <w:rFonts w:cs="Times New Roman"/>
          <w:color w:val="000000" w:themeColor="text1"/>
          <w:szCs w:val="24"/>
        </w:rPr>
        <w:t xml:space="preserve"> Over the next few years, Skilling continued to champion </w:t>
      </w:r>
      <w:r w:rsidR="0059214A" w:rsidRPr="002E6E04">
        <w:rPr>
          <w:rFonts w:cs="Times New Roman"/>
          <w:color w:val="000000" w:themeColor="text1"/>
          <w:szCs w:val="24"/>
        </w:rPr>
        <w:t>financialization</w:t>
      </w:r>
      <w:r w:rsidRPr="002E6E04">
        <w:rPr>
          <w:rFonts w:cs="Times New Roman"/>
          <w:color w:val="000000" w:themeColor="text1"/>
          <w:szCs w:val="24"/>
        </w:rPr>
        <w:t xml:space="preserve">, </w:t>
      </w:r>
      <w:r w:rsidR="00951F39" w:rsidRPr="002E6E04">
        <w:rPr>
          <w:rFonts w:cs="Times New Roman"/>
          <w:color w:val="000000" w:themeColor="text1"/>
          <w:szCs w:val="24"/>
        </w:rPr>
        <w:t>introducing a variety of energy-related financial</w:t>
      </w:r>
      <w:r w:rsidR="0060340B" w:rsidRPr="002E6E04">
        <w:rPr>
          <w:rFonts w:cs="Times New Roman"/>
          <w:color w:val="000000" w:themeColor="text1"/>
          <w:szCs w:val="24"/>
        </w:rPr>
        <w:t xml:space="preserve"> services an</w:t>
      </w:r>
      <w:r w:rsidR="00A64621" w:rsidRPr="002E6E04">
        <w:rPr>
          <w:rFonts w:cs="Times New Roman"/>
          <w:color w:val="000000" w:themeColor="text1"/>
          <w:szCs w:val="24"/>
        </w:rPr>
        <w:t xml:space="preserve">d </w:t>
      </w:r>
      <w:r w:rsidR="000025AC" w:rsidRPr="002E6E04">
        <w:rPr>
          <w:rFonts w:cs="Times New Roman"/>
          <w:color w:val="000000" w:themeColor="text1"/>
          <w:szCs w:val="24"/>
        </w:rPr>
        <w:t xml:space="preserve">placing Enron as an </w:t>
      </w:r>
      <w:r w:rsidRPr="002E6E04">
        <w:rPr>
          <w:rFonts w:cs="Times New Roman"/>
          <w:color w:val="000000" w:themeColor="text1"/>
          <w:szCs w:val="24"/>
        </w:rPr>
        <w:t>interface between buyer</w:t>
      </w:r>
      <w:r w:rsidR="00A64621" w:rsidRPr="002E6E04">
        <w:rPr>
          <w:rFonts w:cs="Times New Roman"/>
          <w:color w:val="000000" w:themeColor="text1"/>
          <w:szCs w:val="24"/>
        </w:rPr>
        <w:t>s</w:t>
      </w:r>
      <w:r w:rsidRPr="002E6E04">
        <w:rPr>
          <w:rFonts w:cs="Times New Roman"/>
          <w:color w:val="000000" w:themeColor="text1"/>
          <w:szCs w:val="24"/>
        </w:rPr>
        <w:t xml:space="preserve"> and seller</w:t>
      </w:r>
      <w:r w:rsidR="00A64621" w:rsidRPr="002E6E04">
        <w:rPr>
          <w:rFonts w:cs="Times New Roman"/>
          <w:color w:val="000000" w:themeColor="text1"/>
          <w:szCs w:val="24"/>
        </w:rPr>
        <w:t>s of commoditized energy products</w:t>
      </w:r>
      <w:r w:rsidR="00CA30D8" w:rsidRPr="002E6E04">
        <w:rPr>
          <w:rFonts w:cs="Times New Roman"/>
          <w:color w:val="000000" w:themeColor="text1"/>
          <w:szCs w:val="24"/>
        </w:rPr>
        <w:t>.</w:t>
      </w:r>
      <w:r w:rsidR="00610903" w:rsidRPr="002E6E04">
        <w:rPr>
          <w:rStyle w:val="EndnoteReference"/>
          <w:rFonts w:cs="Times New Roman"/>
          <w:color w:val="000000" w:themeColor="text1"/>
          <w:szCs w:val="24"/>
        </w:rPr>
        <w:endnoteReference w:id="63"/>
      </w:r>
      <w:r w:rsidRPr="002E6E04">
        <w:rPr>
          <w:rFonts w:cs="Times New Roman"/>
          <w:color w:val="000000" w:themeColor="text1"/>
          <w:szCs w:val="24"/>
        </w:rPr>
        <w:t xml:space="preserve"> Such activity was </w:t>
      </w:r>
      <w:r w:rsidR="00483516" w:rsidRPr="002E6E04">
        <w:rPr>
          <w:rFonts w:cs="Times New Roman"/>
          <w:color w:val="000000" w:themeColor="text1"/>
          <w:szCs w:val="24"/>
        </w:rPr>
        <w:t>a</w:t>
      </w:r>
      <w:r w:rsidR="00796961" w:rsidRPr="002E6E04">
        <w:rPr>
          <w:rFonts w:cs="Times New Roman"/>
          <w:color w:val="000000" w:themeColor="text1"/>
          <w:szCs w:val="24"/>
        </w:rPr>
        <w:t xml:space="preserve"> </w:t>
      </w:r>
      <w:r w:rsidRPr="002E6E04">
        <w:rPr>
          <w:rFonts w:cs="Times New Roman"/>
          <w:color w:val="000000" w:themeColor="text1"/>
          <w:szCs w:val="24"/>
        </w:rPr>
        <w:t xml:space="preserve">stark contrast to the firm’s historic </w:t>
      </w:r>
      <w:r w:rsidR="00483516" w:rsidRPr="002E6E04">
        <w:rPr>
          <w:rFonts w:cs="Times New Roman"/>
          <w:color w:val="000000" w:themeColor="text1"/>
          <w:szCs w:val="24"/>
        </w:rPr>
        <w:t>focus on heavy assets like</w:t>
      </w:r>
      <w:r w:rsidRPr="002E6E04">
        <w:rPr>
          <w:rFonts w:cs="Times New Roman"/>
          <w:color w:val="000000" w:themeColor="text1"/>
          <w:szCs w:val="24"/>
        </w:rPr>
        <w:t xml:space="preserve"> pipelines and power plants</w:t>
      </w:r>
      <w:r w:rsidR="00D366E9" w:rsidRPr="002E6E04">
        <w:rPr>
          <w:rFonts w:cs="Times New Roman"/>
          <w:color w:val="000000" w:themeColor="text1"/>
          <w:szCs w:val="24"/>
        </w:rPr>
        <w:t>.</w:t>
      </w:r>
      <w:r w:rsidRPr="002E6E04">
        <w:rPr>
          <w:rFonts w:cs="Times New Roman"/>
          <w:color w:val="000000" w:themeColor="text1"/>
          <w:szCs w:val="24"/>
        </w:rPr>
        <w:t xml:space="preserve"> </w:t>
      </w:r>
      <w:r w:rsidR="00D366E9" w:rsidRPr="002E6E04">
        <w:rPr>
          <w:rFonts w:cs="Times New Roman"/>
          <w:color w:val="000000" w:themeColor="text1"/>
          <w:szCs w:val="24"/>
        </w:rPr>
        <w:t>H</w:t>
      </w:r>
      <w:r w:rsidRPr="002E6E04">
        <w:rPr>
          <w:rFonts w:cs="Times New Roman"/>
          <w:color w:val="000000" w:themeColor="text1"/>
          <w:szCs w:val="24"/>
        </w:rPr>
        <w:t xml:space="preserve">owever, </w:t>
      </w:r>
      <w:r w:rsidR="00D366E9" w:rsidRPr="002E6E04">
        <w:rPr>
          <w:rFonts w:cs="Times New Roman"/>
          <w:color w:val="000000" w:themeColor="text1"/>
          <w:szCs w:val="24"/>
        </w:rPr>
        <w:t xml:space="preserve">with </w:t>
      </w:r>
      <w:r w:rsidR="00483516" w:rsidRPr="002E6E04">
        <w:rPr>
          <w:rFonts w:cs="Times New Roman"/>
          <w:color w:val="000000" w:themeColor="text1"/>
          <w:szCs w:val="24"/>
        </w:rPr>
        <w:t>Skilling’s success</w:t>
      </w:r>
      <w:r w:rsidR="00D366E9" w:rsidRPr="002E6E04">
        <w:rPr>
          <w:rFonts w:cs="Times New Roman"/>
          <w:color w:val="000000" w:themeColor="text1"/>
          <w:szCs w:val="24"/>
        </w:rPr>
        <w:t>,</w:t>
      </w:r>
      <w:r w:rsidRPr="002E6E04">
        <w:rPr>
          <w:rFonts w:cs="Times New Roman"/>
          <w:color w:val="000000" w:themeColor="text1"/>
          <w:szCs w:val="24"/>
        </w:rPr>
        <w:t xml:space="preserve"> </w:t>
      </w:r>
      <w:r w:rsidR="00483516" w:rsidRPr="002E6E04">
        <w:rPr>
          <w:rFonts w:cs="Times New Roman"/>
          <w:color w:val="000000" w:themeColor="text1"/>
          <w:szCs w:val="24"/>
        </w:rPr>
        <w:t>the company</w:t>
      </w:r>
      <w:r w:rsidRPr="002E6E04">
        <w:rPr>
          <w:rFonts w:cs="Times New Roman"/>
          <w:color w:val="000000" w:themeColor="text1"/>
          <w:szCs w:val="24"/>
        </w:rPr>
        <w:t xml:space="preserve"> </w:t>
      </w:r>
      <w:r w:rsidR="00D366E9" w:rsidRPr="002E6E04">
        <w:rPr>
          <w:rFonts w:cs="Times New Roman"/>
          <w:color w:val="000000" w:themeColor="text1"/>
          <w:szCs w:val="24"/>
        </w:rPr>
        <w:t>increasing</w:t>
      </w:r>
      <w:r w:rsidR="009D097E">
        <w:rPr>
          <w:rFonts w:cs="Times New Roman"/>
          <w:color w:val="000000" w:themeColor="text1"/>
          <w:szCs w:val="24"/>
        </w:rPr>
        <w:t>ly</w:t>
      </w:r>
      <w:r w:rsidR="00D366E9" w:rsidRPr="002E6E04">
        <w:rPr>
          <w:rFonts w:cs="Times New Roman"/>
          <w:color w:val="000000" w:themeColor="text1"/>
          <w:szCs w:val="24"/>
        </w:rPr>
        <w:t xml:space="preserve"> </w:t>
      </w:r>
      <w:r w:rsidRPr="002E6E04">
        <w:rPr>
          <w:rFonts w:cs="Times New Roman"/>
          <w:color w:val="000000" w:themeColor="text1"/>
          <w:szCs w:val="24"/>
        </w:rPr>
        <w:t>resembled the</w:t>
      </w:r>
      <w:r w:rsidR="00483516" w:rsidRPr="002E6E04">
        <w:rPr>
          <w:rFonts w:cs="Times New Roman"/>
          <w:color w:val="000000" w:themeColor="text1"/>
          <w:szCs w:val="24"/>
        </w:rPr>
        <w:t xml:space="preserve"> </w:t>
      </w:r>
      <w:r w:rsidR="0059214A" w:rsidRPr="002E6E04">
        <w:rPr>
          <w:rFonts w:cs="Times New Roman"/>
          <w:color w:val="000000" w:themeColor="text1"/>
          <w:szCs w:val="24"/>
        </w:rPr>
        <w:t>organizations</w:t>
      </w:r>
      <w:r w:rsidRPr="002E6E04">
        <w:rPr>
          <w:rFonts w:cs="Times New Roman"/>
          <w:color w:val="000000" w:themeColor="text1"/>
          <w:szCs w:val="24"/>
        </w:rPr>
        <w:t xml:space="preserve"> found on Wall Street rather than </w:t>
      </w:r>
      <w:r w:rsidR="00483516" w:rsidRPr="002E6E04">
        <w:rPr>
          <w:rFonts w:cs="Times New Roman"/>
          <w:color w:val="000000" w:themeColor="text1"/>
          <w:szCs w:val="24"/>
        </w:rPr>
        <w:t>the</w:t>
      </w:r>
      <w:r w:rsidRPr="002E6E04">
        <w:rPr>
          <w:rFonts w:cs="Times New Roman"/>
          <w:color w:val="000000" w:themeColor="text1"/>
          <w:szCs w:val="24"/>
        </w:rPr>
        <w:t xml:space="preserve"> gas company</w:t>
      </w:r>
      <w:r w:rsidR="00483516" w:rsidRPr="002E6E04">
        <w:rPr>
          <w:rFonts w:cs="Times New Roman"/>
          <w:color w:val="000000" w:themeColor="text1"/>
          <w:szCs w:val="24"/>
        </w:rPr>
        <w:t xml:space="preserve"> of its past</w:t>
      </w:r>
      <w:r w:rsidRPr="002E6E04">
        <w:rPr>
          <w:rFonts w:cs="Times New Roman"/>
          <w:color w:val="000000" w:themeColor="text1"/>
          <w:szCs w:val="24"/>
        </w:rPr>
        <w:t>.</w:t>
      </w:r>
      <w:r w:rsidR="00BF214E" w:rsidRPr="002E6E04">
        <w:rPr>
          <w:rFonts w:cs="Times New Roman"/>
          <w:color w:val="000000" w:themeColor="text1"/>
          <w:szCs w:val="24"/>
        </w:rPr>
        <w:t xml:space="preserve"> </w:t>
      </w:r>
      <w:r w:rsidR="00E64FAF" w:rsidRPr="00764D91">
        <w:rPr>
          <w:rFonts w:cs="Times New Roman"/>
          <w:color w:val="000000" w:themeColor="text1"/>
          <w:szCs w:val="24"/>
        </w:rPr>
        <w:t>W</w:t>
      </w:r>
      <w:r w:rsidR="00BF214E" w:rsidRPr="00764D91">
        <w:rPr>
          <w:rFonts w:cs="Times New Roman"/>
          <w:color w:val="000000" w:themeColor="text1"/>
          <w:szCs w:val="24"/>
        </w:rPr>
        <w:t>hile</w:t>
      </w:r>
      <w:r w:rsidR="0008168C" w:rsidRPr="00764D91">
        <w:rPr>
          <w:rFonts w:cs="Times New Roman"/>
          <w:color w:val="000000" w:themeColor="text1"/>
          <w:szCs w:val="24"/>
        </w:rPr>
        <w:t xml:space="preserve"> </w:t>
      </w:r>
      <w:r w:rsidR="00A66950" w:rsidRPr="00764D91">
        <w:rPr>
          <w:rFonts w:cs="Times New Roman"/>
          <w:color w:val="000000" w:themeColor="text1"/>
          <w:szCs w:val="24"/>
        </w:rPr>
        <w:t xml:space="preserve">the dynamic and innovative face of Enron </w:t>
      </w:r>
      <w:r w:rsidR="0008168C" w:rsidRPr="00764D91">
        <w:rPr>
          <w:rFonts w:cs="Times New Roman"/>
          <w:color w:val="000000" w:themeColor="text1"/>
          <w:szCs w:val="24"/>
        </w:rPr>
        <w:t>so</w:t>
      </w:r>
      <w:r w:rsidR="001728E5" w:rsidRPr="00764D91">
        <w:rPr>
          <w:rFonts w:cs="Times New Roman"/>
          <w:color w:val="000000" w:themeColor="text1"/>
          <w:szCs w:val="24"/>
        </w:rPr>
        <w:t>ught to</w:t>
      </w:r>
      <w:r w:rsidR="0008168C" w:rsidRPr="00764D91">
        <w:rPr>
          <w:rFonts w:cs="Times New Roman"/>
          <w:color w:val="000000" w:themeColor="text1"/>
          <w:szCs w:val="24"/>
        </w:rPr>
        <w:t xml:space="preserve"> n</w:t>
      </w:r>
      <w:r w:rsidR="007E4775" w:rsidRPr="00764D91">
        <w:rPr>
          <w:rFonts w:cs="Times New Roman"/>
          <w:color w:val="000000" w:themeColor="text1"/>
          <w:szCs w:val="24"/>
        </w:rPr>
        <w:t>aturalize</w:t>
      </w:r>
      <w:r w:rsidR="0008168C" w:rsidRPr="00764D91">
        <w:rPr>
          <w:rFonts w:cs="Times New Roman"/>
          <w:color w:val="000000" w:themeColor="text1"/>
          <w:szCs w:val="24"/>
        </w:rPr>
        <w:t xml:space="preserve"> extraordinary </w:t>
      </w:r>
      <w:r w:rsidR="00E719E2" w:rsidRPr="00764D91">
        <w:rPr>
          <w:rFonts w:cs="Times New Roman"/>
          <w:color w:val="000000" w:themeColor="text1"/>
          <w:szCs w:val="24"/>
        </w:rPr>
        <w:t>growth</w:t>
      </w:r>
      <w:r w:rsidR="00A66950" w:rsidRPr="00764D91">
        <w:rPr>
          <w:rFonts w:cs="Times New Roman"/>
          <w:color w:val="000000" w:themeColor="text1"/>
          <w:szCs w:val="24"/>
        </w:rPr>
        <w:t>, increasingly deceptive accounting practices</w:t>
      </w:r>
      <w:r w:rsidR="00584C49">
        <w:rPr>
          <w:rFonts w:cs="Times New Roman"/>
          <w:color w:val="000000" w:themeColor="text1"/>
          <w:szCs w:val="24"/>
        </w:rPr>
        <w:t>,</w:t>
      </w:r>
      <w:r w:rsidR="001809F0">
        <w:rPr>
          <w:rFonts w:cs="Times New Roman"/>
          <w:color w:val="000000" w:themeColor="text1"/>
          <w:szCs w:val="24"/>
        </w:rPr>
        <w:t xml:space="preserve"> like the hid</w:t>
      </w:r>
      <w:r w:rsidR="00F731EB">
        <w:rPr>
          <w:rFonts w:cs="Times New Roman"/>
          <w:color w:val="000000" w:themeColor="text1"/>
          <w:szCs w:val="24"/>
        </w:rPr>
        <w:t>ing</w:t>
      </w:r>
      <w:r w:rsidR="001809F0">
        <w:rPr>
          <w:rFonts w:cs="Times New Roman"/>
          <w:color w:val="000000" w:themeColor="text1"/>
          <w:szCs w:val="24"/>
        </w:rPr>
        <w:t xml:space="preserve"> of de</w:t>
      </w:r>
      <w:r w:rsidR="003E1878">
        <w:rPr>
          <w:rFonts w:cs="Times New Roman"/>
          <w:color w:val="000000" w:themeColor="text1"/>
          <w:szCs w:val="24"/>
        </w:rPr>
        <w:t>b</w:t>
      </w:r>
      <w:r w:rsidR="001809F0">
        <w:rPr>
          <w:rFonts w:cs="Times New Roman"/>
          <w:color w:val="000000" w:themeColor="text1"/>
          <w:szCs w:val="24"/>
        </w:rPr>
        <w:t>t in complex subsidiary structures and the forward booking of unreali</w:t>
      </w:r>
      <w:r w:rsidR="003E1878">
        <w:rPr>
          <w:rFonts w:cs="Times New Roman"/>
          <w:color w:val="000000" w:themeColor="text1"/>
          <w:szCs w:val="24"/>
        </w:rPr>
        <w:t>z</w:t>
      </w:r>
      <w:r w:rsidR="001809F0">
        <w:rPr>
          <w:rFonts w:cs="Times New Roman"/>
          <w:color w:val="000000" w:themeColor="text1"/>
          <w:szCs w:val="24"/>
        </w:rPr>
        <w:t>ed profits</w:t>
      </w:r>
      <w:r w:rsidR="00584C49">
        <w:rPr>
          <w:rFonts w:cs="Times New Roman"/>
          <w:color w:val="000000" w:themeColor="text1"/>
          <w:szCs w:val="24"/>
        </w:rPr>
        <w:t>,</w:t>
      </w:r>
      <w:r w:rsidR="00A66950" w:rsidRPr="00764D91">
        <w:rPr>
          <w:rFonts w:cs="Times New Roman"/>
          <w:color w:val="000000" w:themeColor="text1"/>
          <w:szCs w:val="24"/>
        </w:rPr>
        <w:t xml:space="preserve"> were </w:t>
      </w:r>
      <w:r w:rsidR="00F731EB">
        <w:rPr>
          <w:rFonts w:cs="Times New Roman"/>
          <w:color w:val="000000" w:themeColor="text1"/>
          <w:szCs w:val="24"/>
        </w:rPr>
        <w:t>concealing</w:t>
      </w:r>
      <w:r w:rsidR="00A66950" w:rsidRPr="00764D91">
        <w:rPr>
          <w:rFonts w:cs="Times New Roman"/>
          <w:color w:val="000000" w:themeColor="text1"/>
          <w:szCs w:val="24"/>
        </w:rPr>
        <w:t xml:space="preserve"> a troubling financial reality</w:t>
      </w:r>
      <w:r w:rsidR="00A66950" w:rsidRPr="001F5054">
        <w:rPr>
          <w:rFonts w:cs="Times New Roman"/>
          <w:color w:val="000000" w:themeColor="text1"/>
          <w:szCs w:val="24"/>
        </w:rPr>
        <w:t>.</w:t>
      </w:r>
    </w:p>
    <w:p w14:paraId="187C0FE0" w14:textId="3E08E464" w:rsidR="000142AC" w:rsidRPr="002E6E04" w:rsidRDefault="000142AC" w:rsidP="000142AC">
      <w:pPr>
        <w:spacing w:after="0"/>
        <w:ind w:firstLine="720"/>
        <w:rPr>
          <w:rFonts w:cs="Times New Roman"/>
          <w:color w:val="000000" w:themeColor="text1"/>
          <w:szCs w:val="24"/>
        </w:rPr>
      </w:pPr>
      <w:r w:rsidRPr="002E6E04">
        <w:rPr>
          <w:rFonts w:cs="Times New Roman"/>
          <w:color w:val="000000" w:themeColor="text1"/>
          <w:szCs w:val="24"/>
        </w:rPr>
        <w:lastRenderedPageBreak/>
        <w:t xml:space="preserve">By 1997, Enron had gone from a significant, if globally obscure natural gas company, to an </w:t>
      </w:r>
      <w:r w:rsidR="0059214A" w:rsidRPr="002E6E04">
        <w:rPr>
          <w:rFonts w:cs="Times New Roman"/>
          <w:color w:val="000000" w:themeColor="text1"/>
          <w:szCs w:val="24"/>
        </w:rPr>
        <w:t>organizational</w:t>
      </w:r>
      <w:r w:rsidRPr="002E6E04">
        <w:rPr>
          <w:rFonts w:cs="Times New Roman"/>
          <w:color w:val="000000" w:themeColor="text1"/>
          <w:szCs w:val="24"/>
        </w:rPr>
        <w:t xml:space="preserve"> phenomenon with substantial visibility </w:t>
      </w:r>
      <w:r w:rsidR="000F1E64" w:rsidRPr="002E6E04">
        <w:rPr>
          <w:rFonts w:cs="Times New Roman"/>
          <w:color w:val="000000" w:themeColor="text1"/>
          <w:szCs w:val="24"/>
        </w:rPr>
        <w:t xml:space="preserve">and political sway. </w:t>
      </w:r>
      <w:r w:rsidRPr="002E6E04">
        <w:rPr>
          <w:rFonts w:cs="Times New Roman"/>
          <w:color w:val="000000" w:themeColor="text1"/>
          <w:szCs w:val="24"/>
        </w:rPr>
        <w:t>Young, aspirational, and bright graduates wanted to work for the company that promoted the importance of brains above age or experience.</w:t>
      </w:r>
      <w:r w:rsidR="00610903" w:rsidRPr="002E6E04">
        <w:rPr>
          <w:rStyle w:val="EndnoteReference"/>
          <w:rFonts w:cs="Times New Roman"/>
          <w:color w:val="000000" w:themeColor="text1"/>
          <w:szCs w:val="24"/>
        </w:rPr>
        <w:endnoteReference w:id="64"/>
      </w:r>
      <w:r w:rsidRPr="002E6E04">
        <w:rPr>
          <w:rFonts w:cs="Times New Roman"/>
          <w:color w:val="000000" w:themeColor="text1"/>
          <w:szCs w:val="24"/>
        </w:rPr>
        <w:t xml:space="preserve"> Furthermore, its political presence as an advocate of deregulation was substantial, helped in no small way by Lay’s connections to Washington.</w:t>
      </w:r>
      <w:r w:rsidR="00610903" w:rsidRPr="002E6E04">
        <w:rPr>
          <w:rStyle w:val="EndnoteReference"/>
          <w:rFonts w:cs="Times New Roman"/>
          <w:color w:val="000000" w:themeColor="text1"/>
          <w:szCs w:val="24"/>
        </w:rPr>
        <w:endnoteReference w:id="65"/>
      </w:r>
      <w:r w:rsidRPr="002E6E04">
        <w:rPr>
          <w:rFonts w:cs="Times New Roman"/>
          <w:color w:val="000000" w:themeColor="text1"/>
          <w:szCs w:val="24"/>
        </w:rPr>
        <w:t xml:space="preserve"> Despite </w:t>
      </w:r>
      <w:r w:rsidR="00CC1C53" w:rsidRPr="002E6E04">
        <w:rPr>
          <w:rFonts w:cs="Times New Roman"/>
          <w:color w:val="000000" w:themeColor="text1"/>
          <w:szCs w:val="24"/>
        </w:rPr>
        <w:t>significant diversification</w:t>
      </w:r>
      <w:r w:rsidRPr="002E6E04">
        <w:rPr>
          <w:rFonts w:cs="Times New Roman"/>
          <w:color w:val="000000" w:themeColor="text1"/>
          <w:szCs w:val="24"/>
        </w:rPr>
        <w:t xml:space="preserve">, much of Enron’s focus remained based in the energy sector; it was here </w:t>
      </w:r>
      <w:r w:rsidR="00250CCA" w:rsidRPr="002E6E04">
        <w:rPr>
          <w:rFonts w:cs="Times New Roman"/>
          <w:color w:val="000000" w:themeColor="text1"/>
          <w:szCs w:val="24"/>
        </w:rPr>
        <w:t>that the firm</w:t>
      </w:r>
      <w:r w:rsidRPr="002E6E04">
        <w:rPr>
          <w:rFonts w:cs="Times New Roman"/>
          <w:color w:val="000000" w:themeColor="text1"/>
          <w:szCs w:val="24"/>
        </w:rPr>
        <w:t xml:space="preserve"> </w:t>
      </w:r>
      <w:r w:rsidR="00250CCA" w:rsidRPr="002E6E04">
        <w:rPr>
          <w:rFonts w:cs="Times New Roman"/>
          <w:color w:val="000000" w:themeColor="text1"/>
          <w:szCs w:val="24"/>
        </w:rPr>
        <w:t xml:space="preserve">directed its </w:t>
      </w:r>
      <w:r w:rsidRPr="002E6E04">
        <w:rPr>
          <w:rFonts w:cs="Times New Roman"/>
          <w:color w:val="000000" w:themeColor="text1"/>
          <w:szCs w:val="24"/>
        </w:rPr>
        <w:t>deregulation advocacy,</w:t>
      </w:r>
      <w:r w:rsidR="00250CCA" w:rsidRPr="002E6E04">
        <w:rPr>
          <w:rFonts w:cs="Times New Roman"/>
          <w:color w:val="000000" w:themeColor="text1"/>
          <w:szCs w:val="24"/>
        </w:rPr>
        <w:t xml:space="preserve"> seeing</w:t>
      </w:r>
      <w:r w:rsidRPr="002E6E04">
        <w:rPr>
          <w:rFonts w:cs="Times New Roman"/>
          <w:color w:val="000000" w:themeColor="text1"/>
          <w:szCs w:val="24"/>
        </w:rPr>
        <w:t xml:space="preserve"> electricity markets</w:t>
      </w:r>
      <w:r w:rsidR="00C65D1E" w:rsidRPr="002E6E04">
        <w:rPr>
          <w:rFonts w:cs="Times New Roman"/>
          <w:color w:val="000000" w:themeColor="text1"/>
          <w:szCs w:val="24"/>
        </w:rPr>
        <w:t xml:space="preserve"> </w:t>
      </w:r>
      <w:r w:rsidRPr="002E6E04">
        <w:rPr>
          <w:rFonts w:cs="Times New Roman"/>
          <w:color w:val="000000" w:themeColor="text1"/>
          <w:szCs w:val="24"/>
        </w:rPr>
        <w:t>as the greatest opportunity for new profit streams.</w:t>
      </w:r>
      <w:r w:rsidR="00610903" w:rsidRPr="002E6E04">
        <w:rPr>
          <w:rStyle w:val="EndnoteReference"/>
          <w:rFonts w:cs="Times New Roman"/>
          <w:color w:val="000000" w:themeColor="text1"/>
          <w:szCs w:val="24"/>
        </w:rPr>
        <w:endnoteReference w:id="66"/>
      </w:r>
      <w:r w:rsidRPr="002E6E04">
        <w:rPr>
          <w:rFonts w:cs="Times New Roman"/>
          <w:color w:val="000000" w:themeColor="text1"/>
          <w:szCs w:val="24"/>
        </w:rPr>
        <w:t xml:space="preserve"> As political appetite increasingly aligned with Enron, government and industry alike looked </w:t>
      </w:r>
      <w:r w:rsidR="002453A9" w:rsidRPr="002E6E04">
        <w:rPr>
          <w:rFonts w:cs="Times New Roman"/>
          <w:color w:val="000000" w:themeColor="text1"/>
          <w:szCs w:val="24"/>
        </w:rPr>
        <w:t xml:space="preserve">with ever increasing optimism to </w:t>
      </w:r>
      <w:r w:rsidR="00F0220F" w:rsidRPr="002E6E04">
        <w:rPr>
          <w:rFonts w:cs="Times New Roman"/>
          <w:color w:val="000000" w:themeColor="text1"/>
          <w:szCs w:val="24"/>
        </w:rPr>
        <w:t xml:space="preserve">the </w:t>
      </w:r>
      <w:r w:rsidR="002453A9" w:rsidRPr="002E6E04">
        <w:rPr>
          <w:rFonts w:cs="Times New Roman"/>
          <w:color w:val="000000" w:themeColor="text1"/>
          <w:szCs w:val="24"/>
        </w:rPr>
        <w:t>role</w:t>
      </w:r>
      <w:r w:rsidR="00667ED0" w:rsidRPr="002E6E04">
        <w:rPr>
          <w:rFonts w:cs="Times New Roman"/>
          <w:color w:val="000000" w:themeColor="text1"/>
          <w:szCs w:val="24"/>
        </w:rPr>
        <w:t xml:space="preserve"> of</w:t>
      </w:r>
      <w:r w:rsidR="002453A9" w:rsidRPr="002E6E04">
        <w:rPr>
          <w:rFonts w:cs="Times New Roman"/>
          <w:color w:val="000000" w:themeColor="text1"/>
          <w:szCs w:val="24"/>
        </w:rPr>
        <w:t xml:space="preserve"> competitive markets </w:t>
      </w:r>
      <w:r w:rsidR="00F0220F" w:rsidRPr="002E6E04">
        <w:rPr>
          <w:rFonts w:cs="Times New Roman"/>
          <w:color w:val="000000" w:themeColor="text1"/>
          <w:szCs w:val="24"/>
        </w:rPr>
        <w:t>with</w:t>
      </w:r>
      <w:r w:rsidR="00A66950" w:rsidRPr="002E6E04">
        <w:rPr>
          <w:rFonts w:cs="Times New Roman"/>
          <w:color w:val="000000" w:themeColor="text1"/>
          <w:szCs w:val="24"/>
        </w:rPr>
        <w:t>in e</w:t>
      </w:r>
      <w:r w:rsidR="00667ED0" w:rsidRPr="002E6E04">
        <w:rPr>
          <w:rFonts w:cs="Times New Roman"/>
          <w:color w:val="000000" w:themeColor="text1"/>
          <w:szCs w:val="24"/>
        </w:rPr>
        <w:t>lectricity</w:t>
      </w:r>
      <w:r w:rsidR="00A66950" w:rsidRPr="002E6E04">
        <w:rPr>
          <w:rFonts w:cs="Times New Roman"/>
          <w:color w:val="000000" w:themeColor="text1"/>
          <w:szCs w:val="24"/>
        </w:rPr>
        <w:t xml:space="preserve"> supply.</w:t>
      </w:r>
    </w:p>
    <w:p w14:paraId="5A4FBAB6" w14:textId="68448756" w:rsidR="00CC1C53" w:rsidRPr="002E6E04" w:rsidRDefault="00667ED0" w:rsidP="00837062">
      <w:pPr>
        <w:spacing w:after="0"/>
        <w:ind w:firstLine="720"/>
        <w:rPr>
          <w:rFonts w:cs="Times New Roman"/>
          <w:color w:val="000000" w:themeColor="text1"/>
          <w:szCs w:val="24"/>
        </w:rPr>
      </w:pPr>
      <w:r w:rsidRPr="002E6E04">
        <w:rPr>
          <w:rFonts w:cs="Times New Roman"/>
          <w:color w:val="000000" w:themeColor="text1"/>
          <w:szCs w:val="24"/>
        </w:rPr>
        <w:t>The</w:t>
      </w:r>
      <w:r w:rsidR="000142AC" w:rsidRPr="002E6E04">
        <w:rPr>
          <w:rFonts w:cs="Times New Roman"/>
          <w:color w:val="000000" w:themeColor="text1"/>
          <w:szCs w:val="24"/>
        </w:rPr>
        <w:t xml:space="preserve"> distribution of electricity </w:t>
      </w:r>
      <w:r w:rsidR="00745063" w:rsidRPr="002E6E04">
        <w:rPr>
          <w:rFonts w:cs="Times New Roman"/>
          <w:color w:val="000000" w:themeColor="text1"/>
          <w:szCs w:val="24"/>
        </w:rPr>
        <w:t xml:space="preserve">supply </w:t>
      </w:r>
      <w:r w:rsidR="000142AC" w:rsidRPr="002E6E04">
        <w:rPr>
          <w:rFonts w:cs="Times New Roman"/>
          <w:color w:val="000000" w:themeColor="text1"/>
          <w:szCs w:val="24"/>
        </w:rPr>
        <w:t xml:space="preserve">to consumers (or ratepayers) relies on two key physical components; </w:t>
      </w:r>
      <w:r w:rsidR="000142AC" w:rsidRPr="002E6E04">
        <w:rPr>
          <w:rFonts w:cs="Times New Roman"/>
          <w:i/>
          <w:color w:val="000000" w:themeColor="text1"/>
          <w:szCs w:val="24"/>
        </w:rPr>
        <w:t xml:space="preserve">generation, </w:t>
      </w:r>
      <w:r w:rsidR="000142AC" w:rsidRPr="002E6E04">
        <w:rPr>
          <w:rFonts w:cs="Times New Roman"/>
          <w:color w:val="000000" w:themeColor="text1"/>
          <w:szCs w:val="24"/>
        </w:rPr>
        <w:t xml:space="preserve">the ability to produce electricity, and </w:t>
      </w:r>
      <w:r w:rsidR="000142AC" w:rsidRPr="002E6E04">
        <w:rPr>
          <w:rFonts w:cs="Times New Roman"/>
          <w:i/>
          <w:color w:val="000000" w:themeColor="text1"/>
          <w:szCs w:val="24"/>
        </w:rPr>
        <w:t>transmission</w:t>
      </w:r>
      <w:r w:rsidR="000142AC" w:rsidRPr="002E6E04">
        <w:rPr>
          <w:rFonts w:cs="Times New Roman"/>
          <w:color w:val="000000" w:themeColor="text1"/>
          <w:szCs w:val="24"/>
        </w:rPr>
        <w:t>, the capacity to transfer large amounts of it to its point of distribution. As excessive quantities of surplus electricity cannot be stored, it has the potential to overload system infrastructure. Conversely, too little energy will necessitate the limiting of voltage (brownouts) or total absence of supply (blackouts). Th</w:t>
      </w:r>
      <w:r w:rsidR="00F731EB">
        <w:rPr>
          <w:rFonts w:cs="Times New Roman"/>
          <w:color w:val="000000" w:themeColor="text1"/>
          <w:szCs w:val="24"/>
        </w:rPr>
        <w:t>us,</w:t>
      </w:r>
      <w:r w:rsidR="000142AC" w:rsidRPr="002E6E04">
        <w:rPr>
          <w:rFonts w:cs="Times New Roman"/>
          <w:color w:val="000000" w:themeColor="text1"/>
          <w:szCs w:val="24"/>
        </w:rPr>
        <w:t xml:space="preserve"> a precise balance between generated supply and electricity demand</w:t>
      </w:r>
      <w:r w:rsidR="00216264">
        <w:rPr>
          <w:rFonts w:cs="Times New Roman"/>
          <w:color w:val="000000" w:themeColor="text1"/>
          <w:szCs w:val="24"/>
        </w:rPr>
        <w:t xml:space="preserve"> </w:t>
      </w:r>
      <w:r w:rsidR="008E726B">
        <w:rPr>
          <w:rFonts w:cs="Times New Roman"/>
          <w:color w:val="000000" w:themeColor="text1"/>
          <w:szCs w:val="24"/>
        </w:rPr>
        <w:t xml:space="preserve">is </w:t>
      </w:r>
      <w:r w:rsidR="00216264">
        <w:rPr>
          <w:rFonts w:cs="Times New Roman"/>
          <w:color w:val="000000" w:themeColor="text1"/>
          <w:szCs w:val="24"/>
        </w:rPr>
        <w:t>needed</w:t>
      </w:r>
      <w:r w:rsidR="00F731EB">
        <w:rPr>
          <w:rFonts w:cs="Times New Roman"/>
          <w:color w:val="000000" w:themeColor="text1"/>
          <w:szCs w:val="24"/>
        </w:rPr>
        <w:t xml:space="preserve">, and </w:t>
      </w:r>
      <w:r w:rsidR="00CC1C53" w:rsidRPr="002E6E04">
        <w:rPr>
          <w:rFonts w:cs="Times New Roman"/>
          <w:color w:val="000000" w:themeColor="text1"/>
          <w:szCs w:val="24"/>
        </w:rPr>
        <w:t>achieved through so-called s</w:t>
      </w:r>
      <w:r w:rsidR="000142AC" w:rsidRPr="002E6E04">
        <w:rPr>
          <w:rFonts w:cs="Times New Roman"/>
          <w:i/>
          <w:color w:val="000000" w:themeColor="text1"/>
          <w:szCs w:val="24"/>
        </w:rPr>
        <w:t>cheduling</w:t>
      </w:r>
      <w:r w:rsidR="00F731EB">
        <w:rPr>
          <w:rFonts w:cs="Times New Roman"/>
          <w:i/>
          <w:color w:val="000000" w:themeColor="text1"/>
          <w:szCs w:val="24"/>
        </w:rPr>
        <w:t xml:space="preserve">: </w:t>
      </w:r>
      <w:r w:rsidR="000142AC" w:rsidRPr="002E6E04">
        <w:rPr>
          <w:rFonts w:cs="Times New Roman"/>
          <w:color w:val="000000" w:themeColor="text1"/>
          <w:szCs w:val="24"/>
        </w:rPr>
        <w:t>the advance planning of a base-level of generation, anticipating availability and demand at a given point in time (</w:t>
      </w:r>
      <w:r w:rsidR="007A7FFA" w:rsidRPr="002E6E04">
        <w:rPr>
          <w:rFonts w:cs="Times New Roman"/>
          <w:color w:val="000000" w:themeColor="text1"/>
          <w:szCs w:val="24"/>
        </w:rPr>
        <w:t>twenty-four</w:t>
      </w:r>
      <w:r w:rsidR="000142AC" w:rsidRPr="002E6E04">
        <w:rPr>
          <w:rFonts w:cs="Times New Roman"/>
          <w:color w:val="000000" w:themeColor="text1"/>
          <w:szCs w:val="24"/>
        </w:rPr>
        <w:t xml:space="preserve"> hours ahead). If </w:t>
      </w:r>
      <w:r w:rsidR="00216264" w:rsidRPr="002E6E04">
        <w:rPr>
          <w:rFonts w:cs="Times New Roman"/>
          <w:color w:val="000000" w:themeColor="text1"/>
          <w:szCs w:val="24"/>
        </w:rPr>
        <w:t>necessary</w:t>
      </w:r>
      <w:r w:rsidR="000142AC" w:rsidRPr="002E6E04">
        <w:rPr>
          <w:rFonts w:cs="Times New Roman"/>
          <w:color w:val="000000" w:themeColor="text1"/>
          <w:szCs w:val="24"/>
        </w:rPr>
        <w:t xml:space="preserve">, </w:t>
      </w:r>
      <w:r w:rsidR="00216264">
        <w:rPr>
          <w:rFonts w:cs="Times New Roman"/>
          <w:color w:val="000000" w:themeColor="text1"/>
          <w:szCs w:val="24"/>
        </w:rPr>
        <w:t>schedules are</w:t>
      </w:r>
      <w:r w:rsidR="000142AC" w:rsidRPr="002E6E04">
        <w:rPr>
          <w:rFonts w:cs="Times New Roman"/>
          <w:color w:val="000000" w:themeColor="text1"/>
          <w:szCs w:val="24"/>
        </w:rPr>
        <w:t xml:space="preserve"> adjusted closer to the time of transmission (day-of or hour-ahead) and in some cases reserves might be called on to negate any unexpected shortfall.</w:t>
      </w:r>
      <w:r w:rsidR="00610903" w:rsidRPr="002E6E04">
        <w:rPr>
          <w:rStyle w:val="EndnoteReference"/>
          <w:rFonts w:cs="Times New Roman"/>
          <w:color w:val="000000" w:themeColor="text1"/>
          <w:szCs w:val="24"/>
        </w:rPr>
        <w:endnoteReference w:id="67"/>
      </w:r>
      <w:r w:rsidR="000142AC" w:rsidRPr="002E6E04">
        <w:rPr>
          <w:rFonts w:cs="Times New Roman"/>
          <w:color w:val="000000" w:themeColor="text1"/>
          <w:szCs w:val="24"/>
        </w:rPr>
        <w:t xml:space="preserve"> </w:t>
      </w:r>
      <w:r w:rsidR="00A32A5A" w:rsidRPr="002E6E04">
        <w:rPr>
          <w:rFonts w:cs="Times New Roman"/>
          <w:color w:val="000000" w:themeColor="text1"/>
          <w:szCs w:val="24"/>
        </w:rPr>
        <w:t>C</w:t>
      </w:r>
      <w:r w:rsidR="0025489E" w:rsidRPr="002E6E04">
        <w:rPr>
          <w:rFonts w:cs="Times New Roman"/>
          <w:color w:val="000000" w:themeColor="text1"/>
          <w:szCs w:val="24"/>
        </w:rPr>
        <w:t xml:space="preserve">are must </w:t>
      </w:r>
      <w:r w:rsidR="00A32A5A" w:rsidRPr="002E6E04">
        <w:rPr>
          <w:rFonts w:cs="Times New Roman"/>
          <w:color w:val="000000" w:themeColor="text1"/>
          <w:szCs w:val="24"/>
        </w:rPr>
        <w:t xml:space="preserve">also </w:t>
      </w:r>
      <w:r w:rsidR="0025489E" w:rsidRPr="002E6E04">
        <w:rPr>
          <w:rFonts w:cs="Times New Roman"/>
          <w:color w:val="000000" w:themeColor="text1"/>
          <w:szCs w:val="24"/>
        </w:rPr>
        <w:t>be taken not to congest</w:t>
      </w:r>
      <w:r w:rsidR="00A32A5A" w:rsidRPr="002E6E04">
        <w:rPr>
          <w:rFonts w:cs="Times New Roman"/>
          <w:color w:val="000000" w:themeColor="text1"/>
          <w:szCs w:val="24"/>
        </w:rPr>
        <w:t xml:space="preserve"> transmission lines</w:t>
      </w:r>
      <w:r w:rsidR="0025489E" w:rsidRPr="002E6E04">
        <w:rPr>
          <w:rFonts w:cs="Times New Roman"/>
          <w:color w:val="000000" w:themeColor="text1"/>
          <w:szCs w:val="24"/>
        </w:rPr>
        <w:t xml:space="preserve"> by scheduling too much energy through particular paths. Using this combination of planning</w:t>
      </w:r>
      <w:r w:rsidR="002453A9" w:rsidRPr="002E6E04">
        <w:rPr>
          <w:rFonts w:cs="Times New Roman"/>
          <w:color w:val="000000" w:themeColor="text1"/>
          <w:szCs w:val="24"/>
        </w:rPr>
        <w:t xml:space="preserve"> and</w:t>
      </w:r>
      <w:r w:rsidR="0025489E" w:rsidRPr="002E6E04">
        <w:rPr>
          <w:rFonts w:cs="Times New Roman"/>
          <w:color w:val="000000" w:themeColor="text1"/>
          <w:szCs w:val="24"/>
        </w:rPr>
        <w:t xml:space="preserve"> redundancy, electricity can be reliably delivered to ratepayers, while avoiding the risks of over-generating.  </w:t>
      </w:r>
    </w:p>
    <w:p w14:paraId="7976C589" w14:textId="753F06B0" w:rsidR="00343871" w:rsidRPr="002E6E04" w:rsidRDefault="00343871" w:rsidP="00343871">
      <w:pPr>
        <w:spacing w:after="0"/>
        <w:jc w:val="center"/>
        <w:rPr>
          <w:rFonts w:cs="Times New Roman"/>
          <w:color w:val="000000" w:themeColor="text1"/>
          <w:szCs w:val="24"/>
        </w:rPr>
      </w:pPr>
      <w:r w:rsidRPr="002E6E04">
        <w:rPr>
          <w:rFonts w:cs="Times New Roman"/>
          <w:color w:val="000000" w:themeColor="text1"/>
          <w:szCs w:val="24"/>
        </w:rPr>
        <w:t>[Insert Figure 1 here]</w:t>
      </w:r>
    </w:p>
    <w:p w14:paraId="07C4EA2F" w14:textId="2808E3E2" w:rsidR="00B51692" w:rsidRPr="002E6E04" w:rsidRDefault="00364CEC" w:rsidP="00780E29">
      <w:pPr>
        <w:spacing w:after="0"/>
        <w:ind w:firstLine="720"/>
        <w:rPr>
          <w:rFonts w:cs="Times New Roman"/>
          <w:color w:val="000000" w:themeColor="text1"/>
          <w:szCs w:val="24"/>
        </w:rPr>
      </w:pPr>
      <w:r w:rsidRPr="002E6E04">
        <w:rPr>
          <w:rFonts w:cs="Times New Roman"/>
          <w:color w:val="000000" w:themeColor="text1"/>
          <w:szCs w:val="24"/>
        </w:rPr>
        <w:lastRenderedPageBreak/>
        <w:t>Energy supply, like other core public service industries, has long been at the heart of contestation about government</w:t>
      </w:r>
      <w:r w:rsidR="00693B0C" w:rsidRPr="002E6E04">
        <w:rPr>
          <w:rFonts w:cs="Times New Roman"/>
          <w:color w:val="000000" w:themeColor="text1"/>
          <w:szCs w:val="24"/>
        </w:rPr>
        <w:t>’s role in the</w:t>
      </w:r>
      <w:r w:rsidRPr="002E6E04">
        <w:rPr>
          <w:rFonts w:cs="Times New Roman"/>
          <w:color w:val="000000" w:themeColor="text1"/>
          <w:szCs w:val="24"/>
        </w:rPr>
        <w:t xml:space="preserve"> intervent</w:t>
      </w:r>
      <w:r w:rsidR="00693B0C" w:rsidRPr="002E6E04">
        <w:rPr>
          <w:rFonts w:cs="Times New Roman"/>
          <w:color w:val="000000" w:themeColor="text1"/>
          <w:szCs w:val="24"/>
        </w:rPr>
        <w:t>ion</w:t>
      </w:r>
      <w:r w:rsidRPr="002E6E04">
        <w:rPr>
          <w:rFonts w:cs="Times New Roman"/>
          <w:color w:val="000000" w:themeColor="text1"/>
          <w:szCs w:val="24"/>
        </w:rPr>
        <w:t xml:space="preserve"> and regulation</w:t>
      </w:r>
      <w:r w:rsidR="00693B0C" w:rsidRPr="002E6E04">
        <w:rPr>
          <w:rFonts w:cs="Times New Roman"/>
          <w:color w:val="000000" w:themeColor="text1"/>
          <w:szCs w:val="24"/>
        </w:rPr>
        <w:t xml:space="preserve"> of business.</w:t>
      </w:r>
      <w:r w:rsidR="00321029" w:rsidRPr="002E6E04">
        <w:rPr>
          <w:rFonts w:cs="Times New Roman"/>
          <w:color w:val="000000" w:themeColor="text1"/>
          <w:szCs w:val="24"/>
        </w:rPr>
        <w:t xml:space="preserve"> </w:t>
      </w:r>
      <w:r w:rsidR="00A57E4B" w:rsidRPr="002E6E04">
        <w:rPr>
          <w:color w:val="000000" w:themeColor="text1"/>
        </w:rPr>
        <w:t xml:space="preserve">California’s pre-1998 grid (as with other US states) was made up of vertically integrated utility companies who supplied captive consumers in a geographic area, predominantly using their own generation and transmission infrastructure (see Figure </w:t>
      </w:r>
      <w:r w:rsidR="003561BA" w:rsidRPr="002E6E04">
        <w:rPr>
          <w:color w:val="000000" w:themeColor="text1"/>
        </w:rPr>
        <w:t>1</w:t>
      </w:r>
      <w:r w:rsidR="00A57E4B" w:rsidRPr="002E6E04">
        <w:rPr>
          <w:color w:val="000000" w:themeColor="text1"/>
        </w:rPr>
        <w:t>).</w:t>
      </w:r>
      <w:r w:rsidR="00A57E4B" w:rsidRPr="002E6E04">
        <w:rPr>
          <w:rStyle w:val="EndnoteReference"/>
          <w:color w:val="000000" w:themeColor="text1"/>
        </w:rPr>
        <w:endnoteReference w:id="68"/>
      </w:r>
      <w:r w:rsidR="00A57E4B" w:rsidRPr="002E6E04">
        <w:rPr>
          <w:color w:val="000000" w:themeColor="text1"/>
        </w:rPr>
        <w:t xml:space="preserve"> This arrangement </w:t>
      </w:r>
      <w:r w:rsidR="00216264">
        <w:rPr>
          <w:color w:val="000000" w:themeColor="text1"/>
        </w:rPr>
        <w:t xml:space="preserve">– </w:t>
      </w:r>
      <w:r w:rsidR="00A57E4B" w:rsidRPr="002E6E04">
        <w:rPr>
          <w:color w:val="000000" w:themeColor="text1"/>
        </w:rPr>
        <w:t xml:space="preserve"> established in </w:t>
      </w:r>
      <w:r w:rsidR="000025AC" w:rsidRPr="002E6E04">
        <w:rPr>
          <w:color w:val="000000" w:themeColor="text1"/>
        </w:rPr>
        <w:t xml:space="preserve">New Deal </w:t>
      </w:r>
      <w:r w:rsidR="00B34CBC" w:rsidRPr="002E6E04">
        <w:rPr>
          <w:color w:val="000000" w:themeColor="text1"/>
        </w:rPr>
        <w:t>movements</w:t>
      </w:r>
      <w:r w:rsidR="000025AC" w:rsidRPr="002E6E04">
        <w:rPr>
          <w:color w:val="000000" w:themeColor="text1"/>
        </w:rPr>
        <w:t xml:space="preserve"> to</w:t>
      </w:r>
      <w:r w:rsidR="00B34CBC" w:rsidRPr="002E6E04">
        <w:rPr>
          <w:color w:val="000000" w:themeColor="text1"/>
        </w:rPr>
        <w:t>wards</w:t>
      </w:r>
      <w:r w:rsidR="004734F0" w:rsidRPr="002E6E04">
        <w:rPr>
          <w:color w:val="000000" w:themeColor="text1"/>
        </w:rPr>
        <w:t xml:space="preserve"> </w:t>
      </w:r>
      <w:r w:rsidR="0084062E" w:rsidRPr="002E6E04">
        <w:rPr>
          <w:color w:val="000000" w:themeColor="text1"/>
        </w:rPr>
        <w:t xml:space="preserve">institutional economic </w:t>
      </w:r>
      <w:r w:rsidR="00A57E4B" w:rsidRPr="002E6E04">
        <w:rPr>
          <w:color w:val="000000" w:themeColor="text1"/>
        </w:rPr>
        <w:t xml:space="preserve">policy – </w:t>
      </w:r>
      <w:r w:rsidR="0084062E" w:rsidRPr="002E6E04">
        <w:rPr>
          <w:color w:val="000000" w:themeColor="text1"/>
        </w:rPr>
        <w:t>encouraged</w:t>
      </w:r>
      <w:r w:rsidR="00A57E4B" w:rsidRPr="002E6E04">
        <w:rPr>
          <w:color w:val="000000" w:themeColor="text1"/>
        </w:rPr>
        <w:t xml:space="preserve"> the naturally monopolistic tendencies of networked technolo</w:t>
      </w:r>
      <w:r w:rsidR="00780E29" w:rsidRPr="002E6E04">
        <w:rPr>
          <w:color w:val="000000" w:themeColor="text1"/>
        </w:rPr>
        <w:t>gies</w:t>
      </w:r>
      <w:r w:rsidR="00A57E4B" w:rsidRPr="002E6E04">
        <w:rPr>
          <w:color w:val="000000" w:themeColor="text1"/>
        </w:rPr>
        <w:t>, leaving utilities to internally coordinate the inter-dependent functions required for a reliable and safe electricity service.</w:t>
      </w:r>
      <w:r w:rsidR="00A57E4B" w:rsidRPr="002E6E04">
        <w:rPr>
          <w:rStyle w:val="EndnoteReference"/>
          <w:color w:val="000000" w:themeColor="text1"/>
        </w:rPr>
        <w:endnoteReference w:id="69"/>
      </w:r>
      <w:r w:rsidR="00A57E4B" w:rsidRPr="002E6E04">
        <w:rPr>
          <w:color w:val="000000" w:themeColor="text1"/>
        </w:rPr>
        <w:t xml:space="preserve"> </w:t>
      </w:r>
      <w:r w:rsidR="00780E29" w:rsidRPr="002E6E04">
        <w:rPr>
          <w:rFonts w:cs="Times New Roman"/>
          <w:color w:val="000000" w:themeColor="text1"/>
          <w:szCs w:val="24"/>
        </w:rPr>
        <w:t>Nonetheless, no</w:t>
      </w:r>
      <w:r w:rsidR="00343871" w:rsidRPr="002E6E04">
        <w:rPr>
          <w:rFonts w:cs="Times New Roman"/>
          <w:color w:val="000000" w:themeColor="text1"/>
          <w:szCs w:val="24"/>
        </w:rPr>
        <w:t xml:space="preserve"> one </w:t>
      </w:r>
      <w:r w:rsidR="00780E29" w:rsidRPr="002E6E04">
        <w:rPr>
          <w:rFonts w:cs="Times New Roman"/>
          <w:color w:val="000000" w:themeColor="text1"/>
          <w:szCs w:val="24"/>
        </w:rPr>
        <w:t>utility</w:t>
      </w:r>
      <w:r w:rsidR="00343871" w:rsidRPr="002E6E04">
        <w:rPr>
          <w:rFonts w:cs="Times New Roman"/>
          <w:color w:val="000000" w:themeColor="text1"/>
          <w:szCs w:val="24"/>
        </w:rPr>
        <w:t xml:space="preserve"> exists in isolation</w:t>
      </w:r>
      <w:r w:rsidR="00E719E2" w:rsidRPr="002E6E04">
        <w:rPr>
          <w:rFonts w:cs="Times New Roman"/>
          <w:color w:val="000000" w:themeColor="text1"/>
          <w:szCs w:val="24"/>
        </w:rPr>
        <w:t>.</w:t>
      </w:r>
      <w:r w:rsidR="00343871" w:rsidRPr="002E6E04">
        <w:rPr>
          <w:rFonts w:cs="Times New Roman"/>
          <w:color w:val="000000" w:themeColor="text1"/>
          <w:szCs w:val="24"/>
        </w:rPr>
        <w:t xml:space="preserve"> </w:t>
      </w:r>
      <w:r w:rsidR="00E719E2" w:rsidRPr="002E6E04">
        <w:rPr>
          <w:rFonts w:cs="Times New Roman"/>
          <w:color w:val="000000" w:themeColor="text1"/>
          <w:szCs w:val="24"/>
        </w:rPr>
        <w:t>R</w:t>
      </w:r>
      <w:r w:rsidR="00343871" w:rsidRPr="002E6E04">
        <w:rPr>
          <w:rFonts w:cs="Times New Roman"/>
          <w:color w:val="000000" w:themeColor="text1"/>
          <w:szCs w:val="24"/>
        </w:rPr>
        <w:t xml:space="preserve">ather they are connected directly to </w:t>
      </w:r>
      <w:r w:rsidR="00780E29" w:rsidRPr="002E6E04">
        <w:rPr>
          <w:rFonts w:cs="Times New Roman"/>
          <w:color w:val="000000" w:themeColor="text1"/>
          <w:szCs w:val="24"/>
        </w:rPr>
        <w:t>others as a</w:t>
      </w:r>
      <w:r w:rsidR="00343871" w:rsidRPr="002E6E04">
        <w:rPr>
          <w:rFonts w:cs="Times New Roman"/>
          <w:color w:val="000000" w:themeColor="text1"/>
          <w:szCs w:val="24"/>
        </w:rPr>
        <w:t xml:space="preserve"> </w:t>
      </w:r>
      <w:r w:rsidR="00780E29" w:rsidRPr="002E6E04">
        <w:rPr>
          <w:rFonts w:cs="Times New Roman"/>
          <w:color w:val="000000" w:themeColor="text1"/>
          <w:szCs w:val="24"/>
        </w:rPr>
        <w:t xml:space="preserve">regional </w:t>
      </w:r>
      <w:r w:rsidR="00343871" w:rsidRPr="002E6E04">
        <w:rPr>
          <w:rFonts w:cs="Times New Roman"/>
          <w:color w:val="000000" w:themeColor="text1"/>
          <w:szCs w:val="24"/>
        </w:rPr>
        <w:t>system</w:t>
      </w:r>
      <w:r w:rsidR="00780E29" w:rsidRPr="002E6E04">
        <w:rPr>
          <w:rFonts w:cs="Times New Roman"/>
          <w:color w:val="000000" w:themeColor="text1"/>
          <w:szCs w:val="24"/>
        </w:rPr>
        <w:t xml:space="preserve"> (or </w:t>
      </w:r>
      <w:r w:rsidR="0089339E" w:rsidRPr="002E6E04">
        <w:rPr>
          <w:rFonts w:cs="Times New Roman"/>
          <w:color w:val="000000" w:themeColor="text1"/>
          <w:szCs w:val="24"/>
        </w:rPr>
        <w:t>interconnection</w:t>
      </w:r>
      <w:r w:rsidR="00780E29" w:rsidRPr="002E6E04">
        <w:rPr>
          <w:rFonts w:cs="Times New Roman"/>
          <w:color w:val="000000" w:themeColor="text1"/>
          <w:szCs w:val="24"/>
        </w:rPr>
        <w:t>)</w:t>
      </w:r>
      <w:r w:rsidR="0089339E" w:rsidRPr="002E6E04">
        <w:rPr>
          <w:rFonts w:cs="Times New Roman"/>
          <w:color w:val="000000" w:themeColor="text1"/>
          <w:szCs w:val="24"/>
        </w:rPr>
        <w:t xml:space="preserve">, which is </w:t>
      </w:r>
      <w:r w:rsidR="000043D4" w:rsidRPr="002E6E04">
        <w:rPr>
          <w:rFonts w:cs="Times New Roman"/>
          <w:color w:val="000000" w:themeColor="text1"/>
          <w:szCs w:val="24"/>
        </w:rPr>
        <w:t xml:space="preserve">itself </w:t>
      </w:r>
      <w:r w:rsidR="0089339E" w:rsidRPr="002E6E04">
        <w:rPr>
          <w:rFonts w:cs="Times New Roman"/>
          <w:color w:val="000000" w:themeColor="text1"/>
          <w:szCs w:val="24"/>
        </w:rPr>
        <w:t xml:space="preserve">then connected to </w:t>
      </w:r>
      <w:r w:rsidR="000043D4" w:rsidRPr="002E6E04">
        <w:rPr>
          <w:rFonts w:cs="Times New Roman"/>
          <w:color w:val="000000" w:themeColor="text1"/>
          <w:szCs w:val="24"/>
        </w:rPr>
        <w:t>other</w:t>
      </w:r>
      <w:r w:rsidR="0089339E" w:rsidRPr="002E6E04">
        <w:rPr>
          <w:rFonts w:cs="Times New Roman"/>
          <w:color w:val="000000" w:themeColor="text1"/>
          <w:szCs w:val="24"/>
        </w:rPr>
        <w:t xml:space="preserve"> interconnections</w:t>
      </w:r>
      <w:r w:rsidR="00343871" w:rsidRPr="002E6E04">
        <w:rPr>
          <w:rFonts w:cs="Times New Roman"/>
          <w:color w:val="000000" w:themeColor="text1"/>
          <w:szCs w:val="24"/>
        </w:rPr>
        <w:t xml:space="preserve">. Thus, California </w:t>
      </w:r>
      <w:r w:rsidR="00780E29" w:rsidRPr="002E6E04">
        <w:rPr>
          <w:rFonts w:cs="Times New Roman"/>
          <w:color w:val="000000" w:themeColor="text1"/>
          <w:szCs w:val="24"/>
        </w:rPr>
        <w:t>is</w:t>
      </w:r>
      <w:r w:rsidR="00A57E4B" w:rsidRPr="002E6E04">
        <w:rPr>
          <w:rFonts w:cs="Times New Roman"/>
          <w:color w:val="000000" w:themeColor="text1"/>
          <w:szCs w:val="24"/>
        </w:rPr>
        <w:t xml:space="preserve"> a</w:t>
      </w:r>
      <w:r w:rsidR="00343871" w:rsidRPr="002E6E04">
        <w:rPr>
          <w:rFonts w:cs="Times New Roman"/>
          <w:color w:val="000000" w:themeColor="text1"/>
          <w:szCs w:val="24"/>
        </w:rPr>
        <w:t xml:space="preserve"> single, if substantial, </w:t>
      </w:r>
      <w:r w:rsidR="00780E29" w:rsidRPr="002E6E04">
        <w:rPr>
          <w:rFonts w:cs="Times New Roman"/>
          <w:color w:val="000000" w:themeColor="text1"/>
          <w:szCs w:val="24"/>
        </w:rPr>
        <w:t>area within</w:t>
      </w:r>
      <w:r w:rsidR="00343871" w:rsidRPr="002E6E04">
        <w:rPr>
          <w:rFonts w:cs="Times New Roman"/>
          <w:color w:val="000000" w:themeColor="text1"/>
          <w:szCs w:val="24"/>
        </w:rPr>
        <w:t xml:space="preserve"> the </w:t>
      </w:r>
      <w:r w:rsidR="000142AC" w:rsidRPr="002E6E04">
        <w:rPr>
          <w:rFonts w:cs="Times New Roman"/>
          <w:color w:val="000000" w:themeColor="text1"/>
          <w:szCs w:val="24"/>
        </w:rPr>
        <w:t>Western Interconnection</w:t>
      </w:r>
      <w:r w:rsidR="00343871" w:rsidRPr="002E6E04">
        <w:rPr>
          <w:rFonts w:cs="Times New Roman"/>
          <w:color w:val="000000" w:themeColor="text1"/>
          <w:szCs w:val="24"/>
        </w:rPr>
        <w:t>,</w:t>
      </w:r>
      <w:r w:rsidR="000043D4" w:rsidRPr="002E6E04">
        <w:rPr>
          <w:rFonts w:cs="Times New Roman"/>
          <w:color w:val="000000" w:themeColor="text1"/>
          <w:szCs w:val="24"/>
        </w:rPr>
        <w:t xml:space="preserve"> which </w:t>
      </w:r>
      <w:r w:rsidR="00780E29" w:rsidRPr="002E6E04">
        <w:rPr>
          <w:rFonts w:cs="Times New Roman"/>
          <w:color w:val="000000" w:themeColor="text1"/>
          <w:szCs w:val="24"/>
        </w:rPr>
        <w:t>is itself part of the</w:t>
      </w:r>
      <w:r w:rsidR="000043D4" w:rsidRPr="002E6E04">
        <w:rPr>
          <w:rFonts w:cs="Times New Roman"/>
          <w:color w:val="000000" w:themeColor="text1"/>
          <w:szCs w:val="24"/>
        </w:rPr>
        <w:t xml:space="preserve"> </w:t>
      </w:r>
      <w:r w:rsidR="0025489E" w:rsidRPr="002E6E04">
        <w:rPr>
          <w:rFonts w:cs="Times New Roman"/>
          <w:color w:val="000000" w:themeColor="text1"/>
          <w:szCs w:val="24"/>
        </w:rPr>
        <w:t xml:space="preserve">North American grid. From </w:t>
      </w:r>
      <w:r w:rsidR="00780E29" w:rsidRPr="002E6E04">
        <w:rPr>
          <w:rFonts w:cs="Times New Roman"/>
          <w:color w:val="000000" w:themeColor="text1"/>
          <w:szCs w:val="24"/>
        </w:rPr>
        <w:t>their</w:t>
      </w:r>
      <w:r w:rsidR="002B5D75" w:rsidRPr="002E6E04">
        <w:rPr>
          <w:rFonts w:cs="Times New Roman"/>
          <w:color w:val="000000" w:themeColor="text1"/>
          <w:szCs w:val="24"/>
        </w:rPr>
        <w:t xml:space="preserve"> position within this macrogrid,</w:t>
      </w:r>
      <w:r w:rsidR="00AF1C69">
        <w:rPr>
          <w:rFonts w:cs="Times New Roman"/>
          <w:color w:val="000000" w:themeColor="text1"/>
          <w:szCs w:val="24"/>
        </w:rPr>
        <w:t xml:space="preserve"> California’s</w:t>
      </w:r>
      <w:r w:rsidR="000043D4" w:rsidRPr="002E6E04">
        <w:rPr>
          <w:rFonts w:cs="Times New Roman"/>
          <w:color w:val="000000" w:themeColor="text1"/>
          <w:szCs w:val="24"/>
        </w:rPr>
        <w:t xml:space="preserve"> </w:t>
      </w:r>
      <w:r w:rsidR="00A57E4B" w:rsidRPr="002E6E04">
        <w:rPr>
          <w:rFonts w:cs="Times New Roman"/>
          <w:color w:val="000000" w:themeColor="text1"/>
          <w:szCs w:val="24"/>
        </w:rPr>
        <w:t xml:space="preserve">utilities </w:t>
      </w:r>
      <w:r w:rsidR="00780E29" w:rsidRPr="002E6E04">
        <w:rPr>
          <w:rFonts w:cs="Times New Roman"/>
          <w:color w:val="000000" w:themeColor="text1"/>
          <w:szCs w:val="24"/>
        </w:rPr>
        <w:t xml:space="preserve">could </w:t>
      </w:r>
      <w:r w:rsidR="00A57E4B" w:rsidRPr="002E6E04">
        <w:rPr>
          <w:rFonts w:cs="Times New Roman"/>
          <w:color w:val="000000" w:themeColor="text1"/>
          <w:szCs w:val="24"/>
        </w:rPr>
        <w:t>undertake limited</w:t>
      </w:r>
      <w:r w:rsidR="0025489E" w:rsidRPr="002E6E04">
        <w:rPr>
          <w:rFonts w:cs="Times New Roman"/>
          <w:color w:val="000000" w:themeColor="text1"/>
          <w:szCs w:val="24"/>
        </w:rPr>
        <w:t xml:space="preserve"> import and export </w:t>
      </w:r>
      <w:r w:rsidR="00A57E4B" w:rsidRPr="002E6E04">
        <w:rPr>
          <w:rFonts w:cs="Times New Roman"/>
          <w:color w:val="000000" w:themeColor="text1"/>
          <w:szCs w:val="24"/>
        </w:rPr>
        <w:t xml:space="preserve">arrangements </w:t>
      </w:r>
      <w:r w:rsidR="0025489E" w:rsidRPr="002E6E04">
        <w:rPr>
          <w:rFonts w:cs="Times New Roman"/>
          <w:color w:val="000000" w:themeColor="text1"/>
          <w:szCs w:val="24"/>
        </w:rPr>
        <w:t>and mitigate potential reliability issues</w:t>
      </w:r>
      <w:r w:rsidR="003561BA" w:rsidRPr="002E6E04">
        <w:rPr>
          <w:rFonts w:cs="Times New Roman"/>
          <w:color w:val="000000" w:themeColor="text1"/>
          <w:szCs w:val="24"/>
        </w:rPr>
        <w:t xml:space="preserve"> (see Figure 2)</w:t>
      </w:r>
      <w:r w:rsidR="0025489E" w:rsidRPr="002E6E04">
        <w:rPr>
          <w:rFonts w:cs="Times New Roman"/>
          <w:color w:val="000000" w:themeColor="text1"/>
          <w:szCs w:val="24"/>
        </w:rPr>
        <w:t>.</w:t>
      </w:r>
    </w:p>
    <w:p w14:paraId="3309A10D" w14:textId="3F048EB5" w:rsidR="0084062E" w:rsidRPr="002E6E04" w:rsidRDefault="0084062E" w:rsidP="0084062E">
      <w:pPr>
        <w:spacing w:after="0"/>
        <w:jc w:val="center"/>
        <w:rPr>
          <w:rFonts w:cs="Times New Roman"/>
          <w:color w:val="000000" w:themeColor="text1"/>
          <w:szCs w:val="24"/>
        </w:rPr>
      </w:pPr>
      <w:r w:rsidRPr="002E6E04">
        <w:rPr>
          <w:rFonts w:cs="Times New Roman"/>
          <w:color w:val="000000" w:themeColor="text1"/>
          <w:szCs w:val="24"/>
        </w:rPr>
        <w:t>[Insert Figure 2 here]</w:t>
      </w:r>
    </w:p>
    <w:p w14:paraId="4D199B8E" w14:textId="70F4A0B4" w:rsidR="00D46FE1" w:rsidRPr="002E6E04" w:rsidRDefault="00820656" w:rsidP="00B51692">
      <w:pPr>
        <w:spacing w:after="0"/>
        <w:ind w:firstLine="720"/>
        <w:rPr>
          <w:rFonts w:cs="Times New Roman"/>
          <w:color w:val="000000" w:themeColor="text1"/>
          <w:szCs w:val="24"/>
        </w:rPr>
      </w:pPr>
      <w:r w:rsidRPr="002E6E04">
        <w:rPr>
          <w:color w:val="000000" w:themeColor="text1"/>
        </w:rPr>
        <w:t>Though</w:t>
      </w:r>
      <w:r w:rsidR="00AB4B7A" w:rsidRPr="002E6E04">
        <w:rPr>
          <w:color w:val="000000" w:themeColor="text1"/>
        </w:rPr>
        <w:t xml:space="preserve"> </w:t>
      </w:r>
      <w:r w:rsidR="00780E29" w:rsidRPr="002E6E04">
        <w:rPr>
          <w:color w:val="000000" w:themeColor="text1"/>
        </w:rPr>
        <w:t>the integrated utility structure</w:t>
      </w:r>
      <w:r w:rsidR="002B5D75" w:rsidRPr="002E6E04">
        <w:rPr>
          <w:color w:val="000000" w:themeColor="text1"/>
        </w:rPr>
        <w:t xml:space="preserve"> had endured</w:t>
      </w:r>
      <w:r w:rsidR="00B51692" w:rsidRPr="002E6E04">
        <w:rPr>
          <w:color w:val="000000" w:themeColor="text1"/>
        </w:rPr>
        <w:t>, global</w:t>
      </w:r>
      <w:r w:rsidR="00127CA9" w:rsidRPr="002E6E04">
        <w:rPr>
          <w:color w:val="000000" w:themeColor="text1"/>
        </w:rPr>
        <w:t xml:space="preserve"> events</w:t>
      </w:r>
      <w:r w:rsidR="00083CEF" w:rsidRPr="002E6E04">
        <w:rPr>
          <w:color w:val="000000" w:themeColor="text1"/>
        </w:rPr>
        <w:t xml:space="preserve"> and </w:t>
      </w:r>
      <w:r w:rsidR="00780E29" w:rsidRPr="002E6E04">
        <w:rPr>
          <w:color w:val="000000" w:themeColor="text1"/>
        </w:rPr>
        <w:t xml:space="preserve">the </w:t>
      </w:r>
      <w:r w:rsidR="00083CEF" w:rsidRPr="002E6E04">
        <w:rPr>
          <w:color w:val="000000" w:themeColor="text1"/>
        </w:rPr>
        <w:t xml:space="preserve">economic realities of </w:t>
      </w:r>
      <w:r w:rsidR="00B51692" w:rsidRPr="002E6E04">
        <w:rPr>
          <w:color w:val="000000" w:themeColor="text1"/>
        </w:rPr>
        <w:t>capital-intensive</w:t>
      </w:r>
      <w:r w:rsidR="00083CEF" w:rsidRPr="002E6E04">
        <w:rPr>
          <w:color w:val="000000" w:themeColor="text1"/>
        </w:rPr>
        <w:t xml:space="preserve"> infrastructure projects</w:t>
      </w:r>
      <w:r w:rsidR="00127CA9" w:rsidRPr="002E6E04">
        <w:rPr>
          <w:color w:val="000000" w:themeColor="text1"/>
        </w:rPr>
        <w:t xml:space="preserve"> had </w:t>
      </w:r>
      <w:r w:rsidR="00083CEF" w:rsidRPr="002E6E04">
        <w:rPr>
          <w:color w:val="000000" w:themeColor="text1"/>
        </w:rPr>
        <w:t>blurred</w:t>
      </w:r>
      <w:r w:rsidR="00127CA9" w:rsidRPr="002E6E04">
        <w:rPr>
          <w:color w:val="000000" w:themeColor="text1"/>
        </w:rPr>
        <w:t xml:space="preserve"> this </w:t>
      </w:r>
      <w:r w:rsidR="00F56114" w:rsidRPr="002E6E04">
        <w:rPr>
          <w:color w:val="000000" w:themeColor="text1"/>
        </w:rPr>
        <w:t>framework over time</w:t>
      </w:r>
      <w:r w:rsidR="00083CEF" w:rsidRPr="002E6E04">
        <w:rPr>
          <w:color w:val="000000" w:themeColor="text1"/>
        </w:rPr>
        <w:t xml:space="preserve">. Specifically, legislation in the </w:t>
      </w:r>
      <w:r w:rsidR="00CB15A4" w:rsidRPr="002E6E04">
        <w:rPr>
          <w:color w:val="000000" w:themeColor="text1"/>
        </w:rPr>
        <w:t>late seventies</w:t>
      </w:r>
      <w:r w:rsidR="00083CEF" w:rsidRPr="002E6E04">
        <w:rPr>
          <w:color w:val="000000" w:themeColor="text1"/>
        </w:rPr>
        <w:t xml:space="preserve"> encouraged </w:t>
      </w:r>
      <w:r w:rsidR="00B51692" w:rsidRPr="002E6E04">
        <w:rPr>
          <w:color w:val="000000" w:themeColor="text1"/>
        </w:rPr>
        <w:t>independent,</w:t>
      </w:r>
      <w:r w:rsidR="00083CEF" w:rsidRPr="002E6E04">
        <w:rPr>
          <w:color w:val="000000" w:themeColor="text1"/>
        </w:rPr>
        <w:t xml:space="preserve"> private generation, which </w:t>
      </w:r>
      <w:r w:rsidR="00B51692" w:rsidRPr="002E6E04">
        <w:rPr>
          <w:color w:val="000000" w:themeColor="text1"/>
        </w:rPr>
        <w:t>was then sold to utilities through generous long-term contracts.</w:t>
      </w:r>
      <w:r w:rsidR="000E02EE" w:rsidRPr="002E6E04">
        <w:rPr>
          <w:rStyle w:val="EndnoteReference"/>
          <w:color w:val="000000" w:themeColor="text1"/>
        </w:rPr>
        <w:endnoteReference w:id="70"/>
      </w:r>
      <w:r w:rsidR="00F56114" w:rsidRPr="002E6E04">
        <w:rPr>
          <w:color w:val="000000" w:themeColor="text1"/>
        </w:rPr>
        <w:t xml:space="preserve"> </w:t>
      </w:r>
      <w:r w:rsidR="000142AC" w:rsidRPr="002E6E04">
        <w:rPr>
          <w:rFonts w:cs="Times New Roman"/>
          <w:color w:val="000000" w:themeColor="text1"/>
          <w:szCs w:val="24"/>
        </w:rPr>
        <w:t>By the late 1</w:t>
      </w:r>
      <w:r w:rsidR="00B51692" w:rsidRPr="002E6E04">
        <w:rPr>
          <w:rFonts w:cs="Times New Roman"/>
          <w:color w:val="000000" w:themeColor="text1"/>
          <w:szCs w:val="24"/>
        </w:rPr>
        <w:t>980s</w:t>
      </w:r>
      <w:r w:rsidR="000142AC" w:rsidRPr="002E6E04">
        <w:rPr>
          <w:rFonts w:cs="Times New Roman"/>
          <w:color w:val="000000" w:themeColor="text1"/>
          <w:szCs w:val="24"/>
        </w:rPr>
        <w:t xml:space="preserve">, </w:t>
      </w:r>
      <w:r w:rsidR="003F103A" w:rsidRPr="002E6E04">
        <w:rPr>
          <w:rFonts w:cs="Times New Roman"/>
          <w:color w:val="000000" w:themeColor="text1"/>
          <w:szCs w:val="24"/>
        </w:rPr>
        <w:t xml:space="preserve">the cost </w:t>
      </w:r>
      <w:r w:rsidR="000043D4" w:rsidRPr="002E6E04">
        <w:rPr>
          <w:rFonts w:cs="Times New Roman"/>
          <w:color w:val="000000" w:themeColor="text1"/>
          <w:szCs w:val="24"/>
        </w:rPr>
        <w:t>of maintain</w:t>
      </w:r>
      <w:r w:rsidR="00BF214E" w:rsidRPr="002E6E04">
        <w:rPr>
          <w:rFonts w:cs="Times New Roman"/>
          <w:color w:val="000000" w:themeColor="text1"/>
          <w:szCs w:val="24"/>
        </w:rPr>
        <w:t>ing</w:t>
      </w:r>
      <w:r w:rsidR="000043D4" w:rsidRPr="002E6E04">
        <w:rPr>
          <w:rFonts w:cs="Times New Roman"/>
          <w:color w:val="000000" w:themeColor="text1"/>
          <w:szCs w:val="24"/>
        </w:rPr>
        <w:t xml:space="preserve"> both these</w:t>
      </w:r>
      <w:r w:rsidR="003F103A" w:rsidRPr="002E6E04">
        <w:rPr>
          <w:rFonts w:cs="Times New Roman"/>
          <w:color w:val="000000" w:themeColor="text1"/>
          <w:szCs w:val="24"/>
        </w:rPr>
        <w:t xml:space="preserve"> contracts</w:t>
      </w:r>
      <w:r w:rsidR="000043D4" w:rsidRPr="002E6E04">
        <w:rPr>
          <w:rFonts w:cs="Times New Roman"/>
          <w:color w:val="000000" w:themeColor="text1"/>
          <w:szCs w:val="24"/>
        </w:rPr>
        <w:t xml:space="preserve"> and </w:t>
      </w:r>
      <w:r w:rsidR="003F103A" w:rsidRPr="002E6E04">
        <w:rPr>
          <w:rFonts w:cs="Times New Roman"/>
          <w:color w:val="000000" w:themeColor="text1"/>
          <w:szCs w:val="24"/>
        </w:rPr>
        <w:t>their own generation infrastructure</w:t>
      </w:r>
      <w:r w:rsidR="000142AC" w:rsidRPr="002E6E04">
        <w:rPr>
          <w:rFonts w:cs="Times New Roman"/>
          <w:color w:val="000000" w:themeColor="text1"/>
          <w:szCs w:val="24"/>
        </w:rPr>
        <w:t xml:space="preserve"> was contributing </w:t>
      </w:r>
      <w:r w:rsidR="00BF214E" w:rsidRPr="002E6E04">
        <w:rPr>
          <w:rFonts w:cs="Times New Roman"/>
          <w:color w:val="000000" w:themeColor="text1"/>
          <w:szCs w:val="24"/>
        </w:rPr>
        <w:t xml:space="preserve">to </w:t>
      </w:r>
      <w:r w:rsidR="00E967F5" w:rsidRPr="002E6E04">
        <w:rPr>
          <w:rFonts w:cs="Times New Roman"/>
          <w:color w:val="000000" w:themeColor="text1"/>
          <w:szCs w:val="24"/>
        </w:rPr>
        <w:t>high</w:t>
      </w:r>
      <w:r w:rsidR="00BF214E" w:rsidRPr="002E6E04">
        <w:rPr>
          <w:rFonts w:cs="Times New Roman"/>
          <w:color w:val="000000" w:themeColor="text1"/>
          <w:szCs w:val="24"/>
        </w:rPr>
        <w:t>er</w:t>
      </w:r>
      <w:r w:rsidR="00E967F5" w:rsidRPr="002E6E04">
        <w:rPr>
          <w:rFonts w:cs="Times New Roman"/>
          <w:color w:val="000000" w:themeColor="text1"/>
          <w:szCs w:val="24"/>
        </w:rPr>
        <w:t xml:space="preserve"> operating cost</w:t>
      </w:r>
      <w:r w:rsidR="00BF214E" w:rsidRPr="002E6E04">
        <w:rPr>
          <w:rFonts w:cs="Times New Roman"/>
          <w:color w:val="000000" w:themeColor="text1"/>
          <w:szCs w:val="24"/>
        </w:rPr>
        <w:t>s</w:t>
      </w:r>
      <w:r w:rsidR="00E967F5" w:rsidRPr="002E6E04">
        <w:rPr>
          <w:rFonts w:cs="Times New Roman"/>
          <w:color w:val="000000" w:themeColor="text1"/>
          <w:szCs w:val="24"/>
        </w:rPr>
        <w:t xml:space="preserve"> f</w:t>
      </w:r>
      <w:r w:rsidR="00BF214E" w:rsidRPr="002E6E04">
        <w:rPr>
          <w:rFonts w:cs="Times New Roman"/>
          <w:color w:val="000000" w:themeColor="text1"/>
          <w:szCs w:val="24"/>
        </w:rPr>
        <w:t>or</w:t>
      </w:r>
      <w:r w:rsidR="00E967F5" w:rsidRPr="002E6E04">
        <w:rPr>
          <w:rFonts w:cs="Times New Roman"/>
          <w:color w:val="000000" w:themeColor="text1"/>
          <w:szCs w:val="24"/>
        </w:rPr>
        <w:t xml:space="preserve"> utilities and Californians were paying more for their electri</w:t>
      </w:r>
      <w:r w:rsidR="00BF214E" w:rsidRPr="002E6E04">
        <w:rPr>
          <w:rFonts w:cs="Times New Roman"/>
          <w:color w:val="000000" w:themeColor="text1"/>
          <w:szCs w:val="24"/>
        </w:rPr>
        <w:t>city</w:t>
      </w:r>
      <w:r w:rsidR="00E967F5" w:rsidRPr="002E6E04">
        <w:rPr>
          <w:rFonts w:cs="Times New Roman"/>
          <w:color w:val="000000" w:themeColor="text1"/>
          <w:szCs w:val="24"/>
        </w:rPr>
        <w:t xml:space="preserve"> than any other state</w:t>
      </w:r>
      <w:r w:rsidR="000142AC" w:rsidRPr="002E6E04">
        <w:rPr>
          <w:rFonts w:cs="Times New Roman"/>
          <w:color w:val="000000" w:themeColor="text1"/>
          <w:szCs w:val="24"/>
        </w:rPr>
        <w:t xml:space="preserve">. </w:t>
      </w:r>
      <w:r w:rsidR="003F103A" w:rsidRPr="002E6E04">
        <w:rPr>
          <w:rFonts w:cs="Times New Roman"/>
          <w:color w:val="000000" w:themeColor="text1"/>
          <w:szCs w:val="24"/>
        </w:rPr>
        <w:t xml:space="preserve">Moreover, </w:t>
      </w:r>
      <w:r w:rsidR="0070737D" w:rsidRPr="002E6E04">
        <w:rPr>
          <w:rFonts w:cs="Times New Roman"/>
          <w:color w:val="000000" w:themeColor="text1"/>
          <w:szCs w:val="24"/>
        </w:rPr>
        <w:t>as</w:t>
      </w:r>
      <w:r w:rsidR="003F103A" w:rsidRPr="002E6E04">
        <w:rPr>
          <w:rFonts w:cs="Times New Roman"/>
          <w:color w:val="000000" w:themeColor="text1"/>
          <w:szCs w:val="24"/>
        </w:rPr>
        <w:t xml:space="preserve"> </w:t>
      </w:r>
      <w:r w:rsidR="00A32A5A" w:rsidRPr="002E6E04">
        <w:rPr>
          <w:rFonts w:cs="Times New Roman"/>
          <w:color w:val="000000" w:themeColor="text1"/>
          <w:szCs w:val="24"/>
        </w:rPr>
        <w:t>independent (</w:t>
      </w:r>
      <w:r w:rsidR="003F103A" w:rsidRPr="002E6E04">
        <w:rPr>
          <w:rFonts w:cs="Times New Roman"/>
          <w:color w:val="000000" w:themeColor="text1"/>
          <w:szCs w:val="24"/>
        </w:rPr>
        <w:t>non-</w:t>
      </w:r>
      <w:r w:rsidR="00A32A5A" w:rsidRPr="002E6E04">
        <w:rPr>
          <w:rFonts w:cs="Times New Roman"/>
          <w:color w:val="000000" w:themeColor="text1"/>
          <w:szCs w:val="24"/>
        </w:rPr>
        <w:t>integrated)</w:t>
      </w:r>
      <w:r w:rsidR="003F103A" w:rsidRPr="002E6E04">
        <w:rPr>
          <w:rFonts w:cs="Times New Roman"/>
          <w:color w:val="000000" w:themeColor="text1"/>
          <w:szCs w:val="24"/>
        </w:rPr>
        <w:t xml:space="preserve"> generation</w:t>
      </w:r>
      <w:r w:rsidR="0070737D" w:rsidRPr="002E6E04">
        <w:rPr>
          <w:rFonts w:cs="Times New Roman"/>
          <w:color w:val="000000" w:themeColor="text1"/>
          <w:szCs w:val="24"/>
        </w:rPr>
        <w:t xml:space="preserve"> was prevalent</w:t>
      </w:r>
      <w:r w:rsidR="003F103A" w:rsidRPr="002E6E04">
        <w:rPr>
          <w:rFonts w:cs="Times New Roman"/>
          <w:color w:val="000000" w:themeColor="text1"/>
          <w:szCs w:val="24"/>
        </w:rPr>
        <w:t xml:space="preserve"> within the gri</w:t>
      </w:r>
      <w:r w:rsidR="0084062E" w:rsidRPr="002E6E04">
        <w:rPr>
          <w:rFonts w:cs="Times New Roman"/>
          <w:color w:val="000000" w:themeColor="text1"/>
          <w:szCs w:val="24"/>
        </w:rPr>
        <w:t>d,</w:t>
      </w:r>
      <w:r w:rsidR="000043D4" w:rsidRPr="002E6E04">
        <w:rPr>
          <w:rFonts w:cs="Times New Roman"/>
          <w:color w:val="000000" w:themeColor="text1"/>
          <w:szCs w:val="24"/>
        </w:rPr>
        <w:t xml:space="preserve"> many </w:t>
      </w:r>
      <w:r w:rsidR="00E967F5" w:rsidRPr="002E6E04">
        <w:rPr>
          <w:rFonts w:cs="Times New Roman"/>
          <w:color w:val="000000" w:themeColor="text1"/>
          <w:szCs w:val="24"/>
        </w:rPr>
        <w:t>question</w:t>
      </w:r>
      <w:r w:rsidR="0084062E" w:rsidRPr="002E6E04">
        <w:rPr>
          <w:rFonts w:cs="Times New Roman"/>
          <w:color w:val="000000" w:themeColor="text1"/>
          <w:szCs w:val="24"/>
        </w:rPr>
        <w:t>ed</w:t>
      </w:r>
      <w:r w:rsidR="000043D4" w:rsidRPr="002E6E04">
        <w:rPr>
          <w:rFonts w:cs="Times New Roman"/>
          <w:color w:val="000000" w:themeColor="text1"/>
          <w:szCs w:val="24"/>
        </w:rPr>
        <w:t xml:space="preserve"> whether </w:t>
      </w:r>
      <w:r w:rsidR="003F103A" w:rsidRPr="002E6E04">
        <w:rPr>
          <w:rFonts w:cs="Times New Roman"/>
          <w:color w:val="000000" w:themeColor="text1"/>
          <w:szCs w:val="24"/>
        </w:rPr>
        <w:t>vertical integration w</w:t>
      </w:r>
      <w:r w:rsidR="00A32A5A" w:rsidRPr="002E6E04">
        <w:rPr>
          <w:rFonts w:cs="Times New Roman"/>
          <w:color w:val="000000" w:themeColor="text1"/>
          <w:szCs w:val="24"/>
        </w:rPr>
        <w:t>as</w:t>
      </w:r>
      <w:r w:rsidR="003F103A" w:rsidRPr="002E6E04">
        <w:rPr>
          <w:rFonts w:cs="Times New Roman"/>
          <w:color w:val="000000" w:themeColor="text1"/>
          <w:szCs w:val="24"/>
        </w:rPr>
        <w:t xml:space="preserve"> </w:t>
      </w:r>
      <w:r w:rsidR="000043D4" w:rsidRPr="002E6E04">
        <w:rPr>
          <w:rFonts w:cs="Times New Roman"/>
          <w:color w:val="000000" w:themeColor="text1"/>
          <w:szCs w:val="24"/>
        </w:rPr>
        <w:t xml:space="preserve">still </w:t>
      </w:r>
      <w:r w:rsidR="00A32A5A" w:rsidRPr="002E6E04">
        <w:rPr>
          <w:rFonts w:cs="Times New Roman"/>
          <w:color w:val="000000" w:themeColor="text1"/>
          <w:szCs w:val="24"/>
        </w:rPr>
        <w:t>required</w:t>
      </w:r>
      <w:r w:rsidR="003F103A" w:rsidRPr="002E6E04">
        <w:rPr>
          <w:rFonts w:cs="Times New Roman"/>
          <w:color w:val="000000" w:themeColor="text1"/>
          <w:szCs w:val="24"/>
        </w:rPr>
        <w:t>.</w:t>
      </w:r>
      <w:r w:rsidR="003F103A" w:rsidRPr="002E6E04">
        <w:rPr>
          <w:rStyle w:val="EndnoteReference"/>
          <w:rFonts w:cs="Times New Roman"/>
          <w:color w:val="000000" w:themeColor="text1"/>
          <w:szCs w:val="24"/>
        </w:rPr>
        <w:endnoteReference w:id="71"/>
      </w:r>
      <w:r w:rsidR="003F103A" w:rsidRPr="002E6E04">
        <w:rPr>
          <w:rFonts w:cs="Times New Roman"/>
          <w:color w:val="000000" w:themeColor="text1"/>
          <w:szCs w:val="24"/>
        </w:rPr>
        <w:t xml:space="preserve"> </w:t>
      </w:r>
      <w:r w:rsidR="0084062E" w:rsidRPr="002E6E04">
        <w:rPr>
          <w:rFonts w:cs="Times New Roman"/>
          <w:color w:val="000000" w:themeColor="text1"/>
          <w:szCs w:val="24"/>
        </w:rPr>
        <w:t>This added weight to the arguments of those who</w:t>
      </w:r>
      <w:r w:rsidR="00364CEC" w:rsidRPr="002E6E04">
        <w:rPr>
          <w:rFonts w:cs="Times New Roman"/>
          <w:color w:val="000000" w:themeColor="text1"/>
          <w:szCs w:val="24"/>
        </w:rPr>
        <w:t xml:space="preserve"> believed government’s presence in industries like energy was s</w:t>
      </w:r>
      <w:r w:rsidR="00BF214E" w:rsidRPr="002E6E04">
        <w:rPr>
          <w:rFonts w:cs="Times New Roman"/>
          <w:color w:val="000000" w:themeColor="text1"/>
          <w:szCs w:val="24"/>
        </w:rPr>
        <w:t>t</w:t>
      </w:r>
      <w:r w:rsidR="00364CEC" w:rsidRPr="002E6E04">
        <w:rPr>
          <w:rFonts w:cs="Times New Roman"/>
          <w:color w:val="000000" w:themeColor="text1"/>
          <w:szCs w:val="24"/>
        </w:rPr>
        <w:t>if</w:t>
      </w:r>
      <w:r w:rsidR="00BF214E" w:rsidRPr="002E6E04">
        <w:rPr>
          <w:rFonts w:cs="Times New Roman"/>
          <w:color w:val="000000" w:themeColor="text1"/>
          <w:szCs w:val="24"/>
        </w:rPr>
        <w:t>l</w:t>
      </w:r>
      <w:r w:rsidR="00364CEC" w:rsidRPr="002E6E04">
        <w:rPr>
          <w:rFonts w:cs="Times New Roman"/>
          <w:color w:val="000000" w:themeColor="text1"/>
          <w:szCs w:val="24"/>
        </w:rPr>
        <w:t xml:space="preserve">ing innovation and impeding competitiveness. </w:t>
      </w:r>
      <w:r w:rsidR="005E4227" w:rsidRPr="002E6E04">
        <w:rPr>
          <w:rFonts w:cs="Times New Roman"/>
          <w:color w:val="000000" w:themeColor="text1"/>
          <w:szCs w:val="24"/>
        </w:rPr>
        <w:t>I</w:t>
      </w:r>
      <w:r w:rsidR="003F103A" w:rsidRPr="002E6E04">
        <w:rPr>
          <w:rFonts w:cs="Times New Roman"/>
          <w:color w:val="000000" w:themeColor="text1"/>
          <w:szCs w:val="24"/>
        </w:rPr>
        <w:t>n line with broader</w:t>
      </w:r>
      <w:r w:rsidR="00F56114" w:rsidRPr="002E6E04">
        <w:rPr>
          <w:rFonts w:cs="Times New Roman"/>
          <w:color w:val="000000" w:themeColor="text1"/>
          <w:szCs w:val="24"/>
        </w:rPr>
        <w:t xml:space="preserve"> political</w:t>
      </w:r>
      <w:r w:rsidR="003F103A" w:rsidRPr="002E6E04">
        <w:rPr>
          <w:rFonts w:cs="Times New Roman"/>
          <w:color w:val="000000" w:themeColor="text1"/>
          <w:szCs w:val="24"/>
        </w:rPr>
        <w:t xml:space="preserve"> </w:t>
      </w:r>
      <w:r w:rsidR="003F103A" w:rsidRPr="002E6E04">
        <w:rPr>
          <w:rFonts w:cs="Times New Roman"/>
          <w:color w:val="000000" w:themeColor="text1"/>
          <w:szCs w:val="24"/>
        </w:rPr>
        <w:lastRenderedPageBreak/>
        <w:t xml:space="preserve">trends </w:t>
      </w:r>
      <w:r w:rsidR="00F56114" w:rsidRPr="002E6E04">
        <w:rPr>
          <w:rFonts w:cs="Times New Roman"/>
          <w:color w:val="000000" w:themeColor="text1"/>
          <w:szCs w:val="24"/>
        </w:rPr>
        <w:t xml:space="preserve">of the time (and encouragement </w:t>
      </w:r>
      <w:r w:rsidR="0089339E" w:rsidRPr="002E6E04">
        <w:rPr>
          <w:rFonts w:cs="Times New Roman"/>
          <w:color w:val="000000" w:themeColor="text1"/>
          <w:szCs w:val="24"/>
        </w:rPr>
        <w:t xml:space="preserve">by </w:t>
      </w:r>
      <w:r w:rsidR="00F56114" w:rsidRPr="002E6E04">
        <w:rPr>
          <w:rFonts w:cs="Times New Roman"/>
          <w:color w:val="000000" w:themeColor="text1"/>
          <w:szCs w:val="24"/>
        </w:rPr>
        <w:t>companies like Enron), regulators widely agreed that</w:t>
      </w:r>
      <w:r w:rsidR="000142AC" w:rsidRPr="002E6E04">
        <w:rPr>
          <w:rFonts w:cs="Times New Roman"/>
          <w:color w:val="000000" w:themeColor="text1"/>
          <w:szCs w:val="24"/>
        </w:rPr>
        <w:t xml:space="preserve"> integratin</w:t>
      </w:r>
      <w:r w:rsidR="0070737D" w:rsidRPr="002E6E04">
        <w:rPr>
          <w:rFonts w:cs="Times New Roman"/>
          <w:color w:val="000000" w:themeColor="text1"/>
          <w:szCs w:val="24"/>
        </w:rPr>
        <w:t xml:space="preserve">g </w:t>
      </w:r>
      <w:r w:rsidR="000142AC" w:rsidRPr="002E6E04">
        <w:rPr>
          <w:rFonts w:cs="Times New Roman"/>
          <w:color w:val="000000" w:themeColor="text1"/>
          <w:szCs w:val="24"/>
        </w:rPr>
        <w:t>competition would</w:t>
      </w:r>
      <w:r w:rsidR="00F56114" w:rsidRPr="002E6E04">
        <w:rPr>
          <w:rFonts w:cs="Times New Roman"/>
          <w:color w:val="000000" w:themeColor="text1"/>
          <w:szCs w:val="24"/>
        </w:rPr>
        <w:t xml:space="preserve"> address many of their issues</w:t>
      </w:r>
      <w:r w:rsidR="003F103A" w:rsidRPr="002E6E04">
        <w:rPr>
          <w:rFonts w:cs="Times New Roman"/>
          <w:color w:val="000000" w:themeColor="text1"/>
          <w:szCs w:val="24"/>
        </w:rPr>
        <w:t xml:space="preserve">. </w:t>
      </w:r>
      <w:r w:rsidR="000043D4" w:rsidRPr="002E6E04">
        <w:rPr>
          <w:rFonts w:cs="Times New Roman"/>
          <w:color w:val="000000" w:themeColor="text1"/>
          <w:szCs w:val="24"/>
        </w:rPr>
        <w:t xml:space="preserve">Such initiatives had already been </w:t>
      </w:r>
      <w:r w:rsidR="00724F1A" w:rsidRPr="002E6E04">
        <w:rPr>
          <w:rFonts w:cs="Times New Roman"/>
          <w:color w:val="000000" w:themeColor="text1"/>
          <w:szCs w:val="24"/>
        </w:rPr>
        <w:t>initiated elsewhere</w:t>
      </w:r>
      <w:r w:rsidR="000043D4" w:rsidRPr="002E6E04">
        <w:rPr>
          <w:rFonts w:cs="Times New Roman"/>
          <w:color w:val="000000" w:themeColor="text1"/>
          <w:szCs w:val="24"/>
        </w:rPr>
        <w:t xml:space="preserve">, </w:t>
      </w:r>
      <w:r w:rsidR="00724F1A" w:rsidRPr="002E6E04">
        <w:rPr>
          <w:rFonts w:cs="Times New Roman"/>
          <w:color w:val="000000" w:themeColor="text1"/>
          <w:szCs w:val="24"/>
        </w:rPr>
        <w:t xml:space="preserve">for instance in </w:t>
      </w:r>
      <w:r w:rsidR="00BF214E" w:rsidRPr="002E6E04">
        <w:rPr>
          <w:rFonts w:cs="Times New Roman"/>
          <w:color w:val="000000" w:themeColor="text1"/>
          <w:szCs w:val="24"/>
        </w:rPr>
        <w:t xml:space="preserve">the </w:t>
      </w:r>
      <w:r w:rsidR="00724F1A" w:rsidRPr="002E6E04">
        <w:rPr>
          <w:rFonts w:cs="Times New Roman"/>
          <w:color w:val="000000" w:themeColor="text1"/>
          <w:szCs w:val="24"/>
        </w:rPr>
        <w:t>UK, where a mandatory</w:t>
      </w:r>
      <w:r w:rsidR="000043D4" w:rsidRPr="002E6E04">
        <w:rPr>
          <w:rFonts w:cs="Times New Roman"/>
          <w:color w:val="000000" w:themeColor="text1"/>
          <w:szCs w:val="24"/>
        </w:rPr>
        <w:t xml:space="preserve"> wholesale </w:t>
      </w:r>
      <w:r w:rsidR="00514A1F" w:rsidRPr="002E6E04">
        <w:rPr>
          <w:rFonts w:cs="Times New Roman"/>
          <w:color w:val="000000" w:themeColor="text1"/>
          <w:szCs w:val="24"/>
        </w:rPr>
        <w:t>“</w:t>
      </w:r>
      <w:r w:rsidR="000043D4" w:rsidRPr="002E6E04">
        <w:rPr>
          <w:rFonts w:cs="Times New Roman"/>
          <w:color w:val="000000" w:themeColor="text1"/>
          <w:szCs w:val="24"/>
        </w:rPr>
        <w:t>pool</w:t>
      </w:r>
      <w:r w:rsidR="00514A1F" w:rsidRPr="002E6E04">
        <w:rPr>
          <w:rFonts w:cs="Times New Roman"/>
          <w:color w:val="000000" w:themeColor="text1"/>
          <w:szCs w:val="24"/>
        </w:rPr>
        <w:t>”</w:t>
      </w:r>
      <w:r w:rsidR="000043D4" w:rsidRPr="002E6E04">
        <w:rPr>
          <w:rFonts w:cs="Times New Roman"/>
          <w:color w:val="000000" w:themeColor="text1"/>
          <w:szCs w:val="24"/>
        </w:rPr>
        <w:t xml:space="preserve"> market had</w:t>
      </w:r>
      <w:r w:rsidR="005E4227" w:rsidRPr="002E6E04">
        <w:rPr>
          <w:rFonts w:cs="Times New Roman"/>
          <w:color w:val="000000" w:themeColor="text1"/>
          <w:szCs w:val="24"/>
        </w:rPr>
        <w:t xml:space="preserve"> been implemented in the early 1990s</w:t>
      </w:r>
      <w:r w:rsidR="000043D4" w:rsidRPr="002E6E04">
        <w:rPr>
          <w:rFonts w:cs="Times New Roman"/>
          <w:color w:val="000000" w:themeColor="text1"/>
          <w:szCs w:val="24"/>
        </w:rPr>
        <w:t>.</w:t>
      </w:r>
      <w:r w:rsidR="000043D4" w:rsidRPr="002E6E04">
        <w:rPr>
          <w:rStyle w:val="EndnoteReference"/>
          <w:rFonts w:cs="Times New Roman"/>
          <w:color w:val="000000" w:themeColor="text1"/>
          <w:szCs w:val="24"/>
        </w:rPr>
        <w:endnoteReference w:id="72"/>
      </w:r>
      <w:r w:rsidR="000043D4" w:rsidRPr="002E6E04">
        <w:rPr>
          <w:rFonts w:cs="Times New Roman"/>
          <w:color w:val="000000" w:themeColor="text1"/>
          <w:szCs w:val="24"/>
        </w:rPr>
        <w:t xml:space="preserve"> Thus, o</w:t>
      </w:r>
      <w:r w:rsidR="000142AC" w:rsidRPr="002E6E04">
        <w:rPr>
          <w:rFonts w:cs="Times New Roman"/>
          <w:color w:val="000000" w:themeColor="text1"/>
          <w:szCs w:val="24"/>
        </w:rPr>
        <w:t>n September</w:t>
      </w:r>
      <w:r w:rsidR="004D5C9F" w:rsidRPr="002E6E04">
        <w:rPr>
          <w:rFonts w:cs="Times New Roman"/>
          <w:color w:val="000000" w:themeColor="text1"/>
          <w:szCs w:val="24"/>
        </w:rPr>
        <w:t xml:space="preserve"> 23</w:t>
      </w:r>
      <w:r w:rsidR="004D5C9F" w:rsidRPr="002E6E04">
        <w:rPr>
          <w:rFonts w:cs="Times New Roman"/>
          <w:color w:val="000000" w:themeColor="text1"/>
          <w:szCs w:val="24"/>
          <w:vertAlign w:val="superscript"/>
        </w:rPr>
        <w:t>rd</w:t>
      </w:r>
      <w:r w:rsidR="004D5C9F" w:rsidRPr="002E6E04">
        <w:rPr>
          <w:rFonts w:cs="Times New Roman"/>
          <w:color w:val="000000" w:themeColor="text1"/>
          <w:szCs w:val="24"/>
        </w:rPr>
        <w:t>,</w:t>
      </w:r>
      <w:r w:rsidR="000142AC" w:rsidRPr="002E6E04">
        <w:rPr>
          <w:rFonts w:cs="Times New Roman"/>
          <w:color w:val="000000" w:themeColor="text1"/>
          <w:szCs w:val="24"/>
        </w:rPr>
        <w:t xml:space="preserve"> 1996, the state agreed to </w:t>
      </w:r>
      <w:r w:rsidR="00320CD4" w:rsidRPr="002E6E04">
        <w:rPr>
          <w:rFonts w:cs="Times New Roman"/>
          <w:color w:val="000000" w:themeColor="text1"/>
          <w:szCs w:val="24"/>
        </w:rPr>
        <w:t>re</w:t>
      </w:r>
      <w:r w:rsidR="00A32A5A" w:rsidRPr="002E6E04">
        <w:rPr>
          <w:rFonts w:cs="Times New Roman"/>
          <w:color w:val="000000" w:themeColor="text1"/>
          <w:szCs w:val="24"/>
        </w:rPr>
        <w:t>structure</w:t>
      </w:r>
      <w:r w:rsidR="00320CD4" w:rsidRPr="002E6E04">
        <w:rPr>
          <w:rFonts w:cs="Times New Roman"/>
          <w:color w:val="000000" w:themeColor="text1"/>
          <w:szCs w:val="24"/>
        </w:rPr>
        <w:t xml:space="preserve"> </w:t>
      </w:r>
      <w:r w:rsidR="000142AC" w:rsidRPr="002E6E04">
        <w:rPr>
          <w:rFonts w:cs="Times New Roman"/>
          <w:color w:val="000000" w:themeColor="text1"/>
          <w:szCs w:val="24"/>
        </w:rPr>
        <w:t>its electricity system</w:t>
      </w:r>
      <w:r w:rsidR="00F56114" w:rsidRPr="002E6E04">
        <w:rPr>
          <w:rFonts w:cs="Times New Roman"/>
          <w:color w:val="000000" w:themeColor="text1"/>
          <w:szCs w:val="24"/>
        </w:rPr>
        <w:t>, setting in motion</w:t>
      </w:r>
      <w:r w:rsidR="00A32A5A" w:rsidRPr="002E6E04">
        <w:rPr>
          <w:rFonts w:cs="Times New Roman"/>
          <w:color w:val="000000" w:themeColor="text1"/>
          <w:szCs w:val="24"/>
        </w:rPr>
        <w:t xml:space="preserve"> a radical departure from </w:t>
      </w:r>
      <w:r w:rsidR="00BF214E" w:rsidRPr="002E6E04">
        <w:rPr>
          <w:rFonts w:cs="Times New Roman"/>
          <w:color w:val="000000" w:themeColor="text1"/>
          <w:szCs w:val="24"/>
        </w:rPr>
        <w:t xml:space="preserve">the </w:t>
      </w:r>
      <w:r w:rsidR="00005789" w:rsidRPr="002E6E04">
        <w:rPr>
          <w:rFonts w:cs="Times New Roman"/>
          <w:color w:val="000000" w:themeColor="text1"/>
          <w:szCs w:val="24"/>
        </w:rPr>
        <w:t>predominating</w:t>
      </w:r>
      <w:r w:rsidR="000043D4" w:rsidRPr="002E6E04">
        <w:rPr>
          <w:rFonts w:cs="Times New Roman"/>
          <w:color w:val="000000" w:themeColor="text1"/>
          <w:szCs w:val="24"/>
        </w:rPr>
        <w:t xml:space="preserve"> </w:t>
      </w:r>
      <w:r w:rsidR="00A32A5A" w:rsidRPr="002E6E04">
        <w:rPr>
          <w:rFonts w:cs="Times New Roman"/>
          <w:color w:val="000000" w:themeColor="text1"/>
          <w:szCs w:val="24"/>
        </w:rPr>
        <w:t xml:space="preserve">vertically integrated </w:t>
      </w:r>
      <w:r w:rsidR="000043D4" w:rsidRPr="002E6E04">
        <w:rPr>
          <w:rFonts w:cs="Times New Roman"/>
          <w:color w:val="000000" w:themeColor="text1"/>
          <w:szCs w:val="24"/>
        </w:rPr>
        <w:t>supply</w:t>
      </w:r>
      <w:r w:rsidR="00B375F8" w:rsidRPr="002E6E04">
        <w:rPr>
          <w:rFonts w:cs="Times New Roman"/>
          <w:color w:val="000000" w:themeColor="text1"/>
          <w:szCs w:val="24"/>
        </w:rPr>
        <w:t xml:space="preserve"> model</w:t>
      </w:r>
      <w:r w:rsidR="00A32A5A" w:rsidRPr="002E6E04">
        <w:rPr>
          <w:rFonts w:cs="Times New Roman"/>
          <w:color w:val="000000" w:themeColor="text1"/>
          <w:szCs w:val="24"/>
        </w:rPr>
        <w:t>.</w:t>
      </w:r>
      <w:r w:rsidR="00CC2F83" w:rsidRPr="002E6E04">
        <w:rPr>
          <w:rStyle w:val="EndnoteReference"/>
          <w:rFonts w:cs="Times New Roman"/>
          <w:color w:val="000000" w:themeColor="text1"/>
          <w:szCs w:val="24"/>
        </w:rPr>
        <w:endnoteReference w:id="73"/>
      </w:r>
    </w:p>
    <w:p w14:paraId="05C39F64" w14:textId="26CCDC60" w:rsidR="0084062E" w:rsidRPr="002E6E04" w:rsidRDefault="0084062E" w:rsidP="0084062E">
      <w:pPr>
        <w:spacing w:after="0"/>
        <w:jc w:val="center"/>
        <w:rPr>
          <w:rFonts w:cs="Times New Roman"/>
          <w:color w:val="000000" w:themeColor="text1"/>
          <w:szCs w:val="24"/>
        </w:rPr>
      </w:pPr>
      <w:r w:rsidRPr="002E6E04">
        <w:rPr>
          <w:rFonts w:cs="Times New Roman"/>
          <w:color w:val="000000" w:themeColor="text1"/>
          <w:szCs w:val="24"/>
        </w:rPr>
        <w:t>[Insert Figure 3 here]</w:t>
      </w:r>
    </w:p>
    <w:p w14:paraId="4F3A09F2" w14:textId="71A5486E" w:rsidR="00544F7A" w:rsidRDefault="00944520" w:rsidP="0084062E">
      <w:pPr>
        <w:spacing w:after="0"/>
        <w:ind w:firstLine="576"/>
        <w:rPr>
          <w:rFonts w:cs="Times New Roman"/>
          <w:color w:val="000000" w:themeColor="text1"/>
          <w:szCs w:val="24"/>
        </w:rPr>
      </w:pPr>
      <w:r w:rsidRPr="002E6E04">
        <w:rPr>
          <w:color w:val="000000" w:themeColor="text1"/>
        </w:rPr>
        <w:t>Though widely</w:t>
      </w:r>
      <w:r w:rsidR="00320CD4" w:rsidRPr="002E6E04">
        <w:rPr>
          <w:color w:val="000000" w:themeColor="text1"/>
        </w:rPr>
        <w:t xml:space="preserve"> referred to</w:t>
      </w:r>
      <w:r w:rsidRPr="002E6E04">
        <w:rPr>
          <w:color w:val="000000" w:themeColor="text1"/>
        </w:rPr>
        <w:t xml:space="preserve"> as deregulation, </w:t>
      </w:r>
      <w:r w:rsidR="000166CB" w:rsidRPr="002E6E04">
        <w:rPr>
          <w:color w:val="000000" w:themeColor="text1"/>
        </w:rPr>
        <w:t>this process</w:t>
      </w:r>
      <w:r w:rsidR="003B4B6B" w:rsidRPr="002E6E04">
        <w:rPr>
          <w:color w:val="000000" w:themeColor="text1"/>
        </w:rPr>
        <w:t xml:space="preserve"> </w:t>
      </w:r>
      <w:r w:rsidR="001F5054">
        <w:rPr>
          <w:color w:val="000000" w:themeColor="text1"/>
        </w:rPr>
        <w:t xml:space="preserve">did not </w:t>
      </w:r>
      <w:r w:rsidR="003B4B6B" w:rsidRPr="002E6E04">
        <w:rPr>
          <w:color w:val="000000" w:themeColor="text1"/>
        </w:rPr>
        <w:t>represent the wholesale adoption of market forces.</w:t>
      </w:r>
      <w:r w:rsidRPr="002E6E04">
        <w:rPr>
          <w:color w:val="000000" w:themeColor="text1"/>
        </w:rPr>
        <w:t xml:space="preserve"> Instead, the </w:t>
      </w:r>
      <w:r w:rsidR="003B4B6B" w:rsidRPr="002E6E04">
        <w:rPr>
          <w:color w:val="000000" w:themeColor="text1"/>
        </w:rPr>
        <w:t>regulatory framework</w:t>
      </w:r>
      <w:r w:rsidRPr="002E6E04">
        <w:rPr>
          <w:color w:val="000000" w:themeColor="text1"/>
        </w:rPr>
        <w:t xml:space="preserve"> </w:t>
      </w:r>
      <w:r w:rsidR="003B4B6B" w:rsidRPr="002E6E04">
        <w:rPr>
          <w:color w:val="000000" w:themeColor="text1"/>
        </w:rPr>
        <w:t xml:space="preserve">governing energy </w:t>
      </w:r>
      <w:r w:rsidRPr="002E6E04">
        <w:rPr>
          <w:color w:val="000000" w:themeColor="text1"/>
        </w:rPr>
        <w:t>w</w:t>
      </w:r>
      <w:r w:rsidR="003B4B6B" w:rsidRPr="002E6E04">
        <w:rPr>
          <w:color w:val="000000" w:themeColor="text1"/>
        </w:rPr>
        <w:t>as</w:t>
      </w:r>
      <w:r w:rsidRPr="002E6E04">
        <w:rPr>
          <w:color w:val="000000" w:themeColor="text1"/>
        </w:rPr>
        <w:t xml:space="preserve"> substantively reconfigured</w:t>
      </w:r>
      <w:r w:rsidR="003B4B6B" w:rsidRPr="002E6E04">
        <w:rPr>
          <w:color w:val="000000" w:themeColor="text1"/>
        </w:rPr>
        <w:t>,</w:t>
      </w:r>
      <w:r w:rsidRPr="002E6E04">
        <w:rPr>
          <w:color w:val="000000" w:themeColor="text1"/>
        </w:rPr>
        <w:t xml:space="preserve"> introduc</w:t>
      </w:r>
      <w:r w:rsidR="003B4B6B" w:rsidRPr="002E6E04">
        <w:rPr>
          <w:color w:val="000000" w:themeColor="text1"/>
        </w:rPr>
        <w:t xml:space="preserve">ing </w:t>
      </w:r>
      <w:r w:rsidRPr="002E6E04">
        <w:rPr>
          <w:color w:val="000000" w:themeColor="text1"/>
        </w:rPr>
        <w:t xml:space="preserve">competitive elements to an otherwise regulated </w:t>
      </w:r>
      <w:r w:rsidR="003B4B6B" w:rsidRPr="002E6E04">
        <w:rPr>
          <w:color w:val="000000" w:themeColor="text1"/>
        </w:rPr>
        <w:t>system</w:t>
      </w:r>
      <w:r w:rsidRPr="002E6E04">
        <w:rPr>
          <w:color w:val="000000" w:themeColor="text1"/>
        </w:rPr>
        <w:t>.</w:t>
      </w:r>
      <w:r w:rsidR="000166CB" w:rsidRPr="002E6E04">
        <w:rPr>
          <w:rStyle w:val="EndnoteReference"/>
          <w:color w:val="000000" w:themeColor="text1"/>
        </w:rPr>
        <w:endnoteReference w:id="74"/>
      </w:r>
      <w:r w:rsidR="00320CD4" w:rsidRPr="002E6E04">
        <w:rPr>
          <w:color w:val="000000" w:themeColor="text1"/>
        </w:rPr>
        <w:t xml:space="preserve"> </w:t>
      </w:r>
      <w:r w:rsidRPr="002E6E04">
        <w:rPr>
          <w:color w:val="000000" w:themeColor="text1"/>
        </w:rPr>
        <w:t xml:space="preserve">Specifically, the </w:t>
      </w:r>
      <w:r w:rsidR="003B4B6B" w:rsidRPr="002E6E04">
        <w:rPr>
          <w:color w:val="000000" w:themeColor="text1"/>
        </w:rPr>
        <w:t>b</w:t>
      </w:r>
      <w:r w:rsidRPr="002E6E04">
        <w:rPr>
          <w:color w:val="000000" w:themeColor="text1"/>
        </w:rPr>
        <w:t xml:space="preserve">ill </w:t>
      </w:r>
      <w:r w:rsidR="000142AC" w:rsidRPr="002E6E04">
        <w:rPr>
          <w:color w:val="000000" w:themeColor="text1"/>
        </w:rPr>
        <w:t>required utilities to sell and purchase power on a newly created spot market</w:t>
      </w:r>
      <w:r w:rsidR="00D87283" w:rsidRPr="002E6E04">
        <w:rPr>
          <w:color w:val="000000" w:themeColor="text1"/>
        </w:rPr>
        <w:t xml:space="preserve">, </w:t>
      </w:r>
      <w:r w:rsidR="000142AC" w:rsidRPr="002E6E04">
        <w:rPr>
          <w:color w:val="000000" w:themeColor="text1"/>
        </w:rPr>
        <w:t>the Power Exchange (PX)</w:t>
      </w:r>
      <w:r w:rsidR="00D87283" w:rsidRPr="002E6E04">
        <w:rPr>
          <w:color w:val="000000" w:themeColor="text1"/>
        </w:rPr>
        <w:t>,</w:t>
      </w:r>
      <w:r w:rsidR="000142AC" w:rsidRPr="002E6E04">
        <w:rPr>
          <w:color w:val="000000" w:themeColor="text1"/>
        </w:rPr>
        <w:t xml:space="preserve"> rather than generating for their own demand. Moreover, it curtailed their ability to enter bilateral contracts</w:t>
      </w:r>
      <w:r w:rsidR="00226B10" w:rsidRPr="002E6E04">
        <w:rPr>
          <w:color w:val="000000" w:themeColor="text1"/>
        </w:rPr>
        <w:t xml:space="preserve"> with independent generators</w:t>
      </w:r>
      <w:r w:rsidR="000142AC" w:rsidRPr="002E6E04">
        <w:rPr>
          <w:color w:val="000000" w:themeColor="text1"/>
        </w:rPr>
        <w:t xml:space="preserve">, making the PX the main mechanism of </w:t>
      </w:r>
      <w:r w:rsidR="00850C10" w:rsidRPr="002E6E04">
        <w:rPr>
          <w:color w:val="000000" w:themeColor="text1"/>
        </w:rPr>
        <w:t xml:space="preserve">domestic and inter-state </w:t>
      </w:r>
      <w:r w:rsidR="00613238" w:rsidRPr="002E6E04">
        <w:rPr>
          <w:color w:val="000000" w:themeColor="text1"/>
        </w:rPr>
        <w:t xml:space="preserve">market </w:t>
      </w:r>
      <w:r w:rsidR="000142AC" w:rsidRPr="002E6E04">
        <w:rPr>
          <w:color w:val="000000" w:themeColor="text1"/>
        </w:rPr>
        <w:t>exchange</w:t>
      </w:r>
      <w:r w:rsidR="00850C10" w:rsidRPr="002E6E04">
        <w:rPr>
          <w:color w:val="000000" w:themeColor="text1"/>
        </w:rPr>
        <w:t>.</w:t>
      </w:r>
      <w:r w:rsidR="000142AC" w:rsidRPr="002E6E04">
        <w:rPr>
          <w:color w:val="000000" w:themeColor="text1"/>
        </w:rPr>
        <w:t xml:space="preserve"> </w:t>
      </w:r>
      <w:r w:rsidR="00D87283" w:rsidRPr="002E6E04">
        <w:rPr>
          <w:rFonts w:cs="Times New Roman"/>
          <w:color w:val="000000" w:themeColor="text1"/>
          <w:szCs w:val="24"/>
        </w:rPr>
        <w:t>To</w:t>
      </w:r>
      <w:r w:rsidR="000142AC" w:rsidRPr="002E6E04">
        <w:rPr>
          <w:rFonts w:cs="Times New Roman"/>
          <w:color w:val="000000" w:themeColor="text1"/>
          <w:szCs w:val="24"/>
        </w:rPr>
        <w:t xml:space="preserve"> manage the physical delivery of electricity, the California Independent Systems Operator (ISO) </w:t>
      </w:r>
      <w:r w:rsidR="00850C10" w:rsidRPr="002E6E04">
        <w:rPr>
          <w:rFonts w:cs="Times New Roman"/>
          <w:color w:val="000000" w:themeColor="text1"/>
          <w:szCs w:val="24"/>
        </w:rPr>
        <w:t>was created to</w:t>
      </w:r>
      <w:r w:rsidR="000142AC" w:rsidRPr="002E6E04">
        <w:rPr>
          <w:rFonts w:cs="Times New Roman"/>
          <w:color w:val="000000" w:themeColor="text1"/>
          <w:szCs w:val="24"/>
        </w:rPr>
        <w:t xml:space="preserve"> manage state-wide transmission</w:t>
      </w:r>
      <w:r w:rsidR="00613238" w:rsidRPr="002E6E04">
        <w:rPr>
          <w:rFonts w:cs="Times New Roman"/>
          <w:color w:val="000000" w:themeColor="text1"/>
          <w:szCs w:val="24"/>
        </w:rPr>
        <w:t xml:space="preserve"> and </w:t>
      </w:r>
      <w:r w:rsidR="00850C10" w:rsidRPr="002E6E04">
        <w:rPr>
          <w:rFonts w:cs="Times New Roman"/>
          <w:color w:val="000000" w:themeColor="text1"/>
          <w:szCs w:val="24"/>
        </w:rPr>
        <w:t>held</w:t>
      </w:r>
      <w:r w:rsidR="000142AC" w:rsidRPr="002E6E04">
        <w:rPr>
          <w:rFonts w:cs="Times New Roman"/>
          <w:color w:val="000000" w:themeColor="text1"/>
          <w:szCs w:val="24"/>
        </w:rPr>
        <w:t xml:space="preserve"> </w:t>
      </w:r>
      <w:r w:rsidR="00850C10" w:rsidRPr="002E6E04">
        <w:rPr>
          <w:rFonts w:cs="Times New Roman"/>
          <w:color w:val="000000" w:themeColor="text1"/>
          <w:szCs w:val="24"/>
        </w:rPr>
        <w:t>responsibility</w:t>
      </w:r>
      <w:r w:rsidR="000142AC" w:rsidRPr="002E6E04">
        <w:rPr>
          <w:rFonts w:cs="Times New Roman"/>
          <w:color w:val="000000" w:themeColor="text1"/>
          <w:szCs w:val="24"/>
        </w:rPr>
        <w:t xml:space="preserve"> for contingency and adjustment administration. As such, the ISO would receive the PX’s market information,</w:t>
      </w:r>
      <w:r w:rsidR="00D661BD" w:rsidRPr="002E6E04">
        <w:rPr>
          <w:rFonts w:cs="Times New Roman"/>
          <w:color w:val="000000" w:themeColor="text1"/>
          <w:szCs w:val="24"/>
        </w:rPr>
        <w:t xml:space="preserve"> </w:t>
      </w:r>
      <w:r w:rsidR="00CC1C53" w:rsidRPr="002E6E04">
        <w:rPr>
          <w:rFonts w:cs="Times New Roman"/>
          <w:color w:val="000000" w:themeColor="text1"/>
          <w:szCs w:val="24"/>
        </w:rPr>
        <w:t>en</w:t>
      </w:r>
      <w:r w:rsidR="000142AC" w:rsidRPr="002E6E04">
        <w:rPr>
          <w:rFonts w:cs="Times New Roman"/>
          <w:color w:val="000000" w:themeColor="text1"/>
          <w:szCs w:val="24"/>
        </w:rPr>
        <w:t>sur</w:t>
      </w:r>
      <w:r w:rsidR="00D661BD" w:rsidRPr="002E6E04">
        <w:rPr>
          <w:rFonts w:cs="Times New Roman"/>
          <w:color w:val="000000" w:themeColor="text1"/>
          <w:szCs w:val="24"/>
        </w:rPr>
        <w:t>ing</w:t>
      </w:r>
      <w:r w:rsidR="000142AC" w:rsidRPr="002E6E04">
        <w:rPr>
          <w:rFonts w:cs="Times New Roman"/>
          <w:color w:val="000000" w:themeColor="text1"/>
          <w:szCs w:val="24"/>
        </w:rPr>
        <w:t xml:space="preserve"> enough power </w:t>
      </w:r>
      <w:r w:rsidR="00D46FE1" w:rsidRPr="002E6E04">
        <w:rPr>
          <w:rFonts w:cs="Times New Roman"/>
          <w:color w:val="000000" w:themeColor="text1"/>
          <w:szCs w:val="24"/>
        </w:rPr>
        <w:t>was available</w:t>
      </w:r>
      <w:r w:rsidR="00D661BD" w:rsidRPr="002E6E04">
        <w:rPr>
          <w:rFonts w:cs="Times New Roman"/>
          <w:color w:val="000000" w:themeColor="text1"/>
          <w:szCs w:val="24"/>
        </w:rPr>
        <w:t>.</w:t>
      </w:r>
      <w:r w:rsidR="000142AC" w:rsidRPr="002E6E04">
        <w:rPr>
          <w:rFonts w:cs="Times New Roman"/>
          <w:color w:val="000000" w:themeColor="text1"/>
          <w:szCs w:val="24"/>
        </w:rPr>
        <w:t xml:space="preserve"> If </w:t>
      </w:r>
      <w:r w:rsidR="00D661BD" w:rsidRPr="002E6E04">
        <w:rPr>
          <w:rFonts w:cs="Times New Roman"/>
          <w:color w:val="000000" w:themeColor="text1"/>
          <w:szCs w:val="24"/>
        </w:rPr>
        <w:t xml:space="preserve">transmission </w:t>
      </w:r>
      <w:r w:rsidR="000142AC" w:rsidRPr="002E6E04">
        <w:rPr>
          <w:rFonts w:cs="Times New Roman"/>
          <w:color w:val="000000" w:themeColor="text1"/>
          <w:szCs w:val="24"/>
        </w:rPr>
        <w:t>lines were congested,</w:t>
      </w:r>
      <w:r w:rsidR="00D661BD" w:rsidRPr="002E6E04">
        <w:rPr>
          <w:rFonts w:cs="Times New Roman"/>
          <w:color w:val="000000" w:themeColor="text1"/>
          <w:szCs w:val="24"/>
        </w:rPr>
        <w:t xml:space="preserve"> their</w:t>
      </w:r>
      <w:r w:rsidR="000142AC" w:rsidRPr="002E6E04">
        <w:rPr>
          <w:rFonts w:cs="Times New Roman"/>
          <w:color w:val="000000" w:themeColor="text1"/>
          <w:szCs w:val="24"/>
        </w:rPr>
        <w:t xml:space="preserve"> </w:t>
      </w:r>
      <w:r w:rsidR="00613238" w:rsidRPr="002E6E04">
        <w:rPr>
          <w:rFonts w:cs="Times New Roman"/>
          <w:color w:val="000000" w:themeColor="text1"/>
          <w:szCs w:val="24"/>
        </w:rPr>
        <w:t xml:space="preserve">automated computer system </w:t>
      </w:r>
      <w:r w:rsidR="000142AC" w:rsidRPr="002E6E04">
        <w:rPr>
          <w:rFonts w:cs="Times New Roman"/>
          <w:color w:val="000000" w:themeColor="text1"/>
          <w:szCs w:val="24"/>
        </w:rPr>
        <w:t>would</w:t>
      </w:r>
      <w:r w:rsidR="00613238" w:rsidRPr="002E6E04">
        <w:rPr>
          <w:rFonts w:cs="Times New Roman"/>
          <w:color w:val="000000" w:themeColor="text1"/>
          <w:szCs w:val="24"/>
        </w:rPr>
        <w:t xml:space="preserve"> set</w:t>
      </w:r>
      <w:r w:rsidR="000142AC" w:rsidRPr="002E6E04">
        <w:rPr>
          <w:rFonts w:cs="Times New Roman"/>
          <w:color w:val="000000" w:themeColor="text1"/>
          <w:szCs w:val="24"/>
        </w:rPr>
        <w:t xml:space="preserve"> artificial price adjustments to </w:t>
      </w:r>
      <w:r w:rsidR="0059214A" w:rsidRPr="002E6E04">
        <w:rPr>
          <w:rFonts w:cs="Times New Roman"/>
          <w:color w:val="000000" w:themeColor="text1"/>
          <w:szCs w:val="24"/>
        </w:rPr>
        <w:t>incentivize</w:t>
      </w:r>
      <w:r w:rsidR="000142AC" w:rsidRPr="002E6E04">
        <w:rPr>
          <w:rFonts w:cs="Times New Roman"/>
          <w:color w:val="000000" w:themeColor="text1"/>
          <w:szCs w:val="24"/>
        </w:rPr>
        <w:t xml:space="preserve"> the required change in scheduled flow. </w:t>
      </w:r>
      <w:bookmarkStart w:id="4" w:name="_Toc524704606"/>
      <w:bookmarkStart w:id="5" w:name="_Toc6321338"/>
      <w:r w:rsidR="00613238" w:rsidRPr="002E6E04">
        <w:rPr>
          <w:rFonts w:cs="Times New Roman"/>
          <w:color w:val="000000" w:themeColor="text1"/>
          <w:szCs w:val="24"/>
        </w:rPr>
        <w:t>Finally, caps were introduced to</w:t>
      </w:r>
      <w:r w:rsidR="00F00A0C" w:rsidRPr="002E6E04">
        <w:rPr>
          <w:rFonts w:cs="Times New Roman"/>
          <w:color w:val="000000" w:themeColor="text1"/>
          <w:szCs w:val="24"/>
        </w:rPr>
        <w:t xml:space="preserve"> reduce </w:t>
      </w:r>
      <w:r w:rsidR="006961E1" w:rsidRPr="002E6E04">
        <w:rPr>
          <w:rFonts w:cs="Times New Roman"/>
          <w:color w:val="000000" w:themeColor="text1"/>
          <w:szCs w:val="24"/>
        </w:rPr>
        <w:t>consumer rates by 10%</w:t>
      </w:r>
      <w:r w:rsidR="00D661BD" w:rsidRPr="002E6E04">
        <w:rPr>
          <w:rFonts w:cs="Times New Roman"/>
          <w:color w:val="000000" w:themeColor="text1"/>
          <w:szCs w:val="24"/>
        </w:rPr>
        <w:t>,</w:t>
      </w:r>
      <w:r w:rsidR="00613238" w:rsidRPr="002E6E04">
        <w:rPr>
          <w:rFonts w:cs="Times New Roman"/>
          <w:color w:val="000000" w:themeColor="text1"/>
          <w:szCs w:val="24"/>
        </w:rPr>
        <w:t xml:space="preserve"> </w:t>
      </w:r>
      <w:r w:rsidR="0034152C" w:rsidRPr="002E6E04">
        <w:rPr>
          <w:rFonts w:cs="Times New Roman"/>
          <w:color w:val="000000" w:themeColor="text1"/>
          <w:szCs w:val="24"/>
        </w:rPr>
        <w:t>freez</w:t>
      </w:r>
      <w:r w:rsidR="00A32A5A" w:rsidRPr="002E6E04">
        <w:rPr>
          <w:rFonts w:cs="Times New Roman"/>
          <w:color w:val="000000" w:themeColor="text1"/>
          <w:szCs w:val="24"/>
        </w:rPr>
        <w:t>ing</w:t>
      </w:r>
      <w:r w:rsidR="006961E1" w:rsidRPr="002E6E04">
        <w:rPr>
          <w:rFonts w:cs="Times New Roman"/>
          <w:color w:val="000000" w:themeColor="text1"/>
          <w:szCs w:val="24"/>
        </w:rPr>
        <w:t xml:space="preserve"> them for a four-year transition period</w:t>
      </w:r>
      <w:r w:rsidR="00D661BD" w:rsidRPr="002E6E04">
        <w:rPr>
          <w:rFonts w:cs="Times New Roman"/>
          <w:color w:val="000000" w:themeColor="text1"/>
          <w:szCs w:val="24"/>
        </w:rPr>
        <w:t xml:space="preserve"> and</w:t>
      </w:r>
      <w:r w:rsidR="00613238" w:rsidRPr="002E6E04">
        <w:rPr>
          <w:rFonts w:cs="Times New Roman"/>
          <w:color w:val="000000" w:themeColor="text1"/>
          <w:szCs w:val="24"/>
        </w:rPr>
        <w:t xml:space="preserve"> ensuring the public saw</w:t>
      </w:r>
      <w:r w:rsidR="00CC77F6" w:rsidRPr="002E6E04">
        <w:rPr>
          <w:rFonts w:cs="Times New Roman"/>
          <w:color w:val="000000" w:themeColor="text1"/>
          <w:szCs w:val="24"/>
        </w:rPr>
        <w:t xml:space="preserve"> an immediate</w:t>
      </w:r>
      <w:r w:rsidR="00613238" w:rsidRPr="002E6E04">
        <w:rPr>
          <w:rFonts w:cs="Times New Roman"/>
          <w:color w:val="000000" w:themeColor="text1"/>
          <w:szCs w:val="24"/>
        </w:rPr>
        <w:t xml:space="preserve"> positive outcome</w:t>
      </w:r>
      <w:r w:rsidR="00A32A5A" w:rsidRPr="002E6E04">
        <w:rPr>
          <w:rFonts w:cs="Times New Roman"/>
          <w:color w:val="000000" w:themeColor="text1"/>
          <w:szCs w:val="24"/>
        </w:rPr>
        <w:t xml:space="preserve"> </w:t>
      </w:r>
      <w:r w:rsidR="00693B0C" w:rsidRPr="002E6E04">
        <w:rPr>
          <w:rFonts w:cs="Times New Roman"/>
          <w:color w:val="000000" w:themeColor="text1"/>
          <w:szCs w:val="24"/>
        </w:rPr>
        <w:t>from</w:t>
      </w:r>
      <w:r w:rsidR="00A32A5A" w:rsidRPr="002E6E04">
        <w:rPr>
          <w:rFonts w:cs="Times New Roman"/>
          <w:color w:val="000000" w:themeColor="text1"/>
          <w:szCs w:val="24"/>
        </w:rPr>
        <w:t xml:space="preserve"> the reforms</w:t>
      </w:r>
      <w:r w:rsidR="006961E1" w:rsidRPr="002E6E04">
        <w:rPr>
          <w:rFonts w:cs="Times New Roman"/>
          <w:color w:val="000000" w:themeColor="text1"/>
          <w:szCs w:val="24"/>
        </w:rPr>
        <w:t>.</w:t>
      </w:r>
      <w:r w:rsidR="006961E1" w:rsidRPr="002E6E04">
        <w:rPr>
          <w:rStyle w:val="EndnoteReference"/>
          <w:rFonts w:cs="Times New Roman"/>
          <w:color w:val="000000" w:themeColor="text1"/>
          <w:szCs w:val="24"/>
        </w:rPr>
        <w:endnoteReference w:id="75"/>
      </w:r>
    </w:p>
    <w:p w14:paraId="75651906" w14:textId="77777777" w:rsidR="007902A3" w:rsidRPr="002E6E04" w:rsidRDefault="007902A3" w:rsidP="0084062E">
      <w:pPr>
        <w:spacing w:after="0"/>
        <w:ind w:firstLine="576"/>
        <w:rPr>
          <w:rFonts w:cs="Times New Roman"/>
          <w:color w:val="000000" w:themeColor="text1"/>
          <w:szCs w:val="24"/>
        </w:rPr>
      </w:pPr>
    </w:p>
    <w:bookmarkEnd w:id="4"/>
    <w:bookmarkEnd w:id="5"/>
    <w:p w14:paraId="53D1E52D" w14:textId="6CD8927B" w:rsidR="000142AC" w:rsidRPr="002E6E04" w:rsidRDefault="007902A3" w:rsidP="00974CA5">
      <w:pPr>
        <w:pStyle w:val="Heading2"/>
        <w:numPr>
          <w:ilvl w:val="0"/>
          <w:numId w:val="0"/>
        </w:numPr>
        <w:ind w:left="576" w:hanging="576"/>
      </w:pPr>
      <w:r w:rsidRPr="00563779">
        <w:lastRenderedPageBreak/>
        <w:t>A</w:t>
      </w:r>
      <w:r w:rsidR="000226F9" w:rsidRPr="00563779">
        <w:t>n</w:t>
      </w:r>
      <w:r w:rsidR="008015F4" w:rsidRPr="00563779">
        <w:t xml:space="preserve"> illicit</w:t>
      </w:r>
      <w:r w:rsidR="000142AC" w:rsidRPr="00563779">
        <w:t xml:space="preserve"> path to profit</w:t>
      </w:r>
    </w:p>
    <w:p w14:paraId="3651CF2F" w14:textId="3C5EA373" w:rsidR="000142AC" w:rsidRPr="002E6E04" w:rsidRDefault="000142AC" w:rsidP="000142AC">
      <w:pPr>
        <w:spacing w:after="0"/>
        <w:rPr>
          <w:rFonts w:cs="Times New Roman"/>
          <w:color w:val="000000" w:themeColor="text1"/>
          <w:szCs w:val="24"/>
        </w:rPr>
      </w:pPr>
      <w:r w:rsidRPr="002E6E04">
        <w:rPr>
          <w:rFonts w:cs="Times New Roman"/>
          <w:color w:val="000000" w:themeColor="text1"/>
          <w:szCs w:val="24"/>
        </w:rPr>
        <w:t xml:space="preserve">Throughout the </w:t>
      </w:r>
      <w:r w:rsidR="009D097E">
        <w:rPr>
          <w:rFonts w:cs="Times New Roman"/>
          <w:color w:val="000000" w:themeColor="text1"/>
          <w:szCs w:val="24"/>
        </w:rPr>
        <w:t>‘</w:t>
      </w:r>
      <w:r w:rsidRPr="002E6E04">
        <w:rPr>
          <w:rFonts w:cs="Times New Roman"/>
          <w:color w:val="000000" w:themeColor="text1"/>
          <w:szCs w:val="24"/>
        </w:rPr>
        <w:t>90s Enron had increasingly developed an aggressive performance focus and, with profit</w:t>
      </w:r>
      <w:r w:rsidR="00093D56" w:rsidRPr="002E6E04">
        <w:rPr>
          <w:rFonts w:cs="Times New Roman"/>
          <w:color w:val="000000" w:themeColor="text1"/>
          <w:szCs w:val="24"/>
        </w:rPr>
        <w:t>s</w:t>
      </w:r>
      <w:r w:rsidRPr="002E6E04">
        <w:rPr>
          <w:rFonts w:cs="Times New Roman"/>
          <w:color w:val="000000" w:themeColor="text1"/>
          <w:szCs w:val="24"/>
        </w:rPr>
        <w:t xml:space="preserve"> </w:t>
      </w:r>
      <w:r w:rsidR="00093D56" w:rsidRPr="002E6E04">
        <w:rPr>
          <w:rFonts w:cs="Times New Roman"/>
          <w:color w:val="000000" w:themeColor="text1"/>
          <w:szCs w:val="24"/>
        </w:rPr>
        <w:t>from</w:t>
      </w:r>
      <w:r w:rsidRPr="002E6E04">
        <w:rPr>
          <w:rFonts w:cs="Times New Roman"/>
          <w:color w:val="000000" w:themeColor="text1"/>
          <w:szCs w:val="24"/>
        </w:rPr>
        <w:t xml:space="preserve"> natural gas </w:t>
      </w:r>
      <w:r w:rsidR="00093D56" w:rsidRPr="002E6E04">
        <w:rPr>
          <w:rFonts w:cs="Times New Roman"/>
          <w:color w:val="000000" w:themeColor="text1"/>
          <w:szCs w:val="24"/>
        </w:rPr>
        <w:t>waning</w:t>
      </w:r>
      <w:r w:rsidRPr="002E6E04">
        <w:rPr>
          <w:rFonts w:cs="Times New Roman"/>
          <w:color w:val="000000" w:themeColor="text1"/>
          <w:szCs w:val="24"/>
        </w:rPr>
        <w:t xml:space="preserve">, the firm looked to electricity to sustain its </w:t>
      </w:r>
      <w:r w:rsidR="001A6A7B" w:rsidRPr="002E6E04">
        <w:rPr>
          <w:rFonts w:cs="Times New Roman"/>
          <w:color w:val="000000" w:themeColor="text1"/>
          <w:szCs w:val="24"/>
        </w:rPr>
        <w:t>profitability</w:t>
      </w:r>
      <w:r w:rsidRPr="002E6E04">
        <w:rPr>
          <w:rFonts w:cs="Times New Roman"/>
          <w:color w:val="000000" w:themeColor="text1"/>
          <w:szCs w:val="24"/>
        </w:rPr>
        <w:t>.</w:t>
      </w:r>
      <w:r w:rsidR="00CC2F83" w:rsidRPr="002E6E04">
        <w:rPr>
          <w:rStyle w:val="EndnoteReference"/>
          <w:rFonts w:cs="Times New Roman"/>
          <w:color w:val="000000" w:themeColor="text1"/>
          <w:szCs w:val="24"/>
        </w:rPr>
        <w:endnoteReference w:id="76"/>
      </w:r>
      <w:r w:rsidRPr="002E6E04">
        <w:rPr>
          <w:rFonts w:cs="Times New Roman"/>
          <w:color w:val="000000" w:themeColor="text1"/>
          <w:szCs w:val="24"/>
        </w:rPr>
        <w:t xml:space="preserve"> </w:t>
      </w:r>
      <w:r w:rsidR="00093D56" w:rsidRPr="002E6E04">
        <w:rPr>
          <w:rFonts w:cs="Times New Roman"/>
          <w:color w:val="000000" w:themeColor="text1"/>
          <w:szCs w:val="24"/>
        </w:rPr>
        <w:t xml:space="preserve">To this end, </w:t>
      </w:r>
      <w:r w:rsidRPr="002E6E04">
        <w:rPr>
          <w:rFonts w:cs="Times New Roman"/>
          <w:color w:val="000000" w:themeColor="text1"/>
          <w:szCs w:val="24"/>
        </w:rPr>
        <w:t xml:space="preserve">Enron acquired Portland General Electric (PGE) in July 1997, </w:t>
      </w:r>
      <w:r w:rsidR="00093D56" w:rsidRPr="002E6E04">
        <w:rPr>
          <w:rFonts w:cs="Times New Roman"/>
          <w:color w:val="000000" w:themeColor="text1"/>
          <w:szCs w:val="24"/>
        </w:rPr>
        <w:t>provi</w:t>
      </w:r>
      <w:r w:rsidR="004438D2" w:rsidRPr="002E6E04">
        <w:rPr>
          <w:rFonts w:cs="Times New Roman"/>
          <w:color w:val="000000" w:themeColor="text1"/>
          <w:szCs w:val="24"/>
        </w:rPr>
        <w:t>di</w:t>
      </w:r>
      <w:r w:rsidR="00093D56" w:rsidRPr="002E6E04">
        <w:rPr>
          <w:rFonts w:cs="Times New Roman"/>
          <w:color w:val="000000" w:themeColor="text1"/>
          <w:szCs w:val="24"/>
        </w:rPr>
        <w:t>ng a route into the</w:t>
      </w:r>
      <w:r w:rsidRPr="002E6E04">
        <w:rPr>
          <w:rFonts w:cs="Times New Roman"/>
          <w:color w:val="000000" w:themeColor="text1"/>
          <w:szCs w:val="24"/>
        </w:rPr>
        <w:t xml:space="preserve"> Western Interconnection and California’s new markets.</w:t>
      </w:r>
      <w:r w:rsidR="00CC2F83" w:rsidRPr="002E6E04">
        <w:rPr>
          <w:rStyle w:val="EndnoteReference"/>
          <w:rFonts w:cs="Times New Roman"/>
          <w:color w:val="000000" w:themeColor="text1"/>
          <w:szCs w:val="24"/>
        </w:rPr>
        <w:endnoteReference w:id="77"/>
      </w:r>
      <w:r w:rsidRPr="002E6E04">
        <w:rPr>
          <w:rFonts w:cs="Times New Roman"/>
          <w:color w:val="000000" w:themeColor="text1"/>
          <w:szCs w:val="24"/>
        </w:rPr>
        <w:t xml:space="preserve"> The state’s </w:t>
      </w:r>
      <w:r w:rsidR="00BC3C32" w:rsidRPr="002E6E04">
        <w:rPr>
          <w:rFonts w:cs="Times New Roman"/>
          <w:color w:val="000000" w:themeColor="text1"/>
          <w:szCs w:val="24"/>
        </w:rPr>
        <w:t xml:space="preserve">reforms were </w:t>
      </w:r>
      <w:r w:rsidRPr="002E6E04">
        <w:rPr>
          <w:rFonts w:cs="Times New Roman"/>
          <w:color w:val="000000" w:themeColor="text1"/>
          <w:szCs w:val="24"/>
        </w:rPr>
        <w:t xml:space="preserve">the culmination </w:t>
      </w:r>
      <w:r w:rsidR="00F63231" w:rsidRPr="002E6E04">
        <w:rPr>
          <w:rFonts w:cs="Times New Roman"/>
          <w:color w:val="000000" w:themeColor="text1"/>
          <w:szCs w:val="24"/>
        </w:rPr>
        <w:t xml:space="preserve">of </w:t>
      </w:r>
      <w:r w:rsidR="00BF214E" w:rsidRPr="002E6E04">
        <w:rPr>
          <w:rFonts w:cs="Times New Roman"/>
          <w:color w:val="000000" w:themeColor="text1"/>
          <w:szCs w:val="24"/>
        </w:rPr>
        <w:t xml:space="preserve">a </w:t>
      </w:r>
      <w:r w:rsidR="00F63231" w:rsidRPr="002E6E04">
        <w:rPr>
          <w:rFonts w:cs="Times New Roman"/>
          <w:color w:val="000000" w:themeColor="text1"/>
          <w:szCs w:val="24"/>
        </w:rPr>
        <w:t>sustained public relations campaign by Enron</w:t>
      </w:r>
      <w:r w:rsidR="001A6A7B" w:rsidRPr="002E6E04">
        <w:rPr>
          <w:rFonts w:cs="Times New Roman"/>
          <w:color w:val="000000" w:themeColor="text1"/>
          <w:szCs w:val="24"/>
        </w:rPr>
        <w:t xml:space="preserve">, and </w:t>
      </w:r>
      <w:r w:rsidR="00F63231" w:rsidRPr="002E6E04">
        <w:rPr>
          <w:rFonts w:cs="Times New Roman"/>
          <w:color w:val="000000" w:themeColor="text1"/>
          <w:szCs w:val="24"/>
        </w:rPr>
        <w:t>its executives</w:t>
      </w:r>
      <w:r w:rsidR="00EA0BA8" w:rsidRPr="002E6E04">
        <w:rPr>
          <w:rFonts w:cs="Times New Roman"/>
          <w:color w:val="000000" w:themeColor="text1"/>
          <w:szCs w:val="24"/>
        </w:rPr>
        <w:t xml:space="preserve"> were</w:t>
      </w:r>
      <w:r w:rsidR="001A6A7B" w:rsidRPr="002E6E04">
        <w:rPr>
          <w:rFonts w:cs="Times New Roman"/>
          <w:color w:val="000000" w:themeColor="text1"/>
          <w:szCs w:val="24"/>
        </w:rPr>
        <w:t xml:space="preserve"> </w:t>
      </w:r>
      <w:r w:rsidRPr="002E6E04">
        <w:rPr>
          <w:rFonts w:cs="Times New Roman"/>
          <w:color w:val="000000" w:themeColor="text1"/>
          <w:szCs w:val="24"/>
        </w:rPr>
        <w:t>naturally eager to</w:t>
      </w:r>
      <w:r w:rsidR="00093D56" w:rsidRPr="002E6E04">
        <w:rPr>
          <w:rFonts w:cs="Times New Roman"/>
          <w:color w:val="000000" w:themeColor="text1"/>
          <w:szCs w:val="24"/>
        </w:rPr>
        <w:t xml:space="preserve"> </w:t>
      </w:r>
      <w:r w:rsidR="0059214A" w:rsidRPr="002E6E04">
        <w:rPr>
          <w:rFonts w:cs="Times New Roman"/>
          <w:color w:val="000000" w:themeColor="text1"/>
          <w:szCs w:val="24"/>
        </w:rPr>
        <w:t>capitalize</w:t>
      </w:r>
      <w:r w:rsidR="00093D56" w:rsidRPr="002E6E04">
        <w:rPr>
          <w:rFonts w:cs="Times New Roman"/>
          <w:color w:val="000000" w:themeColor="text1"/>
          <w:szCs w:val="24"/>
        </w:rPr>
        <w:t xml:space="preserve"> on the</w:t>
      </w:r>
      <w:r w:rsidR="00F63231" w:rsidRPr="002E6E04">
        <w:rPr>
          <w:rFonts w:cs="Times New Roman"/>
          <w:color w:val="000000" w:themeColor="text1"/>
          <w:szCs w:val="24"/>
        </w:rPr>
        <w:t>se</w:t>
      </w:r>
      <w:r w:rsidR="00093D56" w:rsidRPr="002E6E04">
        <w:rPr>
          <w:rFonts w:cs="Times New Roman"/>
          <w:color w:val="000000" w:themeColor="text1"/>
          <w:szCs w:val="24"/>
        </w:rPr>
        <w:t xml:space="preserve"> efforts</w:t>
      </w:r>
      <w:r w:rsidR="00216264">
        <w:rPr>
          <w:rFonts w:cs="Times New Roman"/>
          <w:color w:val="000000" w:themeColor="text1"/>
          <w:szCs w:val="24"/>
        </w:rPr>
        <w:t>, seeing a</w:t>
      </w:r>
      <w:r w:rsidR="00BC3C32" w:rsidRPr="002E6E04">
        <w:rPr>
          <w:rFonts w:cs="Times New Roman"/>
          <w:color w:val="000000" w:themeColor="text1"/>
          <w:szCs w:val="24"/>
        </w:rPr>
        <w:t>n</w:t>
      </w:r>
      <w:r w:rsidR="00093D56" w:rsidRPr="002E6E04">
        <w:rPr>
          <w:rFonts w:cs="Times New Roman"/>
          <w:color w:val="000000" w:themeColor="text1"/>
          <w:szCs w:val="24"/>
        </w:rPr>
        <w:t xml:space="preserve"> </w:t>
      </w:r>
      <w:r w:rsidRPr="002E6E04">
        <w:rPr>
          <w:rFonts w:cs="Times New Roman"/>
          <w:color w:val="000000" w:themeColor="text1"/>
          <w:szCs w:val="24"/>
        </w:rPr>
        <w:t xml:space="preserve">opportunity to leverage </w:t>
      </w:r>
      <w:r w:rsidR="00BC3C32" w:rsidRPr="002E6E04">
        <w:rPr>
          <w:rFonts w:cs="Times New Roman"/>
          <w:color w:val="000000" w:themeColor="text1"/>
          <w:szCs w:val="24"/>
        </w:rPr>
        <w:t>Enron’s</w:t>
      </w:r>
      <w:r w:rsidRPr="002E6E04">
        <w:rPr>
          <w:rFonts w:cs="Times New Roman"/>
          <w:color w:val="000000" w:themeColor="text1"/>
          <w:szCs w:val="24"/>
        </w:rPr>
        <w:t xml:space="preserve"> </w:t>
      </w:r>
      <w:r w:rsidR="003859A7" w:rsidRPr="002E6E04">
        <w:rPr>
          <w:rFonts w:cs="Times New Roman"/>
          <w:color w:val="000000" w:themeColor="text1"/>
          <w:szCs w:val="24"/>
        </w:rPr>
        <w:t>knowledge of financial markets</w:t>
      </w:r>
      <w:r w:rsidR="001A6A7B" w:rsidRPr="002E6E04">
        <w:rPr>
          <w:rFonts w:cs="Times New Roman"/>
          <w:color w:val="000000" w:themeColor="text1"/>
          <w:szCs w:val="24"/>
        </w:rPr>
        <w:t xml:space="preserve"> </w:t>
      </w:r>
      <w:r w:rsidR="003859A7" w:rsidRPr="002E6E04">
        <w:rPr>
          <w:rFonts w:cs="Times New Roman"/>
          <w:color w:val="000000" w:themeColor="text1"/>
          <w:szCs w:val="24"/>
        </w:rPr>
        <w:t xml:space="preserve">and trading </w:t>
      </w:r>
      <w:r w:rsidR="001A6A7B" w:rsidRPr="002E6E04">
        <w:rPr>
          <w:rFonts w:cs="Times New Roman"/>
          <w:color w:val="000000" w:themeColor="text1"/>
          <w:szCs w:val="24"/>
        </w:rPr>
        <w:t xml:space="preserve">in an untapped </w:t>
      </w:r>
      <w:r w:rsidRPr="002E6E04">
        <w:rPr>
          <w:rFonts w:cs="Times New Roman"/>
          <w:color w:val="000000" w:themeColor="text1"/>
          <w:szCs w:val="24"/>
        </w:rPr>
        <w:t>market.</w:t>
      </w:r>
      <w:r w:rsidR="00CC2F83" w:rsidRPr="002E6E04">
        <w:rPr>
          <w:rStyle w:val="EndnoteReference"/>
          <w:rFonts w:cs="Times New Roman"/>
          <w:color w:val="000000" w:themeColor="text1"/>
          <w:szCs w:val="24"/>
        </w:rPr>
        <w:endnoteReference w:id="78"/>
      </w:r>
      <w:r w:rsidRPr="002E6E04">
        <w:rPr>
          <w:rFonts w:cs="Times New Roman"/>
          <w:color w:val="000000" w:themeColor="text1"/>
          <w:szCs w:val="24"/>
        </w:rPr>
        <w:t xml:space="preserve"> </w:t>
      </w:r>
      <w:r w:rsidRPr="00517135">
        <w:rPr>
          <w:rFonts w:cs="Times New Roman"/>
          <w:color w:val="000000" w:themeColor="text1"/>
          <w:szCs w:val="24"/>
        </w:rPr>
        <w:t>To this end, the goals for the acquisition were closely tied to</w:t>
      </w:r>
      <w:r w:rsidR="000F1E64" w:rsidRPr="00517135">
        <w:rPr>
          <w:rFonts w:cs="Times New Roman"/>
          <w:color w:val="000000" w:themeColor="text1"/>
          <w:szCs w:val="24"/>
        </w:rPr>
        <w:t xml:space="preserve"> their interest in </w:t>
      </w:r>
      <w:r w:rsidR="00BC3C32" w:rsidRPr="00517135">
        <w:rPr>
          <w:rFonts w:cs="Times New Roman"/>
          <w:color w:val="000000" w:themeColor="text1"/>
          <w:szCs w:val="24"/>
        </w:rPr>
        <w:t>energy deregulation</w:t>
      </w:r>
      <w:r w:rsidR="000F1E64" w:rsidRPr="00517135">
        <w:rPr>
          <w:rFonts w:cs="Times New Roman"/>
          <w:color w:val="000000" w:themeColor="text1"/>
          <w:szCs w:val="24"/>
        </w:rPr>
        <w:t xml:space="preserve"> </w:t>
      </w:r>
      <w:r w:rsidRPr="00517135">
        <w:rPr>
          <w:rFonts w:cs="Times New Roman"/>
          <w:color w:val="000000" w:themeColor="text1"/>
          <w:szCs w:val="24"/>
        </w:rPr>
        <w:t>an</w:t>
      </w:r>
      <w:r w:rsidR="000F1E64" w:rsidRPr="00517135">
        <w:rPr>
          <w:rFonts w:cs="Times New Roman"/>
          <w:color w:val="000000" w:themeColor="text1"/>
          <w:szCs w:val="24"/>
        </w:rPr>
        <w:t>d an</w:t>
      </w:r>
      <w:r w:rsidRPr="00517135">
        <w:rPr>
          <w:rFonts w:cs="Times New Roman"/>
          <w:color w:val="000000" w:themeColor="text1"/>
          <w:szCs w:val="24"/>
        </w:rPr>
        <w:t xml:space="preserve"> ethical climate</w:t>
      </w:r>
      <w:r w:rsidR="000F1E64" w:rsidRPr="00517135">
        <w:rPr>
          <w:rFonts w:cs="Times New Roman"/>
          <w:color w:val="000000" w:themeColor="text1"/>
          <w:szCs w:val="24"/>
        </w:rPr>
        <w:t xml:space="preserve"> that</w:t>
      </w:r>
      <w:r w:rsidRPr="00517135">
        <w:rPr>
          <w:rFonts w:cs="Times New Roman"/>
          <w:color w:val="000000" w:themeColor="text1"/>
          <w:szCs w:val="24"/>
        </w:rPr>
        <w:t xml:space="preserve"> valued</w:t>
      </w:r>
      <w:r w:rsidR="003859A7" w:rsidRPr="00517135">
        <w:rPr>
          <w:rFonts w:cs="Times New Roman"/>
          <w:color w:val="000000" w:themeColor="text1"/>
          <w:szCs w:val="24"/>
        </w:rPr>
        <w:t xml:space="preserve"> </w:t>
      </w:r>
      <w:r w:rsidRPr="00517135">
        <w:rPr>
          <w:rFonts w:cs="Times New Roman"/>
          <w:color w:val="000000" w:themeColor="text1"/>
          <w:szCs w:val="24"/>
        </w:rPr>
        <w:t xml:space="preserve">profit </w:t>
      </w:r>
      <w:r w:rsidR="0059214A" w:rsidRPr="00517135">
        <w:rPr>
          <w:rFonts w:cs="Times New Roman"/>
          <w:color w:val="000000" w:themeColor="text1"/>
          <w:szCs w:val="24"/>
        </w:rPr>
        <w:t>maximization</w:t>
      </w:r>
      <w:r w:rsidRPr="00517135">
        <w:rPr>
          <w:rFonts w:cs="Times New Roman"/>
          <w:color w:val="000000" w:themeColor="text1"/>
          <w:szCs w:val="24"/>
        </w:rPr>
        <w:t xml:space="preserve"> in an increasingly competitive business environment. </w:t>
      </w:r>
      <w:r w:rsidR="003A50B6" w:rsidRPr="00563779">
        <w:rPr>
          <w:rFonts w:cs="Times New Roman"/>
          <w:color w:val="000000" w:themeColor="text1"/>
          <w:szCs w:val="24"/>
        </w:rPr>
        <w:t xml:space="preserve">This </w:t>
      </w:r>
      <w:r w:rsidR="00364CEC" w:rsidRPr="00563779">
        <w:rPr>
          <w:rFonts w:cs="Times New Roman"/>
          <w:color w:val="000000" w:themeColor="text1"/>
          <w:szCs w:val="24"/>
        </w:rPr>
        <w:t>entry</w:t>
      </w:r>
      <w:r w:rsidR="003A50B6" w:rsidRPr="00563779">
        <w:rPr>
          <w:rFonts w:cs="Times New Roman"/>
          <w:color w:val="000000" w:themeColor="text1"/>
          <w:szCs w:val="24"/>
        </w:rPr>
        <w:t xml:space="preserve"> point would encourage the initial interrogation of California’s new regulations for weakness and provide the initial grounding for gaming as an acceptable trading practice.</w:t>
      </w:r>
    </w:p>
    <w:p w14:paraId="2F9CE3EA" w14:textId="297E1948" w:rsidR="009F4B28" w:rsidRDefault="00C96013" w:rsidP="00DE347E">
      <w:pPr>
        <w:spacing w:after="0"/>
        <w:ind w:firstLine="720"/>
        <w:rPr>
          <w:rFonts w:cs="Times New Roman"/>
          <w:szCs w:val="24"/>
          <w:lang w:eastAsia="en-GB"/>
        </w:rPr>
      </w:pPr>
      <w:r w:rsidRPr="002E6E04">
        <w:rPr>
          <w:rFonts w:cs="Times New Roman"/>
          <w:color w:val="000000" w:themeColor="text1"/>
          <w:szCs w:val="24"/>
        </w:rPr>
        <w:t>Following</w:t>
      </w:r>
      <w:r w:rsidR="000142AC" w:rsidRPr="002E6E04">
        <w:rPr>
          <w:rFonts w:cs="Times New Roman"/>
          <w:color w:val="000000" w:themeColor="text1"/>
          <w:szCs w:val="24"/>
        </w:rPr>
        <w:t xml:space="preserve"> the acquisition, Enron created</w:t>
      </w:r>
      <w:r w:rsidR="00AF1C69">
        <w:rPr>
          <w:rFonts w:cs="Times New Roman"/>
          <w:color w:val="000000" w:themeColor="text1"/>
          <w:szCs w:val="24"/>
        </w:rPr>
        <w:t xml:space="preserve"> the</w:t>
      </w:r>
      <w:r w:rsidR="000142AC" w:rsidRPr="002E6E04">
        <w:rPr>
          <w:rFonts w:cs="Times New Roman"/>
          <w:color w:val="000000" w:themeColor="text1"/>
          <w:szCs w:val="24"/>
        </w:rPr>
        <w:t xml:space="preserve"> West Power</w:t>
      </w:r>
      <w:r w:rsidR="00AF1C69">
        <w:rPr>
          <w:rFonts w:cs="Times New Roman"/>
          <w:color w:val="000000" w:themeColor="text1"/>
          <w:szCs w:val="24"/>
        </w:rPr>
        <w:t xml:space="preserve"> division</w:t>
      </w:r>
      <w:r w:rsidR="00093D56" w:rsidRPr="002E6E04">
        <w:rPr>
          <w:rFonts w:cs="Times New Roman"/>
          <w:color w:val="000000" w:themeColor="text1"/>
          <w:szCs w:val="24"/>
        </w:rPr>
        <w:t xml:space="preserve">, </w:t>
      </w:r>
      <w:r w:rsidR="00FD3C90" w:rsidRPr="002E6E04">
        <w:rPr>
          <w:rFonts w:cs="Times New Roman"/>
          <w:color w:val="000000" w:themeColor="text1"/>
          <w:szCs w:val="24"/>
        </w:rPr>
        <w:t xml:space="preserve">locating </w:t>
      </w:r>
      <w:r w:rsidR="000142AC" w:rsidRPr="002E6E04">
        <w:rPr>
          <w:rFonts w:cs="Times New Roman"/>
          <w:color w:val="000000" w:themeColor="text1"/>
          <w:szCs w:val="24"/>
        </w:rPr>
        <w:t>it in the same building as PGE in Portland. Th</w:t>
      </w:r>
      <w:r w:rsidR="006E49F4" w:rsidRPr="002E6E04">
        <w:rPr>
          <w:rFonts w:cs="Times New Roman"/>
          <w:color w:val="000000" w:themeColor="text1"/>
          <w:szCs w:val="24"/>
        </w:rPr>
        <w:t>is new</w:t>
      </w:r>
      <w:r w:rsidR="000142AC" w:rsidRPr="002E6E04">
        <w:rPr>
          <w:rFonts w:cs="Times New Roman"/>
          <w:color w:val="000000" w:themeColor="text1"/>
          <w:szCs w:val="24"/>
        </w:rPr>
        <w:t xml:space="preserve"> division</w:t>
      </w:r>
      <w:r w:rsidR="00093D56" w:rsidRPr="002E6E04">
        <w:rPr>
          <w:rFonts w:cs="Times New Roman"/>
          <w:color w:val="000000" w:themeColor="text1"/>
          <w:szCs w:val="24"/>
        </w:rPr>
        <w:t>’s role was</w:t>
      </w:r>
      <w:r w:rsidR="000142AC" w:rsidRPr="002E6E04">
        <w:rPr>
          <w:rFonts w:cs="Times New Roman"/>
          <w:color w:val="000000" w:themeColor="text1"/>
          <w:szCs w:val="24"/>
        </w:rPr>
        <w:t xml:space="preserve"> to buy and sell </w:t>
      </w:r>
      <w:r w:rsidR="005274B8" w:rsidRPr="002E6E04">
        <w:rPr>
          <w:rFonts w:cs="Times New Roman"/>
          <w:color w:val="000000" w:themeColor="text1"/>
          <w:szCs w:val="24"/>
        </w:rPr>
        <w:t xml:space="preserve">wholesale </w:t>
      </w:r>
      <w:r w:rsidR="000142AC" w:rsidRPr="002E6E04">
        <w:rPr>
          <w:rFonts w:cs="Times New Roman"/>
          <w:color w:val="000000" w:themeColor="text1"/>
          <w:szCs w:val="24"/>
        </w:rPr>
        <w:t>electricit</w:t>
      </w:r>
      <w:r w:rsidRPr="002E6E04">
        <w:rPr>
          <w:rFonts w:cs="Times New Roman"/>
          <w:color w:val="000000" w:themeColor="text1"/>
          <w:szCs w:val="24"/>
        </w:rPr>
        <w:t>y</w:t>
      </w:r>
      <w:r w:rsidR="00093D56" w:rsidRPr="002E6E04">
        <w:rPr>
          <w:rFonts w:cs="Times New Roman"/>
          <w:color w:val="000000" w:themeColor="text1"/>
          <w:szCs w:val="24"/>
        </w:rPr>
        <w:t xml:space="preserve"> and manage</w:t>
      </w:r>
      <w:r w:rsidR="000142AC" w:rsidRPr="002E6E04">
        <w:rPr>
          <w:rFonts w:cs="Times New Roman"/>
          <w:color w:val="000000" w:themeColor="text1"/>
          <w:szCs w:val="24"/>
        </w:rPr>
        <w:t xml:space="preserve"> </w:t>
      </w:r>
      <w:r w:rsidR="00093D56" w:rsidRPr="002E6E04">
        <w:rPr>
          <w:rFonts w:cs="Times New Roman"/>
          <w:color w:val="000000" w:themeColor="text1"/>
          <w:szCs w:val="24"/>
        </w:rPr>
        <w:t>trading activities</w:t>
      </w:r>
      <w:r w:rsidR="000142AC" w:rsidRPr="002E6E04">
        <w:rPr>
          <w:rFonts w:cs="Times New Roman"/>
          <w:color w:val="000000" w:themeColor="text1"/>
          <w:szCs w:val="24"/>
        </w:rPr>
        <w:t xml:space="preserve"> </w:t>
      </w:r>
      <w:r w:rsidR="00093D56" w:rsidRPr="002E6E04">
        <w:rPr>
          <w:rFonts w:cs="Times New Roman"/>
          <w:color w:val="000000" w:themeColor="text1"/>
          <w:szCs w:val="24"/>
        </w:rPr>
        <w:t>for</w:t>
      </w:r>
      <w:r w:rsidR="000142AC" w:rsidRPr="002E6E04">
        <w:rPr>
          <w:rFonts w:cs="Times New Roman"/>
          <w:color w:val="000000" w:themeColor="text1"/>
          <w:szCs w:val="24"/>
        </w:rPr>
        <w:t xml:space="preserve"> other parties.</w:t>
      </w:r>
      <w:r w:rsidR="00CC2F83" w:rsidRPr="002E6E04">
        <w:rPr>
          <w:rStyle w:val="EndnoteReference"/>
          <w:rFonts w:cs="Times New Roman"/>
          <w:color w:val="000000" w:themeColor="text1"/>
          <w:szCs w:val="24"/>
        </w:rPr>
        <w:endnoteReference w:id="79"/>
      </w:r>
      <w:r w:rsidR="000142AC" w:rsidRPr="002E6E04">
        <w:rPr>
          <w:rFonts w:cs="Times New Roman"/>
          <w:color w:val="000000" w:themeColor="text1"/>
          <w:szCs w:val="24"/>
        </w:rPr>
        <w:t xml:space="preserve"> </w:t>
      </w:r>
      <w:r w:rsidR="004438D2" w:rsidRPr="002E6E04">
        <w:rPr>
          <w:rFonts w:cs="Times New Roman"/>
          <w:color w:val="000000" w:themeColor="text1"/>
          <w:szCs w:val="24"/>
        </w:rPr>
        <w:t xml:space="preserve">As </w:t>
      </w:r>
      <w:r w:rsidR="006E49F4" w:rsidRPr="002E6E04">
        <w:rPr>
          <w:rFonts w:cs="Times New Roman"/>
          <w:color w:val="000000" w:themeColor="text1"/>
          <w:szCs w:val="24"/>
        </w:rPr>
        <w:t xml:space="preserve">its </w:t>
      </w:r>
      <w:r w:rsidR="000142AC" w:rsidRPr="002E6E04">
        <w:rPr>
          <w:rFonts w:cs="Times New Roman"/>
          <w:color w:val="000000" w:themeColor="text1"/>
          <w:szCs w:val="24"/>
        </w:rPr>
        <w:t>senior traders worked to understand the complex new system</w:t>
      </w:r>
      <w:r w:rsidR="00C100FC" w:rsidRPr="002E6E04">
        <w:rPr>
          <w:rFonts w:cs="Times New Roman"/>
          <w:color w:val="000000" w:themeColor="text1"/>
          <w:szCs w:val="24"/>
        </w:rPr>
        <w:t>s</w:t>
      </w:r>
      <w:r w:rsidR="000142AC" w:rsidRPr="002E6E04">
        <w:rPr>
          <w:rFonts w:cs="Times New Roman"/>
          <w:color w:val="000000" w:themeColor="text1"/>
          <w:szCs w:val="24"/>
        </w:rPr>
        <w:t>, it became clear that the rules and protocols California had</w:t>
      </w:r>
      <w:r w:rsidR="00C100FC" w:rsidRPr="002E6E04">
        <w:rPr>
          <w:rFonts w:cs="Times New Roman"/>
          <w:color w:val="000000" w:themeColor="text1"/>
          <w:szCs w:val="24"/>
        </w:rPr>
        <w:t xml:space="preserve"> devised</w:t>
      </w:r>
      <w:r w:rsidR="000142AC" w:rsidRPr="002E6E04">
        <w:rPr>
          <w:rFonts w:cs="Times New Roman"/>
          <w:color w:val="000000" w:themeColor="text1"/>
          <w:szCs w:val="24"/>
        </w:rPr>
        <w:t xml:space="preserve"> contained flaw</w:t>
      </w:r>
      <w:r w:rsidR="00C100FC" w:rsidRPr="002E6E04">
        <w:rPr>
          <w:rFonts w:cs="Times New Roman"/>
          <w:color w:val="000000" w:themeColor="text1"/>
          <w:szCs w:val="24"/>
        </w:rPr>
        <w:t xml:space="preserve">s, </w:t>
      </w:r>
      <w:r w:rsidR="00B1003E" w:rsidRPr="002E6E04">
        <w:rPr>
          <w:rFonts w:cs="Times New Roman"/>
          <w:color w:val="000000" w:themeColor="text1"/>
          <w:szCs w:val="24"/>
        </w:rPr>
        <w:t>offer</w:t>
      </w:r>
      <w:r w:rsidR="00C100FC" w:rsidRPr="002E6E04">
        <w:rPr>
          <w:rFonts w:cs="Times New Roman"/>
          <w:color w:val="000000" w:themeColor="text1"/>
          <w:szCs w:val="24"/>
        </w:rPr>
        <w:t>ing</w:t>
      </w:r>
      <w:r w:rsidR="00B1003E" w:rsidRPr="002E6E04">
        <w:rPr>
          <w:rFonts w:cs="Times New Roman"/>
          <w:color w:val="000000" w:themeColor="text1"/>
          <w:szCs w:val="24"/>
        </w:rPr>
        <w:t xml:space="preserve"> potentially profitable opportunities to anyone with the knowledge and inclination to use them</w:t>
      </w:r>
      <w:r w:rsidR="00C100FC" w:rsidRPr="002E6E04">
        <w:rPr>
          <w:rFonts w:cs="Times New Roman"/>
          <w:color w:val="000000" w:themeColor="text1"/>
          <w:szCs w:val="24"/>
        </w:rPr>
        <w:t>.</w:t>
      </w:r>
      <w:r w:rsidR="001A6A7B" w:rsidRPr="002E6E04">
        <w:rPr>
          <w:rFonts w:cs="Times New Roman"/>
          <w:color w:val="000000" w:themeColor="text1"/>
          <w:szCs w:val="24"/>
        </w:rPr>
        <w:t xml:space="preserve"> </w:t>
      </w:r>
      <w:r w:rsidR="009F4B28">
        <w:rPr>
          <w:rFonts w:cs="Times New Roman"/>
          <w:color w:val="000000" w:themeColor="text1"/>
          <w:szCs w:val="24"/>
        </w:rPr>
        <w:t xml:space="preserve">While Enron was by no means the only company interested in leveraging the new regulations, its distinctive presence as a financial entity and </w:t>
      </w:r>
      <w:r w:rsidR="00DE347E">
        <w:rPr>
          <w:rFonts w:cs="Times New Roman"/>
          <w:color w:val="000000" w:themeColor="text1"/>
          <w:szCs w:val="24"/>
        </w:rPr>
        <w:t>an</w:t>
      </w:r>
      <w:r w:rsidR="009F4B28">
        <w:rPr>
          <w:rFonts w:cs="Times New Roman"/>
          <w:color w:val="000000" w:themeColor="text1"/>
          <w:szCs w:val="24"/>
        </w:rPr>
        <w:t xml:space="preserve"> unambiguous prioritization of profit, encouraged a particularly unsympathetic pursuit of </w:t>
      </w:r>
      <w:r w:rsidR="00DE347E">
        <w:rPr>
          <w:rFonts w:cs="Times New Roman"/>
          <w:color w:val="000000" w:themeColor="text1"/>
          <w:szCs w:val="24"/>
        </w:rPr>
        <w:t>their</w:t>
      </w:r>
      <w:r w:rsidR="009F4B28">
        <w:rPr>
          <w:rFonts w:cs="Times New Roman"/>
          <w:color w:val="000000" w:themeColor="text1"/>
          <w:szCs w:val="24"/>
        </w:rPr>
        <w:t xml:space="preserve"> variabilities.</w:t>
      </w:r>
      <w:r w:rsidR="00DE347E" w:rsidRPr="00563779">
        <w:rPr>
          <w:rStyle w:val="EndnoteReference"/>
          <w:rFonts w:cs="Times New Roman"/>
          <w:color w:val="000000" w:themeColor="text1"/>
          <w:szCs w:val="24"/>
        </w:rPr>
        <w:endnoteReference w:id="80"/>
      </w:r>
      <w:r w:rsidR="009F4B28">
        <w:rPr>
          <w:rFonts w:cs="Times New Roman"/>
          <w:color w:val="000000" w:themeColor="text1"/>
          <w:szCs w:val="24"/>
        </w:rPr>
        <w:t xml:space="preserve"> To this end, the division’s leaders </w:t>
      </w:r>
      <w:r w:rsidR="00DE347E">
        <w:rPr>
          <w:rFonts w:cs="Times New Roman"/>
          <w:color w:val="000000" w:themeColor="text1"/>
          <w:szCs w:val="24"/>
        </w:rPr>
        <w:t xml:space="preserve">would </w:t>
      </w:r>
      <w:r w:rsidR="009F4B28">
        <w:rPr>
          <w:rFonts w:cs="Times New Roman"/>
          <w:color w:val="000000" w:themeColor="text1"/>
          <w:szCs w:val="24"/>
        </w:rPr>
        <w:t>beg</w:t>
      </w:r>
      <w:r w:rsidR="00DE347E">
        <w:rPr>
          <w:rFonts w:cs="Times New Roman"/>
          <w:color w:val="000000" w:themeColor="text1"/>
          <w:szCs w:val="24"/>
        </w:rPr>
        <w:t>i</w:t>
      </w:r>
      <w:r w:rsidR="009F4B28">
        <w:rPr>
          <w:rFonts w:cs="Times New Roman"/>
          <w:color w:val="000000" w:themeColor="text1"/>
          <w:szCs w:val="24"/>
        </w:rPr>
        <w:t>n to analyze the rules, and by late 1997, start actively exploring the market’s exploitable weaknesses with a view to generating operational income in the process.</w:t>
      </w:r>
      <w:r w:rsidR="00DE347E">
        <w:rPr>
          <w:rStyle w:val="EndnoteReference"/>
          <w:rFonts w:cs="Times New Roman"/>
          <w:color w:val="000000" w:themeColor="text1"/>
          <w:szCs w:val="24"/>
        </w:rPr>
        <w:endnoteReference w:id="81"/>
      </w:r>
      <w:r w:rsidR="009F4B28">
        <w:rPr>
          <w:rFonts w:cs="Times New Roman"/>
          <w:color w:val="000000" w:themeColor="text1"/>
          <w:szCs w:val="24"/>
        </w:rPr>
        <w:t xml:space="preserve"> </w:t>
      </w:r>
    </w:p>
    <w:p w14:paraId="655CB9D5" w14:textId="799965C3" w:rsidR="00C540D5" w:rsidRPr="002E6E04" w:rsidRDefault="00274088" w:rsidP="008015F4">
      <w:pPr>
        <w:spacing w:after="0"/>
        <w:ind w:firstLine="720"/>
        <w:rPr>
          <w:rFonts w:cs="Times New Roman"/>
          <w:color w:val="000000" w:themeColor="text1"/>
          <w:szCs w:val="24"/>
        </w:rPr>
      </w:pPr>
      <w:r w:rsidRPr="002E6E04">
        <w:rPr>
          <w:rFonts w:cs="Times New Roman"/>
          <w:color w:val="000000" w:themeColor="text1"/>
          <w:szCs w:val="24"/>
        </w:rPr>
        <w:t xml:space="preserve">At this time, </w:t>
      </w:r>
      <w:r w:rsidR="001E3B76" w:rsidRPr="00563779">
        <w:rPr>
          <w:rFonts w:cs="Times New Roman"/>
          <w:color w:val="000000" w:themeColor="text1"/>
          <w:szCs w:val="24"/>
        </w:rPr>
        <w:t>Enron was approached by others keen to exploit such “loop-holes</w:t>
      </w:r>
      <w:r w:rsidR="0028200E" w:rsidRPr="00563779">
        <w:rPr>
          <w:rFonts w:cs="Times New Roman"/>
          <w:color w:val="000000" w:themeColor="text1"/>
          <w:szCs w:val="24"/>
        </w:rPr>
        <w:t>.</w:t>
      </w:r>
      <w:r w:rsidR="001E3B76" w:rsidRPr="00563779">
        <w:rPr>
          <w:rFonts w:cs="Times New Roman"/>
          <w:color w:val="000000" w:themeColor="text1"/>
          <w:szCs w:val="24"/>
        </w:rPr>
        <w:t xml:space="preserve">” </w:t>
      </w:r>
      <w:r w:rsidR="000555E5" w:rsidRPr="00563779">
        <w:rPr>
          <w:rFonts w:cs="Times New Roman"/>
          <w:color w:val="000000" w:themeColor="text1"/>
          <w:szCs w:val="24"/>
        </w:rPr>
        <w:t>Among them was</w:t>
      </w:r>
      <w:r w:rsidR="000142AC" w:rsidRPr="00563779">
        <w:rPr>
          <w:rFonts w:cs="Times New Roman"/>
          <w:color w:val="000000" w:themeColor="text1"/>
          <w:szCs w:val="24"/>
        </w:rPr>
        <w:t xml:space="preserve"> </w:t>
      </w:r>
      <w:r w:rsidR="00B1003E" w:rsidRPr="00563779">
        <w:rPr>
          <w:rFonts w:cs="Times New Roman"/>
          <w:color w:val="000000" w:themeColor="text1"/>
          <w:szCs w:val="24"/>
        </w:rPr>
        <w:t>George Backus</w:t>
      </w:r>
      <w:r w:rsidR="00B1003E" w:rsidRPr="005E21F2">
        <w:rPr>
          <w:rFonts w:cs="Times New Roman"/>
          <w:color w:val="000000" w:themeColor="text1"/>
          <w:szCs w:val="24"/>
        </w:rPr>
        <w:t>,</w:t>
      </w:r>
      <w:r w:rsidR="000142AC" w:rsidRPr="002E6E04">
        <w:rPr>
          <w:rFonts w:cs="Times New Roman"/>
          <w:color w:val="000000" w:themeColor="text1"/>
          <w:szCs w:val="24"/>
        </w:rPr>
        <w:t xml:space="preserve"> a consultant associated </w:t>
      </w:r>
      <w:r w:rsidR="005274B8" w:rsidRPr="002E6E04">
        <w:rPr>
          <w:rFonts w:cs="Times New Roman"/>
          <w:color w:val="000000" w:themeColor="text1"/>
          <w:szCs w:val="24"/>
        </w:rPr>
        <w:t xml:space="preserve">with </w:t>
      </w:r>
      <w:r w:rsidR="000142AC" w:rsidRPr="002E6E04">
        <w:rPr>
          <w:rFonts w:cs="Times New Roman"/>
          <w:color w:val="000000" w:themeColor="text1"/>
          <w:szCs w:val="24"/>
        </w:rPr>
        <w:t>Perot Systems</w:t>
      </w:r>
      <w:r w:rsidR="000555E5" w:rsidRPr="002E6E04">
        <w:rPr>
          <w:rFonts w:cs="Times New Roman"/>
          <w:color w:val="000000" w:themeColor="text1"/>
          <w:szCs w:val="24"/>
        </w:rPr>
        <w:t xml:space="preserve">, the information </w:t>
      </w:r>
      <w:r w:rsidR="000555E5" w:rsidRPr="002E6E04">
        <w:rPr>
          <w:rFonts w:cs="Times New Roman"/>
          <w:color w:val="000000" w:themeColor="text1"/>
          <w:szCs w:val="24"/>
        </w:rPr>
        <w:lastRenderedPageBreak/>
        <w:t>technology provider that had designed California</w:t>
      </w:r>
      <w:r w:rsidR="002522A1" w:rsidRPr="002E6E04">
        <w:rPr>
          <w:rFonts w:cs="Times New Roman"/>
          <w:color w:val="000000" w:themeColor="text1"/>
          <w:szCs w:val="24"/>
        </w:rPr>
        <w:t>’s</w:t>
      </w:r>
      <w:r w:rsidR="000555E5" w:rsidRPr="002E6E04">
        <w:rPr>
          <w:rFonts w:cs="Times New Roman"/>
          <w:color w:val="000000" w:themeColor="text1"/>
          <w:szCs w:val="24"/>
        </w:rPr>
        <w:t xml:space="preserve"> new automated market protocols</w:t>
      </w:r>
      <w:r w:rsidR="000142AC" w:rsidRPr="002E6E04">
        <w:rPr>
          <w:rFonts w:cs="Times New Roman"/>
          <w:color w:val="000000" w:themeColor="text1"/>
          <w:szCs w:val="24"/>
        </w:rPr>
        <w:t>.</w:t>
      </w:r>
      <w:r w:rsidR="00294396" w:rsidRPr="002E6E04">
        <w:rPr>
          <w:rStyle w:val="EndnoteReference"/>
          <w:rFonts w:cs="Times New Roman"/>
          <w:color w:val="000000" w:themeColor="text1"/>
          <w:szCs w:val="24"/>
        </w:rPr>
        <w:endnoteReference w:id="82"/>
      </w:r>
      <w:r w:rsidR="005E21F2">
        <w:rPr>
          <w:rFonts w:cs="Times New Roman"/>
          <w:color w:val="000000" w:themeColor="text1"/>
          <w:szCs w:val="24"/>
        </w:rPr>
        <w:t xml:space="preserve"> </w:t>
      </w:r>
      <w:r w:rsidR="000555E5" w:rsidRPr="002E6E04">
        <w:rPr>
          <w:rFonts w:cs="Times New Roman"/>
          <w:color w:val="000000" w:themeColor="text1"/>
          <w:szCs w:val="24"/>
        </w:rPr>
        <w:t>In designing these</w:t>
      </w:r>
      <w:r w:rsidR="00C100FC" w:rsidRPr="002E6E04">
        <w:rPr>
          <w:rFonts w:cs="Times New Roman"/>
          <w:color w:val="000000" w:themeColor="text1"/>
          <w:szCs w:val="24"/>
        </w:rPr>
        <w:t xml:space="preserve"> </w:t>
      </w:r>
      <w:r w:rsidR="000142AC" w:rsidRPr="002E6E04">
        <w:rPr>
          <w:rFonts w:cs="Times New Roman"/>
          <w:color w:val="000000" w:themeColor="text1"/>
          <w:szCs w:val="24"/>
        </w:rPr>
        <w:t>protocols for both the ISO and PX</w:t>
      </w:r>
      <w:r w:rsidR="00A64621" w:rsidRPr="002E6E04">
        <w:rPr>
          <w:rFonts w:cs="Times New Roman"/>
          <w:color w:val="000000" w:themeColor="text1"/>
          <w:szCs w:val="24"/>
        </w:rPr>
        <w:t xml:space="preserve"> computer systems</w:t>
      </w:r>
      <w:r w:rsidR="00B1003E" w:rsidRPr="002E6E04">
        <w:rPr>
          <w:rFonts w:cs="Times New Roman"/>
          <w:color w:val="000000" w:themeColor="text1"/>
          <w:szCs w:val="24"/>
        </w:rPr>
        <w:t xml:space="preserve">, </w:t>
      </w:r>
      <w:r w:rsidR="000555E5" w:rsidRPr="002E6E04">
        <w:rPr>
          <w:rFonts w:cs="Times New Roman"/>
          <w:color w:val="000000" w:themeColor="text1"/>
          <w:szCs w:val="24"/>
        </w:rPr>
        <w:t>Perot Systems</w:t>
      </w:r>
      <w:r w:rsidR="000142AC" w:rsidRPr="002E6E04">
        <w:rPr>
          <w:rFonts w:cs="Times New Roman"/>
          <w:color w:val="000000" w:themeColor="text1"/>
          <w:szCs w:val="24"/>
        </w:rPr>
        <w:t xml:space="preserve"> </w:t>
      </w:r>
      <w:r w:rsidR="00B1003E" w:rsidRPr="002E6E04">
        <w:rPr>
          <w:rFonts w:cs="Times New Roman"/>
          <w:color w:val="000000" w:themeColor="text1"/>
          <w:szCs w:val="24"/>
        </w:rPr>
        <w:t xml:space="preserve">had </w:t>
      </w:r>
      <w:r w:rsidR="000142AC" w:rsidRPr="002E6E04">
        <w:rPr>
          <w:rFonts w:cs="Times New Roman"/>
          <w:color w:val="000000" w:themeColor="text1"/>
          <w:szCs w:val="24"/>
        </w:rPr>
        <w:t xml:space="preserve">amassed a substantial working knowledge of the new </w:t>
      </w:r>
      <w:r w:rsidR="00C100FC" w:rsidRPr="002E6E04">
        <w:rPr>
          <w:rFonts w:cs="Times New Roman"/>
          <w:color w:val="000000" w:themeColor="text1"/>
          <w:szCs w:val="24"/>
        </w:rPr>
        <w:t>markets’</w:t>
      </w:r>
      <w:r w:rsidR="000142AC" w:rsidRPr="002E6E04">
        <w:rPr>
          <w:rFonts w:cs="Times New Roman"/>
          <w:color w:val="000000" w:themeColor="text1"/>
          <w:szCs w:val="24"/>
        </w:rPr>
        <w:t xml:space="preserve"> features, limitations and flaws.</w:t>
      </w:r>
      <w:r w:rsidR="00294396" w:rsidRPr="002E6E04">
        <w:rPr>
          <w:rStyle w:val="EndnoteReference"/>
          <w:rFonts w:cs="Times New Roman"/>
          <w:color w:val="000000" w:themeColor="text1"/>
          <w:szCs w:val="24"/>
        </w:rPr>
        <w:endnoteReference w:id="83"/>
      </w:r>
      <w:r w:rsidR="000142AC" w:rsidRPr="002E6E04">
        <w:rPr>
          <w:rFonts w:cs="Times New Roman"/>
          <w:color w:val="000000" w:themeColor="text1"/>
          <w:szCs w:val="24"/>
        </w:rPr>
        <w:t xml:space="preserve"> Using this knowledge, </w:t>
      </w:r>
      <w:r w:rsidR="002522A1" w:rsidRPr="002E6E04">
        <w:rPr>
          <w:rFonts w:cs="Times New Roman"/>
          <w:color w:val="000000" w:themeColor="text1"/>
          <w:szCs w:val="24"/>
        </w:rPr>
        <w:t>Backus</w:t>
      </w:r>
      <w:r w:rsidR="000142AC" w:rsidRPr="002E6E04">
        <w:rPr>
          <w:rFonts w:cs="Times New Roman"/>
          <w:color w:val="000000" w:themeColor="text1"/>
          <w:szCs w:val="24"/>
        </w:rPr>
        <w:t xml:space="preserve"> promot</w:t>
      </w:r>
      <w:r w:rsidR="00C100FC" w:rsidRPr="002E6E04">
        <w:rPr>
          <w:rFonts w:cs="Times New Roman"/>
          <w:color w:val="000000" w:themeColor="text1"/>
          <w:szCs w:val="24"/>
        </w:rPr>
        <w:t>ed</w:t>
      </w:r>
      <w:r w:rsidR="000142AC" w:rsidRPr="002E6E04">
        <w:rPr>
          <w:rFonts w:cs="Times New Roman"/>
          <w:color w:val="000000" w:themeColor="text1"/>
          <w:szCs w:val="24"/>
        </w:rPr>
        <w:t xml:space="preserve"> </w:t>
      </w:r>
      <w:r w:rsidR="001E3B76" w:rsidRPr="002E6E04">
        <w:rPr>
          <w:rFonts w:cs="Times New Roman"/>
          <w:color w:val="000000" w:themeColor="text1"/>
          <w:szCs w:val="24"/>
        </w:rPr>
        <w:t xml:space="preserve">his </w:t>
      </w:r>
      <w:r w:rsidR="000142AC" w:rsidRPr="002E6E04">
        <w:rPr>
          <w:rFonts w:cs="Times New Roman"/>
          <w:color w:val="000000" w:themeColor="text1"/>
          <w:szCs w:val="24"/>
        </w:rPr>
        <w:t>consultancy services</w:t>
      </w:r>
      <w:r w:rsidR="00C100FC" w:rsidRPr="002E6E04">
        <w:rPr>
          <w:rFonts w:cs="Times New Roman"/>
          <w:color w:val="000000" w:themeColor="text1"/>
          <w:szCs w:val="24"/>
        </w:rPr>
        <w:t>,</w:t>
      </w:r>
      <w:r w:rsidR="00C540D5" w:rsidRPr="002E6E04">
        <w:rPr>
          <w:rFonts w:cs="Times New Roman"/>
          <w:color w:val="000000" w:themeColor="text1"/>
          <w:szCs w:val="24"/>
        </w:rPr>
        <w:t xml:space="preserve"> offering market participants a privileged view into the new </w:t>
      </w:r>
      <w:r w:rsidR="00BC3C32" w:rsidRPr="002E6E04">
        <w:rPr>
          <w:rFonts w:cs="Times New Roman"/>
          <w:color w:val="000000" w:themeColor="text1"/>
          <w:szCs w:val="24"/>
        </w:rPr>
        <w:t>regulatory</w:t>
      </w:r>
      <w:r w:rsidR="00C540D5" w:rsidRPr="002E6E04">
        <w:rPr>
          <w:rFonts w:cs="Times New Roman"/>
          <w:color w:val="000000" w:themeColor="text1"/>
          <w:szCs w:val="24"/>
        </w:rPr>
        <w:t xml:space="preserve"> landscape</w:t>
      </w:r>
      <w:r w:rsidR="00BC3C32" w:rsidRPr="002E6E04">
        <w:rPr>
          <w:rFonts w:cs="Times New Roman"/>
          <w:color w:val="000000" w:themeColor="text1"/>
          <w:szCs w:val="24"/>
        </w:rPr>
        <w:t xml:space="preserve"> within which</w:t>
      </w:r>
      <w:r w:rsidR="00C540D5" w:rsidRPr="002E6E04">
        <w:rPr>
          <w:rFonts w:cs="Times New Roman"/>
          <w:color w:val="000000" w:themeColor="text1"/>
          <w:szCs w:val="24"/>
        </w:rPr>
        <w:t xml:space="preserve"> they would opera</w:t>
      </w:r>
      <w:r w:rsidR="00C540D5" w:rsidRPr="004F6D6C">
        <w:rPr>
          <w:rFonts w:cs="Times New Roman"/>
          <w:color w:val="000000" w:themeColor="text1"/>
          <w:szCs w:val="24"/>
        </w:rPr>
        <w:t>t</w:t>
      </w:r>
      <w:r w:rsidR="00BC3C32" w:rsidRPr="004F6D6C">
        <w:rPr>
          <w:rFonts w:cs="Times New Roman"/>
          <w:color w:val="000000" w:themeColor="text1"/>
          <w:szCs w:val="24"/>
        </w:rPr>
        <w:t>e</w:t>
      </w:r>
      <w:r w:rsidR="00C540D5" w:rsidRPr="004F6D6C">
        <w:rPr>
          <w:rFonts w:cs="Times New Roman"/>
          <w:color w:val="000000" w:themeColor="text1"/>
          <w:szCs w:val="24"/>
        </w:rPr>
        <w:t>.</w:t>
      </w:r>
      <w:r w:rsidR="000142AC" w:rsidRPr="004F6D6C">
        <w:rPr>
          <w:rFonts w:cs="Times New Roman"/>
          <w:color w:val="000000" w:themeColor="text1"/>
          <w:szCs w:val="24"/>
        </w:rPr>
        <w:t xml:space="preserve"> </w:t>
      </w:r>
      <w:r w:rsidR="000142AC" w:rsidRPr="00A84E06">
        <w:rPr>
          <w:rFonts w:cs="Times New Roman"/>
          <w:color w:val="000000" w:themeColor="text1"/>
          <w:szCs w:val="24"/>
        </w:rPr>
        <w:t xml:space="preserve">A fax </w:t>
      </w:r>
      <w:r w:rsidR="00B1003E" w:rsidRPr="00A84E06">
        <w:rPr>
          <w:rFonts w:cs="Times New Roman"/>
          <w:color w:val="000000" w:themeColor="text1"/>
          <w:szCs w:val="24"/>
        </w:rPr>
        <w:t>sent</w:t>
      </w:r>
      <w:r w:rsidR="001E3B76" w:rsidRPr="00A84E06">
        <w:rPr>
          <w:rFonts w:cs="Times New Roman"/>
          <w:color w:val="000000" w:themeColor="text1"/>
          <w:szCs w:val="24"/>
        </w:rPr>
        <w:t xml:space="preserve"> by Backus</w:t>
      </w:r>
      <w:r w:rsidR="000142AC" w:rsidRPr="00A84E06">
        <w:rPr>
          <w:rFonts w:cs="Times New Roman"/>
          <w:color w:val="000000" w:themeColor="text1"/>
          <w:szCs w:val="24"/>
        </w:rPr>
        <w:t xml:space="preserve"> to </w:t>
      </w:r>
      <w:r w:rsidR="00B1003E" w:rsidRPr="00A84E06">
        <w:rPr>
          <w:rFonts w:cs="Times New Roman"/>
          <w:color w:val="000000" w:themeColor="text1"/>
          <w:szCs w:val="24"/>
        </w:rPr>
        <w:t>utilit</w:t>
      </w:r>
      <w:r w:rsidR="001E3B76" w:rsidRPr="00A84E06">
        <w:rPr>
          <w:rFonts w:cs="Times New Roman"/>
          <w:color w:val="000000" w:themeColor="text1"/>
          <w:szCs w:val="24"/>
        </w:rPr>
        <w:t>y</w:t>
      </w:r>
      <w:r w:rsidR="00B1003E" w:rsidRPr="00A84E06">
        <w:rPr>
          <w:rFonts w:cs="Times New Roman"/>
          <w:color w:val="000000" w:themeColor="text1"/>
          <w:szCs w:val="24"/>
        </w:rPr>
        <w:t xml:space="preserve"> compan</w:t>
      </w:r>
      <w:r w:rsidR="001E3B76" w:rsidRPr="00A84E06">
        <w:rPr>
          <w:rFonts w:cs="Times New Roman"/>
          <w:color w:val="000000" w:themeColor="text1"/>
          <w:szCs w:val="24"/>
        </w:rPr>
        <w:t>ies</w:t>
      </w:r>
      <w:r w:rsidR="000142AC" w:rsidRPr="00A84E06">
        <w:rPr>
          <w:rFonts w:cs="Times New Roman"/>
          <w:color w:val="000000" w:themeColor="text1"/>
          <w:szCs w:val="24"/>
        </w:rPr>
        <w:t xml:space="preserve"> highlights the extent to which </w:t>
      </w:r>
      <w:r w:rsidR="006E5B44" w:rsidRPr="00A84E06">
        <w:rPr>
          <w:rFonts w:cs="Times New Roman"/>
          <w:color w:val="000000" w:themeColor="text1"/>
          <w:szCs w:val="24"/>
        </w:rPr>
        <w:t xml:space="preserve">these </w:t>
      </w:r>
      <w:r w:rsidR="00C540D5" w:rsidRPr="00A84E06">
        <w:rPr>
          <w:rFonts w:cs="Times New Roman"/>
          <w:color w:val="000000" w:themeColor="text1"/>
          <w:szCs w:val="24"/>
        </w:rPr>
        <w:t>opportunit</w:t>
      </w:r>
      <w:r w:rsidR="006E5B44" w:rsidRPr="00A84E06">
        <w:rPr>
          <w:rFonts w:cs="Times New Roman"/>
          <w:color w:val="000000" w:themeColor="text1"/>
          <w:szCs w:val="24"/>
        </w:rPr>
        <w:t>ies</w:t>
      </w:r>
      <w:r w:rsidR="00C540D5" w:rsidRPr="00A84E06">
        <w:rPr>
          <w:rFonts w:cs="Times New Roman"/>
          <w:color w:val="000000" w:themeColor="text1"/>
          <w:szCs w:val="24"/>
        </w:rPr>
        <w:t xml:space="preserve"> for profit </w:t>
      </w:r>
      <w:r w:rsidR="00BE60F5" w:rsidRPr="00A84E06">
        <w:rPr>
          <w:rFonts w:cs="Times New Roman"/>
          <w:color w:val="000000" w:themeColor="text1"/>
          <w:szCs w:val="24"/>
        </w:rPr>
        <w:t xml:space="preserve">were morally </w:t>
      </w:r>
      <w:r w:rsidR="00934726" w:rsidRPr="00A84E06">
        <w:rPr>
          <w:rFonts w:cs="Times New Roman"/>
          <w:color w:val="000000" w:themeColor="text1"/>
          <w:szCs w:val="24"/>
        </w:rPr>
        <w:t>un</w:t>
      </w:r>
      <w:r w:rsidR="00BE60F5" w:rsidRPr="00A84E06">
        <w:rPr>
          <w:rFonts w:cs="Times New Roman"/>
          <w:color w:val="000000" w:themeColor="text1"/>
          <w:szCs w:val="24"/>
        </w:rPr>
        <w:t>complicated</w:t>
      </w:r>
      <w:r w:rsidR="00C540D5" w:rsidRPr="00A84E06">
        <w:rPr>
          <w:rFonts w:cs="Times New Roman"/>
          <w:color w:val="000000" w:themeColor="text1"/>
          <w:szCs w:val="24"/>
        </w:rPr>
        <w:t>, noting</w:t>
      </w:r>
      <w:r w:rsidR="00935166" w:rsidRPr="00A84E06">
        <w:rPr>
          <w:rFonts w:cs="Times New Roman"/>
          <w:color w:val="000000" w:themeColor="text1"/>
          <w:szCs w:val="24"/>
        </w:rPr>
        <w:t xml:space="preserve"> “</w:t>
      </w:r>
      <w:r w:rsidR="00BF26B3" w:rsidRPr="00A84E06">
        <w:rPr>
          <w:color w:val="000000" w:themeColor="text1"/>
        </w:rPr>
        <w:t>[t]</w:t>
      </w:r>
      <w:r w:rsidR="000142AC" w:rsidRPr="00A84E06">
        <w:rPr>
          <w:color w:val="000000" w:themeColor="text1"/>
        </w:rPr>
        <w:t xml:space="preserve">here may be ethical issues related to </w:t>
      </w:r>
      <w:r w:rsidR="00935166" w:rsidRPr="00A84E06">
        <w:rPr>
          <w:color w:val="000000" w:themeColor="text1"/>
        </w:rPr>
        <w:t>‘</w:t>
      </w:r>
      <w:r w:rsidR="000142AC" w:rsidRPr="00A84E06">
        <w:rPr>
          <w:color w:val="000000" w:themeColor="text1"/>
        </w:rPr>
        <w:t>the end justifying the means</w:t>
      </w:r>
      <w:r w:rsidR="00935166" w:rsidRPr="00A84E06">
        <w:rPr>
          <w:color w:val="000000" w:themeColor="text1"/>
        </w:rPr>
        <w:t>’</w:t>
      </w:r>
      <w:r w:rsidR="000142AC" w:rsidRPr="00A84E06">
        <w:rPr>
          <w:color w:val="000000" w:themeColor="text1"/>
        </w:rPr>
        <w:t xml:space="preserve"> but there is a large region of opportunities between what is ethically viable (profitable) and ethically dangerous (illegal).</w:t>
      </w:r>
      <w:r w:rsidR="00935166" w:rsidRPr="00A84E06">
        <w:rPr>
          <w:color w:val="000000" w:themeColor="text1"/>
        </w:rPr>
        <w:t>”</w:t>
      </w:r>
      <w:r w:rsidR="00294396" w:rsidRPr="00A84E06">
        <w:rPr>
          <w:rStyle w:val="EndnoteReference"/>
          <w:color w:val="000000" w:themeColor="text1"/>
        </w:rPr>
        <w:endnoteReference w:id="84"/>
      </w:r>
      <w:r w:rsidR="00935166" w:rsidRPr="00A84E06">
        <w:rPr>
          <w:rFonts w:cs="Times New Roman"/>
          <w:color w:val="000000" w:themeColor="text1"/>
        </w:rPr>
        <w:t xml:space="preserve"> Though </w:t>
      </w:r>
      <w:r w:rsidR="001E3B76" w:rsidRPr="00A84E06">
        <w:rPr>
          <w:rFonts w:cs="Times New Roman"/>
          <w:color w:val="000000" w:themeColor="text1"/>
        </w:rPr>
        <w:t xml:space="preserve">he </w:t>
      </w:r>
      <w:r w:rsidR="00935166" w:rsidRPr="00A84E06">
        <w:rPr>
          <w:rFonts w:cs="Times New Roman"/>
          <w:color w:val="000000" w:themeColor="text1"/>
        </w:rPr>
        <w:t>also suggested</w:t>
      </w:r>
      <w:r w:rsidR="000142AC" w:rsidRPr="00A84E06">
        <w:rPr>
          <w:rFonts w:cs="Times New Roman"/>
          <w:color w:val="000000" w:themeColor="text1"/>
          <w:szCs w:val="24"/>
        </w:rPr>
        <w:t xml:space="preserve"> they “destroy [the fax] or black out selected sections after you have read it</w:t>
      </w:r>
      <w:r w:rsidR="0028200E" w:rsidRPr="00A84E06">
        <w:rPr>
          <w:rFonts w:cs="Times New Roman"/>
          <w:color w:val="000000" w:themeColor="text1"/>
          <w:szCs w:val="24"/>
        </w:rPr>
        <w:t>,</w:t>
      </w:r>
      <w:r w:rsidR="000142AC" w:rsidRPr="00A84E06">
        <w:rPr>
          <w:rFonts w:cs="Times New Roman"/>
          <w:color w:val="000000" w:themeColor="text1"/>
          <w:szCs w:val="24"/>
        </w:rPr>
        <w:t xml:space="preserve">” </w:t>
      </w:r>
      <w:r w:rsidR="00935166" w:rsidRPr="00A84E06">
        <w:rPr>
          <w:rFonts w:cs="Times New Roman"/>
          <w:color w:val="000000" w:themeColor="text1"/>
          <w:szCs w:val="24"/>
        </w:rPr>
        <w:t xml:space="preserve">his </w:t>
      </w:r>
      <w:r w:rsidR="0059214A" w:rsidRPr="00A84E06">
        <w:rPr>
          <w:rFonts w:cs="Times New Roman"/>
          <w:color w:val="000000" w:themeColor="text1"/>
          <w:szCs w:val="24"/>
        </w:rPr>
        <w:t>endeavors</w:t>
      </w:r>
      <w:r w:rsidR="000142AC" w:rsidRPr="00A84E06">
        <w:rPr>
          <w:rFonts w:cs="Times New Roman"/>
          <w:color w:val="000000" w:themeColor="text1"/>
          <w:szCs w:val="24"/>
        </w:rPr>
        <w:t xml:space="preserve"> did not go unnoticed for long. In October</w:t>
      </w:r>
      <w:r w:rsidR="001E3B76" w:rsidRPr="00A84E06">
        <w:rPr>
          <w:rFonts w:cs="Times New Roman"/>
          <w:color w:val="000000" w:themeColor="text1"/>
          <w:szCs w:val="24"/>
        </w:rPr>
        <w:t xml:space="preserve">, </w:t>
      </w:r>
      <w:r w:rsidR="000142AC" w:rsidRPr="00A84E06">
        <w:rPr>
          <w:rFonts w:cs="Times New Roman"/>
          <w:color w:val="000000" w:themeColor="text1"/>
          <w:szCs w:val="24"/>
        </w:rPr>
        <w:t xml:space="preserve">the head of the ISO chastised </w:t>
      </w:r>
      <w:r w:rsidR="001E3B76" w:rsidRPr="00A84E06">
        <w:rPr>
          <w:rFonts w:cs="Times New Roman"/>
          <w:color w:val="000000" w:themeColor="text1"/>
          <w:szCs w:val="24"/>
        </w:rPr>
        <w:t>Perot Systems</w:t>
      </w:r>
      <w:r w:rsidR="000142AC" w:rsidRPr="00A84E06">
        <w:rPr>
          <w:rFonts w:cs="Times New Roman"/>
          <w:color w:val="000000" w:themeColor="text1"/>
          <w:szCs w:val="24"/>
        </w:rPr>
        <w:t xml:space="preserve"> not only for its “violations of basic norms of business ethics” and</w:t>
      </w:r>
      <w:r w:rsidR="00B1003E" w:rsidRPr="00A84E06">
        <w:rPr>
          <w:rFonts w:cs="Times New Roman"/>
          <w:color w:val="000000" w:themeColor="text1"/>
          <w:szCs w:val="24"/>
        </w:rPr>
        <w:t xml:space="preserve"> </w:t>
      </w:r>
      <w:r w:rsidR="000142AC" w:rsidRPr="00A84E06">
        <w:rPr>
          <w:rFonts w:cs="Times New Roman"/>
          <w:color w:val="000000" w:themeColor="text1"/>
          <w:szCs w:val="24"/>
        </w:rPr>
        <w:t>“bad faith dealing</w:t>
      </w:r>
      <w:r w:rsidR="0028200E" w:rsidRPr="00A84E06">
        <w:rPr>
          <w:rFonts w:cs="Times New Roman"/>
          <w:color w:val="000000" w:themeColor="text1"/>
          <w:szCs w:val="24"/>
        </w:rPr>
        <w:t>,</w:t>
      </w:r>
      <w:r w:rsidR="000142AC" w:rsidRPr="00A84E06">
        <w:rPr>
          <w:rFonts w:cs="Times New Roman"/>
          <w:color w:val="000000" w:themeColor="text1"/>
          <w:szCs w:val="24"/>
        </w:rPr>
        <w:t>” but also risking “seriously eroding the integrity of the California market system</w:t>
      </w:r>
      <w:r w:rsidR="004F6D6C" w:rsidRPr="00A84E06">
        <w:rPr>
          <w:rFonts w:cs="Times New Roman"/>
          <w:color w:val="000000" w:themeColor="text1"/>
          <w:szCs w:val="24"/>
        </w:rPr>
        <w:t>.</w:t>
      </w:r>
      <w:r w:rsidR="000142AC" w:rsidRPr="00A84E06">
        <w:rPr>
          <w:rFonts w:cs="Times New Roman"/>
          <w:color w:val="000000" w:themeColor="text1"/>
          <w:szCs w:val="24"/>
        </w:rPr>
        <w:t>”</w:t>
      </w:r>
      <w:r w:rsidR="00294396" w:rsidRPr="00A84E06">
        <w:rPr>
          <w:rStyle w:val="EndnoteReference"/>
          <w:rFonts w:cs="Times New Roman"/>
          <w:color w:val="000000" w:themeColor="text1"/>
          <w:szCs w:val="24"/>
        </w:rPr>
        <w:endnoteReference w:id="85"/>
      </w:r>
      <w:r w:rsidR="000142AC" w:rsidRPr="002E6E04">
        <w:rPr>
          <w:rFonts w:cs="Times New Roman"/>
          <w:color w:val="000000" w:themeColor="text1"/>
          <w:szCs w:val="24"/>
        </w:rPr>
        <w:t xml:space="preserve"> </w:t>
      </w:r>
    </w:p>
    <w:p w14:paraId="31520C47" w14:textId="78610765" w:rsidR="000142AC" w:rsidRPr="002E6E04" w:rsidRDefault="00C540D5" w:rsidP="00C540D5">
      <w:pPr>
        <w:spacing w:after="0"/>
        <w:ind w:firstLine="720"/>
        <w:rPr>
          <w:rFonts w:cs="Times New Roman"/>
          <w:color w:val="000000" w:themeColor="text1"/>
          <w:szCs w:val="24"/>
        </w:rPr>
      </w:pPr>
      <w:r w:rsidRPr="004F6D6C">
        <w:rPr>
          <w:rFonts w:cs="Times New Roman"/>
          <w:color w:val="000000" w:themeColor="text1"/>
          <w:szCs w:val="24"/>
        </w:rPr>
        <w:t>Despite this</w:t>
      </w:r>
      <w:r w:rsidR="000142AC" w:rsidRPr="004F6D6C">
        <w:rPr>
          <w:rFonts w:cs="Times New Roman"/>
          <w:color w:val="000000" w:themeColor="text1"/>
          <w:szCs w:val="24"/>
        </w:rPr>
        <w:t xml:space="preserve">, </w:t>
      </w:r>
      <w:r w:rsidRPr="00A84E06">
        <w:rPr>
          <w:rFonts w:cs="Times New Roman"/>
          <w:color w:val="000000" w:themeColor="text1"/>
          <w:szCs w:val="24"/>
        </w:rPr>
        <w:t>Backus and</w:t>
      </w:r>
      <w:r w:rsidR="000142AC" w:rsidRPr="00A84E06">
        <w:rPr>
          <w:rFonts w:cs="Times New Roman"/>
          <w:color w:val="000000" w:themeColor="text1"/>
          <w:szCs w:val="24"/>
        </w:rPr>
        <w:t xml:space="preserve"> </w:t>
      </w:r>
      <w:r w:rsidRPr="00A84E06">
        <w:rPr>
          <w:rFonts w:cs="Times New Roman"/>
          <w:color w:val="000000" w:themeColor="text1"/>
          <w:szCs w:val="24"/>
        </w:rPr>
        <w:t xml:space="preserve">his team </w:t>
      </w:r>
      <w:r w:rsidR="000142AC" w:rsidRPr="00A84E06">
        <w:rPr>
          <w:rFonts w:cs="Times New Roman"/>
          <w:color w:val="000000" w:themeColor="text1"/>
          <w:szCs w:val="24"/>
        </w:rPr>
        <w:t>continued to offer services based on th</w:t>
      </w:r>
      <w:r w:rsidR="00250CCA" w:rsidRPr="00A84E06">
        <w:rPr>
          <w:rFonts w:cs="Times New Roman"/>
          <w:color w:val="000000" w:themeColor="text1"/>
          <w:szCs w:val="24"/>
        </w:rPr>
        <w:t>is</w:t>
      </w:r>
      <w:r w:rsidR="000142AC" w:rsidRPr="00A84E06">
        <w:rPr>
          <w:rFonts w:cs="Times New Roman"/>
          <w:color w:val="000000" w:themeColor="text1"/>
          <w:szCs w:val="24"/>
        </w:rPr>
        <w:t xml:space="preserve"> information to various market participants, including</w:t>
      </w:r>
      <w:r w:rsidR="00FB5628" w:rsidRPr="00A84E06">
        <w:rPr>
          <w:rFonts w:cs="Times New Roman"/>
          <w:color w:val="000000" w:themeColor="text1"/>
          <w:szCs w:val="24"/>
        </w:rPr>
        <w:t xml:space="preserve"> Enron’s West Power traders</w:t>
      </w:r>
      <w:r w:rsidR="000142AC" w:rsidRPr="002E6E04">
        <w:rPr>
          <w:rFonts w:cs="Times New Roman"/>
          <w:color w:val="000000" w:themeColor="text1"/>
          <w:szCs w:val="24"/>
        </w:rPr>
        <w:t xml:space="preserve">. </w:t>
      </w:r>
      <w:r w:rsidR="00D72386" w:rsidRPr="002E6E04">
        <w:rPr>
          <w:rFonts w:cs="Times New Roman"/>
          <w:color w:val="000000" w:themeColor="text1"/>
          <w:szCs w:val="24"/>
        </w:rPr>
        <w:t>A</w:t>
      </w:r>
      <w:r w:rsidR="000142AC" w:rsidRPr="002E6E04">
        <w:rPr>
          <w:rFonts w:cs="Times New Roman"/>
          <w:color w:val="000000" w:themeColor="text1"/>
          <w:szCs w:val="24"/>
        </w:rPr>
        <w:t xml:space="preserve"> presentation, entitled “Profit </w:t>
      </w:r>
      <w:r w:rsidR="0059214A" w:rsidRPr="002E6E04">
        <w:rPr>
          <w:rFonts w:cs="Times New Roman"/>
          <w:color w:val="000000" w:themeColor="text1"/>
          <w:szCs w:val="24"/>
        </w:rPr>
        <w:t>Maximization</w:t>
      </w:r>
      <w:r w:rsidR="000142AC" w:rsidRPr="002E6E04">
        <w:rPr>
          <w:rFonts w:cs="Times New Roman"/>
          <w:color w:val="000000" w:themeColor="text1"/>
          <w:szCs w:val="24"/>
        </w:rPr>
        <w:t xml:space="preserve"> Under UK and US Deregulation</w:t>
      </w:r>
      <w:r w:rsidR="0028200E">
        <w:rPr>
          <w:rFonts w:cs="Times New Roman"/>
          <w:color w:val="000000" w:themeColor="text1"/>
          <w:szCs w:val="24"/>
        </w:rPr>
        <w:t>,</w:t>
      </w:r>
      <w:r w:rsidR="000142AC" w:rsidRPr="002E6E04">
        <w:rPr>
          <w:rFonts w:cs="Times New Roman"/>
          <w:color w:val="000000" w:themeColor="text1"/>
          <w:szCs w:val="24"/>
        </w:rPr>
        <w:t>” contained a section on “using California PX/ISO and FERC rules in the best advantage</w:t>
      </w:r>
      <w:r w:rsidR="0028200E">
        <w:rPr>
          <w:rFonts w:cs="Times New Roman"/>
          <w:color w:val="000000" w:themeColor="text1"/>
          <w:szCs w:val="24"/>
        </w:rPr>
        <w:t>.</w:t>
      </w:r>
      <w:r w:rsidR="000142AC" w:rsidRPr="002E6E04">
        <w:rPr>
          <w:rFonts w:cs="Times New Roman"/>
          <w:color w:val="000000" w:themeColor="text1"/>
          <w:szCs w:val="24"/>
        </w:rPr>
        <w:t>”</w:t>
      </w:r>
      <w:r w:rsidR="00294396" w:rsidRPr="002E6E04">
        <w:rPr>
          <w:rStyle w:val="EndnoteReference"/>
          <w:rFonts w:cs="Times New Roman"/>
          <w:color w:val="000000" w:themeColor="text1"/>
          <w:szCs w:val="24"/>
        </w:rPr>
        <w:endnoteReference w:id="86"/>
      </w:r>
      <w:r w:rsidR="000142AC" w:rsidRPr="002E6E04">
        <w:rPr>
          <w:rFonts w:cs="Times New Roman"/>
          <w:color w:val="000000" w:themeColor="text1"/>
          <w:szCs w:val="24"/>
        </w:rPr>
        <w:t xml:space="preserve"> Here, the presenters were quick to </w:t>
      </w:r>
      <w:r w:rsidR="003A50B6" w:rsidRPr="002E6E04">
        <w:rPr>
          <w:rFonts w:cs="Times New Roman"/>
          <w:color w:val="000000" w:themeColor="text1"/>
          <w:szCs w:val="24"/>
        </w:rPr>
        <w:t>naturalize</w:t>
      </w:r>
      <w:r w:rsidR="000142AC" w:rsidRPr="002E6E04">
        <w:rPr>
          <w:rFonts w:cs="Times New Roman"/>
          <w:color w:val="000000" w:themeColor="text1"/>
          <w:szCs w:val="24"/>
        </w:rPr>
        <w:t xml:space="preserve"> such activity</w:t>
      </w:r>
      <w:r w:rsidR="00935166" w:rsidRPr="002E6E04">
        <w:rPr>
          <w:rFonts w:cs="Times New Roman"/>
          <w:color w:val="000000" w:themeColor="text1"/>
          <w:szCs w:val="24"/>
        </w:rPr>
        <w:t xml:space="preserve">, arguing </w:t>
      </w:r>
      <w:r w:rsidR="000142AC" w:rsidRPr="002E6E04">
        <w:rPr>
          <w:rFonts w:cs="Times New Roman"/>
          <w:color w:val="000000" w:themeColor="text1"/>
          <w:szCs w:val="24"/>
        </w:rPr>
        <w:t>“market distortions are inevitable” and “distortions ‘force’ gaming to ‘clear’ the market</w:t>
      </w:r>
      <w:r w:rsidR="004F6D6C">
        <w:rPr>
          <w:rFonts w:cs="Times New Roman"/>
          <w:color w:val="000000" w:themeColor="text1"/>
          <w:szCs w:val="24"/>
        </w:rPr>
        <w:t>.</w:t>
      </w:r>
      <w:r w:rsidR="000142AC" w:rsidRPr="002E6E04">
        <w:rPr>
          <w:rFonts w:cs="Times New Roman"/>
          <w:color w:val="000000" w:themeColor="text1"/>
          <w:szCs w:val="24"/>
        </w:rPr>
        <w:t xml:space="preserve">” </w:t>
      </w:r>
      <w:r w:rsidRPr="002E6E04">
        <w:rPr>
          <w:rFonts w:cs="Times New Roman"/>
          <w:color w:val="000000" w:themeColor="text1"/>
          <w:szCs w:val="24"/>
        </w:rPr>
        <w:t>In contradiction</w:t>
      </w:r>
      <w:r w:rsidR="000142AC" w:rsidRPr="002E6E04">
        <w:rPr>
          <w:rFonts w:cs="Times New Roman"/>
          <w:color w:val="000000" w:themeColor="text1"/>
          <w:szCs w:val="24"/>
        </w:rPr>
        <w:t>,</w:t>
      </w:r>
      <w:r w:rsidRPr="002E6E04">
        <w:rPr>
          <w:rFonts w:cs="Times New Roman"/>
          <w:color w:val="000000" w:themeColor="text1"/>
          <w:szCs w:val="24"/>
        </w:rPr>
        <w:t xml:space="preserve"> however,</w:t>
      </w:r>
      <w:r w:rsidR="000142AC" w:rsidRPr="002E6E04">
        <w:rPr>
          <w:rFonts w:cs="Times New Roman"/>
          <w:color w:val="000000" w:themeColor="text1"/>
          <w:szCs w:val="24"/>
        </w:rPr>
        <w:t xml:space="preserve"> </w:t>
      </w:r>
      <w:r w:rsidR="00514A1F" w:rsidRPr="002E6E04">
        <w:rPr>
          <w:rFonts w:cs="Times New Roman"/>
          <w:color w:val="000000" w:themeColor="text1"/>
          <w:szCs w:val="24"/>
        </w:rPr>
        <w:t>“</w:t>
      </w:r>
      <w:r w:rsidR="000142AC" w:rsidRPr="002E6E04">
        <w:rPr>
          <w:rFonts w:cs="Times New Roman"/>
          <w:color w:val="000000" w:themeColor="text1"/>
          <w:szCs w:val="24"/>
        </w:rPr>
        <w:t>gaming</w:t>
      </w:r>
      <w:r w:rsidR="00514A1F" w:rsidRPr="002E6E04">
        <w:rPr>
          <w:rFonts w:cs="Times New Roman"/>
          <w:color w:val="000000" w:themeColor="text1"/>
          <w:szCs w:val="24"/>
        </w:rPr>
        <w:t>”</w:t>
      </w:r>
      <w:r w:rsidR="000142AC" w:rsidRPr="002E6E04">
        <w:rPr>
          <w:rFonts w:cs="Times New Roman"/>
          <w:color w:val="000000" w:themeColor="text1"/>
          <w:szCs w:val="24"/>
        </w:rPr>
        <w:t xml:space="preserve"> (i.e., taking unfair </w:t>
      </w:r>
      <w:r w:rsidR="000142AC" w:rsidRPr="002E6E04">
        <w:rPr>
          <w:color w:val="000000" w:themeColor="text1"/>
        </w:rPr>
        <w:t>advantage of the rules and procedures)</w:t>
      </w:r>
      <w:r w:rsidR="000142AC" w:rsidRPr="002E6E04">
        <w:rPr>
          <w:rFonts w:cs="Times New Roman"/>
          <w:color w:val="000000" w:themeColor="text1"/>
          <w:szCs w:val="24"/>
        </w:rPr>
        <w:t xml:space="preserve"> was explicitly prohibited by the new markets’ rules</w:t>
      </w:r>
      <w:r w:rsidR="000142AC" w:rsidRPr="002E6E04">
        <w:rPr>
          <w:color w:val="000000" w:themeColor="text1"/>
        </w:rPr>
        <w:t>.</w:t>
      </w:r>
      <w:r w:rsidR="00294396" w:rsidRPr="002E6E04">
        <w:rPr>
          <w:rStyle w:val="EndnoteReference"/>
          <w:color w:val="000000" w:themeColor="text1"/>
        </w:rPr>
        <w:endnoteReference w:id="87"/>
      </w:r>
      <w:r w:rsidR="00294396" w:rsidRPr="002E6E04">
        <w:rPr>
          <w:color w:val="000000" w:themeColor="text1"/>
        </w:rPr>
        <w:t xml:space="preserve"> </w:t>
      </w:r>
      <w:r w:rsidRPr="002E6E04">
        <w:rPr>
          <w:color w:val="000000" w:themeColor="text1"/>
        </w:rPr>
        <w:t xml:space="preserve">Nonetheless, </w:t>
      </w:r>
      <w:r w:rsidRPr="002E6E04">
        <w:rPr>
          <w:rFonts w:cs="Times New Roman"/>
          <w:color w:val="000000" w:themeColor="text1"/>
          <w:szCs w:val="24"/>
        </w:rPr>
        <w:t>t</w:t>
      </w:r>
      <w:r w:rsidR="000142AC" w:rsidRPr="002E6E04">
        <w:rPr>
          <w:rFonts w:cs="Times New Roman"/>
          <w:color w:val="000000" w:themeColor="text1"/>
          <w:szCs w:val="24"/>
        </w:rPr>
        <w:t xml:space="preserve">he presentation went on to identify </w:t>
      </w:r>
      <w:r w:rsidR="00BC3C32" w:rsidRPr="002E6E04">
        <w:rPr>
          <w:rFonts w:cs="Times New Roman"/>
          <w:color w:val="000000" w:themeColor="text1"/>
          <w:szCs w:val="24"/>
        </w:rPr>
        <w:t xml:space="preserve">how </w:t>
      </w:r>
      <w:r w:rsidR="000142AC" w:rsidRPr="002E6E04">
        <w:rPr>
          <w:rFonts w:cs="Times New Roman"/>
          <w:color w:val="000000" w:themeColor="text1"/>
          <w:szCs w:val="24"/>
        </w:rPr>
        <w:t>various automated protocols</w:t>
      </w:r>
      <w:r w:rsidRPr="002E6E04">
        <w:rPr>
          <w:rFonts w:cs="Times New Roman"/>
          <w:color w:val="000000" w:themeColor="text1"/>
          <w:szCs w:val="24"/>
        </w:rPr>
        <w:t xml:space="preserve"> </w:t>
      </w:r>
      <w:r w:rsidR="00BC3C32" w:rsidRPr="002E6E04">
        <w:rPr>
          <w:rFonts w:cs="Times New Roman"/>
          <w:color w:val="000000" w:themeColor="text1"/>
          <w:szCs w:val="24"/>
        </w:rPr>
        <w:t>would behave i</w:t>
      </w:r>
      <w:r w:rsidR="000142AC" w:rsidRPr="002E6E04">
        <w:rPr>
          <w:rFonts w:cs="Times New Roman"/>
          <w:color w:val="000000" w:themeColor="text1"/>
          <w:szCs w:val="24"/>
        </w:rPr>
        <w:t xml:space="preserve">n </w:t>
      </w:r>
      <w:r w:rsidR="00BC3C32" w:rsidRPr="002E6E04">
        <w:rPr>
          <w:rFonts w:cs="Times New Roman"/>
          <w:color w:val="000000" w:themeColor="text1"/>
          <w:szCs w:val="24"/>
        </w:rPr>
        <w:t xml:space="preserve">different </w:t>
      </w:r>
      <w:r w:rsidR="000142AC" w:rsidRPr="002E6E04">
        <w:rPr>
          <w:rFonts w:cs="Times New Roman"/>
          <w:color w:val="000000" w:themeColor="text1"/>
          <w:szCs w:val="24"/>
        </w:rPr>
        <w:t>market conditions and the best</w:t>
      </w:r>
      <w:r w:rsidR="00C96013" w:rsidRPr="002E6E04">
        <w:rPr>
          <w:rFonts w:cs="Times New Roman"/>
          <w:color w:val="000000" w:themeColor="text1"/>
          <w:szCs w:val="24"/>
        </w:rPr>
        <w:t xml:space="preserve"> tactics </w:t>
      </w:r>
      <w:r w:rsidR="00D72386" w:rsidRPr="002E6E04">
        <w:rPr>
          <w:rFonts w:cs="Times New Roman"/>
          <w:color w:val="000000" w:themeColor="text1"/>
          <w:szCs w:val="24"/>
        </w:rPr>
        <w:t xml:space="preserve">for </w:t>
      </w:r>
      <w:r w:rsidR="0059214A" w:rsidRPr="002E6E04">
        <w:rPr>
          <w:rFonts w:cs="Times New Roman"/>
          <w:color w:val="000000" w:themeColor="text1"/>
          <w:szCs w:val="24"/>
        </w:rPr>
        <w:t>capitalizing</w:t>
      </w:r>
      <w:r w:rsidRPr="002E6E04">
        <w:rPr>
          <w:rFonts w:cs="Times New Roman"/>
          <w:color w:val="000000" w:themeColor="text1"/>
          <w:szCs w:val="24"/>
        </w:rPr>
        <w:t xml:space="preserve"> on them</w:t>
      </w:r>
      <w:r w:rsidR="000142AC" w:rsidRPr="002E6E04">
        <w:rPr>
          <w:rFonts w:cs="Times New Roman"/>
          <w:color w:val="000000" w:themeColor="text1"/>
          <w:szCs w:val="24"/>
        </w:rPr>
        <w:t xml:space="preserve">. </w:t>
      </w:r>
      <w:r w:rsidR="001E3B76" w:rsidRPr="00626882">
        <w:rPr>
          <w:rFonts w:cs="Times New Roman"/>
          <w:color w:val="000000" w:themeColor="text1"/>
          <w:szCs w:val="24"/>
        </w:rPr>
        <w:t xml:space="preserve">Among </w:t>
      </w:r>
      <w:r w:rsidR="001E3B76" w:rsidRPr="004F6D6C">
        <w:rPr>
          <w:rFonts w:cs="Times New Roman"/>
          <w:color w:val="000000" w:themeColor="text1"/>
          <w:szCs w:val="24"/>
        </w:rPr>
        <w:t xml:space="preserve">those in attendance was the then director of </w:t>
      </w:r>
      <w:r w:rsidR="00DC548F" w:rsidRPr="004F6D6C">
        <w:rPr>
          <w:rFonts w:cs="Times New Roman"/>
          <w:color w:val="000000" w:themeColor="text1"/>
          <w:szCs w:val="24"/>
        </w:rPr>
        <w:t xml:space="preserve">Enron’s </w:t>
      </w:r>
      <w:r w:rsidR="001E3B76" w:rsidRPr="004F6D6C">
        <w:rPr>
          <w:rFonts w:cs="Times New Roman"/>
          <w:color w:val="000000" w:themeColor="text1"/>
          <w:szCs w:val="24"/>
        </w:rPr>
        <w:t xml:space="preserve">California trading desk, Tim Belden. </w:t>
      </w:r>
      <w:r w:rsidR="001E3B76" w:rsidRPr="00A84E06">
        <w:rPr>
          <w:rFonts w:cs="Times New Roman"/>
          <w:color w:val="000000" w:themeColor="text1"/>
          <w:szCs w:val="24"/>
        </w:rPr>
        <w:t>His</w:t>
      </w:r>
      <w:r w:rsidR="000142AC" w:rsidRPr="00A84E06">
        <w:rPr>
          <w:rFonts w:cs="Times New Roman"/>
          <w:color w:val="000000" w:themeColor="text1"/>
          <w:szCs w:val="24"/>
        </w:rPr>
        <w:t xml:space="preserve"> handwritten notes on subsequent tutorial handouts allude to his </w:t>
      </w:r>
      <w:r w:rsidR="00BC3C32" w:rsidRPr="00A84E06">
        <w:rPr>
          <w:rFonts w:cs="Times New Roman"/>
          <w:color w:val="000000" w:themeColor="text1"/>
          <w:szCs w:val="24"/>
        </w:rPr>
        <w:t>particular</w:t>
      </w:r>
      <w:r w:rsidRPr="00A84E06">
        <w:rPr>
          <w:rFonts w:cs="Times New Roman"/>
          <w:color w:val="000000" w:themeColor="text1"/>
          <w:szCs w:val="24"/>
        </w:rPr>
        <w:t xml:space="preserve"> </w:t>
      </w:r>
      <w:r w:rsidR="000142AC" w:rsidRPr="00A84E06">
        <w:rPr>
          <w:rFonts w:cs="Times New Roman"/>
          <w:color w:val="000000" w:themeColor="text1"/>
          <w:szCs w:val="24"/>
        </w:rPr>
        <w:t>interest in these vulnerabilities</w:t>
      </w:r>
      <w:r w:rsidR="00935166" w:rsidRPr="00A84E06">
        <w:rPr>
          <w:rFonts w:cs="Times New Roman"/>
          <w:color w:val="000000" w:themeColor="text1"/>
          <w:szCs w:val="24"/>
        </w:rPr>
        <w:t>.</w:t>
      </w:r>
      <w:r w:rsidR="00294396" w:rsidRPr="004F6D6C">
        <w:rPr>
          <w:rStyle w:val="EndnoteReference"/>
          <w:rFonts w:cs="Times New Roman"/>
          <w:color w:val="000000" w:themeColor="text1"/>
          <w:szCs w:val="24"/>
        </w:rPr>
        <w:endnoteReference w:id="88"/>
      </w:r>
      <w:r w:rsidR="000142AC" w:rsidRPr="002E6E04">
        <w:rPr>
          <w:rFonts w:cs="Times New Roman"/>
          <w:color w:val="000000" w:themeColor="text1"/>
          <w:szCs w:val="24"/>
        </w:rPr>
        <w:t xml:space="preserve"> </w:t>
      </w:r>
    </w:p>
    <w:p w14:paraId="0FBE5506" w14:textId="5E2FA695" w:rsidR="0028200E" w:rsidRDefault="000142AC" w:rsidP="006C0EF3">
      <w:pPr>
        <w:autoSpaceDE w:val="0"/>
        <w:autoSpaceDN w:val="0"/>
        <w:adjustRightInd w:val="0"/>
        <w:spacing w:after="0"/>
        <w:ind w:firstLine="720"/>
        <w:rPr>
          <w:rFonts w:cs="Times New Roman"/>
          <w:color w:val="000000" w:themeColor="text1"/>
          <w:szCs w:val="24"/>
          <w:highlight w:val="yellow"/>
        </w:rPr>
      </w:pPr>
      <w:r w:rsidRPr="002E6E04">
        <w:rPr>
          <w:rFonts w:cs="Times New Roman"/>
          <w:color w:val="000000" w:themeColor="text1"/>
          <w:szCs w:val="24"/>
        </w:rPr>
        <w:lastRenderedPageBreak/>
        <w:t xml:space="preserve">In the months that followed, </w:t>
      </w:r>
      <w:r w:rsidR="00FB5628" w:rsidRPr="002E6E04">
        <w:rPr>
          <w:rFonts w:cs="Times New Roman"/>
          <w:color w:val="000000" w:themeColor="text1"/>
          <w:szCs w:val="24"/>
        </w:rPr>
        <w:t>the division’s</w:t>
      </w:r>
      <w:r w:rsidR="00D661BD" w:rsidRPr="002E6E04">
        <w:rPr>
          <w:rFonts w:cs="Times New Roman"/>
          <w:color w:val="000000" w:themeColor="text1"/>
          <w:szCs w:val="24"/>
        </w:rPr>
        <w:t xml:space="preserve"> senior traders</w:t>
      </w:r>
      <w:r w:rsidRPr="002E6E04">
        <w:rPr>
          <w:rFonts w:cs="Times New Roman"/>
          <w:color w:val="000000" w:themeColor="text1"/>
          <w:szCs w:val="24"/>
        </w:rPr>
        <w:t xml:space="preserve"> </w:t>
      </w:r>
      <w:r w:rsidR="00C96013" w:rsidRPr="002E6E04">
        <w:rPr>
          <w:rFonts w:cs="Times New Roman"/>
          <w:color w:val="000000" w:themeColor="text1"/>
          <w:szCs w:val="24"/>
        </w:rPr>
        <w:t>remained in contact with</w:t>
      </w:r>
      <w:r w:rsidRPr="002E6E04">
        <w:rPr>
          <w:rFonts w:cs="Times New Roman"/>
          <w:color w:val="000000" w:themeColor="text1"/>
          <w:szCs w:val="24"/>
        </w:rPr>
        <w:t xml:space="preserve"> </w:t>
      </w:r>
      <w:r w:rsidR="00C540D5" w:rsidRPr="002E6E04">
        <w:rPr>
          <w:rFonts w:cs="Times New Roman"/>
          <w:color w:val="000000" w:themeColor="text1"/>
          <w:szCs w:val="24"/>
        </w:rPr>
        <w:t>the consultants</w:t>
      </w:r>
      <w:r w:rsidRPr="002E6E04">
        <w:rPr>
          <w:rFonts w:cs="Times New Roman"/>
          <w:color w:val="000000" w:themeColor="text1"/>
          <w:szCs w:val="24"/>
        </w:rPr>
        <w:t xml:space="preserve">, clarifying details and further developing </w:t>
      </w:r>
      <w:r w:rsidR="00C96013" w:rsidRPr="002E6E04">
        <w:rPr>
          <w:rFonts w:cs="Times New Roman"/>
          <w:color w:val="000000" w:themeColor="text1"/>
          <w:szCs w:val="24"/>
        </w:rPr>
        <w:t>the</w:t>
      </w:r>
      <w:r w:rsidR="00BC3C32" w:rsidRPr="002E6E04">
        <w:rPr>
          <w:rFonts w:cs="Times New Roman"/>
          <w:color w:val="000000" w:themeColor="text1"/>
          <w:szCs w:val="24"/>
        </w:rPr>
        <w:t>ir</w:t>
      </w:r>
      <w:r w:rsidR="00C96013" w:rsidRPr="002E6E04">
        <w:rPr>
          <w:rFonts w:cs="Times New Roman"/>
          <w:color w:val="000000" w:themeColor="text1"/>
          <w:szCs w:val="24"/>
        </w:rPr>
        <w:t xml:space="preserve"> </w:t>
      </w:r>
      <w:r w:rsidRPr="002E6E04">
        <w:rPr>
          <w:rFonts w:cs="Times New Roman"/>
          <w:color w:val="000000" w:themeColor="text1"/>
          <w:szCs w:val="24"/>
        </w:rPr>
        <w:t>understanding of market vulnerabilities.</w:t>
      </w:r>
      <w:r w:rsidR="00294396" w:rsidRPr="002E6E04">
        <w:rPr>
          <w:rStyle w:val="EndnoteReference"/>
          <w:rFonts w:cs="Times New Roman"/>
          <w:color w:val="000000" w:themeColor="text1"/>
          <w:szCs w:val="24"/>
        </w:rPr>
        <w:endnoteReference w:id="89"/>
      </w:r>
      <w:r w:rsidRPr="002E6E04">
        <w:rPr>
          <w:rFonts w:cs="Times New Roman"/>
          <w:color w:val="000000" w:themeColor="text1"/>
          <w:szCs w:val="24"/>
        </w:rPr>
        <w:t xml:space="preserve"> </w:t>
      </w:r>
      <w:r w:rsidRPr="00A84E06">
        <w:rPr>
          <w:rFonts w:cs="Times New Roman"/>
          <w:color w:val="000000" w:themeColor="text1"/>
          <w:szCs w:val="24"/>
        </w:rPr>
        <w:t xml:space="preserve">Belden </w:t>
      </w:r>
      <w:r w:rsidR="00BC3C32" w:rsidRPr="00A84E06">
        <w:rPr>
          <w:rFonts w:cs="Times New Roman"/>
          <w:color w:val="000000" w:themeColor="text1"/>
          <w:szCs w:val="24"/>
        </w:rPr>
        <w:t>remain</w:t>
      </w:r>
      <w:r w:rsidR="00552749" w:rsidRPr="00A84E06">
        <w:rPr>
          <w:rFonts w:cs="Times New Roman"/>
          <w:color w:val="000000" w:themeColor="text1"/>
          <w:szCs w:val="24"/>
        </w:rPr>
        <w:t>ed</w:t>
      </w:r>
      <w:r w:rsidR="00BC3C32" w:rsidRPr="00A84E06">
        <w:rPr>
          <w:rFonts w:cs="Times New Roman"/>
          <w:color w:val="000000" w:themeColor="text1"/>
          <w:szCs w:val="24"/>
        </w:rPr>
        <w:t xml:space="preserve"> convinced of their value</w:t>
      </w:r>
      <w:r w:rsidR="00C540D5" w:rsidRPr="00A84E06">
        <w:rPr>
          <w:rFonts w:cs="Times New Roman"/>
          <w:color w:val="000000" w:themeColor="text1"/>
          <w:szCs w:val="24"/>
        </w:rPr>
        <w:t>, and in</w:t>
      </w:r>
      <w:r w:rsidRPr="00A84E06">
        <w:rPr>
          <w:rFonts w:cs="Times New Roman"/>
          <w:color w:val="000000" w:themeColor="text1"/>
          <w:szCs w:val="24"/>
        </w:rPr>
        <w:t xml:space="preserve"> a personal review </w:t>
      </w:r>
      <w:r w:rsidR="006A5466">
        <w:rPr>
          <w:rFonts w:cs="Times New Roman"/>
          <w:color w:val="000000" w:themeColor="text1"/>
          <w:szCs w:val="24"/>
        </w:rPr>
        <w:t>email to his superior,</w:t>
      </w:r>
      <w:r w:rsidRPr="00A84E06">
        <w:rPr>
          <w:rFonts w:cs="Times New Roman"/>
          <w:color w:val="000000" w:themeColor="text1"/>
          <w:szCs w:val="24"/>
        </w:rPr>
        <w:t xml:space="preserve"> </w:t>
      </w:r>
      <w:r w:rsidR="007D27B4" w:rsidRPr="00A84E06">
        <w:rPr>
          <w:rFonts w:cs="Times New Roman"/>
          <w:color w:val="000000" w:themeColor="text1"/>
          <w:szCs w:val="24"/>
        </w:rPr>
        <w:t>he was explicit in seeing</w:t>
      </w:r>
      <w:r w:rsidR="00BC3C32" w:rsidRPr="00A84E06">
        <w:rPr>
          <w:rFonts w:cs="Times New Roman"/>
          <w:color w:val="000000" w:themeColor="text1"/>
          <w:szCs w:val="24"/>
        </w:rPr>
        <w:t xml:space="preserve"> gaming</w:t>
      </w:r>
      <w:r w:rsidRPr="00A84E06">
        <w:rPr>
          <w:rFonts w:cs="Times New Roman"/>
          <w:color w:val="000000" w:themeColor="text1"/>
          <w:szCs w:val="24"/>
        </w:rPr>
        <w:t xml:space="preserve"> </w:t>
      </w:r>
      <w:r w:rsidR="007D27B4" w:rsidRPr="00A84E06">
        <w:rPr>
          <w:rFonts w:cs="Times New Roman"/>
          <w:color w:val="000000" w:themeColor="text1"/>
          <w:szCs w:val="24"/>
        </w:rPr>
        <w:t>as a core aspect of Enron</w:t>
      </w:r>
      <w:r w:rsidR="00D241E6">
        <w:rPr>
          <w:rFonts w:cs="Times New Roman"/>
          <w:color w:val="000000" w:themeColor="text1"/>
          <w:szCs w:val="24"/>
        </w:rPr>
        <w:t>’s</w:t>
      </w:r>
      <w:r w:rsidR="007D27B4" w:rsidRPr="00A84E06">
        <w:rPr>
          <w:rFonts w:cs="Times New Roman"/>
          <w:color w:val="000000" w:themeColor="text1"/>
          <w:szCs w:val="24"/>
        </w:rPr>
        <w:t xml:space="preserve"> trading strategy</w:t>
      </w:r>
      <w:r w:rsidR="004D0944" w:rsidRPr="00A84E06">
        <w:rPr>
          <w:rFonts w:cs="Times New Roman"/>
          <w:color w:val="000000" w:themeColor="text1"/>
          <w:szCs w:val="24"/>
        </w:rPr>
        <w:t>:</w:t>
      </w:r>
      <w:r w:rsidRPr="00A84E06">
        <w:rPr>
          <w:rFonts w:cs="Times New Roman"/>
          <w:color w:val="000000" w:themeColor="text1"/>
          <w:szCs w:val="24"/>
        </w:rPr>
        <w:t xml:space="preserve"> “California gaming</w:t>
      </w:r>
      <w:r w:rsidR="002A25BD" w:rsidRPr="00A84E06">
        <w:rPr>
          <w:rFonts w:cs="Times New Roman"/>
          <w:color w:val="000000" w:themeColor="text1"/>
          <w:szCs w:val="24"/>
        </w:rPr>
        <w:t xml:space="preserve"> </w:t>
      </w:r>
      <w:r w:rsidRPr="00A84E06">
        <w:rPr>
          <w:rFonts w:cs="Times New Roman"/>
          <w:color w:val="000000" w:themeColor="text1"/>
          <w:szCs w:val="24"/>
        </w:rPr>
        <w:t xml:space="preserve">- we always say that we need to increase this </w:t>
      </w:r>
      <w:r w:rsidR="002A25BD" w:rsidRPr="00A84E06">
        <w:rPr>
          <w:rFonts w:cs="Times New Roman"/>
          <w:color w:val="000000" w:themeColor="text1"/>
          <w:szCs w:val="24"/>
        </w:rPr>
        <w:t>activity</w:t>
      </w:r>
      <w:r w:rsidRPr="00A84E06">
        <w:rPr>
          <w:rFonts w:cs="Times New Roman"/>
          <w:color w:val="000000" w:themeColor="text1"/>
          <w:szCs w:val="24"/>
        </w:rPr>
        <w:t xml:space="preserve"> but we never do. Need to work more closely with cash, scheduling, and real time [desks] to </w:t>
      </w:r>
      <w:r w:rsidR="0059214A" w:rsidRPr="00A84E06">
        <w:rPr>
          <w:rFonts w:cs="Times New Roman"/>
          <w:color w:val="000000" w:themeColor="text1"/>
          <w:szCs w:val="24"/>
        </w:rPr>
        <w:t>maximize</w:t>
      </w:r>
      <w:r w:rsidRPr="00A84E06">
        <w:rPr>
          <w:rFonts w:cs="Times New Roman"/>
          <w:color w:val="000000" w:themeColor="text1"/>
          <w:szCs w:val="24"/>
        </w:rPr>
        <w:t xml:space="preserve"> opportunities.”</w:t>
      </w:r>
      <w:r w:rsidR="00294396" w:rsidRPr="00A84E06">
        <w:rPr>
          <w:rStyle w:val="EndnoteReference"/>
          <w:rFonts w:cs="Times New Roman"/>
          <w:color w:val="000000" w:themeColor="text1"/>
          <w:szCs w:val="24"/>
        </w:rPr>
        <w:endnoteReference w:id="90"/>
      </w:r>
      <w:r w:rsidRPr="00A84E06">
        <w:rPr>
          <w:rFonts w:cs="Times New Roman"/>
          <w:color w:val="000000" w:themeColor="text1"/>
          <w:szCs w:val="24"/>
        </w:rPr>
        <w:t xml:space="preserve"> </w:t>
      </w:r>
    </w:p>
    <w:p w14:paraId="33ADC8D9" w14:textId="74DC95AB" w:rsidR="000142AC" w:rsidRPr="002E6E04" w:rsidRDefault="006C0EF3" w:rsidP="006C0EF3">
      <w:pPr>
        <w:autoSpaceDE w:val="0"/>
        <w:autoSpaceDN w:val="0"/>
        <w:adjustRightInd w:val="0"/>
        <w:spacing w:after="0"/>
        <w:ind w:firstLine="720"/>
        <w:rPr>
          <w:rFonts w:cs="Times New Roman"/>
          <w:color w:val="000000" w:themeColor="text1"/>
          <w:szCs w:val="24"/>
        </w:rPr>
      </w:pPr>
      <w:r w:rsidRPr="00A84E06">
        <w:rPr>
          <w:rFonts w:cs="Times New Roman"/>
          <w:color w:val="000000" w:themeColor="text1"/>
          <w:szCs w:val="24"/>
        </w:rPr>
        <w:t xml:space="preserve">At this time, </w:t>
      </w:r>
      <w:r w:rsidR="000142AC" w:rsidRPr="00A84E06">
        <w:rPr>
          <w:rFonts w:cs="Times New Roman"/>
          <w:color w:val="000000" w:themeColor="text1"/>
          <w:szCs w:val="24"/>
        </w:rPr>
        <w:t>such activity was still largely exploratory</w:t>
      </w:r>
      <w:r w:rsidR="0062648D" w:rsidRPr="00A84E06">
        <w:rPr>
          <w:rFonts w:cs="Times New Roman"/>
          <w:color w:val="000000" w:themeColor="text1"/>
          <w:szCs w:val="24"/>
        </w:rPr>
        <w:t>, with</w:t>
      </w:r>
      <w:r w:rsidRPr="00A84E06">
        <w:rPr>
          <w:rFonts w:cs="Times New Roman"/>
          <w:color w:val="000000" w:themeColor="text1"/>
          <w:szCs w:val="24"/>
        </w:rPr>
        <w:t xml:space="preserve"> </w:t>
      </w:r>
      <w:r w:rsidR="0062648D" w:rsidRPr="00A84E06">
        <w:rPr>
          <w:rFonts w:cs="Times New Roman"/>
          <w:color w:val="000000" w:themeColor="text1"/>
          <w:szCs w:val="24"/>
        </w:rPr>
        <w:t xml:space="preserve">occasional </w:t>
      </w:r>
      <w:r w:rsidRPr="00A84E06">
        <w:rPr>
          <w:rFonts w:cs="Times New Roman"/>
          <w:color w:val="000000" w:themeColor="text1"/>
          <w:szCs w:val="24"/>
        </w:rPr>
        <w:t>i</w:t>
      </w:r>
      <w:r w:rsidR="000142AC" w:rsidRPr="00A84E06">
        <w:rPr>
          <w:rFonts w:cs="Times New Roman"/>
          <w:color w:val="000000" w:themeColor="text1"/>
          <w:szCs w:val="24"/>
        </w:rPr>
        <w:t>nternal trading notes highlight</w:t>
      </w:r>
      <w:r w:rsidR="00552749" w:rsidRPr="00A84E06">
        <w:rPr>
          <w:rFonts w:cs="Times New Roman"/>
          <w:color w:val="000000" w:themeColor="text1"/>
          <w:szCs w:val="24"/>
        </w:rPr>
        <w:t>ing</w:t>
      </w:r>
      <w:r w:rsidR="000142AC" w:rsidRPr="00A84E06">
        <w:rPr>
          <w:rFonts w:cs="Times New Roman"/>
          <w:color w:val="000000" w:themeColor="text1"/>
          <w:szCs w:val="24"/>
        </w:rPr>
        <w:t xml:space="preserve"> trades as “</w:t>
      </w:r>
      <w:r w:rsidR="00170D16">
        <w:rPr>
          <w:rFonts w:cs="Times New Roman"/>
          <w:color w:val="000000" w:themeColor="text1"/>
          <w:szCs w:val="24"/>
        </w:rPr>
        <w:t>PHONY</w:t>
      </w:r>
      <w:r w:rsidR="0028200E" w:rsidRPr="00A84E06">
        <w:rPr>
          <w:rFonts w:cs="Times New Roman"/>
          <w:color w:val="000000" w:themeColor="text1"/>
          <w:szCs w:val="24"/>
        </w:rPr>
        <w:t>,</w:t>
      </w:r>
      <w:r w:rsidR="000142AC" w:rsidRPr="00A84E06">
        <w:rPr>
          <w:rFonts w:cs="Times New Roman"/>
          <w:color w:val="000000" w:themeColor="text1"/>
          <w:szCs w:val="24"/>
        </w:rPr>
        <w:t>”</w:t>
      </w:r>
      <w:r w:rsidR="0028200E" w:rsidRPr="00A84E06">
        <w:rPr>
          <w:rFonts w:cs="Times New Roman"/>
          <w:color w:val="000000" w:themeColor="text1"/>
          <w:szCs w:val="24"/>
        </w:rPr>
        <w:t xml:space="preserve"> </w:t>
      </w:r>
      <w:r w:rsidR="000142AC" w:rsidRPr="00A84E06">
        <w:rPr>
          <w:rFonts w:cs="Times New Roman"/>
          <w:color w:val="000000" w:themeColor="text1"/>
          <w:szCs w:val="24"/>
        </w:rPr>
        <w:t>with the cited goal to “see if we could and take advantage of buying power at the Ex-Post price</w:t>
      </w:r>
      <w:r w:rsidR="0028200E" w:rsidRPr="00A84E06">
        <w:rPr>
          <w:rFonts w:cs="Times New Roman"/>
          <w:color w:val="000000" w:themeColor="text1"/>
          <w:szCs w:val="24"/>
        </w:rPr>
        <w:t>.</w:t>
      </w:r>
      <w:r w:rsidR="000142AC" w:rsidRPr="00A84E06">
        <w:rPr>
          <w:rFonts w:cs="Times New Roman"/>
          <w:color w:val="000000" w:themeColor="text1"/>
          <w:szCs w:val="24"/>
        </w:rPr>
        <w:t>”</w:t>
      </w:r>
      <w:r w:rsidR="00294396" w:rsidRPr="00A84E06">
        <w:rPr>
          <w:rStyle w:val="EndnoteReference"/>
          <w:rFonts w:cs="Times New Roman"/>
          <w:color w:val="000000" w:themeColor="text1"/>
          <w:szCs w:val="24"/>
        </w:rPr>
        <w:endnoteReference w:id="91"/>
      </w:r>
      <w:r w:rsidR="000142AC" w:rsidRPr="00A84E06">
        <w:rPr>
          <w:rFonts w:cs="Times New Roman"/>
          <w:color w:val="000000" w:themeColor="text1"/>
          <w:szCs w:val="24"/>
        </w:rPr>
        <w:t xml:space="preserve"> Additionally,</w:t>
      </w:r>
      <w:r w:rsidR="00BC3C32" w:rsidRPr="00A84E06">
        <w:rPr>
          <w:rFonts w:cs="Times New Roman"/>
          <w:color w:val="000000" w:themeColor="text1"/>
          <w:szCs w:val="24"/>
        </w:rPr>
        <w:t xml:space="preserve"> the</w:t>
      </w:r>
      <w:r w:rsidR="0062648D" w:rsidRPr="00A84E06">
        <w:rPr>
          <w:rFonts w:cs="Times New Roman"/>
          <w:color w:val="000000" w:themeColor="text1"/>
          <w:szCs w:val="24"/>
        </w:rPr>
        <w:t>y</w:t>
      </w:r>
      <w:r w:rsidR="00BC3C32" w:rsidRPr="00A84E06">
        <w:rPr>
          <w:rFonts w:cs="Times New Roman"/>
          <w:color w:val="000000" w:themeColor="text1"/>
          <w:szCs w:val="24"/>
        </w:rPr>
        <w:t xml:space="preserve"> </w:t>
      </w:r>
      <w:r w:rsidR="00785503" w:rsidRPr="00A84E06">
        <w:rPr>
          <w:rFonts w:cs="Times New Roman"/>
          <w:color w:val="000000" w:themeColor="text1"/>
          <w:szCs w:val="24"/>
        </w:rPr>
        <w:t>alluded</w:t>
      </w:r>
      <w:r w:rsidR="00BC3C32" w:rsidRPr="00A84E06">
        <w:rPr>
          <w:rFonts w:cs="Times New Roman"/>
          <w:color w:val="000000" w:themeColor="text1"/>
          <w:szCs w:val="24"/>
        </w:rPr>
        <w:t xml:space="preserve"> to</w:t>
      </w:r>
      <w:r w:rsidR="00552749" w:rsidRPr="00A84E06">
        <w:rPr>
          <w:rFonts w:cs="Times New Roman"/>
          <w:color w:val="000000" w:themeColor="text1"/>
          <w:szCs w:val="24"/>
        </w:rPr>
        <w:t xml:space="preserve"> the</w:t>
      </w:r>
      <w:r w:rsidR="000142AC" w:rsidRPr="00A84E06">
        <w:rPr>
          <w:rFonts w:cs="Times New Roman"/>
          <w:color w:val="000000" w:themeColor="text1"/>
          <w:szCs w:val="24"/>
        </w:rPr>
        <w:t xml:space="preserve"> </w:t>
      </w:r>
      <w:r w:rsidR="0062648D" w:rsidRPr="00A84E06">
        <w:rPr>
          <w:rFonts w:cs="Times New Roman"/>
          <w:color w:val="000000" w:themeColor="text1"/>
          <w:szCs w:val="24"/>
        </w:rPr>
        <w:t>involvement</w:t>
      </w:r>
      <w:r w:rsidR="00552749" w:rsidRPr="00A84E06">
        <w:rPr>
          <w:rFonts w:cs="Times New Roman"/>
          <w:color w:val="000000" w:themeColor="text1"/>
          <w:szCs w:val="24"/>
        </w:rPr>
        <w:t xml:space="preserve"> of</w:t>
      </w:r>
      <w:r w:rsidR="0062648D" w:rsidRPr="00A84E06">
        <w:rPr>
          <w:rFonts w:cs="Times New Roman"/>
          <w:color w:val="000000" w:themeColor="text1"/>
          <w:szCs w:val="24"/>
        </w:rPr>
        <w:t xml:space="preserve"> </w:t>
      </w:r>
      <w:r w:rsidR="00FB5628" w:rsidRPr="00A84E06">
        <w:rPr>
          <w:rFonts w:cs="Times New Roman"/>
          <w:color w:val="000000" w:themeColor="text1"/>
          <w:szCs w:val="24"/>
        </w:rPr>
        <w:t>its clients</w:t>
      </w:r>
      <w:r w:rsidR="00BC3C32" w:rsidRPr="00A84E06">
        <w:rPr>
          <w:rFonts w:cs="Times New Roman"/>
          <w:color w:val="000000" w:themeColor="text1"/>
          <w:szCs w:val="24"/>
        </w:rPr>
        <w:t>, with traders seek</w:t>
      </w:r>
      <w:r w:rsidR="00785503" w:rsidRPr="00A84E06">
        <w:rPr>
          <w:rFonts w:cs="Times New Roman"/>
          <w:color w:val="000000" w:themeColor="text1"/>
          <w:szCs w:val="24"/>
        </w:rPr>
        <w:t>ing</w:t>
      </w:r>
      <w:r w:rsidR="00BC3C32" w:rsidRPr="00A84E06">
        <w:rPr>
          <w:rFonts w:cs="Times New Roman"/>
          <w:color w:val="000000" w:themeColor="text1"/>
          <w:szCs w:val="24"/>
        </w:rPr>
        <w:t xml:space="preserve"> </w:t>
      </w:r>
      <w:r w:rsidR="00785503" w:rsidRPr="00A84E06">
        <w:rPr>
          <w:rFonts w:cs="Times New Roman"/>
          <w:color w:val="000000" w:themeColor="text1"/>
          <w:szCs w:val="24"/>
        </w:rPr>
        <w:t xml:space="preserve">case-by-case </w:t>
      </w:r>
      <w:r w:rsidR="007C158A" w:rsidRPr="00A84E06">
        <w:rPr>
          <w:rFonts w:cs="Times New Roman"/>
          <w:color w:val="000000" w:themeColor="text1"/>
          <w:szCs w:val="24"/>
        </w:rPr>
        <w:t>partnerships</w:t>
      </w:r>
      <w:r w:rsidR="00BC3C32" w:rsidRPr="00A84E06">
        <w:rPr>
          <w:rFonts w:cs="Times New Roman"/>
          <w:color w:val="000000" w:themeColor="text1"/>
          <w:szCs w:val="24"/>
        </w:rPr>
        <w:t xml:space="preserve"> to </w:t>
      </w:r>
      <w:r w:rsidR="00785503" w:rsidRPr="00A84E06">
        <w:rPr>
          <w:rFonts w:cs="Times New Roman"/>
          <w:color w:val="000000" w:themeColor="text1"/>
          <w:szCs w:val="24"/>
        </w:rPr>
        <w:t>trial</w:t>
      </w:r>
      <w:r w:rsidR="00BC3C32" w:rsidRPr="00A84E06">
        <w:rPr>
          <w:rFonts w:cs="Times New Roman"/>
          <w:color w:val="000000" w:themeColor="text1"/>
          <w:szCs w:val="24"/>
        </w:rPr>
        <w:t xml:space="preserve"> particular games. </w:t>
      </w:r>
      <w:r w:rsidR="000142AC" w:rsidRPr="00A84E06">
        <w:rPr>
          <w:rFonts w:cs="Times New Roman"/>
          <w:color w:val="000000" w:themeColor="text1"/>
          <w:szCs w:val="24"/>
        </w:rPr>
        <w:t xml:space="preserve">Thus, </w:t>
      </w:r>
      <w:r w:rsidR="004D0944" w:rsidRPr="00A84E06">
        <w:rPr>
          <w:rFonts w:cs="Times New Roman"/>
          <w:color w:val="000000" w:themeColor="text1"/>
          <w:szCs w:val="24"/>
        </w:rPr>
        <w:t>Enron</w:t>
      </w:r>
      <w:r w:rsidR="000142AC" w:rsidRPr="00A84E06">
        <w:rPr>
          <w:rFonts w:cs="Times New Roman"/>
          <w:color w:val="000000" w:themeColor="text1"/>
          <w:szCs w:val="24"/>
        </w:rPr>
        <w:t xml:space="preserve"> had entered a period of</w:t>
      </w:r>
      <w:r w:rsidR="00BC3C32" w:rsidRPr="00A84E06">
        <w:rPr>
          <w:rFonts w:cs="Times New Roman"/>
          <w:color w:val="000000" w:themeColor="text1"/>
          <w:szCs w:val="24"/>
        </w:rPr>
        <w:t xml:space="preserve"> </w:t>
      </w:r>
      <w:r w:rsidR="00870CBE" w:rsidRPr="00A84E06">
        <w:rPr>
          <w:rFonts w:cs="Times New Roman"/>
          <w:color w:val="000000" w:themeColor="text1"/>
          <w:szCs w:val="24"/>
        </w:rPr>
        <w:t xml:space="preserve">incremental </w:t>
      </w:r>
      <w:r w:rsidR="00BC3C32" w:rsidRPr="00A84E06">
        <w:rPr>
          <w:rFonts w:cs="Times New Roman"/>
          <w:color w:val="000000" w:themeColor="text1"/>
          <w:szCs w:val="24"/>
        </w:rPr>
        <w:t>testing,</w:t>
      </w:r>
      <w:r w:rsidR="000142AC" w:rsidRPr="00A84E06">
        <w:rPr>
          <w:rFonts w:cs="Times New Roman"/>
          <w:color w:val="000000" w:themeColor="text1"/>
          <w:szCs w:val="24"/>
        </w:rPr>
        <w:t xml:space="preserve"> </w:t>
      </w:r>
      <w:r w:rsidR="00BC3C32" w:rsidRPr="00A84E06">
        <w:rPr>
          <w:rFonts w:cs="Times New Roman"/>
          <w:color w:val="000000" w:themeColor="text1"/>
          <w:szCs w:val="24"/>
        </w:rPr>
        <w:t>probing</w:t>
      </w:r>
      <w:r w:rsidR="000142AC" w:rsidRPr="00A84E06">
        <w:rPr>
          <w:rFonts w:cs="Times New Roman"/>
          <w:color w:val="000000" w:themeColor="text1"/>
          <w:szCs w:val="24"/>
        </w:rPr>
        <w:t xml:space="preserve"> the regulations </w:t>
      </w:r>
      <w:r w:rsidR="00BF214E" w:rsidRPr="00A84E06">
        <w:rPr>
          <w:rFonts w:cs="Times New Roman"/>
          <w:color w:val="000000" w:themeColor="text1"/>
          <w:szCs w:val="24"/>
        </w:rPr>
        <w:t xml:space="preserve">to </w:t>
      </w:r>
      <w:r w:rsidR="00BC3C32" w:rsidRPr="00A84E06">
        <w:rPr>
          <w:rFonts w:cs="Times New Roman"/>
          <w:color w:val="000000" w:themeColor="text1"/>
          <w:szCs w:val="24"/>
        </w:rPr>
        <w:t>find those</w:t>
      </w:r>
      <w:r w:rsidR="000142AC" w:rsidRPr="00A84E06">
        <w:rPr>
          <w:rFonts w:cs="Times New Roman"/>
          <w:color w:val="000000" w:themeColor="text1"/>
          <w:szCs w:val="24"/>
        </w:rPr>
        <w:t xml:space="preserve"> practices </w:t>
      </w:r>
      <w:r w:rsidR="00BC3C32" w:rsidRPr="00A84E06">
        <w:rPr>
          <w:rFonts w:cs="Times New Roman"/>
          <w:color w:val="000000" w:themeColor="text1"/>
          <w:szCs w:val="24"/>
        </w:rPr>
        <w:t>its traders might</w:t>
      </w:r>
      <w:r w:rsidR="000142AC" w:rsidRPr="00A84E06">
        <w:rPr>
          <w:rFonts w:cs="Times New Roman"/>
          <w:color w:val="000000" w:themeColor="text1"/>
          <w:szCs w:val="24"/>
        </w:rPr>
        <w:t xml:space="preserve"> successfully implement on a larger scale. </w:t>
      </w:r>
      <w:r w:rsidR="0062648D" w:rsidRPr="00A84E06">
        <w:rPr>
          <w:rFonts w:cs="Times New Roman"/>
          <w:color w:val="000000" w:themeColor="text1"/>
          <w:szCs w:val="24"/>
        </w:rPr>
        <w:t xml:space="preserve">In addition to providing technical insight, these </w:t>
      </w:r>
      <w:r w:rsidR="00BE03BE" w:rsidRPr="00A84E06">
        <w:rPr>
          <w:rFonts w:cs="Times New Roman"/>
          <w:color w:val="000000" w:themeColor="text1"/>
          <w:szCs w:val="24"/>
        </w:rPr>
        <w:t xml:space="preserve">efforts </w:t>
      </w:r>
      <w:r w:rsidR="0062648D" w:rsidRPr="00A84E06">
        <w:rPr>
          <w:rFonts w:cs="Times New Roman"/>
          <w:color w:val="000000" w:themeColor="text1"/>
          <w:szCs w:val="24"/>
        </w:rPr>
        <w:t>provide</w:t>
      </w:r>
      <w:r w:rsidR="00870CBE" w:rsidRPr="00A84E06">
        <w:rPr>
          <w:rFonts w:cs="Times New Roman"/>
          <w:color w:val="000000" w:themeColor="text1"/>
          <w:szCs w:val="24"/>
        </w:rPr>
        <w:t>d</w:t>
      </w:r>
      <w:r w:rsidR="0062648D" w:rsidRPr="00A84E06">
        <w:rPr>
          <w:rFonts w:cs="Times New Roman"/>
          <w:color w:val="000000" w:themeColor="text1"/>
          <w:szCs w:val="24"/>
        </w:rPr>
        <w:t xml:space="preserve"> </w:t>
      </w:r>
      <w:r w:rsidR="00BE03BE" w:rsidRPr="00A84E06">
        <w:rPr>
          <w:rFonts w:cs="Times New Roman"/>
          <w:color w:val="000000" w:themeColor="text1"/>
          <w:szCs w:val="24"/>
        </w:rPr>
        <w:t>an initial</w:t>
      </w:r>
      <w:r w:rsidR="00870CBE" w:rsidRPr="00A84E06">
        <w:rPr>
          <w:rFonts w:cs="Times New Roman"/>
          <w:color w:val="000000" w:themeColor="text1"/>
          <w:szCs w:val="24"/>
        </w:rPr>
        <w:t xml:space="preserve"> </w:t>
      </w:r>
      <w:r w:rsidR="0062648D" w:rsidRPr="00A84E06">
        <w:rPr>
          <w:rFonts w:cs="Times New Roman"/>
          <w:color w:val="000000" w:themeColor="text1"/>
          <w:szCs w:val="24"/>
        </w:rPr>
        <w:t xml:space="preserve">precedence for the integration of gaming practices within </w:t>
      </w:r>
      <w:r w:rsidR="00E740EB" w:rsidRPr="00A84E06">
        <w:rPr>
          <w:rFonts w:cs="Times New Roman"/>
          <w:color w:val="000000" w:themeColor="text1"/>
          <w:szCs w:val="24"/>
        </w:rPr>
        <w:t xml:space="preserve">the </w:t>
      </w:r>
      <w:r w:rsidR="00BE03BE" w:rsidRPr="00A84E06">
        <w:rPr>
          <w:rFonts w:cs="Times New Roman"/>
          <w:color w:val="000000" w:themeColor="text1"/>
          <w:szCs w:val="24"/>
        </w:rPr>
        <w:t>division’s</w:t>
      </w:r>
      <w:r w:rsidR="00E740EB" w:rsidRPr="00A84E06">
        <w:rPr>
          <w:rFonts w:cs="Times New Roman"/>
          <w:color w:val="000000" w:themeColor="text1"/>
          <w:szCs w:val="24"/>
        </w:rPr>
        <w:t xml:space="preserve"> operational processes</w:t>
      </w:r>
      <w:r w:rsidR="007D27B4" w:rsidRPr="00A84E06">
        <w:rPr>
          <w:rFonts w:cs="Times New Roman"/>
          <w:color w:val="000000" w:themeColor="text1"/>
          <w:szCs w:val="24"/>
        </w:rPr>
        <w:t xml:space="preserve">, going as far as to formally document them for review by </w:t>
      </w:r>
      <w:r w:rsidR="00BE03BE" w:rsidRPr="00A84E06">
        <w:rPr>
          <w:rFonts w:cs="Times New Roman"/>
          <w:color w:val="000000" w:themeColor="text1"/>
          <w:szCs w:val="24"/>
        </w:rPr>
        <w:t xml:space="preserve">Enron </w:t>
      </w:r>
      <w:r w:rsidR="007D27B4" w:rsidRPr="00A84E06">
        <w:rPr>
          <w:rFonts w:cs="Times New Roman"/>
          <w:color w:val="000000" w:themeColor="text1"/>
          <w:szCs w:val="24"/>
        </w:rPr>
        <w:t>superiors</w:t>
      </w:r>
      <w:r w:rsidR="00E740EB" w:rsidRPr="00A84E06">
        <w:rPr>
          <w:rFonts w:cs="Times New Roman"/>
          <w:color w:val="000000" w:themeColor="text1"/>
          <w:szCs w:val="24"/>
        </w:rPr>
        <w:t>.</w:t>
      </w:r>
      <w:r w:rsidR="00870CBE" w:rsidRPr="00A84E06">
        <w:rPr>
          <w:rStyle w:val="EndnoteReference"/>
          <w:rFonts w:cs="Times New Roman"/>
          <w:color w:val="000000" w:themeColor="text1"/>
          <w:szCs w:val="24"/>
        </w:rPr>
        <w:endnoteReference w:id="92"/>
      </w:r>
    </w:p>
    <w:p w14:paraId="2CFF0A7E" w14:textId="19E1C9EC" w:rsidR="000142AC" w:rsidRPr="002E6E04" w:rsidRDefault="000142AC" w:rsidP="000142AC">
      <w:pPr>
        <w:spacing w:after="0"/>
        <w:ind w:firstLine="720"/>
        <w:rPr>
          <w:rFonts w:cs="Times New Roman"/>
          <w:color w:val="000000" w:themeColor="text1"/>
          <w:szCs w:val="24"/>
        </w:rPr>
      </w:pPr>
      <w:r w:rsidRPr="00A84E06">
        <w:rPr>
          <w:rFonts w:cs="Times New Roman"/>
          <w:color w:val="000000" w:themeColor="text1"/>
          <w:szCs w:val="24"/>
        </w:rPr>
        <w:t xml:space="preserve">The most notable </w:t>
      </w:r>
      <w:r w:rsidR="00BA4F18" w:rsidRPr="00A84E06">
        <w:rPr>
          <w:rFonts w:cs="Times New Roman"/>
          <w:color w:val="000000" w:themeColor="text1"/>
          <w:szCs w:val="24"/>
        </w:rPr>
        <w:t xml:space="preserve">example of </w:t>
      </w:r>
      <w:r w:rsidRPr="00A84E06">
        <w:rPr>
          <w:rFonts w:cs="Times New Roman"/>
          <w:color w:val="000000" w:themeColor="text1"/>
          <w:szCs w:val="24"/>
        </w:rPr>
        <w:t>test</w:t>
      </w:r>
      <w:r w:rsidR="00BA4F18" w:rsidRPr="00A84E06">
        <w:rPr>
          <w:rFonts w:cs="Times New Roman"/>
          <w:color w:val="000000" w:themeColor="text1"/>
          <w:szCs w:val="24"/>
        </w:rPr>
        <w:t>ing</w:t>
      </w:r>
      <w:r w:rsidRPr="00A84E06">
        <w:rPr>
          <w:rFonts w:cs="Times New Roman"/>
          <w:color w:val="000000" w:themeColor="text1"/>
          <w:szCs w:val="24"/>
        </w:rPr>
        <w:t xml:space="preserve"> occurred in May 1999, when Belden conducted what he would later </w:t>
      </w:r>
      <w:r w:rsidR="0059214A" w:rsidRPr="00A84E06">
        <w:rPr>
          <w:rFonts w:cs="Times New Roman"/>
          <w:color w:val="000000" w:themeColor="text1"/>
          <w:szCs w:val="24"/>
        </w:rPr>
        <w:t>characterize</w:t>
      </w:r>
      <w:r w:rsidRPr="00A84E06">
        <w:rPr>
          <w:rFonts w:cs="Times New Roman"/>
          <w:color w:val="000000" w:themeColor="text1"/>
          <w:szCs w:val="24"/>
        </w:rPr>
        <w:t xml:space="preserve"> as a market “experiment</w:t>
      </w:r>
      <w:r w:rsidR="0025149D" w:rsidRPr="00A84E06">
        <w:rPr>
          <w:rFonts w:cs="Times New Roman"/>
          <w:color w:val="000000" w:themeColor="text1"/>
          <w:szCs w:val="24"/>
        </w:rPr>
        <w:t>.</w:t>
      </w:r>
      <w:r w:rsidRPr="00A84E06">
        <w:rPr>
          <w:rFonts w:cs="Times New Roman"/>
          <w:color w:val="000000" w:themeColor="text1"/>
          <w:szCs w:val="24"/>
        </w:rPr>
        <w:t>”</w:t>
      </w:r>
      <w:r w:rsidR="00294396" w:rsidRPr="00A84E06">
        <w:rPr>
          <w:rStyle w:val="EndnoteReference"/>
          <w:rFonts w:cs="Times New Roman"/>
          <w:color w:val="000000" w:themeColor="text1"/>
          <w:szCs w:val="24"/>
        </w:rPr>
        <w:endnoteReference w:id="93"/>
      </w:r>
      <w:r w:rsidRPr="002E6E04">
        <w:rPr>
          <w:rFonts w:cs="Times New Roman"/>
          <w:color w:val="000000" w:themeColor="text1"/>
          <w:szCs w:val="24"/>
        </w:rPr>
        <w:t xml:space="preserve"> On the morning of May</w:t>
      </w:r>
      <w:r w:rsidR="00BC3C32" w:rsidRPr="002E6E04">
        <w:rPr>
          <w:rFonts w:cs="Times New Roman"/>
          <w:color w:val="000000" w:themeColor="text1"/>
          <w:szCs w:val="24"/>
        </w:rPr>
        <w:t xml:space="preserve"> 24</w:t>
      </w:r>
      <w:r w:rsidRPr="002E6E04">
        <w:rPr>
          <w:rFonts w:cs="Times New Roman"/>
          <w:color w:val="000000" w:themeColor="text1"/>
          <w:szCs w:val="24"/>
        </w:rPr>
        <w:t>, Belden bid to supply 2,900 MWs of power for the next day to the California PX from a Nevada-based generation source. In order to provide th</w:t>
      </w:r>
      <w:r w:rsidR="00BC3C32" w:rsidRPr="002E6E04">
        <w:rPr>
          <w:rFonts w:cs="Times New Roman"/>
          <w:color w:val="000000" w:themeColor="text1"/>
          <w:szCs w:val="24"/>
        </w:rPr>
        <w:t>is</w:t>
      </w:r>
      <w:r w:rsidRPr="002E6E04">
        <w:rPr>
          <w:rFonts w:cs="Times New Roman"/>
          <w:color w:val="000000" w:themeColor="text1"/>
          <w:szCs w:val="24"/>
        </w:rPr>
        <w:t xml:space="preserve">, he scheduled transmission through a small path called Silver Peak. Although theoretically within the ISO’s transmission network, Silver Peak was a small capacity line installed solely for the transfer of power from a generator in Nevada through to California. In what </w:t>
      </w:r>
      <w:r w:rsidR="00837255" w:rsidRPr="002E6E04">
        <w:rPr>
          <w:rFonts w:cs="Times New Roman"/>
          <w:color w:val="000000" w:themeColor="text1"/>
          <w:szCs w:val="24"/>
        </w:rPr>
        <w:t>one expert witness</w:t>
      </w:r>
      <w:r w:rsidRPr="002E6E04">
        <w:rPr>
          <w:rFonts w:cs="Times New Roman"/>
          <w:color w:val="000000" w:themeColor="text1"/>
          <w:szCs w:val="24"/>
        </w:rPr>
        <w:t xml:space="preserve"> call</w:t>
      </w:r>
      <w:r w:rsidR="00837255" w:rsidRPr="002E6E04">
        <w:rPr>
          <w:rFonts w:cs="Times New Roman"/>
          <w:color w:val="000000" w:themeColor="text1"/>
          <w:szCs w:val="24"/>
        </w:rPr>
        <w:t>ed</w:t>
      </w:r>
      <w:r w:rsidRPr="002E6E04">
        <w:rPr>
          <w:rFonts w:cs="Times New Roman"/>
          <w:color w:val="000000" w:themeColor="text1"/>
          <w:szCs w:val="24"/>
        </w:rPr>
        <w:t xml:space="preserve"> a “proof of concept scheme</w:t>
      </w:r>
      <w:r w:rsidR="0025149D">
        <w:rPr>
          <w:rFonts w:cs="Times New Roman"/>
          <w:color w:val="000000" w:themeColor="text1"/>
          <w:szCs w:val="24"/>
        </w:rPr>
        <w:t>,</w:t>
      </w:r>
      <w:r w:rsidRPr="002E6E04">
        <w:rPr>
          <w:rFonts w:cs="Times New Roman"/>
          <w:color w:val="000000" w:themeColor="text1"/>
          <w:szCs w:val="24"/>
        </w:rPr>
        <w:t>” Belden had orchestrated a situation whereby only 15MWs of the 2,900MWs of power the ISO thought it was getting could actually be delivered.</w:t>
      </w:r>
      <w:r w:rsidR="00837255" w:rsidRPr="005C40D2">
        <w:rPr>
          <w:rStyle w:val="EndnoteReference"/>
          <w:rFonts w:cs="Times New Roman"/>
          <w:color w:val="000000" w:themeColor="text1"/>
          <w:szCs w:val="24"/>
        </w:rPr>
        <w:endnoteReference w:id="94"/>
      </w:r>
      <w:r w:rsidRPr="005C40D2">
        <w:rPr>
          <w:rFonts w:cs="Times New Roman"/>
          <w:color w:val="000000" w:themeColor="text1"/>
          <w:szCs w:val="24"/>
        </w:rPr>
        <w:t xml:space="preserve"> </w:t>
      </w:r>
      <w:r w:rsidR="00E740EB" w:rsidRPr="00A84E06">
        <w:rPr>
          <w:rFonts w:cs="Times New Roman"/>
          <w:color w:val="000000" w:themeColor="text1"/>
          <w:szCs w:val="24"/>
        </w:rPr>
        <w:t xml:space="preserve">In effect, </w:t>
      </w:r>
      <w:r w:rsidRPr="00A84E06">
        <w:rPr>
          <w:rFonts w:cs="Times New Roman"/>
          <w:color w:val="000000" w:themeColor="text1"/>
          <w:szCs w:val="24"/>
        </w:rPr>
        <w:t xml:space="preserve">he had purposefully congested a </w:t>
      </w:r>
      <w:r w:rsidRPr="00A84E06">
        <w:rPr>
          <w:rFonts w:cs="Times New Roman"/>
          <w:color w:val="000000" w:themeColor="text1"/>
          <w:szCs w:val="24"/>
        </w:rPr>
        <w:lastRenderedPageBreak/>
        <w:t>path, allowing him to observe what happened when the ISO’s system intervened to decongest it.</w:t>
      </w:r>
      <w:r w:rsidR="00E740EB" w:rsidRPr="00A84E06">
        <w:rPr>
          <w:rFonts w:cs="Times New Roman"/>
          <w:color w:val="000000" w:themeColor="text1"/>
          <w:szCs w:val="24"/>
        </w:rPr>
        <w:t xml:space="preserve"> </w:t>
      </w:r>
    </w:p>
    <w:p w14:paraId="6265147B" w14:textId="0C2164B6" w:rsidR="00231413" w:rsidRPr="002E6E04" w:rsidRDefault="00352BA0" w:rsidP="002F49D6">
      <w:pPr>
        <w:spacing w:after="0"/>
        <w:ind w:firstLine="720"/>
        <w:rPr>
          <w:rFonts w:cs="Times New Roman"/>
          <w:color w:val="000000" w:themeColor="text1"/>
          <w:szCs w:val="24"/>
        </w:rPr>
      </w:pPr>
      <w:r>
        <w:rPr>
          <w:rFonts w:cs="Times New Roman"/>
          <w:color w:val="000000" w:themeColor="text1"/>
          <w:szCs w:val="24"/>
        </w:rPr>
        <w:t>O</w:t>
      </w:r>
      <w:r w:rsidR="00BC3C32" w:rsidRPr="002E6E04">
        <w:rPr>
          <w:rFonts w:cs="Times New Roman"/>
          <w:color w:val="000000" w:themeColor="text1"/>
          <w:szCs w:val="24"/>
        </w:rPr>
        <w:t>nce submitted</w:t>
      </w:r>
      <w:r w:rsidR="000142AC" w:rsidRPr="002E6E04">
        <w:rPr>
          <w:rFonts w:cs="Times New Roman"/>
          <w:color w:val="000000" w:themeColor="text1"/>
          <w:szCs w:val="24"/>
        </w:rPr>
        <w:t xml:space="preserve"> to the ISO, </w:t>
      </w:r>
      <w:r w:rsidR="00BC3C32" w:rsidRPr="002E6E04">
        <w:rPr>
          <w:rFonts w:cs="Times New Roman"/>
          <w:color w:val="000000" w:themeColor="text1"/>
          <w:szCs w:val="24"/>
        </w:rPr>
        <w:t>Belden</w:t>
      </w:r>
      <w:r w:rsidR="00785503" w:rsidRPr="002E6E04">
        <w:rPr>
          <w:rFonts w:cs="Times New Roman"/>
          <w:color w:val="000000" w:themeColor="text1"/>
          <w:szCs w:val="24"/>
        </w:rPr>
        <w:t>’</w:t>
      </w:r>
      <w:r w:rsidR="00BC3C32" w:rsidRPr="002E6E04">
        <w:rPr>
          <w:rFonts w:cs="Times New Roman"/>
          <w:color w:val="000000" w:themeColor="text1"/>
          <w:szCs w:val="24"/>
        </w:rPr>
        <w:t xml:space="preserve">s schedule </w:t>
      </w:r>
      <w:r w:rsidR="000142AC" w:rsidRPr="002E6E04">
        <w:rPr>
          <w:rFonts w:cs="Times New Roman"/>
          <w:color w:val="000000" w:themeColor="text1"/>
          <w:szCs w:val="24"/>
        </w:rPr>
        <w:t xml:space="preserve">triggered </w:t>
      </w:r>
      <w:r w:rsidR="00046E14">
        <w:rPr>
          <w:rFonts w:cs="Times New Roman"/>
          <w:color w:val="000000" w:themeColor="text1"/>
          <w:szCs w:val="24"/>
        </w:rPr>
        <w:t>operational pr</w:t>
      </w:r>
      <w:r w:rsidR="0057097A">
        <w:rPr>
          <w:rFonts w:cs="Times New Roman"/>
          <w:color w:val="000000" w:themeColor="text1"/>
          <w:szCs w:val="24"/>
        </w:rPr>
        <w:t>ocedures</w:t>
      </w:r>
      <w:r w:rsidR="00046E14" w:rsidRPr="002E6E04">
        <w:rPr>
          <w:rFonts w:cs="Times New Roman"/>
          <w:color w:val="000000" w:themeColor="text1"/>
          <w:szCs w:val="24"/>
        </w:rPr>
        <w:t xml:space="preserve"> </w:t>
      </w:r>
      <w:r w:rsidR="000142AC" w:rsidRPr="002E6E04">
        <w:rPr>
          <w:rFonts w:cs="Times New Roman"/>
          <w:color w:val="000000" w:themeColor="text1"/>
          <w:szCs w:val="24"/>
        </w:rPr>
        <w:t>that Perot Systems had helped create</w:t>
      </w:r>
      <w:r w:rsidR="003505E9">
        <w:rPr>
          <w:rFonts w:cs="Times New Roman"/>
          <w:color w:val="000000" w:themeColor="text1"/>
          <w:szCs w:val="24"/>
        </w:rPr>
        <w:t>,</w:t>
      </w:r>
      <w:r w:rsidR="000142AC" w:rsidRPr="002E6E04">
        <w:rPr>
          <w:rFonts w:cs="Times New Roman"/>
          <w:color w:val="000000" w:themeColor="text1"/>
          <w:szCs w:val="24"/>
        </w:rPr>
        <w:t xml:space="preserve"> </w:t>
      </w:r>
      <w:r w:rsidR="003505E9">
        <w:rPr>
          <w:rFonts w:cs="Times New Roman"/>
          <w:color w:val="000000" w:themeColor="text1"/>
          <w:szCs w:val="24"/>
        </w:rPr>
        <w:t xml:space="preserve">and the system </w:t>
      </w:r>
      <w:r w:rsidR="000142AC" w:rsidRPr="002E6E04">
        <w:rPr>
          <w:rFonts w:cs="Times New Roman"/>
          <w:color w:val="000000" w:themeColor="text1"/>
          <w:szCs w:val="24"/>
        </w:rPr>
        <w:t xml:space="preserve">automatically set about </w:t>
      </w:r>
      <w:r w:rsidR="003505E9">
        <w:rPr>
          <w:rFonts w:cs="Times New Roman"/>
          <w:color w:val="000000" w:themeColor="text1"/>
          <w:szCs w:val="24"/>
        </w:rPr>
        <w:t>re</w:t>
      </w:r>
      <w:r w:rsidR="000142AC" w:rsidRPr="002E6E04">
        <w:rPr>
          <w:rFonts w:cs="Times New Roman"/>
          <w:color w:val="000000" w:themeColor="text1"/>
          <w:szCs w:val="24"/>
        </w:rPr>
        <w:t>balanc</w:t>
      </w:r>
      <w:r w:rsidR="003505E9">
        <w:rPr>
          <w:rFonts w:cs="Times New Roman"/>
          <w:color w:val="000000" w:themeColor="text1"/>
          <w:szCs w:val="24"/>
        </w:rPr>
        <w:t>ing</w:t>
      </w:r>
      <w:r w:rsidR="000142AC" w:rsidRPr="002E6E04">
        <w:rPr>
          <w:rFonts w:cs="Times New Roman"/>
          <w:color w:val="000000" w:themeColor="text1"/>
          <w:szCs w:val="24"/>
        </w:rPr>
        <w:t xml:space="preserve"> the congested path.</w:t>
      </w:r>
      <w:r w:rsidR="003505E9">
        <w:rPr>
          <w:rStyle w:val="EndnoteReference"/>
          <w:rFonts w:cs="Times New Roman"/>
          <w:color w:val="000000" w:themeColor="text1"/>
          <w:szCs w:val="24"/>
        </w:rPr>
        <w:endnoteReference w:id="95"/>
      </w:r>
      <w:r w:rsidR="000142AC" w:rsidRPr="002E6E04">
        <w:rPr>
          <w:rFonts w:cs="Times New Roman"/>
          <w:color w:val="000000" w:themeColor="text1"/>
          <w:szCs w:val="24"/>
        </w:rPr>
        <w:t xml:space="preserve"> The schedule had also created significant </w:t>
      </w:r>
      <w:r w:rsidR="00BC3C32" w:rsidRPr="002E6E04">
        <w:rPr>
          <w:rFonts w:cs="Times New Roman"/>
          <w:color w:val="000000" w:themeColor="text1"/>
          <w:szCs w:val="24"/>
        </w:rPr>
        <w:t xml:space="preserve">variance between </w:t>
      </w:r>
      <w:r w:rsidR="000142AC" w:rsidRPr="002E6E04">
        <w:rPr>
          <w:rFonts w:cs="Times New Roman"/>
          <w:color w:val="000000" w:themeColor="text1"/>
          <w:szCs w:val="24"/>
        </w:rPr>
        <w:t>anticipated</w:t>
      </w:r>
      <w:r w:rsidR="00BC3C32" w:rsidRPr="002E6E04">
        <w:rPr>
          <w:rFonts w:cs="Times New Roman"/>
          <w:color w:val="000000" w:themeColor="text1"/>
          <w:szCs w:val="24"/>
        </w:rPr>
        <w:t xml:space="preserve"> and actual</w:t>
      </w:r>
      <w:r w:rsidR="000142AC" w:rsidRPr="002E6E04">
        <w:rPr>
          <w:rFonts w:cs="Times New Roman"/>
          <w:color w:val="000000" w:themeColor="text1"/>
          <w:szCs w:val="24"/>
        </w:rPr>
        <w:t xml:space="preserve"> </w:t>
      </w:r>
      <w:r w:rsidR="00BC3C32" w:rsidRPr="002E6E04">
        <w:rPr>
          <w:rFonts w:cs="Times New Roman"/>
          <w:color w:val="000000" w:themeColor="text1"/>
          <w:szCs w:val="24"/>
        </w:rPr>
        <w:t xml:space="preserve">supply, and this was remedied by </w:t>
      </w:r>
      <w:r w:rsidR="000142AC" w:rsidRPr="002E6E04">
        <w:rPr>
          <w:rFonts w:cs="Times New Roman"/>
          <w:color w:val="000000" w:themeColor="text1"/>
          <w:szCs w:val="24"/>
        </w:rPr>
        <w:t xml:space="preserve">increasing out-of-state imports, using reserve power, and reducing demand in the day-ahead market through increased </w:t>
      </w:r>
      <w:r w:rsidR="000142AC" w:rsidRPr="005C40D2">
        <w:rPr>
          <w:rFonts w:cs="Times New Roman"/>
          <w:color w:val="000000" w:themeColor="text1"/>
          <w:szCs w:val="24"/>
        </w:rPr>
        <w:t>prices</w:t>
      </w:r>
      <w:r w:rsidR="000142AC" w:rsidRPr="00A84E06">
        <w:rPr>
          <w:rFonts w:cs="Times New Roman"/>
          <w:color w:val="000000" w:themeColor="text1"/>
          <w:szCs w:val="24"/>
        </w:rPr>
        <w:t>. Importantly, Belden</w:t>
      </w:r>
      <w:r w:rsidR="00C5186F" w:rsidRPr="00A84E06">
        <w:rPr>
          <w:rFonts w:cs="Times New Roman"/>
          <w:color w:val="000000" w:themeColor="text1"/>
          <w:szCs w:val="24"/>
        </w:rPr>
        <w:t>’s experiment demonstrated</w:t>
      </w:r>
      <w:r w:rsidR="000142AC" w:rsidRPr="00A84E06">
        <w:rPr>
          <w:rFonts w:cs="Times New Roman"/>
          <w:color w:val="000000" w:themeColor="text1"/>
          <w:szCs w:val="24"/>
        </w:rPr>
        <w:t xml:space="preserve"> </w:t>
      </w:r>
      <w:r w:rsidR="00D241E6">
        <w:rPr>
          <w:rFonts w:cs="Times New Roman"/>
          <w:color w:val="000000" w:themeColor="text1"/>
          <w:szCs w:val="24"/>
        </w:rPr>
        <w:t xml:space="preserve">that </w:t>
      </w:r>
      <w:r w:rsidR="000142AC" w:rsidRPr="00A84E06">
        <w:rPr>
          <w:rFonts w:cs="Times New Roman"/>
          <w:color w:val="000000" w:themeColor="text1"/>
          <w:szCs w:val="24"/>
        </w:rPr>
        <w:t xml:space="preserve">it was possible to influence prices using California’s congestion protocols </w:t>
      </w:r>
      <w:r w:rsidR="00D2565C" w:rsidRPr="00A84E06">
        <w:rPr>
          <w:rFonts w:cs="Times New Roman"/>
          <w:color w:val="000000" w:themeColor="text1"/>
          <w:szCs w:val="24"/>
        </w:rPr>
        <w:t>and</w:t>
      </w:r>
      <w:r w:rsidR="000142AC" w:rsidRPr="00A84E06">
        <w:rPr>
          <w:rFonts w:cs="Times New Roman"/>
          <w:color w:val="000000" w:themeColor="text1"/>
          <w:szCs w:val="24"/>
        </w:rPr>
        <w:t xml:space="preserve"> </w:t>
      </w:r>
      <w:r w:rsidR="00994621">
        <w:rPr>
          <w:rFonts w:cs="Times New Roman"/>
          <w:color w:val="000000" w:themeColor="text1"/>
          <w:szCs w:val="24"/>
        </w:rPr>
        <w:t xml:space="preserve">to </w:t>
      </w:r>
      <w:r w:rsidR="000142AC" w:rsidRPr="00A84E06">
        <w:rPr>
          <w:rFonts w:cs="Times New Roman"/>
          <w:color w:val="000000" w:themeColor="text1"/>
          <w:szCs w:val="24"/>
        </w:rPr>
        <w:t xml:space="preserve">receive payments </w:t>
      </w:r>
      <w:r w:rsidR="00994621">
        <w:rPr>
          <w:rFonts w:cs="Times New Roman"/>
          <w:color w:val="000000" w:themeColor="text1"/>
          <w:szCs w:val="24"/>
        </w:rPr>
        <w:t>for</w:t>
      </w:r>
      <w:r w:rsidR="000142AC" w:rsidRPr="00A84E06">
        <w:rPr>
          <w:rFonts w:cs="Times New Roman"/>
          <w:color w:val="000000" w:themeColor="text1"/>
          <w:szCs w:val="24"/>
        </w:rPr>
        <w:t xml:space="preserve"> reliev</w:t>
      </w:r>
      <w:r w:rsidR="00994621">
        <w:rPr>
          <w:rFonts w:cs="Times New Roman"/>
          <w:color w:val="000000" w:themeColor="text1"/>
          <w:szCs w:val="24"/>
        </w:rPr>
        <w:t>ing</w:t>
      </w:r>
      <w:r w:rsidR="000142AC" w:rsidRPr="00A84E06">
        <w:rPr>
          <w:rFonts w:cs="Times New Roman"/>
          <w:color w:val="000000" w:themeColor="text1"/>
          <w:szCs w:val="24"/>
        </w:rPr>
        <w:t xml:space="preserve"> purposefully created congestion</w:t>
      </w:r>
      <w:r w:rsidR="00994621">
        <w:rPr>
          <w:rFonts w:cs="Times New Roman"/>
          <w:color w:val="000000" w:themeColor="text1"/>
          <w:szCs w:val="24"/>
        </w:rPr>
        <w:t>,</w:t>
      </w:r>
      <w:r w:rsidR="00BC3C32" w:rsidRPr="00A84E06">
        <w:rPr>
          <w:rFonts w:cs="Times New Roman"/>
          <w:color w:val="000000" w:themeColor="text1"/>
          <w:szCs w:val="24"/>
        </w:rPr>
        <w:t xml:space="preserve"> in this case,</w:t>
      </w:r>
      <w:r w:rsidR="00AC2AAA" w:rsidRPr="00A84E06">
        <w:rPr>
          <w:rFonts w:cs="Times New Roman"/>
          <w:color w:val="000000" w:themeColor="text1"/>
          <w:szCs w:val="24"/>
        </w:rPr>
        <w:t xml:space="preserve"> costing Californian ratepayers an estimated $4.6M </w:t>
      </w:r>
      <w:r w:rsidR="00A64621" w:rsidRPr="00A84E06">
        <w:rPr>
          <w:rFonts w:cs="Times New Roman"/>
          <w:color w:val="000000" w:themeColor="text1"/>
          <w:szCs w:val="24"/>
        </w:rPr>
        <w:t>to</w:t>
      </w:r>
      <w:r w:rsidR="00AC2AAA" w:rsidRPr="00A84E06">
        <w:rPr>
          <w:rFonts w:cs="Times New Roman"/>
          <w:color w:val="000000" w:themeColor="text1"/>
          <w:szCs w:val="24"/>
        </w:rPr>
        <w:t xml:space="preserve"> $7.0M in the process</w:t>
      </w:r>
      <w:r w:rsidR="004D0944" w:rsidRPr="005C40D2">
        <w:rPr>
          <w:rFonts w:cs="Times New Roman"/>
          <w:color w:val="000000" w:themeColor="text1"/>
          <w:szCs w:val="24"/>
        </w:rPr>
        <w:t>.</w:t>
      </w:r>
      <w:r w:rsidR="0057097A" w:rsidRPr="00A84E06">
        <w:rPr>
          <w:rStyle w:val="EndnoteReference"/>
          <w:rFonts w:cs="Times New Roman"/>
          <w:color w:val="000000" w:themeColor="text1"/>
          <w:szCs w:val="24"/>
        </w:rPr>
        <w:endnoteReference w:id="96"/>
      </w:r>
      <w:r w:rsidR="0057097A" w:rsidRPr="00A84E06">
        <w:rPr>
          <w:rFonts w:cs="Times New Roman"/>
          <w:color w:val="000000" w:themeColor="text1"/>
          <w:szCs w:val="24"/>
        </w:rPr>
        <w:t xml:space="preserve"> </w:t>
      </w:r>
      <w:r w:rsidR="00BC3C32" w:rsidRPr="00A84E06">
        <w:rPr>
          <w:rFonts w:cs="Times New Roman"/>
          <w:color w:val="000000" w:themeColor="text1"/>
          <w:szCs w:val="24"/>
        </w:rPr>
        <w:t>However, the episode did</w:t>
      </w:r>
      <w:r w:rsidR="002F49D6" w:rsidRPr="00A84E06">
        <w:rPr>
          <w:rFonts w:cs="Times New Roman"/>
          <w:color w:val="000000" w:themeColor="text1"/>
          <w:szCs w:val="24"/>
        </w:rPr>
        <w:t xml:space="preserve"> not go </w:t>
      </w:r>
      <w:r w:rsidR="00AC2AAA" w:rsidRPr="00A84E06">
        <w:rPr>
          <w:rFonts w:cs="Times New Roman"/>
          <w:color w:val="000000" w:themeColor="text1"/>
          <w:szCs w:val="24"/>
        </w:rPr>
        <w:t>unnoticed</w:t>
      </w:r>
      <w:r w:rsidR="002F49D6" w:rsidRPr="00A84E06">
        <w:rPr>
          <w:rFonts w:cs="Times New Roman"/>
          <w:color w:val="000000" w:themeColor="text1"/>
          <w:szCs w:val="24"/>
        </w:rPr>
        <w:t xml:space="preserve"> and</w:t>
      </w:r>
      <w:r w:rsidR="00AC2AAA" w:rsidRPr="00A84E06">
        <w:rPr>
          <w:rFonts w:cs="Times New Roman"/>
          <w:color w:val="000000" w:themeColor="text1"/>
          <w:szCs w:val="24"/>
        </w:rPr>
        <w:t>,</w:t>
      </w:r>
      <w:r w:rsidR="002F49D6" w:rsidRPr="00A84E06">
        <w:rPr>
          <w:rFonts w:cs="Times New Roman"/>
          <w:color w:val="000000" w:themeColor="text1"/>
          <w:szCs w:val="24"/>
        </w:rPr>
        <w:t xml:space="preserve"> following a </w:t>
      </w:r>
      <w:r w:rsidR="00AC2AAA" w:rsidRPr="00A84E06">
        <w:rPr>
          <w:rFonts w:cs="Times New Roman"/>
          <w:color w:val="000000" w:themeColor="text1"/>
          <w:szCs w:val="24"/>
        </w:rPr>
        <w:t>lengthy</w:t>
      </w:r>
      <w:r w:rsidR="002F49D6" w:rsidRPr="00A84E06">
        <w:rPr>
          <w:rFonts w:cs="Times New Roman"/>
          <w:color w:val="000000" w:themeColor="text1"/>
          <w:szCs w:val="24"/>
        </w:rPr>
        <w:t xml:space="preserve"> investigation,</w:t>
      </w:r>
      <w:r w:rsidR="00D2565C" w:rsidRPr="00A84E06">
        <w:rPr>
          <w:rFonts w:cs="Times New Roman"/>
          <w:color w:val="000000" w:themeColor="text1"/>
          <w:szCs w:val="24"/>
        </w:rPr>
        <w:t xml:space="preserve"> </w:t>
      </w:r>
      <w:r w:rsidR="004D5534" w:rsidRPr="00A84E06">
        <w:rPr>
          <w:rFonts w:cs="Times New Roman"/>
          <w:color w:val="000000" w:themeColor="text1"/>
          <w:szCs w:val="24"/>
        </w:rPr>
        <w:t>the PX</w:t>
      </w:r>
      <w:r w:rsidR="004A1203" w:rsidRPr="00A84E06">
        <w:rPr>
          <w:rFonts w:cs="Times New Roman"/>
          <w:color w:val="000000" w:themeColor="text1"/>
          <w:szCs w:val="24"/>
        </w:rPr>
        <w:t xml:space="preserve"> </w:t>
      </w:r>
      <w:r w:rsidR="004D5534" w:rsidRPr="00A84E06">
        <w:rPr>
          <w:rFonts w:cs="Times New Roman"/>
          <w:color w:val="000000" w:themeColor="text1"/>
          <w:szCs w:val="24"/>
        </w:rPr>
        <w:t>concluded</w:t>
      </w:r>
      <w:r w:rsidR="004A1203" w:rsidRPr="00A84E06">
        <w:rPr>
          <w:rFonts w:cs="Times New Roman"/>
          <w:color w:val="000000" w:themeColor="text1"/>
          <w:szCs w:val="24"/>
        </w:rPr>
        <w:t xml:space="preserve"> Belden’s actions </w:t>
      </w:r>
      <w:r w:rsidR="004D5534" w:rsidRPr="00A84E06">
        <w:rPr>
          <w:rFonts w:cs="Times New Roman"/>
          <w:color w:val="000000" w:themeColor="text1"/>
          <w:szCs w:val="24"/>
        </w:rPr>
        <w:t>violated its scheduling and control protocols, and</w:t>
      </w:r>
      <w:r w:rsidR="00A84E06">
        <w:rPr>
          <w:rFonts w:cs="Times New Roman"/>
          <w:color w:val="000000" w:themeColor="text1"/>
          <w:szCs w:val="24"/>
        </w:rPr>
        <w:t xml:space="preserve"> </w:t>
      </w:r>
      <w:r w:rsidR="004D5534" w:rsidRPr="00A84E06">
        <w:rPr>
          <w:rFonts w:cs="Times New Roman"/>
          <w:color w:val="000000" w:themeColor="text1"/>
          <w:szCs w:val="24"/>
        </w:rPr>
        <w:t xml:space="preserve">showed </w:t>
      </w:r>
      <w:r w:rsidR="004A1203" w:rsidRPr="00A84E06">
        <w:rPr>
          <w:rFonts w:cs="Times New Roman"/>
          <w:color w:val="000000" w:themeColor="text1"/>
          <w:szCs w:val="24"/>
        </w:rPr>
        <w:t>“disregard</w:t>
      </w:r>
      <w:r w:rsidR="004D5534" w:rsidRPr="00A84E06">
        <w:rPr>
          <w:rFonts w:cs="Times New Roman"/>
          <w:color w:val="000000" w:themeColor="text1"/>
          <w:szCs w:val="24"/>
        </w:rPr>
        <w:t xml:space="preserve"> for</w:t>
      </w:r>
      <w:r w:rsidR="004A1203" w:rsidRPr="00A84E06">
        <w:rPr>
          <w:rFonts w:cs="Times New Roman"/>
          <w:color w:val="000000" w:themeColor="text1"/>
          <w:szCs w:val="24"/>
        </w:rPr>
        <w:t xml:space="preserve"> </w:t>
      </w:r>
      <w:r w:rsidR="004D5534" w:rsidRPr="00A84E06">
        <w:rPr>
          <w:rFonts w:cs="Times New Roman"/>
          <w:color w:val="000000" w:themeColor="text1"/>
          <w:szCs w:val="24"/>
        </w:rPr>
        <w:t>[its] primary goal of maintain</w:t>
      </w:r>
      <w:r w:rsidR="00273722" w:rsidRPr="00A84E06">
        <w:rPr>
          <w:rFonts w:cs="Times New Roman"/>
          <w:color w:val="000000" w:themeColor="text1"/>
          <w:szCs w:val="24"/>
        </w:rPr>
        <w:t>ing</w:t>
      </w:r>
      <w:r w:rsidR="0037226F" w:rsidRPr="00A84E06">
        <w:rPr>
          <w:rFonts w:cs="Times New Roman"/>
          <w:color w:val="000000" w:themeColor="text1"/>
          <w:szCs w:val="24"/>
        </w:rPr>
        <w:t xml:space="preserve"> </w:t>
      </w:r>
      <w:r w:rsidR="004D5534" w:rsidRPr="00A84E06">
        <w:rPr>
          <w:rFonts w:cs="Times New Roman"/>
          <w:color w:val="000000" w:themeColor="text1"/>
          <w:szCs w:val="24"/>
        </w:rPr>
        <w:t>efficient and fair markets</w:t>
      </w:r>
      <w:r w:rsidR="0037226F" w:rsidRPr="00A84E06">
        <w:rPr>
          <w:rFonts w:cs="Times New Roman"/>
          <w:color w:val="000000" w:themeColor="text1"/>
          <w:szCs w:val="24"/>
        </w:rPr>
        <w:t>.”</w:t>
      </w:r>
      <w:r w:rsidR="0037226F" w:rsidRPr="00A84E06">
        <w:rPr>
          <w:rStyle w:val="EndnoteReference"/>
          <w:rFonts w:cs="Times New Roman"/>
          <w:color w:val="000000" w:themeColor="text1"/>
          <w:szCs w:val="24"/>
        </w:rPr>
        <w:endnoteReference w:id="97"/>
      </w:r>
      <w:r w:rsidR="00A66FA0" w:rsidRPr="00A84E06">
        <w:rPr>
          <w:rFonts w:cs="Times New Roman"/>
          <w:color w:val="000000" w:themeColor="text1"/>
          <w:szCs w:val="24"/>
        </w:rPr>
        <w:t xml:space="preserve"> </w:t>
      </w:r>
      <w:r w:rsidR="004D5534" w:rsidRPr="00A84E06">
        <w:rPr>
          <w:rFonts w:cs="Times New Roman"/>
          <w:color w:val="000000" w:themeColor="text1"/>
          <w:szCs w:val="24"/>
        </w:rPr>
        <w:t xml:space="preserve">Enron also conducted their own internal investigation, sending the </w:t>
      </w:r>
      <w:r w:rsidR="00FD0E70" w:rsidRPr="00A84E06">
        <w:rPr>
          <w:rFonts w:cs="Times New Roman"/>
          <w:color w:val="000000" w:themeColor="text1"/>
          <w:szCs w:val="24"/>
        </w:rPr>
        <w:t>D</w:t>
      </w:r>
      <w:r w:rsidR="004D5534" w:rsidRPr="00A84E06">
        <w:rPr>
          <w:rFonts w:cs="Times New Roman"/>
          <w:color w:val="000000" w:themeColor="text1"/>
          <w:szCs w:val="24"/>
        </w:rPr>
        <w:t xml:space="preserve">irector of </w:t>
      </w:r>
      <w:r w:rsidR="00FD0E70" w:rsidRPr="00A84E06">
        <w:rPr>
          <w:rFonts w:cs="Times New Roman"/>
          <w:color w:val="000000" w:themeColor="text1"/>
          <w:szCs w:val="24"/>
        </w:rPr>
        <w:t>R</w:t>
      </w:r>
      <w:r w:rsidR="004D5534" w:rsidRPr="00A84E06">
        <w:rPr>
          <w:rFonts w:cs="Times New Roman"/>
          <w:color w:val="000000" w:themeColor="text1"/>
          <w:szCs w:val="24"/>
        </w:rPr>
        <w:t xml:space="preserve">egulatory </w:t>
      </w:r>
      <w:r w:rsidR="00FD0E70" w:rsidRPr="00A84E06">
        <w:rPr>
          <w:rFonts w:cs="Times New Roman"/>
          <w:color w:val="000000" w:themeColor="text1"/>
          <w:szCs w:val="24"/>
        </w:rPr>
        <w:t>A</w:t>
      </w:r>
      <w:r w:rsidR="004D5534" w:rsidRPr="00A84E06">
        <w:rPr>
          <w:rFonts w:cs="Times New Roman"/>
          <w:color w:val="000000" w:themeColor="text1"/>
          <w:szCs w:val="24"/>
        </w:rPr>
        <w:t xml:space="preserve">ffairs to interview Belden. In addition to advocating his case, she encouraged </w:t>
      </w:r>
      <w:r w:rsidR="006B11D0" w:rsidRPr="00A84E06">
        <w:rPr>
          <w:rFonts w:cs="Times New Roman"/>
          <w:color w:val="000000" w:themeColor="text1"/>
          <w:szCs w:val="24"/>
        </w:rPr>
        <w:t xml:space="preserve">him </w:t>
      </w:r>
      <w:r w:rsidR="006B11D0">
        <w:rPr>
          <w:rFonts w:cs="Times New Roman"/>
          <w:color w:val="000000" w:themeColor="text1"/>
          <w:szCs w:val="24"/>
        </w:rPr>
        <w:t>not</w:t>
      </w:r>
      <w:r w:rsidR="004D5534" w:rsidRPr="00A84E06">
        <w:rPr>
          <w:rFonts w:cs="Times New Roman"/>
          <w:color w:val="000000" w:themeColor="text1"/>
          <w:szCs w:val="24"/>
        </w:rPr>
        <w:t xml:space="preserve"> to report a similar trade he made in January, les</w:t>
      </w:r>
      <w:r w:rsidR="00D241E6">
        <w:rPr>
          <w:rFonts w:cs="Times New Roman"/>
          <w:color w:val="000000" w:themeColor="text1"/>
          <w:szCs w:val="24"/>
        </w:rPr>
        <w:t>t</w:t>
      </w:r>
      <w:r w:rsidR="004D5534" w:rsidRPr="00A84E06">
        <w:rPr>
          <w:rFonts w:cs="Times New Roman"/>
          <w:color w:val="000000" w:themeColor="text1"/>
          <w:szCs w:val="24"/>
        </w:rPr>
        <w:t xml:space="preserve"> the PX realize Silver Peak was not an isolated incident.</w:t>
      </w:r>
      <w:r w:rsidR="004D5534" w:rsidRPr="00A84E06">
        <w:rPr>
          <w:rStyle w:val="EndnoteReference"/>
          <w:rFonts w:cs="Times New Roman"/>
          <w:color w:val="000000" w:themeColor="text1"/>
          <w:szCs w:val="24"/>
        </w:rPr>
        <w:endnoteReference w:id="98"/>
      </w:r>
      <w:r w:rsidR="004D5534" w:rsidRPr="00A84E06">
        <w:rPr>
          <w:rFonts w:cs="Times New Roman"/>
          <w:color w:val="000000" w:themeColor="text1"/>
          <w:szCs w:val="24"/>
        </w:rPr>
        <w:t xml:space="preserve"> </w:t>
      </w:r>
      <w:r w:rsidR="00D2565C" w:rsidRPr="00A84E06">
        <w:rPr>
          <w:rFonts w:cs="Times New Roman"/>
          <w:color w:val="000000" w:themeColor="text1"/>
          <w:szCs w:val="24"/>
        </w:rPr>
        <w:t>Enron</w:t>
      </w:r>
      <w:r w:rsidR="004D5534" w:rsidRPr="00A84E06">
        <w:rPr>
          <w:rFonts w:cs="Times New Roman"/>
          <w:color w:val="000000" w:themeColor="text1"/>
          <w:szCs w:val="24"/>
        </w:rPr>
        <w:t xml:space="preserve"> ultimately</w:t>
      </w:r>
      <w:r w:rsidR="004A1203" w:rsidRPr="00A84E06">
        <w:rPr>
          <w:rFonts w:cs="Times New Roman"/>
          <w:color w:val="000000" w:themeColor="text1"/>
          <w:szCs w:val="24"/>
        </w:rPr>
        <w:t xml:space="preserve"> settled with the PX</w:t>
      </w:r>
      <w:r w:rsidR="00AC2AAA" w:rsidRPr="00A84E06">
        <w:rPr>
          <w:rFonts w:cs="Times New Roman"/>
          <w:color w:val="000000" w:themeColor="text1"/>
          <w:szCs w:val="24"/>
        </w:rPr>
        <w:t xml:space="preserve"> </w:t>
      </w:r>
      <w:r w:rsidR="004D5534" w:rsidRPr="00A84E06">
        <w:rPr>
          <w:rFonts w:cs="Times New Roman"/>
          <w:color w:val="000000" w:themeColor="text1"/>
          <w:szCs w:val="24"/>
        </w:rPr>
        <w:t>for a modest</w:t>
      </w:r>
      <w:r w:rsidR="00AC2AAA" w:rsidRPr="00A84E06">
        <w:rPr>
          <w:rFonts w:cs="Times New Roman"/>
          <w:color w:val="000000" w:themeColor="text1"/>
          <w:szCs w:val="24"/>
        </w:rPr>
        <w:t xml:space="preserve"> </w:t>
      </w:r>
      <w:r w:rsidR="000142AC" w:rsidRPr="00A84E06">
        <w:rPr>
          <w:rFonts w:cs="Times New Roman"/>
          <w:color w:val="000000" w:themeColor="text1"/>
          <w:szCs w:val="24"/>
        </w:rPr>
        <w:t>$25,000</w:t>
      </w:r>
      <w:r w:rsidR="004D5534" w:rsidRPr="00A84E06">
        <w:rPr>
          <w:rFonts w:cs="Times New Roman"/>
          <w:color w:val="000000" w:themeColor="text1"/>
          <w:szCs w:val="24"/>
        </w:rPr>
        <w:t xml:space="preserve">, </w:t>
      </w:r>
      <w:r w:rsidR="00231413" w:rsidRPr="00A84E06">
        <w:rPr>
          <w:rFonts w:cs="Times New Roman"/>
          <w:color w:val="000000" w:themeColor="text1"/>
          <w:szCs w:val="24"/>
        </w:rPr>
        <w:t xml:space="preserve">which </w:t>
      </w:r>
      <w:r w:rsidR="004D5534" w:rsidRPr="00A84E06">
        <w:rPr>
          <w:rFonts w:cs="Times New Roman"/>
          <w:color w:val="000000" w:themeColor="text1"/>
          <w:szCs w:val="24"/>
        </w:rPr>
        <w:t>reflect</w:t>
      </w:r>
      <w:r w:rsidR="00231413" w:rsidRPr="00A84E06">
        <w:rPr>
          <w:rFonts w:cs="Times New Roman"/>
          <w:color w:val="000000" w:themeColor="text1"/>
          <w:szCs w:val="24"/>
        </w:rPr>
        <w:t>ed</w:t>
      </w:r>
      <w:r w:rsidR="004D5534" w:rsidRPr="00A84E06">
        <w:rPr>
          <w:rFonts w:cs="Times New Roman"/>
          <w:color w:val="000000" w:themeColor="text1"/>
          <w:szCs w:val="24"/>
        </w:rPr>
        <w:t xml:space="preserve"> the firm’s cooperative attitude during the investigation and the PX’s limited regulatory jurisdiction</w:t>
      </w:r>
      <w:r w:rsidR="00231413" w:rsidRPr="00A84E06">
        <w:rPr>
          <w:rFonts w:cs="Times New Roman"/>
          <w:color w:val="000000" w:themeColor="text1"/>
          <w:szCs w:val="24"/>
        </w:rPr>
        <w:t xml:space="preserve"> to apply further penalty</w:t>
      </w:r>
      <w:r w:rsidR="002F49D6" w:rsidRPr="00A84E06">
        <w:rPr>
          <w:rFonts w:cs="Times New Roman"/>
          <w:color w:val="000000" w:themeColor="text1"/>
          <w:szCs w:val="24"/>
        </w:rPr>
        <w:t>.</w:t>
      </w:r>
      <w:r w:rsidR="00AC2AAA" w:rsidRPr="00A84E06">
        <w:rPr>
          <w:rStyle w:val="EndnoteReference"/>
          <w:rFonts w:cs="Times New Roman"/>
          <w:color w:val="000000" w:themeColor="text1"/>
          <w:szCs w:val="24"/>
        </w:rPr>
        <w:endnoteReference w:id="99"/>
      </w:r>
      <w:r w:rsidR="00AC2AAA" w:rsidRPr="002E6E04">
        <w:rPr>
          <w:rFonts w:cs="Times New Roman"/>
          <w:color w:val="000000" w:themeColor="text1"/>
          <w:szCs w:val="24"/>
        </w:rPr>
        <w:t xml:space="preserve"> </w:t>
      </w:r>
      <w:r w:rsidR="00A8257B" w:rsidRPr="002E6E04">
        <w:rPr>
          <w:rFonts w:cs="Times New Roman"/>
          <w:color w:val="000000" w:themeColor="text1"/>
          <w:szCs w:val="24"/>
        </w:rPr>
        <w:t xml:space="preserve"> </w:t>
      </w:r>
    </w:p>
    <w:p w14:paraId="2C56B74D" w14:textId="2A49C56E" w:rsidR="000142AC" w:rsidRDefault="00231413" w:rsidP="00231413">
      <w:pPr>
        <w:spacing w:after="0"/>
        <w:ind w:firstLine="720"/>
        <w:rPr>
          <w:rFonts w:cs="Times New Roman"/>
          <w:color w:val="000000" w:themeColor="text1"/>
          <w:szCs w:val="24"/>
        </w:rPr>
      </w:pPr>
      <w:r w:rsidRPr="00A84E06">
        <w:rPr>
          <w:rFonts w:cs="Times New Roman"/>
          <w:color w:val="000000" w:themeColor="text1"/>
          <w:szCs w:val="24"/>
        </w:rPr>
        <w:t>Enron</w:t>
      </w:r>
      <w:r w:rsidR="00CB6844" w:rsidRPr="00A84E06">
        <w:rPr>
          <w:rFonts w:cs="Times New Roman"/>
          <w:color w:val="000000" w:themeColor="text1"/>
          <w:szCs w:val="24"/>
        </w:rPr>
        <w:t xml:space="preserve"> </w:t>
      </w:r>
      <w:r w:rsidR="004D5534" w:rsidRPr="00A84E06">
        <w:rPr>
          <w:rFonts w:cs="Times New Roman"/>
          <w:color w:val="000000" w:themeColor="text1"/>
          <w:szCs w:val="24"/>
        </w:rPr>
        <w:t>also</w:t>
      </w:r>
      <w:r w:rsidR="00150FE2" w:rsidRPr="00A84E06">
        <w:rPr>
          <w:rFonts w:cs="Times New Roman"/>
          <w:color w:val="000000" w:themeColor="text1"/>
          <w:szCs w:val="24"/>
        </w:rPr>
        <w:t xml:space="preserve"> </w:t>
      </w:r>
      <w:r w:rsidR="000142AC" w:rsidRPr="00A84E06">
        <w:rPr>
          <w:rFonts w:cs="Times New Roman"/>
          <w:color w:val="000000" w:themeColor="text1"/>
          <w:szCs w:val="24"/>
        </w:rPr>
        <w:t>agreed</w:t>
      </w:r>
      <w:r w:rsidR="00C31B8B" w:rsidRPr="00A84E06">
        <w:rPr>
          <w:rFonts w:cs="Times New Roman"/>
          <w:color w:val="000000" w:themeColor="text1"/>
          <w:szCs w:val="24"/>
        </w:rPr>
        <w:t xml:space="preserve"> </w:t>
      </w:r>
      <w:r w:rsidRPr="00A84E06">
        <w:rPr>
          <w:rFonts w:cs="Times New Roman"/>
          <w:color w:val="000000" w:themeColor="text1"/>
          <w:szCs w:val="24"/>
        </w:rPr>
        <w:t xml:space="preserve">that </w:t>
      </w:r>
      <w:r w:rsidR="00066B25" w:rsidRPr="00A84E06">
        <w:rPr>
          <w:rFonts w:cs="Times New Roman"/>
          <w:color w:val="000000" w:themeColor="text1"/>
          <w:szCs w:val="24"/>
        </w:rPr>
        <w:t xml:space="preserve">such </w:t>
      </w:r>
      <w:r w:rsidRPr="00A84E06">
        <w:rPr>
          <w:rFonts w:cs="Times New Roman"/>
          <w:color w:val="000000" w:themeColor="text1"/>
          <w:szCs w:val="24"/>
        </w:rPr>
        <w:t>conduct would not be substantially repeated</w:t>
      </w:r>
      <w:r w:rsidR="00CB6844" w:rsidRPr="00A84E06">
        <w:rPr>
          <w:rFonts w:cs="Times New Roman"/>
          <w:color w:val="000000" w:themeColor="text1"/>
          <w:szCs w:val="24"/>
        </w:rPr>
        <w:t>,</w:t>
      </w:r>
      <w:r w:rsidRPr="00A84E06">
        <w:rPr>
          <w:rFonts w:cs="Times New Roman"/>
          <w:color w:val="000000" w:themeColor="text1"/>
          <w:szCs w:val="24"/>
        </w:rPr>
        <w:t xml:space="preserve"> however,</w:t>
      </w:r>
      <w:r w:rsidR="00CB6844" w:rsidRPr="00A84E06">
        <w:rPr>
          <w:rFonts w:cs="Times New Roman"/>
          <w:color w:val="000000" w:themeColor="text1"/>
          <w:szCs w:val="24"/>
        </w:rPr>
        <w:t xml:space="preserve"> its traders now had much of</w:t>
      </w:r>
      <w:r w:rsidR="00BC3C32" w:rsidRPr="00A84E06">
        <w:rPr>
          <w:rFonts w:cs="Times New Roman"/>
          <w:color w:val="000000" w:themeColor="text1"/>
          <w:szCs w:val="24"/>
        </w:rPr>
        <w:t xml:space="preserve"> </w:t>
      </w:r>
      <w:r w:rsidR="00E226A6" w:rsidRPr="00A84E06">
        <w:rPr>
          <w:rFonts w:cs="Times New Roman"/>
          <w:color w:val="000000" w:themeColor="text1"/>
          <w:szCs w:val="24"/>
        </w:rPr>
        <w:t xml:space="preserve">the </w:t>
      </w:r>
      <w:r w:rsidR="00BC3C32" w:rsidRPr="00A84E06">
        <w:rPr>
          <w:rFonts w:cs="Times New Roman"/>
          <w:color w:val="000000" w:themeColor="text1"/>
          <w:szCs w:val="24"/>
        </w:rPr>
        <w:t xml:space="preserve">information they </w:t>
      </w:r>
      <w:r w:rsidR="00250CCA" w:rsidRPr="00A84E06">
        <w:rPr>
          <w:rFonts w:cs="Times New Roman"/>
          <w:color w:val="000000" w:themeColor="text1"/>
          <w:szCs w:val="24"/>
        </w:rPr>
        <w:t>needed and</w:t>
      </w:r>
      <w:r w:rsidR="00BC3C32" w:rsidRPr="00A84E06">
        <w:rPr>
          <w:rFonts w:cs="Times New Roman"/>
          <w:color w:val="000000" w:themeColor="text1"/>
          <w:szCs w:val="24"/>
        </w:rPr>
        <w:t xml:space="preserve"> were already looking to operationalize it through more sustainable means</w:t>
      </w:r>
      <w:r w:rsidR="000142AC" w:rsidRPr="00764D91">
        <w:rPr>
          <w:rFonts w:cs="Times New Roman"/>
          <w:color w:val="000000" w:themeColor="text1"/>
          <w:szCs w:val="24"/>
        </w:rPr>
        <w:t xml:space="preserve">. Belden had not </w:t>
      </w:r>
      <w:r w:rsidR="00775F32" w:rsidRPr="00764D91">
        <w:rPr>
          <w:rFonts w:cs="Times New Roman"/>
          <w:color w:val="000000" w:themeColor="text1"/>
          <w:szCs w:val="24"/>
        </w:rPr>
        <w:t xml:space="preserve">actually </w:t>
      </w:r>
      <w:r w:rsidR="000142AC" w:rsidRPr="00764D91">
        <w:rPr>
          <w:rFonts w:cs="Times New Roman"/>
          <w:color w:val="000000" w:themeColor="text1"/>
          <w:szCs w:val="24"/>
        </w:rPr>
        <w:t xml:space="preserve">tried to hide his actions. </w:t>
      </w:r>
      <w:r w:rsidR="00775F32" w:rsidRPr="00764D91">
        <w:rPr>
          <w:rFonts w:cs="Times New Roman"/>
          <w:color w:val="000000" w:themeColor="text1"/>
          <w:szCs w:val="24"/>
        </w:rPr>
        <w:t>Moreover</w:t>
      </w:r>
      <w:r w:rsidR="000142AC" w:rsidRPr="00764D91">
        <w:rPr>
          <w:rFonts w:cs="Times New Roman"/>
          <w:color w:val="000000" w:themeColor="text1"/>
          <w:szCs w:val="24"/>
        </w:rPr>
        <w:t xml:space="preserve">, </w:t>
      </w:r>
      <w:r w:rsidR="00BC3C32" w:rsidRPr="00764D91">
        <w:rPr>
          <w:rFonts w:cs="Times New Roman"/>
          <w:color w:val="000000" w:themeColor="text1"/>
          <w:szCs w:val="24"/>
        </w:rPr>
        <w:t xml:space="preserve">he did </w:t>
      </w:r>
      <w:r w:rsidR="00C31B8B" w:rsidRPr="00764D91">
        <w:rPr>
          <w:rFonts w:cs="Times New Roman"/>
          <w:color w:val="000000" w:themeColor="text1"/>
          <w:szCs w:val="24"/>
        </w:rPr>
        <w:t xml:space="preserve">not intend </w:t>
      </w:r>
      <w:r w:rsidR="00BC3C32" w:rsidRPr="00764D91">
        <w:rPr>
          <w:rFonts w:cs="Times New Roman"/>
          <w:color w:val="000000" w:themeColor="text1"/>
          <w:szCs w:val="24"/>
        </w:rPr>
        <w:t>to repeat them</w:t>
      </w:r>
      <w:r w:rsidR="00775F32" w:rsidRPr="00764D91">
        <w:rPr>
          <w:rFonts w:cs="Times New Roman"/>
          <w:color w:val="000000" w:themeColor="text1"/>
          <w:szCs w:val="24"/>
        </w:rPr>
        <w:t>, at least, not in their current form.</w:t>
      </w:r>
      <w:r w:rsidR="000142AC" w:rsidRPr="00764D91">
        <w:rPr>
          <w:rFonts w:cs="Times New Roman"/>
          <w:color w:val="000000" w:themeColor="text1"/>
          <w:szCs w:val="24"/>
        </w:rPr>
        <w:t xml:space="preserve"> </w:t>
      </w:r>
      <w:r w:rsidR="00775F32" w:rsidRPr="00764D91">
        <w:rPr>
          <w:rFonts w:cs="Times New Roman"/>
          <w:color w:val="000000" w:themeColor="text1"/>
          <w:szCs w:val="24"/>
        </w:rPr>
        <w:t>Instead</w:t>
      </w:r>
      <w:r w:rsidR="000142AC" w:rsidRPr="00764D91">
        <w:rPr>
          <w:rFonts w:cs="Times New Roman"/>
          <w:color w:val="000000" w:themeColor="text1"/>
          <w:szCs w:val="24"/>
        </w:rPr>
        <w:t xml:space="preserve">, Silver Peak constituted an isolated </w:t>
      </w:r>
      <w:r w:rsidR="00775F32" w:rsidRPr="00764D91">
        <w:rPr>
          <w:rFonts w:cs="Times New Roman"/>
          <w:color w:val="000000" w:themeColor="text1"/>
          <w:szCs w:val="24"/>
        </w:rPr>
        <w:t>act</w:t>
      </w:r>
      <w:r w:rsidR="00250CCA" w:rsidRPr="00764D91">
        <w:rPr>
          <w:rFonts w:cs="Times New Roman"/>
          <w:color w:val="000000" w:themeColor="text1"/>
          <w:szCs w:val="24"/>
        </w:rPr>
        <w:t xml:space="preserve">, albeit one that </w:t>
      </w:r>
      <w:r w:rsidR="00E61CD8" w:rsidRPr="00764D91">
        <w:rPr>
          <w:rFonts w:cs="Times New Roman"/>
          <w:color w:val="000000" w:themeColor="text1"/>
          <w:szCs w:val="24"/>
        </w:rPr>
        <w:t xml:space="preserve">would precipitate future normalization of </w:t>
      </w:r>
      <w:r w:rsidR="00250CCA" w:rsidRPr="00764D91">
        <w:rPr>
          <w:rFonts w:cs="Times New Roman"/>
          <w:color w:val="000000" w:themeColor="text1"/>
          <w:szCs w:val="24"/>
        </w:rPr>
        <w:t>related</w:t>
      </w:r>
      <w:r w:rsidR="00E61CD8" w:rsidRPr="00764D91">
        <w:rPr>
          <w:rFonts w:cs="Times New Roman"/>
          <w:color w:val="000000" w:themeColor="text1"/>
          <w:szCs w:val="24"/>
        </w:rPr>
        <w:t xml:space="preserve"> practices</w:t>
      </w:r>
      <w:r w:rsidR="00775F32" w:rsidRPr="00764D91">
        <w:rPr>
          <w:rFonts w:cs="Times New Roman"/>
          <w:color w:val="000000" w:themeColor="text1"/>
          <w:szCs w:val="24"/>
        </w:rPr>
        <w:t>.</w:t>
      </w:r>
      <w:r w:rsidR="00775F32" w:rsidRPr="001C30E5">
        <w:rPr>
          <w:rFonts w:cs="Times New Roman"/>
          <w:color w:val="000000" w:themeColor="text1"/>
          <w:szCs w:val="24"/>
        </w:rPr>
        <w:t xml:space="preserve"> </w:t>
      </w:r>
      <w:r w:rsidR="00775F32" w:rsidRPr="00A84E06">
        <w:rPr>
          <w:rFonts w:cs="Times New Roman"/>
          <w:color w:val="000000" w:themeColor="text1"/>
          <w:szCs w:val="24"/>
        </w:rPr>
        <w:t>As such,</w:t>
      </w:r>
      <w:r w:rsidR="000142AC" w:rsidRPr="00A84E06">
        <w:rPr>
          <w:rFonts w:cs="Times New Roman"/>
          <w:color w:val="000000" w:themeColor="text1"/>
          <w:szCs w:val="24"/>
        </w:rPr>
        <w:t xml:space="preserve"> it was indicative of the </w:t>
      </w:r>
      <w:r w:rsidR="00775F32" w:rsidRPr="00A84E06">
        <w:rPr>
          <w:rFonts w:cs="Times New Roman"/>
          <w:color w:val="000000" w:themeColor="text1"/>
          <w:szCs w:val="24"/>
        </w:rPr>
        <w:t>relatively isolated, emergent</w:t>
      </w:r>
      <w:r w:rsidR="000142AC" w:rsidRPr="00A84E06">
        <w:rPr>
          <w:rFonts w:cs="Times New Roman"/>
          <w:color w:val="000000" w:themeColor="text1"/>
          <w:szCs w:val="24"/>
        </w:rPr>
        <w:t xml:space="preserve"> nature of </w:t>
      </w:r>
      <w:r w:rsidR="001C30E5" w:rsidRPr="00A84E06">
        <w:rPr>
          <w:rFonts w:cs="Times New Roman"/>
          <w:color w:val="000000" w:themeColor="text1"/>
          <w:szCs w:val="24"/>
        </w:rPr>
        <w:t xml:space="preserve">gaming </w:t>
      </w:r>
      <w:r w:rsidR="000142AC" w:rsidRPr="00A84E06">
        <w:rPr>
          <w:rFonts w:cs="Times New Roman"/>
          <w:color w:val="000000" w:themeColor="text1"/>
          <w:szCs w:val="24"/>
        </w:rPr>
        <w:t xml:space="preserve">activity </w:t>
      </w:r>
      <w:r w:rsidR="00E61CD8" w:rsidRPr="00A84E06">
        <w:rPr>
          <w:rFonts w:cs="Times New Roman"/>
          <w:color w:val="000000" w:themeColor="text1"/>
          <w:szCs w:val="24"/>
        </w:rPr>
        <w:t xml:space="preserve">within the </w:t>
      </w:r>
      <w:r w:rsidR="00BE03BE" w:rsidRPr="00A84E06">
        <w:rPr>
          <w:rFonts w:cs="Times New Roman"/>
          <w:color w:val="000000" w:themeColor="text1"/>
          <w:szCs w:val="24"/>
        </w:rPr>
        <w:t>division</w:t>
      </w:r>
      <w:r w:rsidR="00E61CD8" w:rsidRPr="00A84E06">
        <w:rPr>
          <w:rFonts w:cs="Times New Roman"/>
          <w:color w:val="000000" w:themeColor="text1"/>
          <w:szCs w:val="24"/>
        </w:rPr>
        <w:t xml:space="preserve"> </w:t>
      </w:r>
      <w:r w:rsidR="000142AC" w:rsidRPr="00A84E06">
        <w:rPr>
          <w:rFonts w:cs="Times New Roman"/>
          <w:color w:val="000000" w:themeColor="text1"/>
          <w:szCs w:val="24"/>
        </w:rPr>
        <w:t>at th</w:t>
      </w:r>
      <w:r w:rsidR="00E61CD8" w:rsidRPr="00A84E06">
        <w:rPr>
          <w:rFonts w:cs="Times New Roman"/>
          <w:color w:val="000000" w:themeColor="text1"/>
          <w:szCs w:val="24"/>
        </w:rPr>
        <w:t>at</w:t>
      </w:r>
      <w:r w:rsidR="000142AC" w:rsidRPr="00A84E06">
        <w:rPr>
          <w:rFonts w:cs="Times New Roman"/>
          <w:color w:val="000000" w:themeColor="text1"/>
          <w:szCs w:val="24"/>
        </w:rPr>
        <w:t xml:space="preserve"> time. </w:t>
      </w:r>
      <w:r w:rsidR="00574EC4" w:rsidRPr="00A84E06">
        <w:rPr>
          <w:rFonts w:cs="Times New Roman"/>
          <w:color w:val="000000" w:themeColor="text1"/>
          <w:szCs w:val="24"/>
        </w:rPr>
        <w:t xml:space="preserve">Enron’s defense of Belden during Silver Peak </w:t>
      </w:r>
      <w:r w:rsidR="00574EC4" w:rsidRPr="00A84E06">
        <w:rPr>
          <w:rFonts w:cs="Times New Roman"/>
          <w:color w:val="000000" w:themeColor="text1"/>
          <w:szCs w:val="24"/>
        </w:rPr>
        <w:lastRenderedPageBreak/>
        <w:t xml:space="preserve">had also positively sanctioned such activity, </w:t>
      </w:r>
      <w:r w:rsidR="00870CBE" w:rsidRPr="00A84E06">
        <w:rPr>
          <w:rFonts w:cs="Times New Roman"/>
          <w:color w:val="000000" w:themeColor="text1"/>
          <w:szCs w:val="24"/>
        </w:rPr>
        <w:t>presenting</w:t>
      </w:r>
      <w:r w:rsidR="00574EC4" w:rsidRPr="00A84E06">
        <w:rPr>
          <w:rFonts w:cs="Times New Roman"/>
          <w:color w:val="000000" w:themeColor="text1"/>
          <w:szCs w:val="24"/>
        </w:rPr>
        <w:t xml:space="preserve"> gaming </w:t>
      </w:r>
      <w:r w:rsidR="00870CBE" w:rsidRPr="00A84E06">
        <w:rPr>
          <w:rFonts w:cs="Times New Roman"/>
          <w:color w:val="000000" w:themeColor="text1"/>
          <w:szCs w:val="24"/>
        </w:rPr>
        <w:t>as concordant with the</w:t>
      </w:r>
      <w:r w:rsidR="00574EC4" w:rsidRPr="00A84E06">
        <w:rPr>
          <w:rFonts w:cs="Times New Roman"/>
          <w:color w:val="000000" w:themeColor="text1"/>
          <w:szCs w:val="24"/>
        </w:rPr>
        <w:t xml:space="preserve"> company’s wider </w:t>
      </w:r>
      <w:r w:rsidR="00870CBE" w:rsidRPr="00A84E06">
        <w:rPr>
          <w:rFonts w:cs="Times New Roman"/>
          <w:color w:val="000000" w:themeColor="text1"/>
          <w:szCs w:val="24"/>
        </w:rPr>
        <w:t>culture</w:t>
      </w:r>
      <w:r w:rsidR="00574EC4" w:rsidRPr="00A84E06">
        <w:rPr>
          <w:rFonts w:cs="Times New Roman"/>
          <w:color w:val="000000" w:themeColor="text1"/>
          <w:szCs w:val="24"/>
        </w:rPr>
        <w:t xml:space="preserve"> and ethical position. Even if the operational particularities </w:t>
      </w:r>
      <w:r w:rsidR="00870CBE" w:rsidRPr="00A84E06">
        <w:rPr>
          <w:rFonts w:cs="Times New Roman"/>
          <w:color w:val="000000" w:themeColor="text1"/>
          <w:szCs w:val="24"/>
        </w:rPr>
        <w:t>of manipulative energy trading</w:t>
      </w:r>
      <w:r w:rsidR="00574EC4" w:rsidRPr="00A84E06">
        <w:rPr>
          <w:rFonts w:cs="Times New Roman"/>
          <w:color w:val="000000" w:themeColor="text1"/>
          <w:szCs w:val="24"/>
        </w:rPr>
        <w:t xml:space="preserve"> were largely bound with</w:t>
      </w:r>
      <w:r w:rsidR="001C30E5" w:rsidRPr="00A84E06">
        <w:rPr>
          <w:rFonts w:cs="Times New Roman"/>
          <w:color w:val="000000" w:themeColor="text1"/>
          <w:szCs w:val="24"/>
        </w:rPr>
        <w:t>in</w:t>
      </w:r>
      <w:r w:rsidR="00574EC4" w:rsidRPr="00A84E06">
        <w:rPr>
          <w:rFonts w:cs="Times New Roman"/>
          <w:color w:val="000000" w:themeColor="text1"/>
          <w:szCs w:val="24"/>
        </w:rPr>
        <w:t xml:space="preserve"> the division, Enron’s executives saw </w:t>
      </w:r>
      <w:r w:rsidR="00A77D0D" w:rsidRPr="00A84E06">
        <w:rPr>
          <w:rFonts w:cs="Times New Roman"/>
          <w:color w:val="000000" w:themeColor="text1"/>
          <w:szCs w:val="24"/>
        </w:rPr>
        <w:t>the lever</w:t>
      </w:r>
      <w:r w:rsidR="006934EA" w:rsidRPr="00A84E06">
        <w:rPr>
          <w:rFonts w:cs="Times New Roman"/>
          <w:color w:val="000000" w:themeColor="text1"/>
          <w:szCs w:val="24"/>
        </w:rPr>
        <w:t>ag</w:t>
      </w:r>
      <w:r w:rsidR="00A77D0D" w:rsidRPr="00A84E06">
        <w:rPr>
          <w:rFonts w:cs="Times New Roman"/>
          <w:color w:val="000000" w:themeColor="text1"/>
          <w:szCs w:val="24"/>
        </w:rPr>
        <w:t xml:space="preserve">ing of California’s new system as vital to the company’s financial prosperity. </w:t>
      </w:r>
    </w:p>
    <w:p w14:paraId="7CB7BC59" w14:textId="77777777" w:rsidR="00066B25" w:rsidRPr="002E6E04" w:rsidRDefault="00066B25" w:rsidP="00231413">
      <w:pPr>
        <w:spacing w:after="0"/>
        <w:ind w:firstLine="720"/>
        <w:rPr>
          <w:rFonts w:cs="Times New Roman"/>
          <w:color w:val="000000" w:themeColor="text1"/>
          <w:szCs w:val="24"/>
        </w:rPr>
      </w:pPr>
    </w:p>
    <w:p w14:paraId="15C2DCF1" w14:textId="1CD1795B" w:rsidR="000142AC" w:rsidRPr="002E6E04" w:rsidRDefault="007F4F76" w:rsidP="00D72386">
      <w:pPr>
        <w:pStyle w:val="Heading2"/>
        <w:numPr>
          <w:ilvl w:val="0"/>
          <w:numId w:val="0"/>
        </w:numPr>
        <w:spacing w:line="480" w:lineRule="auto"/>
        <w:ind w:left="576" w:hanging="576"/>
      </w:pPr>
      <w:r w:rsidRPr="00727F2D">
        <w:t xml:space="preserve">Normalizing </w:t>
      </w:r>
      <w:r w:rsidR="008015F4" w:rsidRPr="00727F2D">
        <w:t>corruption</w:t>
      </w:r>
      <w:r w:rsidR="001C30E5">
        <w:t xml:space="preserve"> </w:t>
      </w:r>
    </w:p>
    <w:p w14:paraId="6FA2C677" w14:textId="7E07CD03" w:rsidR="000142AC" w:rsidRPr="002E6E04" w:rsidRDefault="000142AC" w:rsidP="001C30E5">
      <w:pPr>
        <w:autoSpaceDE w:val="0"/>
        <w:autoSpaceDN w:val="0"/>
        <w:adjustRightInd w:val="0"/>
        <w:spacing w:after="0"/>
        <w:rPr>
          <w:rFonts w:cs="Times New Roman"/>
          <w:color w:val="000000" w:themeColor="text1"/>
          <w:szCs w:val="24"/>
        </w:rPr>
      </w:pPr>
      <w:r w:rsidRPr="002E6E04">
        <w:rPr>
          <w:rFonts w:cs="Times New Roman"/>
          <w:color w:val="000000" w:themeColor="text1"/>
          <w:szCs w:val="24"/>
        </w:rPr>
        <w:t xml:space="preserve">By late 1999, Belden was </w:t>
      </w:r>
      <w:r w:rsidR="00272A88" w:rsidRPr="002E6E04">
        <w:rPr>
          <w:rFonts w:cs="Times New Roman"/>
          <w:color w:val="000000" w:themeColor="text1"/>
          <w:szCs w:val="24"/>
        </w:rPr>
        <w:t>running</w:t>
      </w:r>
      <w:r w:rsidR="0010686D">
        <w:rPr>
          <w:rFonts w:cs="Times New Roman"/>
          <w:color w:val="000000" w:themeColor="text1"/>
          <w:szCs w:val="24"/>
        </w:rPr>
        <w:t xml:space="preserve"> </w:t>
      </w:r>
      <w:r w:rsidR="0010686D" w:rsidRPr="001C30E5">
        <w:rPr>
          <w:rFonts w:cs="Times New Roman"/>
          <w:color w:val="000000" w:themeColor="text1"/>
          <w:szCs w:val="24"/>
        </w:rPr>
        <w:t xml:space="preserve">the whole </w:t>
      </w:r>
      <w:r w:rsidRPr="001C30E5">
        <w:rPr>
          <w:rFonts w:cs="Times New Roman"/>
          <w:color w:val="000000" w:themeColor="text1"/>
          <w:szCs w:val="24"/>
        </w:rPr>
        <w:t xml:space="preserve">West Power </w:t>
      </w:r>
      <w:r w:rsidR="0010686D" w:rsidRPr="001C30E5">
        <w:rPr>
          <w:rFonts w:cs="Times New Roman"/>
          <w:color w:val="000000" w:themeColor="text1"/>
          <w:szCs w:val="24"/>
        </w:rPr>
        <w:t>division</w:t>
      </w:r>
      <w:r w:rsidRPr="001C30E5">
        <w:rPr>
          <w:rFonts w:cs="Times New Roman"/>
          <w:color w:val="000000" w:themeColor="text1"/>
          <w:szCs w:val="24"/>
        </w:rPr>
        <w:t>.</w:t>
      </w:r>
      <w:r w:rsidR="00294396" w:rsidRPr="001C30E5">
        <w:rPr>
          <w:rStyle w:val="EndnoteReference"/>
          <w:rFonts w:cs="Times New Roman"/>
          <w:color w:val="000000" w:themeColor="text1"/>
          <w:szCs w:val="24"/>
        </w:rPr>
        <w:endnoteReference w:id="100"/>
      </w:r>
      <w:r w:rsidRPr="001C30E5">
        <w:rPr>
          <w:rFonts w:cs="Times New Roman"/>
          <w:color w:val="000000" w:themeColor="text1"/>
          <w:szCs w:val="24"/>
        </w:rPr>
        <w:t xml:space="preserve"> </w:t>
      </w:r>
      <w:r w:rsidRPr="00A84E06">
        <w:rPr>
          <w:rFonts w:cs="Times New Roman"/>
          <w:color w:val="000000" w:themeColor="text1"/>
          <w:szCs w:val="24"/>
        </w:rPr>
        <w:t xml:space="preserve">Additionally, </w:t>
      </w:r>
      <w:r w:rsidR="006C0EF3" w:rsidRPr="00A84E06">
        <w:rPr>
          <w:rFonts w:cs="Times New Roman"/>
          <w:color w:val="000000" w:themeColor="text1"/>
          <w:szCs w:val="24"/>
        </w:rPr>
        <w:t xml:space="preserve">a </w:t>
      </w:r>
      <w:r w:rsidRPr="00A84E06">
        <w:rPr>
          <w:rFonts w:cs="Times New Roman"/>
          <w:color w:val="000000" w:themeColor="text1"/>
          <w:szCs w:val="24"/>
        </w:rPr>
        <w:t>trader responsible</w:t>
      </w:r>
      <w:r w:rsidR="00FC39D5" w:rsidRPr="00A84E06">
        <w:rPr>
          <w:rFonts w:cs="Times New Roman"/>
          <w:color w:val="000000" w:themeColor="text1"/>
          <w:szCs w:val="24"/>
        </w:rPr>
        <w:t xml:space="preserve"> for</w:t>
      </w:r>
      <w:r w:rsidR="00882AB4" w:rsidRPr="00A84E06">
        <w:rPr>
          <w:rFonts w:cs="Times New Roman"/>
          <w:color w:val="000000" w:themeColor="text1"/>
          <w:szCs w:val="24"/>
        </w:rPr>
        <w:t xml:space="preserve"> a</w:t>
      </w:r>
      <w:r w:rsidRPr="00A84E06">
        <w:rPr>
          <w:rFonts w:cs="Times New Roman"/>
          <w:color w:val="000000" w:themeColor="text1"/>
          <w:szCs w:val="24"/>
        </w:rPr>
        <w:t xml:space="preserve"> </w:t>
      </w:r>
      <w:r w:rsidR="006B4F93" w:rsidRPr="00A84E06">
        <w:rPr>
          <w:rFonts w:cs="Times New Roman"/>
          <w:color w:val="000000" w:themeColor="text1"/>
          <w:szCs w:val="24"/>
        </w:rPr>
        <w:t xml:space="preserve">small-scale gaming </w:t>
      </w:r>
      <w:r w:rsidR="00FC39D5" w:rsidRPr="00A84E06">
        <w:rPr>
          <w:rFonts w:cs="Times New Roman"/>
          <w:color w:val="000000" w:themeColor="text1"/>
          <w:szCs w:val="24"/>
        </w:rPr>
        <w:t>scheme</w:t>
      </w:r>
      <w:r w:rsidR="006C0EF3" w:rsidRPr="00A84E06">
        <w:rPr>
          <w:rFonts w:cs="Times New Roman"/>
          <w:color w:val="000000" w:themeColor="text1"/>
          <w:szCs w:val="24"/>
        </w:rPr>
        <w:t xml:space="preserve"> in Canada</w:t>
      </w:r>
      <w:r w:rsidRPr="00A84E06">
        <w:rPr>
          <w:rFonts w:cs="Times New Roman"/>
          <w:color w:val="000000" w:themeColor="text1"/>
          <w:szCs w:val="24"/>
        </w:rPr>
        <w:t xml:space="preserve">, </w:t>
      </w:r>
      <w:r w:rsidR="006C0EF3" w:rsidRPr="00A84E06">
        <w:rPr>
          <w:rFonts w:cs="Times New Roman"/>
          <w:color w:val="000000" w:themeColor="text1"/>
          <w:szCs w:val="24"/>
        </w:rPr>
        <w:t xml:space="preserve">John </w:t>
      </w:r>
      <w:r w:rsidRPr="00A84E06">
        <w:rPr>
          <w:rFonts w:cs="Times New Roman"/>
          <w:color w:val="000000" w:themeColor="text1"/>
          <w:szCs w:val="24"/>
        </w:rPr>
        <w:t xml:space="preserve">Lavorato, </w:t>
      </w:r>
      <w:r w:rsidR="005B552F" w:rsidRPr="00A84E06">
        <w:rPr>
          <w:rFonts w:cs="Times New Roman"/>
          <w:color w:val="000000" w:themeColor="text1"/>
          <w:szCs w:val="24"/>
        </w:rPr>
        <w:t xml:space="preserve">was now </w:t>
      </w:r>
      <w:r w:rsidRPr="00A84E06">
        <w:rPr>
          <w:rFonts w:cs="Times New Roman"/>
          <w:color w:val="000000" w:themeColor="text1"/>
          <w:szCs w:val="24"/>
        </w:rPr>
        <w:t>Belden’s superior. In Lavorato, Belden had a boss who understood the potential gaming offered and shared similar ethical views on its use.</w:t>
      </w:r>
      <w:r w:rsidR="00294396" w:rsidRPr="00A84E06">
        <w:rPr>
          <w:rStyle w:val="EndnoteReference"/>
          <w:rFonts w:cs="Times New Roman"/>
          <w:color w:val="000000" w:themeColor="text1"/>
          <w:szCs w:val="24"/>
        </w:rPr>
        <w:endnoteReference w:id="101"/>
      </w:r>
      <w:r w:rsidRPr="00A84E06">
        <w:rPr>
          <w:rFonts w:cs="Times New Roman"/>
          <w:color w:val="000000" w:themeColor="text1"/>
          <w:szCs w:val="24"/>
        </w:rPr>
        <w:t xml:space="preserve"> While experiments like Silver Peak had provided valuable insight, they </w:t>
      </w:r>
      <w:r w:rsidR="00882AB4" w:rsidRPr="00A84E06">
        <w:rPr>
          <w:rFonts w:cs="Times New Roman"/>
          <w:color w:val="000000" w:themeColor="text1"/>
          <w:szCs w:val="24"/>
        </w:rPr>
        <w:t>were</w:t>
      </w:r>
      <w:r w:rsidRPr="00A84E06">
        <w:rPr>
          <w:rFonts w:cs="Times New Roman"/>
          <w:color w:val="000000" w:themeColor="text1"/>
          <w:szCs w:val="24"/>
        </w:rPr>
        <w:t xml:space="preserve"> unsubtle</w:t>
      </w:r>
      <w:r w:rsidR="00882AB4" w:rsidRPr="00A84E06">
        <w:rPr>
          <w:rFonts w:cs="Times New Roman"/>
          <w:color w:val="000000" w:themeColor="text1"/>
          <w:szCs w:val="24"/>
        </w:rPr>
        <w:t xml:space="preserve">, </w:t>
      </w:r>
      <w:r w:rsidR="00C31B8B" w:rsidRPr="00A84E06">
        <w:rPr>
          <w:rFonts w:cs="Times New Roman"/>
          <w:color w:val="000000" w:themeColor="text1"/>
          <w:szCs w:val="24"/>
        </w:rPr>
        <w:t xml:space="preserve">so </w:t>
      </w:r>
      <w:r w:rsidRPr="00A84E06">
        <w:rPr>
          <w:rFonts w:cs="Times New Roman"/>
          <w:color w:val="000000" w:themeColor="text1"/>
          <w:szCs w:val="24"/>
        </w:rPr>
        <w:t>traders began incorporating th</w:t>
      </w:r>
      <w:r w:rsidR="00C31B8B" w:rsidRPr="00A84E06">
        <w:rPr>
          <w:rFonts w:cs="Times New Roman"/>
          <w:color w:val="000000" w:themeColor="text1"/>
          <w:szCs w:val="24"/>
        </w:rPr>
        <w:t>is</w:t>
      </w:r>
      <w:r w:rsidRPr="00A84E06">
        <w:rPr>
          <w:rFonts w:cs="Times New Roman"/>
          <w:color w:val="000000" w:themeColor="text1"/>
          <w:szCs w:val="24"/>
        </w:rPr>
        <w:t xml:space="preserve"> knowledge</w:t>
      </w:r>
      <w:r w:rsidR="00882AB4" w:rsidRPr="00A84E06">
        <w:rPr>
          <w:rFonts w:cs="Times New Roman"/>
          <w:color w:val="000000" w:themeColor="text1"/>
          <w:szCs w:val="24"/>
        </w:rPr>
        <w:t xml:space="preserve"> </w:t>
      </w:r>
      <w:r w:rsidRPr="00A84E06">
        <w:rPr>
          <w:rFonts w:cs="Times New Roman"/>
          <w:color w:val="000000" w:themeColor="text1"/>
          <w:szCs w:val="24"/>
        </w:rPr>
        <w:t xml:space="preserve">into more covert </w:t>
      </w:r>
      <w:r w:rsidR="00514A1F" w:rsidRPr="00A84E06">
        <w:rPr>
          <w:rFonts w:cs="Times New Roman"/>
          <w:color w:val="000000" w:themeColor="text1"/>
          <w:szCs w:val="24"/>
        </w:rPr>
        <w:t>“</w:t>
      </w:r>
      <w:r w:rsidRPr="00A84E06">
        <w:rPr>
          <w:rFonts w:cs="Times New Roman"/>
          <w:iCs/>
          <w:color w:val="000000" w:themeColor="text1"/>
          <w:szCs w:val="24"/>
        </w:rPr>
        <w:t>trading strategies</w:t>
      </w:r>
      <w:r w:rsidR="00514A1F" w:rsidRPr="00A84E06">
        <w:rPr>
          <w:rFonts w:cs="Times New Roman"/>
          <w:iCs/>
          <w:color w:val="000000" w:themeColor="text1"/>
          <w:szCs w:val="24"/>
        </w:rPr>
        <w:t>”</w:t>
      </w:r>
      <w:r w:rsidR="00882AB4" w:rsidRPr="00A84E06">
        <w:rPr>
          <w:rFonts w:cs="Times New Roman"/>
          <w:i/>
          <w:color w:val="000000" w:themeColor="text1"/>
          <w:szCs w:val="24"/>
        </w:rPr>
        <w:t xml:space="preserve"> </w:t>
      </w:r>
      <w:r w:rsidR="00882AB4" w:rsidRPr="00A84E06">
        <w:rPr>
          <w:rFonts w:cs="Times New Roman"/>
          <w:color w:val="000000" w:themeColor="text1"/>
          <w:szCs w:val="24"/>
        </w:rPr>
        <w:t>(see Table 1)</w:t>
      </w:r>
      <w:r w:rsidRPr="00A84E06">
        <w:rPr>
          <w:rFonts w:cs="Times New Roman"/>
          <w:color w:val="000000" w:themeColor="text1"/>
          <w:szCs w:val="24"/>
        </w:rPr>
        <w:t>.</w:t>
      </w:r>
      <w:r w:rsidR="00294396" w:rsidRPr="00A84E06">
        <w:rPr>
          <w:rStyle w:val="EndnoteReference"/>
          <w:rFonts w:cs="Times New Roman"/>
          <w:color w:val="000000" w:themeColor="text1"/>
          <w:szCs w:val="24"/>
        </w:rPr>
        <w:endnoteReference w:id="102"/>
      </w:r>
      <w:r w:rsidRPr="00A84E06">
        <w:rPr>
          <w:rFonts w:cs="Times New Roman"/>
          <w:color w:val="000000" w:themeColor="text1"/>
          <w:szCs w:val="24"/>
        </w:rPr>
        <w:t xml:space="preserve"> These were </w:t>
      </w:r>
      <w:r w:rsidR="00FB3701" w:rsidRPr="00A84E06">
        <w:rPr>
          <w:rFonts w:cs="Times New Roman"/>
          <w:color w:val="000000" w:themeColor="text1"/>
          <w:szCs w:val="24"/>
        </w:rPr>
        <w:t>pre-</w:t>
      </w:r>
      <w:r w:rsidR="00BB0240" w:rsidRPr="00A84E06">
        <w:rPr>
          <w:rFonts w:cs="Times New Roman"/>
          <w:color w:val="000000" w:themeColor="text1"/>
          <w:szCs w:val="24"/>
        </w:rPr>
        <w:t>defined</w:t>
      </w:r>
      <w:r w:rsidR="00FB3701" w:rsidRPr="00A84E06">
        <w:rPr>
          <w:rFonts w:cs="Times New Roman"/>
          <w:color w:val="000000" w:themeColor="text1"/>
          <w:szCs w:val="24"/>
        </w:rPr>
        <w:t xml:space="preserve"> </w:t>
      </w:r>
      <w:r w:rsidR="00BB0240" w:rsidRPr="00A84E06">
        <w:rPr>
          <w:rFonts w:cs="Times New Roman"/>
          <w:color w:val="000000" w:themeColor="text1"/>
          <w:szCs w:val="24"/>
        </w:rPr>
        <w:t>formulas</w:t>
      </w:r>
      <w:r w:rsidRPr="00A84E06">
        <w:rPr>
          <w:rFonts w:cs="Times New Roman"/>
          <w:color w:val="000000" w:themeColor="text1"/>
          <w:szCs w:val="24"/>
        </w:rPr>
        <w:t xml:space="preserve"> that exploited vulnerabilities in California’s systems while disguising the traders’ true intent. </w:t>
      </w:r>
      <w:r w:rsidR="00BB0240" w:rsidRPr="00A84E06">
        <w:rPr>
          <w:rFonts w:cs="Times New Roman"/>
          <w:color w:val="000000" w:themeColor="text1"/>
          <w:szCs w:val="24"/>
        </w:rPr>
        <w:t xml:space="preserve">Moreover, </w:t>
      </w:r>
      <w:r w:rsidR="00BC3C32" w:rsidRPr="00A84E06">
        <w:rPr>
          <w:rFonts w:cs="Times New Roman"/>
          <w:color w:val="000000" w:themeColor="text1"/>
          <w:szCs w:val="24"/>
        </w:rPr>
        <w:t>they</w:t>
      </w:r>
      <w:r w:rsidR="00BB0240" w:rsidRPr="00A84E06">
        <w:rPr>
          <w:rFonts w:cs="Times New Roman"/>
          <w:color w:val="000000" w:themeColor="text1"/>
          <w:szCs w:val="24"/>
        </w:rPr>
        <w:t xml:space="preserve"> could be</w:t>
      </w:r>
      <w:r w:rsidRPr="00A84E06">
        <w:rPr>
          <w:rFonts w:cs="Times New Roman"/>
          <w:color w:val="000000" w:themeColor="text1"/>
          <w:szCs w:val="24"/>
        </w:rPr>
        <w:t xml:space="preserve"> used many times</w:t>
      </w:r>
      <w:r w:rsidR="00BB0240" w:rsidRPr="00A84E06">
        <w:rPr>
          <w:rFonts w:cs="Times New Roman"/>
          <w:color w:val="000000" w:themeColor="text1"/>
          <w:szCs w:val="24"/>
        </w:rPr>
        <w:t xml:space="preserve">, </w:t>
      </w:r>
      <w:r w:rsidRPr="00A84E06">
        <w:rPr>
          <w:rFonts w:cs="Times New Roman"/>
          <w:color w:val="000000" w:themeColor="text1"/>
          <w:szCs w:val="24"/>
        </w:rPr>
        <w:t>allow</w:t>
      </w:r>
      <w:r w:rsidR="00BB0240" w:rsidRPr="00A84E06">
        <w:rPr>
          <w:rFonts w:cs="Times New Roman"/>
          <w:color w:val="000000" w:themeColor="text1"/>
          <w:szCs w:val="24"/>
        </w:rPr>
        <w:t>ing</w:t>
      </w:r>
      <w:r w:rsidRPr="00A84E06">
        <w:rPr>
          <w:rFonts w:cs="Times New Roman"/>
          <w:color w:val="000000" w:themeColor="text1"/>
          <w:szCs w:val="24"/>
        </w:rPr>
        <w:t xml:space="preserve"> senior traders to embed and </w:t>
      </w:r>
      <w:r w:rsidR="009D3F3D" w:rsidRPr="00A84E06">
        <w:rPr>
          <w:rFonts w:cs="Times New Roman"/>
          <w:color w:val="000000" w:themeColor="text1"/>
          <w:szCs w:val="24"/>
        </w:rPr>
        <w:t>routinize</w:t>
      </w:r>
      <w:r w:rsidR="00882AB4" w:rsidRPr="00A84E06">
        <w:rPr>
          <w:rFonts w:cs="Times New Roman"/>
          <w:color w:val="000000" w:themeColor="text1"/>
          <w:szCs w:val="24"/>
        </w:rPr>
        <w:t xml:space="preserve"> gaming</w:t>
      </w:r>
      <w:r w:rsidRPr="00A84E06">
        <w:rPr>
          <w:rFonts w:cs="Times New Roman"/>
          <w:color w:val="000000" w:themeColor="text1"/>
          <w:szCs w:val="24"/>
        </w:rPr>
        <w:t xml:space="preserve"> as a widespread</w:t>
      </w:r>
      <w:r w:rsidR="00BB0240" w:rsidRPr="00A84E06">
        <w:rPr>
          <w:rFonts w:cs="Times New Roman"/>
          <w:color w:val="000000" w:themeColor="text1"/>
          <w:szCs w:val="24"/>
        </w:rPr>
        <w:t>, consistent</w:t>
      </w:r>
      <w:r w:rsidRPr="00A84E06">
        <w:rPr>
          <w:rFonts w:cs="Times New Roman"/>
          <w:color w:val="000000" w:themeColor="text1"/>
          <w:szCs w:val="24"/>
        </w:rPr>
        <w:t xml:space="preserve"> practice within the division. In this way, the end of 1999 saw reports of preliminary success in exploiting the ISO’s flawed system</w:t>
      </w:r>
      <w:r w:rsidR="00C818C5" w:rsidRPr="00A84E06">
        <w:rPr>
          <w:rFonts w:cs="Times New Roman"/>
          <w:color w:val="000000" w:themeColor="text1"/>
          <w:szCs w:val="24"/>
        </w:rPr>
        <w:t xml:space="preserve">. </w:t>
      </w:r>
      <w:r w:rsidR="00117CE9" w:rsidRPr="00A84E06">
        <w:rPr>
          <w:rFonts w:cs="Times New Roman"/>
          <w:color w:val="000000" w:themeColor="text1"/>
          <w:szCs w:val="24"/>
        </w:rPr>
        <w:t>O</w:t>
      </w:r>
      <w:r w:rsidR="00C818C5" w:rsidRPr="00A84E06">
        <w:rPr>
          <w:rFonts w:cs="Times New Roman"/>
          <w:color w:val="000000" w:themeColor="text1"/>
          <w:szCs w:val="24"/>
        </w:rPr>
        <w:t xml:space="preserve">ne </w:t>
      </w:r>
      <w:r w:rsidR="00117CE9" w:rsidRPr="00A84E06">
        <w:rPr>
          <w:rFonts w:cs="Times New Roman"/>
          <w:color w:val="000000" w:themeColor="text1"/>
          <w:szCs w:val="24"/>
        </w:rPr>
        <w:t xml:space="preserve">of </w:t>
      </w:r>
      <w:r w:rsidR="00C818C5" w:rsidRPr="00A84E06">
        <w:rPr>
          <w:rFonts w:cs="Times New Roman"/>
          <w:color w:val="000000" w:themeColor="text1"/>
          <w:szCs w:val="24"/>
        </w:rPr>
        <w:t xml:space="preserve">the </w:t>
      </w:r>
      <w:r w:rsidR="00117CE9" w:rsidRPr="00A84E06">
        <w:rPr>
          <w:rFonts w:cs="Times New Roman"/>
          <w:color w:val="000000" w:themeColor="text1"/>
          <w:szCs w:val="24"/>
        </w:rPr>
        <w:t>division’s</w:t>
      </w:r>
      <w:r w:rsidR="00C818C5" w:rsidRPr="00A84E06">
        <w:rPr>
          <w:rFonts w:cs="Times New Roman"/>
          <w:color w:val="000000" w:themeColor="text1"/>
          <w:szCs w:val="24"/>
        </w:rPr>
        <w:t xml:space="preserve"> traders, </w:t>
      </w:r>
      <w:r w:rsidR="00117CE9" w:rsidRPr="00A84E06">
        <w:rPr>
          <w:rFonts w:cs="Times New Roman"/>
          <w:color w:val="000000" w:themeColor="text1"/>
          <w:szCs w:val="24"/>
        </w:rPr>
        <w:t xml:space="preserve">even </w:t>
      </w:r>
      <w:r w:rsidR="00C818C5" w:rsidRPr="00A84E06">
        <w:rPr>
          <w:rFonts w:cs="Times New Roman"/>
          <w:color w:val="000000" w:themeColor="text1"/>
          <w:szCs w:val="24"/>
        </w:rPr>
        <w:t>cited</w:t>
      </w:r>
      <w:r w:rsidR="00117CE9" w:rsidRPr="00A84E06">
        <w:rPr>
          <w:rFonts w:cs="Times New Roman"/>
          <w:color w:val="000000" w:themeColor="text1"/>
          <w:szCs w:val="24"/>
        </w:rPr>
        <w:t xml:space="preserve"> “gaming California’s congestion management system” among his accomplishments, “</w:t>
      </w:r>
      <w:r w:rsidRPr="00A84E06">
        <w:rPr>
          <w:rFonts w:cs="Times New Roman"/>
          <w:color w:val="000000" w:themeColor="text1"/>
          <w:szCs w:val="24"/>
        </w:rPr>
        <w:t>capturing significant value in the process</w:t>
      </w:r>
      <w:r w:rsidR="00A84E06">
        <w:rPr>
          <w:rFonts w:cs="Times New Roman"/>
          <w:color w:val="000000" w:themeColor="text1"/>
          <w:szCs w:val="24"/>
        </w:rPr>
        <w:t>.</w:t>
      </w:r>
      <w:r w:rsidRPr="00A84E06">
        <w:rPr>
          <w:rFonts w:cs="Times New Roman"/>
          <w:color w:val="000000" w:themeColor="text1"/>
          <w:szCs w:val="24"/>
        </w:rPr>
        <w:t>”</w:t>
      </w:r>
      <w:r w:rsidR="00294396" w:rsidRPr="00A84E06">
        <w:rPr>
          <w:rStyle w:val="EndnoteReference"/>
          <w:rFonts w:cs="Times New Roman"/>
          <w:color w:val="000000" w:themeColor="text1"/>
          <w:szCs w:val="24"/>
        </w:rPr>
        <w:endnoteReference w:id="103"/>
      </w:r>
      <w:r w:rsidRPr="00A84E06">
        <w:rPr>
          <w:rFonts w:cs="Times New Roman"/>
          <w:color w:val="000000" w:themeColor="text1"/>
          <w:szCs w:val="24"/>
        </w:rPr>
        <w:t xml:space="preserve"> </w:t>
      </w:r>
      <w:r w:rsidR="00BB0240" w:rsidRPr="00A84E06">
        <w:rPr>
          <w:rFonts w:cs="Times New Roman"/>
          <w:color w:val="000000" w:themeColor="text1"/>
          <w:szCs w:val="24"/>
        </w:rPr>
        <w:t>D</w:t>
      </w:r>
      <w:r w:rsidRPr="00A84E06">
        <w:rPr>
          <w:rFonts w:cs="Times New Roman"/>
          <w:color w:val="000000" w:themeColor="text1"/>
          <w:szCs w:val="24"/>
        </w:rPr>
        <w:t xml:space="preserve">uring this time </w:t>
      </w:r>
      <w:r w:rsidR="00E07801" w:rsidRPr="00A84E06">
        <w:rPr>
          <w:rFonts w:cs="Times New Roman"/>
          <w:color w:val="000000" w:themeColor="text1"/>
          <w:szCs w:val="24"/>
        </w:rPr>
        <w:t>such gaming activities were</w:t>
      </w:r>
      <w:r w:rsidR="00BB0240" w:rsidRPr="00A84E06">
        <w:rPr>
          <w:rFonts w:cs="Times New Roman"/>
          <w:color w:val="000000" w:themeColor="text1"/>
          <w:szCs w:val="24"/>
        </w:rPr>
        <w:t>, therefore,</w:t>
      </w:r>
      <w:r w:rsidRPr="00A84E06">
        <w:rPr>
          <w:rFonts w:cs="Times New Roman"/>
          <w:color w:val="000000" w:themeColor="text1"/>
          <w:szCs w:val="24"/>
        </w:rPr>
        <w:t xml:space="preserve"> increasingly </w:t>
      </w:r>
      <w:r w:rsidR="007F4F76" w:rsidRPr="00A84E06">
        <w:rPr>
          <w:rFonts w:cs="Times New Roman"/>
          <w:color w:val="000000" w:themeColor="text1"/>
          <w:szCs w:val="24"/>
        </w:rPr>
        <w:t>normalized,</w:t>
      </w:r>
      <w:r w:rsidRPr="00A84E06">
        <w:rPr>
          <w:rFonts w:cs="Times New Roman"/>
          <w:color w:val="000000" w:themeColor="text1"/>
          <w:szCs w:val="24"/>
        </w:rPr>
        <w:t xml:space="preserve"> moving beyond the instigating actors and into the everyday activities </w:t>
      </w:r>
      <w:r w:rsidR="00882AB4" w:rsidRPr="00A84E06">
        <w:rPr>
          <w:rFonts w:cs="Times New Roman"/>
          <w:color w:val="000000" w:themeColor="text1"/>
          <w:szCs w:val="24"/>
        </w:rPr>
        <w:t>of the wider division.</w:t>
      </w:r>
    </w:p>
    <w:p w14:paraId="47166DAE" w14:textId="755A84B2" w:rsidR="00E62D7D" w:rsidRPr="00974B0C" w:rsidRDefault="00E62D7D" w:rsidP="00E62D7D">
      <w:pPr>
        <w:spacing w:after="0"/>
        <w:ind w:firstLine="720"/>
        <w:jc w:val="center"/>
        <w:rPr>
          <w:rFonts w:cs="Times New Roman"/>
          <w:color w:val="000000" w:themeColor="text1"/>
          <w:szCs w:val="24"/>
        </w:rPr>
      </w:pPr>
      <w:r w:rsidRPr="00974B0C">
        <w:rPr>
          <w:rFonts w:cs="Times New Roman"/>
          <w:color w:val="000000" w:themeColor="text1"/>
          <w:szCs w:val="24"/>
        </w:rPr>
        <w:t>[Insert Table 1 here]</w:t>
      </w:r>
    </w:p>
    <w:p w14:paraId="52A4B6EB" w14:textId="66D7D9BE" w:rsidR="000142AC" w:rsidRPr="002E6E04" w:rsidRDefault="009C44F6" w:rsidP="000142AC">
      <w:pPr>
        <w:spacing w:after="0"/>
        <w:ind w:firstLine="720"/>
        <w:rPr>
          <w:rFonts w:cs="Times New Roman"/>
          <w:color w:val="000000" w:themeColor="text1"/>
          <w:szCs w:val="24"/>
        </w:rPr>
      </w:pPr>
      <w:r w:rsidRPr="00974B0C">
        <w:rPr>
          <w:rFonts w:cs="Times New Roman"/>
          <w:color w:val="000000" w:themeColor="text1"/>
          <w:szCs w:val="24"/>
        </w:rPr>
        <w:t xml:space="preserve">As part of this escalation, </w:t>
      </w:r>
      <w:r w:rsidRPr="00A84E06">
        <w:rPr>
          <w:rFonts w:cs="Times New Roman"/>
          <w:color w:val="000000" w:themeColor="text1"/>
          <w:szCs w:val="24"/>
        </w:rPr>
        <w:t xml:space="preserve">traders also began to </w:t>
      </w:r>
      <w:r w:rsidR="000F6D44" w:rsidRPr="00A84E06">
        <w:rPr>
          <w:rFonts w:cs="Times New Roman"/>
          <w:color w:val="000000" w:themeColor="text1"/>
          <w:szCs w:val="24"/>
        </w:rPr>
        <w:t xml:space="preserve">further </w:t>
      </w:r>
      <w:r w:rsidRPr="00A84E06">
        <w:rPr>
          <w:rFonts w:cs="Times New Roman"/>
          <w:color w:val="000000" w:themeColor="text1"/>
          <w:szCs w:val="24"/>
        </w:rPr>
        <w:t xml:space="preserve">embed </w:t>
      </w:r>
      <w:r w:rsidR="00E07801" w:rsidRPr="00A84E06">
        <w:rPr>
          <w:rFonts w:cs="Times New Roman"/>
          <w:color w:val="000000" w:themeColor="text1"/>
          <w:szCs w:val="24"/>
        </w:rPr>
        <w:t xml:space="preserve">these manipulative routines </w:t>
      </w:r>
      <w:r w:rsidRPr="00E63D4D">
        <w:rPr>
          <w:rFonts w:cs="Times New Roman"/>
          <w:color w:val="000000" w:themeColor="text1"/>
          <w:szCs w:val="24"/>
        </w:rPr>
        <w:t>into</w:t>
      </w:r>
      <w:r w:rsidRPr="00A84E06">
        <w:rPr>
          <w:rFonts w:cs="Times New Roman"/>
          <w:color w:val="000000" w:themeColor="text1"/>
          <w:szCs w:val="24"/>
        </w:rPr>
        <w:t xml:space="preserve"> </w:t>
      </w:r>
      <w:r w:rsidR="0011243E" w:rsidRPr="00A84E06">
        <w:rPr>
          <w:rFonts w:cs="Times New Roman"/>
          <w:color w:val="000000" w:themeColor="text1"/>
          <w:szCs w:val="24"/>
        </w:rPr>
        <w:t>Enron’s</w:t>
      </w:r>
      <w:r w:rsidRPr="00A84E06">
        <w:rPr>
          <w:rFonts w:cs="Times New Roman"/>
          <w:color w:val="000000" w:themeColor="text1"/>
          <w:szCs w:val="24"/>
        </w:rPr>
        <w:t xml:space="preserve"> </w:t>
      </w:r>
      <w:r w:rsidR="00B37AC3" w:rsidRPr="00A84E06">
        <w:rPr>
          <w:rFonts w:cs="Times New Roman"/>
          <w:color w:val="000000" w:themeColor="text1"/>
          <w:szCs w:val="24"/>
        </w:rPr>
        <w:t xml:space="preserve">external </w:t>
      </w:r>
      <w:r w:rsidR="0011243E" w:rsidRPr="00A84E06">
        <w:rPr>
          <w:rFonts w:cs="Times New Roman"/>
          <w:color w:val="000000" w:themeColor="text1"/>
          <w:szCs w:val="24"/>
        </w:rPr>
        <w:t xml:space="preserve">service </w:t>
      </w:r>
      <w:r w:rsidRPr="00A84E06">
        <w:rPr>
          <w:rFonts w:cs="Times New Roman"/>
          <w:color w:val="000000" w:themeColor="text1"/>
          <w:szCs w:val="24"/>
        </w:rPr>
        <w:t>relationship</w:t>
      </w:r>
      <w:r w:rsidR="0011243E" w:rsidRPr="00A84E06">
        <w:rPr>
          <w:rFonts w:cs="Times New Roman"/>
          <w:color w:val="000000" w:themeColor="text1"/>
          <w:szCs w:val="24"/>
        </w:rPr>
        <w:t>s</w:t>
      </w:r>
      <w:r w:rsidR="00267FA8" w:rsidRPr="00A84E06">
        <w:rPr>
          <w:rFonts w:cs="Times New Roman"/>
          <w:color w:val="000000" w:themeColor="text1"/>
          <w:szCs w:val="24"/>
        </w:rPr>
        <w:t>,</w:t>
      </w:r>
      <w:r w:rsidR="00EC29A2" w:rsidRPr="00A84E06">
        <w:rPr>
          <w:rFonts w:cs="Times New Roman"/>
          <w:color w:val="000000" w:themeColor="text1"/>
          <w:szCs w:val="24"/>
        </w:rPr>
        <w:t xml:space="preserve"> </w:t>
      </w:r>
      <w:r w:rsidR="00B040EB" w:rsidRPr="00A84E06">
        <w:rPr>
          <w:rFonts w:cs="Times New Roman"/>
          <w:color w:val="000000" w:themeColor="text1"/>
          <w:szCs w:val="24"/>
        </w:rPr>
        <w:t>prov</w:t>
      </w:r>
      <w:r w:rsidR="00E62D7D" w:rsidRPr="00A84E06">
        <w:rPr>
          <w:rFonts w:cs="Times New Roman"/>
          <w:color w:val="000000" w:themeColor="text1"/>
          <w:szCs w:val="24"/>
        </w:rPr>
        <w:t>iding</w:t>
      </w:r>
      <w:r w:rsidR="00B040EB" w:rsidRPr="00A84E06">
        <w:rPr>
          <w:rFonts w:cs="Times New Roman"/>
          <w:color w:val="000000" w:themeColor="text1"/>
          <w:szCs w:val="24"/>
        </w:rPr>
        <w:t xml:space="preserve"> the </w:t>
      </w:r>
      <w:r w:rsidR="00B37AC3" w:rsidRPr="00A84E06">
        <w:rPr>
          <w:color w:val="000000" w:themeColor="text1"/>
        </w:rPr>
        <w:t>control of generation and transmi</w:t>
      </w:r>
      <w:r w:rsidR="00005789" w:rsidRPr="00A84E06">
        <w:rPr>
          <w:color w:val="000000" w:themeColor="text1"/>
        </w:rPr>
        <w:t>ss</w:t>
      </w:r>
      <w:r w:rsidR="00B37AC3" w:rsidRPr="00A84E06">
        <w:rPr>
          <w:color w:val="000000" w:themeColor="text1"/>
        </w:rPr>
        <w:t xml:space="preserve">ion scheduling </w:t>
      </w:r>
      <w:r w:rsidR="00B040EB" w:rsidRPr="00A84E06">
        <w:rPr>
          <w:rFonts w:cs="Times New Roman"/>
          <w:color w:val="000000" w:themeColor="text1"/>
          <w:szCs w:val="24"/>
        </w:rPr>
        <w:t>needed to actually execute their strategies</w:t>
      </w:r>
      <w:r w:rsidR="000142AC" w:rsidRPr="00A84E06">
        <w:rPr>
          <w:rFonts w:cs="Times New Roman"/>
          <w:color w:val="000000" w:themeColor="text1"/>
          <w:szCs w:val="24"/>
        </w:rPr>
        <w:t>.</w:t>
      </w:r>
      <w:r w:rsidR="00267FA8" w:rsidRPr="00A84E06">
        <w:rPr>
          <w:rStyle w:val="EndnoteReference"/>
          <w:rFonts w:cs="Times New Roman"/>
          <w:color w:val="000000" w:themeColor="text1"/>
          <w:szCs w:val="24"/>
        </w:rPr>
        <w:endnoteReference w:id="104"/>
      </w:r>
      <w:r w:rsidR="000142AC" w:rsidRPr="00A84E06">
        <w:rPr>
          <w:rFonts w:cs="Times New Roman"/>
          <w:color w:val="000000" w:themeColor="text1"/>
          <w:szCs w:val="24"/>
        </w:rPr>
        <w:t xml:space="preserve"> For instance, to </w:t>
      </w:r>
      <w:r w:rsidR="0059214A" w:rsidRPr="00A84E06">
        <w:rPr>
          <w:rFonts w:cs="Times New Roman"/>
          <w:color w:val="000000" w:themeColor="text1"/>
          <w:szCs w:val="24"/>
        </w:rPr>
        <w:t>utilize</w:t>
      </w:r>
      <w:r w:rsidR="000142AC" w:rsidRPr="00A84E06">
        <w:rPr>
          <w:rFonts w:cs="Times New Roman"/>
          <w:color w:val="000000" w:themeColor="text1"/>
          <w:szCs w:val="24"/>
        </w:rPr>
        <w:t xml:space="preserve"> </w:t>
      </w:r>
      <w:r w:rsidR="00F42B69" w:rsidRPr="00A84E06">
        <w:rPr>
          <w:rFonts w:cs="Times New Roman"/>
          <w:color w:val="000000" w:themeColor="text1"/>
          <w:szCs w:val="24"/>
        </w:rPr>
        <w:t>one particular</w:t>
      </w:r>
      <w:r w:rsidR="00E90CA9" w:rsidRPr="00A84E06">
        <w:rPr>
          <w:rFonts w:cs="Times New Roman"/>
          <w:color w:val="000000" w:themeColor="text1"/>
          <w:szCs w:val="24"/>
        </w:rPr>
        <w:t xml:space="preserve">ly </w:t>
      </w:r>
      <w:r w:rsidR="00E07801" w:rsidRPr="00A84E06">
        <w:rPr>
          <w:rFonts w:cs="Times New Roman"/>
          <w:color w:val="000000" w:themeColor="text1"/>
          <w:szCs w:val="24"/>
        </w:rPr>
        <w:t xml:space="preserve">effective </w:t>
      </w:r>
      <w:r w:rsidR="00F42B69" w:rsidRPr="00676FC7">
        <w:rPr>
          <w:rFonts w:cs="Times New Roman"/>
          <w:color w:val="000000" w:themeColor="text1"/>
          <w:szCs w:val="24"/>
        </w:rPr>
        <w:t>strategy</w:t>
      </w:r>
      <w:r w:rsidR="003864EC" w:rsidRPr="00676FC7">
        <w:rPr>
          <w:rFonts w:cs="Times New Roman"/>
          <w:color w:val="000000" w:themeColor="text1"/>
          <w:szCs w:val="24"/>
        </w:rPr>
        <w:t xml:space="preserve"> (see Table 1, </w:t>
      </w:r>
      <w:r w:rsidR="00C1629F" w:rsidRPr="00676FC7">
        <w:rPr>
          <w:rFonts w:cs="Times New Roman"/>
          <w:i/>
          <w:color w:val="000000" w:themeColor="text1"/>
          <w:szCs w:val="24"/>
        </w:rPr>
        <w:t>Fat Boy</w:t>
      </w:r>
      <w:r w:rsidR="003864EC" w:rsidRPr="00676FC7">
        <w:rPr>
          <w:rFonts w:cs="Times New Roman"/>
          <w:color w:val="000000" w:themeColor="text1"/>
          <w:szCs w:val="24"/>
        </w:rPr>
        <w:t>)</w:t>
      </w:r>
      <w:r w:rsidR="000142AC" w:rsidRPr="00676FC7">
        <w:rPr>
          <w:rFonts w:cs="Times New Roman"/>
          <w:color w:val="000000" w:themeColor="text1"/>
          <w:szCs w:val="24"/>
        </w:rPr>
        <w:t xml:space="preserve">, </w:t>
      </w:r>
      <w:r w:rsidR="00CE1F11" w:rsidRPr="00676FC7">
        <w:rPr>
          <w:rFonts w:cs="Times New Roman"/>
          <w:color w:val="000000" w:themeColor="text1"/>
          <w:szCs w:val="24"/>
        </w:rPr>
        <w:t>traders used the control of partner</w:t>
      </w:r>
      <w:r w:rsidR="000F6D44" w:rsidRPr="00676FC7">
        <w:rPr>
          <w:rFonts w:cs="Times New Roman"/>
          <w:color w:val="000000" w:themeColor="text1"/>
          <w:szCs w:val="24"/>
        </w:rPr>
        <w:t>s’</w:t>
      </w:r>
      <w:r w:rsidR="00CE1F11" w:rsidRPr="00676FC7">
        <w:rPr>
          <w:rFonts w:cs="Times New Roman"/>
          <w:color w:val="000000" w:themeColor="text1"/>
          <w:szCs w:val="24"/>
        </w:rPr>
        <w:t xml:space="preserve"> </w:t>
      </w:r>
      <w:r w:rsidR="00CE1F11" w:rsidRPr="00676FC7">
        <w:rPr>
          <w:rFonts w:cs="Times New Roman"/>
          <w:color w:val="000000" w:themeColor="text1"/>
          <w:szCs w:val="24"/>
        </w:rPr>
        <w:lastRenderedPageBreak/>
        <w:t xml:space="preserve">generation output and scheduling to misrepresent </w:t>
      </w:r>
      <w:r w:rsidR="00C1629F" w:rsidRPr="00676FC7">
        <w:rPr>
          <w:rFonts w:cs="Times New Roman"/>
          <w:color w:val="000000" w:themeColor="text1"/>
          <w:szCs w:val="24"/>
        </w:rPr>
        <w:t xml:space="preserve">demand for </w:t>
      </w:r>
      <w:r w:rsidR="000F6D44" w:rsidRPr="00676FC7">
        <w:rPr>
          <w:rFonts w:cs="Times New Roman"/>
          <w:color w:val="000000" w:themeColor="text1"/>
          <w:szCs w:val="24"/>
        </w:rPr>
        <w:t>electricity</w:t>
      </w:r>
      <w:r w:rsidR="00C1629F" w:rsidRPr="00676FC7">
        <w:rPr>
          <w:rFonts w:cs="Times New Roman"/>
          <w:color w:val="000000" w:themeColor="text1"/>
          <w:szCs w:val="24"/>
        </w:rPr>
        <w:t xml:space="preserve"> in the day-ahead market,</w:t>
      </w:r>
      <w:r w:rsidR="00BE60F5" w:rsidRPr="00676FC7">
        <w:rPr>
          <w:rFonts w:cs="Times New Roman"/>
          <w:color w:val="000000" w:themeColor="text1"/>
          <w:szCs w:val="24"/>
        </w:rPr>
        <w:t xml:space="preserve"> on the </w:t>
      </w:r>
      <w:r w:rsidR="00A72C41" w:rsidRPr="00676FC7">
        <w:rPr>
          <w:rFonts w:cs="Times New Roman"/>
          <w:color w:val="000000" w:themeColor="text1"/>
          <w:szCs w:val="24"/>
        </w:rPr>
        <w:t xml:space="preserve">basis </w:t>
      </w:r>
      <w:r w:rsidR="000F6D44" w:rsidRPr="00676FC7">
        <w:rPr>
          <w:rFonts w:cs="Times New Roman"/>
          <w:color w:val="000000" w:themeColor="text1"/>
          <w:szCs w:val="24"/>
        </w:rPr>
        <w:t>this</w:t>
      </w:r>
      <w:r w:rsidR="00A72C41" w:rsidRPr="00676FC7">
        <w:rPr>
          <w:rFonts w:cs="Times New Roman"/>
          <w:color w:val="000000" w:themeColor="text1"/>
          <w:szCs w:val="24"/>
        </w:rPr>
        <w:t xml:space="preserve"> would give them excess generation to sell in the higher real</w:t>
      </w:r>
      <w:r w:rsidR="000F6D44" w:rsidRPr="00676FC7">
        <w:rPr>
          <w:rFonts w:cs="Times New Roman"/>
          <w:color w:val="000000" w:themeColor="text1"/>
          <w:szCs w:val="24"/>
        </w:rPr>
        <w:t>-</w:t>
      </w:r>
      <w:r w:rsidR="00A72C41" w:rsidRPr="00676FC7">
        <w:rPr>
          <w:rFonts w:cs="Times New Roman"/>
          <w:color w:val="000000" w:themeColor="text1"/>
          <w:szCs w:val="24"/>
        </w:rPr>
        <w:t>time markets</w:t>
      </w:r>
      <w:r w:rsidR="003864EC" w:rsidRPr="00676FC7">
        <w:rPr>
          <w:rFonts w:cs="Times New Roman"/>
          <w:color w:val="000000" w:themeColor="text1"/>
          <w:szCs w:val="24"/>
        </w:rPr>
        <w:t>.</w:t>
      </w:r>
      <w:r w:rsidR="003864EC" w:rsidRPr="00A84E06">
        <w:rPr>
          <w:rStyle w:val="EndnoteReference"/>
          <w:rFonts w:cs="Times New Roman"/>
          <w:color w:val="000000" w:themeColor="text1"/>
          <w:szCs w:val="24"/>
        </w:rPr>
        <w:endnoteReference w:id="105"/>
      </w:r>
      <w:r w:rsidR="000142AC" w:rsidRPr="00A84E06">
        <w:rPr>
          <w:rFonts w:cs="Times New Roman"/>
          <w:color w:val="000000" w:themeColor="text1"/>
          <w:szCs w:val="24"/>
        </w:rPr>
        <w:t xml:space="preserve"> </w:t>
      </w:r>
      <w:r w:rsidR="00CE1F11" w:rsidRPr="00A84E06">
        <w:rPr>
          <w:rFonts w:cs="Times New Roman"/>
          <w:color w:val="000000" w:themeColor="text1"/>
          <w:szCs w:val="24"/>
        </w:rPr>
        <w:t>As such, traders would make regular call</w:t>
      </w:r>
      <w:r w:rsidR="00E90CA9" w:rsidRPr="00A84E06">
        <w:rPr>
          <w:rFonts w:cs="Times New Roman"/>
          <w:color w:val="000000" w:themeColor="text1"/>
          <w:szCs w:val="24"/>
        </w:rPr>
        <w:t>s</w:t>
      </w:r>
      <w:r w:rsidR="00CE1F11" w:rsidRPr="00A84E06">
        <w:rPr>
          <w:rFonts w:cs="Times New Roman"/>
          <w:color w:val="000000" w:themeColor="text1"/>
          <w:szCs w:val="24"/>
        </w:rPr>
        <w:t xml:space="preserve"> to partners, instructing them to turn units on or off, and </w:t>
      </w:r>
      <w:r w:rsidR="00F538D5" w:rsidRPr="00A84E06">
        <w:rPr>
          <w:rFonts w:cs="Times New Roman"/>
          <w:color w:val="000000" w:themeColor="text1"/>
          <w:szCs w:val="24"/>
        </w:rPr>
        <w:t xml:space="preserve">on </w:t>
      </w:r>
      <w:r w:rsidR="00A72C41" w:rsidRPr="00A84E06">
        <w:rPr>
          <w:rFonts w:cs="Times New Roman"/>
          <w:color w:val="000000" w:themeColor="text1"/>
          <w:szCs w:val="24"/>
        </w:rPr>
        <w:t>occasion</w:t>
      </w:r>
      <w:r w:rsidR="00CE1F11" w:rsidRPr="00A84E06">
        <w:rPr>
          <w:rFonts w:cs="Times New Roman"/>
          <w:color w:val="000000" w:themeColor="text1"/>
          <w:szCs w:val="24"/>
        </w:rPr>
        <w:t xml:space="preserve">, </w:t>
      </w:r>
      <w:r w:rsidR="00A72C41" w:rsidRPr="00A84E06">
        <w:rPr>
          <w:rFonts w:cs="Times New Roman"/>
          <w:color w:val="000000" w:themeColor="text1"/>
          <w:szCs w:val="24"/>
        </w:rPr>
        <w:t>partners would</w:t>
      </w:r>
      <w:r w:rsidR="00F538D5" w:rsidRPr="00A84E06">
        <w:rPr>
          <w:rFonts w:cs="Times New Roman"/>
          <w:color w:val="000000" w:themeColor="text1"/>
          <w:szCs w:val="24"/>
        </w:rPr>
        <w:t xml:space="preserve"> even</w:t>
      </w:r>
      <w:r w:rsidR="00A72C41" w:rsidRPr="00A84E06">
        <w:rPr>
          <w:rFonts w:cs="Times New Roman"/>
          <w:color w:val="000000" w:themeColor="text1"/>
          <w:szCs w:val="24"/>
        </w:rPr>
        <w:t xml:space="preserve"> contact </w:t>
      </w:r>
      <w:r w:rsidR="00CE1F11" w:rsidRPr="00A84E06">
        <w:rPr>
          <w:rFonts w:cs="Times New Roman"/>
          <w:color w:val="000000" w:themeColor="text1"/>
          <w:szCs w:val="24"/>
        </w:rPr>
        <w:t>traders</w:t>
      </w:r>
      <w:r w:rsidR="00A72C41" w:rsidRPr="00A84E06">
        <w:rPr>
          <w:rFonts w:cs="Times New Roman"/>
          <w:color w:val="000000" w:themeColor="text1"/>
          <w:szCs w:val="24"/>
        </w:rPr>
        <w:t xml:space="preserve"> to let them know </w:t>
      </w:r>
      <w:r w:rsidR="00F538D5" w:rsidRPr="00A84E06">
        <w:rPr>
          <w:rFonts w:cs="Times New Roman"/>
          <w:color w:val="000000" w:themeColor="text1"/>
          <w:szCs w:val="24"/>
        </w:rPr>
        <w:t xml:space="preserve">when </w:t>
      </w:r>
      <w:r w:rsidR="00A72C41" w:rsidRPr="00A84E06">
        <w:rPr>
          <w:rFonts w:cs="Times New Roman"/>
          <w:color w:val="000000" w:themeColor="text1"/>
          <w:szCs w:val="24"/>
        </w:rPr>
        <w:t xml:space="preserve">they </w:t>
      </w:r>
      <w:r w:rsidR="00CE1F11" w:rsidRPr="00A84E06">
        <w:rPr>
          <w:rFonts w:cs="Times New Roman"/>
          <w:color w:val="000000" w:themeColor="text1"/>
          <w:szCs w:val="24"/>
        </w:rPr>
        <w:t xml:space="preserve">were </w:t>
      </w:r>
      <w:r w:rsidR="00F538D5" w:rsidRPr="00A84E06">
        <w:rPr>
          <w:rFonts w:cs="Times New Roman"/>
          <w:color w:val="000000" w:themeColor="text1"/>
          <w:szCs w:val="24"/>
        </w:rPr>
        <w:t>in a</w:t>
      </w:r>
      <w:r w:rsidR="00A72C41" w:rsidRPr="00A84E06">
        <w:rPr>
          <w:rFonts w:cs="Times New Roman"/>
          <w:color w:val="000000" w:themeColor="text1"/>
          <w:szCs w:val="24"/>
        </w:rPr>
        <w:t xml:space="preserve"> good position to use</w:t>
      </w:r>
      <w:r w:rsidR="00CE1F11" w:rsidRPr="00A84E06">
        <w:rPr>
          <w:rFonts w:cs="Times New Roman"/>
          <w:color w:val="000000" w:themeColor="text1"/>
          <w:szCs w:val="24"/>
        </w:rPr>
        <w:t xml:space="preserve"> the strategy</w:t>
      </w:r>
      <w:r w:rsidR="00A72C41" w:rsidRPr="00A84E06">
        <w:rPr>
          <w:rFonts w:cs="Times New Roman"/>
          <w:color w:val="000000" w:themeColor="text1"/>
          <w:szCs w:val="24"/>
        </w:rPr>
        <w:t>.</w:t>
      </w:r>
      <w:r w:rsidR="00CE1F11" w:rsidRPr="00A84E06">
        <w:rPr>
          <w:rStyle w:val="EndnoteReference"/>
          <w:rFonts w:cs="Times New Roman"/>
          <w:color w:val="000000" w:themeColor="text1"/>
          <w:szCs w:val="24"/>
        </w:rPr>
        <w:endnoteReference w:id="106"/>
      </w:r>
      <w:r w:rsidR="003864EC" w:rsidRPr="00A84E06">
        <w:rPr>
          <w:rFonts w:cs="Times New Roman"/>
          <w:color w:val="000000" w:themeColor="text1"/>
          <w:szCs w:val="24"/>
        </w:rPr>
        <w:t xml:space="preserve"> </w:t>
      </w:r>
      <w:r w:rsidR="00A84E06">
        <w:rPr>
          <w:rFonts w:cs="Times New Roman"/>
          <w:color w:val="000000" w:themeColor="text1"/>
          <w:szCs w:val="24"/>
        </w:rPr>
        <w:t>T</w:t>
      </w:r>
      <w:r w:rsidR="000142AC" w:rsidRPr="00A84E06">
        <w:rPr>
          <w:rFonts w:cs="Times New Roman"/>
          <w:color w:val="000000" w:themeColor="text1"/>
          <w:szCs w:val="24"/>
        </w:rPr>
        <w:t xml:space="preserve">hus, </w:t>
      </w:r>
      <w:r w:rsidR="000D7BA9" w:rsidRPr="00A84E06">
        <w:rPr>
          <w:rFonts w:cs="Times New Roman"/>
          <w:color w:val="000000" w:themeColor="text1"/>
          <w:szCs w:val="24"/>
        </w:rPr>
        <w:t xml:space="preserve">cooperative arrangements between Enron and other parties </w:t>
      </w:r>
      <w:r w:rsidR="000142AC" w:rsidRPr="00A84E06">
        <w:rPr>
          <w:rFonts w:cs="Times New Roman"/>
          <w:color w:val="000000" w:themeColor="text1"/>
          <w:szCs w:val="24"/>
        </w:rPr>
        <w:t>allowed the illusion of normal trading activity</w:t>
      </w:r>
      <w:r w:rsidR="0089348F" w:rsidRPr="00A84E06">
        <w:rPr>
          <w:rFonts w:cs="Times New Roman"/>
          <w:color w:val="000000" w:themeColor="text1"/>
          <w:szCs w:val="24"/>
        </w:rPr>
        <w:t>,</w:t>
      </w:r>
      <w:r w:rsidR="000142AC" w:rsidRPr="00A84E06">
        <w:rPr>
          <w:rFonts w:cs="Times New Roman"/>
          <w:color w:val="000000" w:themeColor="text1"/>
          <w:szCs w:val="24"/>
        </w:rPr>
        <w:t xml:space="preserve"> when in reality it was implemented for ulterior reasons. </w:t>
      </w:r>
      <w:r w:rsidR="00B37AC3" w:rsidRPr="00A84E06">
        <w:rPr>
          <w:rFonts w:cs="Times New Roman"/>
          <w:color w:val="000000" w:themeColor="text1"/>
          <w:szCs w:val="24"/>
        </w:rPr>
        <w:t xml:space="preserve">Thus, by increasing the </w:t>
      </w:r>
      <w:r w:rsidR="00005789" w:rsidRPr="00A84E06">
        <w:rPr>
          <w:rFonts w:cs="Times New Roman"/>
          <w:color w:val="000000" w:themeColor="text1"/>
          <w:szCs w:val="24"/>
        </w:rPr>
        <w:t>division’s</w:t>
      </w:r>
      <w:r w:rsidR="00B37AC3" w:rsidRPr="00A84E06">
        <w:rPr>
          <w:rFonts w:cs="Times New Roman"/>
          <w:color w:val="000000" w:themeColor="text1"/>
          <w:szCs w:val="24"/>
        </w:rPr>
        <w:t xml:space="preserve"> </w:t>
      </w:r>
      <w:r w:rsidR="00005789" w:rsidRPr="00A84E06">
        <w:rPr>
          <w:rFonts w:cs="Times New Roman"/>
          <w:color w:val="000000" w:themeColor="text1"/>
          <w:szCs w:val="24"/>
        </w:rPr>
        <w:t>integration</w:t>
      </w:r>
      <w:r w:rsidR="00B37AC3" w:rsidRPr="00A84E06">
        <w:rPr>
          <w:rFonts w:cs="Times New Roman"/>
          <w:color w:val="000000" w:themeColor="text1"/>
          <w:szCs w:val="24"/>
        </w:rPr>
        <w:t xml:space="preserve"> into its partners</w:t>
      </w:r>
      <w:r w:rsidR="009D3F3D" w:rsidRPr="00A84E06">
        <w:rPr>
          <w:rFonts w:cs="Times New Roman"/>
          <w:color w:val="000000" w:themeColor="text1"/>
          <w:szCs w:val="24"/>
        </w:rPr>
        <w:t>’</w:t>
      </w:r>
      <w:r w:rsidR="00B37AC3" w:rsidRPr="00A84E06">
        <w:rPr>
          <w:rFonts w:cs="Times New Roman"/>
          <w:color w:val="000000" w:themeColor="text1"/>
          <w:szCs w:val="24"/>
        </w:rPr>
        <w:t xml:space="preserve"> operation</w:t>
      </w:r>
      <w:r w:rsidR="00C86CB8" w:rsidRPr="00A84E06">
        <w:rPr>
          <w:rFonts w:cs="Times New Roman"/>
          <w:color w:val="000000" w:themeColor="text1"/>
          <w:szCs w:val="24"/>
        </w:rPr>
        <w:t>al</w:t>
      </w:r>
      <w:r w:rsidR="00B37AC3" w:rsidRPr="00A84E06">
        <w:rPr>
          <w:rFonts w:cs="Times New Roman"/>
          <w:color w:val="000000" w:themeColor="text1"/>
          <w:szCs w:val="24"/>
        </w:rPr>
        <w:t xml:space="preserve"> activities and decision making</w:t>
      </w:r>
      <w:r w:rsidR="00B37AC3" w:rsidRPr="00A84E06">
        <w:rPr>
          <w:color w:val="000000" w:themeColor="text1"/>
        </w:rPr>
        <w:t xml:space="preserve">, </w:t>
      </w:r>
      <w:r w:rsidR="00B37AC3" w:rsidRPr="00A84E06">
        <w:rPr>
          <w:rFonts w:cs="Times New Roman"/>
          <w:color w:val="000000" w:themeColor="text1"/>
          <w:szCs w:val="24"/>
        </w:rPr>
        <w:t xml:space="preserve">Enron’s </w:t>
      </w:r>
      <w:r w:rsidR="00005789" w:rsidRPr="00A84E06">
        <w:rPr>
          <w:rFonts w:cs="Times New Roman"/>
          <w:color w:val="000000" w:themeColor="text1"/>
          <w:szCs w:val="24"/>
        </w:rPr>
        <w:t>existing</w:t>
      </w:r>
      <w:r w:rsidR="00B37AC3" w:rsidRPr="00A84E06">
        <w:rPr>
          <w:rFonts w:cs="Times New Roman"/>
          <w:color w:val="000000" w:themeColor="text1"/>
          <w:szCs w:val="24"/>
        </w:rPr>
        <w:t xml:space="preserve"> business model provided traders with the means </w:t>
      </w:r>
      <w:r w:rsidR="007E34EE" w:rsidRPr="00A84E06">
        <w:rPr>
          <w:rFonts w:cs="Times New Roman"/>
          <w:color w:val="000000" w:themeColor="text1"/>
          <w:szCs w:val="24"/>
        </w:rPr>
        <w:t xml:space="preserve">to </w:t>
      </w:r>
      <w:r w:rsidR="00B37AC3" w:rsidRPr="00A84E06">
        <w:rPr>
          <w:rFonts w:cs="Times New Roman"/>
          <w:color w:val="000000" w:themeColor="text1"/>
          <w:szCs w:val="24"/>
        </w:rPr>
        <w:t xml:space="preserve">enact their </w:t>
      </w:r>
      <w:r w:rsidR="00E07801" w:rsidRPr="00A84E06">
        <w:rPr>
          <w:rFonts w:cs="Times New Roman"/>
          <w:color w:val="000000" w:themeColor="text1"/>
          <w:szCs w:val="24"/>
        </w:rPr>
        <w:t xml:space="preserve">gaming </w:t>
      </w:r>
      <w:r w:rsidR="00B37AC3" w:rsidRPr="00A84E06">
        <w:rPr>
          <w:rFonts w:cs="Times New Roman"/>
          <w:color w:val="000000" w:themeColor="text1"/>
          <w:szCs w:val="24"/>
        </w:rPr>
        <w:t>strategies.</w:t>
      </w:r>
      <w:r w:rsidR="00294396" w:rsidRPr="00A84E06">
        <w:rPr>
          <w:rStyle w:val="EndnoteReference"/>
          <w:rFonts w:cs="Times New Roman"/>
          <w:color w:val="000000" w:themeColor="text1"/>
          <w:szCs w:val="24"/>
        </w:rPr>
        <w:endnoteReference w:id="107"/>
      </w:r>
      <w:r w:rsidR="000142AC" w:rsidRPr="00A84E06">
        <w:rPr>
          <w:rFonts w:cs="Times New Roman"/>
          <w:color w:val="000000" w:themeColor="text1"/>
          <w:szCs w:val="24"/>
        </w:rPr>
        <w:t xml:space="preserve"> Ultimately,</w:t>
      </w:r>
      <w:r w:rsidR="003006C2" w:rsidRPr="00A84E06">
        <w:rPr>
          <w:rFonts w:cs="Times New Roman"/>
          <w:color w:val="000000" w:themeColor="text1"/>
          <w:szCs w:val="24"/>
        </w:rPr>
        <w:t xml:space="preserve"> the</w:t>
      </w:r>
      <w:r w:rsidR="0010686D" w:rsidRPr="00A84E06">
        <w:rPr>
          <w:rFonts w:cs="Times New Roman"/>
          <w:color w:val="000000" w:themeColor="text1"/>
          <w:szCs w:val="24"/>
        </w:rPr>
        <w:t>se</w:t>
      </w:r>
      <w:r w:rsidR="003006C2" w:rsidRPr="00A84E06">
        <w:rPr>
          <w:rFonts w:cs="Times New Roman"/>
          <w:color w:val="000000" w:themeColor="text1"/>
          <w:szCs w:val="24"/>
        </w:rPr>
        <w:t xml:space="preserve"> “consulting arrangements”</w:t>
      </w:r>
      <w:r w:rsidR="000142AC" w:rsidRPr="00A84E06">
        <w:rPr>
          <w:rFonts w:cs="Times New Roman"/>
          <w:color w:val="000000" w:themeColor="text1"/>
          <w:szCs w:val="24"/>
        </w:rPr>
        <w:t xml:space="preserve"> allowed traders to convert </w:t>
      </w:r>
      <w:r w:rsidR="00507F57" w:rsidRPr="00A84E06">
        <w:rPr>
          <w:rFonts w:cs="Times New Roman"/>
          <w:color w:val="000000" w:themeColor="text1"/>
          <w:szCs w:val="24"/>
        </w:rPr>
        <w:t>the</w:t>
      </w:r>
      <w:r w:rsidR="00BC3C32" w:rsidRPr="00A84E06">
        <w:rPr>
          <w:rFonts w:cs="Times New Roman"/>
          <w:color w:val="000000" w:themeColor="text1"/>
          <w:szCs w:val="24"/>
        </w:rPr>
        <w:t>ir</w:t>
      </w:r>
      <w:r w:rsidR="00507F57" w:rsidRPr="00A84E06">
        <w:rPr>
          <w:rFonts w:cs="Times New Roman"/>
          <w:color w:val="000000" w:themeColor="text1"/>
          <w:szCs w:val="24"/>
        </w:rPr>
        <w:t xml:space="preserve"> </w:t>
      </w:r>
      <w:r w:rsidR="000129C0" w:rsidRPr="00A84E06">
        <w:rPr>
          <w:rFonts w:cs="Times New Roman"/>
          <w:color w:val="000000" w:themeColor="text1"/>
          <w:szCs w:val="24"/>
        </w:rPr>
        <w:t>knowledge of the market’s flaws</w:t>
      </w:r>
      <w:r w:rsidR="000142AC" w:rsidRPr="00A84E06">
        <w:rPr>
          <w:rFonts w:cs="Times New Roman"/>
          <w:color w:val="000000" w:themeColor="text1"/>
          <w:szCs w:val="24"/>
        </w:rPr>
        <w:t xml:space="preserve"> into something </w:t>
      </w:r>
      <w:r w:rsidR="00BC3C32" w:rsidRPr="00A84E06">
        <w:rPr>
          <w:rFonts w:cs="Times New Roman"/>
          <w:color w:val="000000" w:themeColor="text1"/>
          <w:szCs w:val="24"/>
        </w:rPr>
        <w:t xml:space="preserve">they could implement </w:t>
      </w:r>
      <w:r w:rsidR="003C7483" w:rsidRPr="00A84E06">
        <w:rPr>
          <w:rFonts w:cs="Times New Roman"/>
          <w:color w:val="000000" w:themeColor="text1"/>
          <w:szCs w:val="24"/>
        </w:rPr>
        <w:t>in a discrete and repeatable manner</w:t>
      </w:r>
      <w:r w:rsidR="00507F57" w:rsidRPr="00A84E06">
        <w:rPr>
          <w:rFonts w:cs="Times New Roman"/>
          <w:color w:val="000000" w:themeColor="text1"/>
          <w:szCs w:val="24"/>
        </w:rPr>
        <w:t>.</w:t>
      </w:r>
      <w:r w:rsidR="000142AC" w:rsidRPr="00A84E06">
        <w:rPr>
          <w:rFonts w:cs="Times New Roman"/>
          <w:color w:val="000000" w:themeColor="text1"/>
          <w:szCs w:val="24"/>
        </w:rPr>
        <w:t xml:space="preserve"> </w:t>
      </w:r>
      <w:r w:rsidR="00FD3C90" w:rsidRPr="00A84E06">
        <w:rPr>
          <w:rFonts w:cs="Times New Roman"/>
          <w:color w:val="000000" w:themeColor="text1"/>
          <w:szCs w:val="24"/>
        </w:rPr>
        <w:t xml:space="preserve">In return, the partner firms </w:t>
      </w:r>
      <w:r w:rsidR="00B54FF3" w:rsidRPr="00A84E06">
        <w:rPr>
          <w:rFonts w:cs="Times New Roman"/>
          <w:color w:val="000000" w:themeColor="text1"/>
          <w:szCs w:val="24"/>
        </w:rPr>
        <w:t xml:space="preserve">generally </w:t>
      </w:r>
      <w:r w:rsidR="00FD3C90" w:rsidRPr="00A84E06">
        <w:rPr>
          <w:rFonts w:cs="Times New Roman"/>
          <w:color w:val="000000" w:themeColor="text1"/>
          <w:szCs w:val="24"/>
        </w:rPr>
        <w:t xml:space="preserve">received a </w:t>
      </w:r>
      <w:r w:rsidR="008A02C9" w:rsidRPr="00A84E06">
        <w:rPr>
          <w:rFonts w:cs="Times New Roman"/>
          <w:color w:val="000000" w:themeColor="text1"/>
          <w:szCs w:val="24"/>
        </w:rPr>
        <w:t xml:space="preserve">pre-defined </w:t>
      </w:r>
      <w:r w:rsidR="00BB0240" w:rsidRPr="00A84E06">
        <w:rPr>
          <w:rFonts w:cs="Times New Roman"/>
          <w:color w:val="000000" w:themeColor="text1"/>
          <w:szCs w:val="24"/>
        </w:rPr>
        <w:t xml:space="preserve">percentage </w:t>
      </w:r>
      <w:r w:rsidR="00FD3C90" w:rsidRPr="00A84E06">
        <w:rPr>
          <w:rFonts w:cs="Times New Roman"/>
          <w:color w:val="000000" w:themeColor="text1"/>
          <w:szCs w:val="24"/>
        </w:rPr>
        <w:t xml:space="preserve">share of </w:t>
      </w:r>
      <w:r w:rsidR="008A02C9" w:rsidRPr="00A84E06">
        <w:rPr>
          <w:rFonts w:cs="Times New Roman"/>
          <w:color w:val="000000" w:themeColor="text1"/>
          <w:szCs w:val="24"/>
        </w:rPr>
        <w:t>the traders’</w:t>
      </w:r>
      <w:r w:rsidR="00FD3C90" w:rsidRPr="00A84E06">
        <w:rPr>
          <w:rFonts w:cs="Times New Roman"/>
          <w:color w:val="000000" w:themeColor="text1"/>
          <w:szCs w:val="24"/>
        </w:rPr>
        <w:t xml:space="preserve"> return</w:t>
      </w:r>
      <w:r w:rsidR="008A02C9" w:rsidRPr="00A84E06">
        <w:rPr>
          <w:rFonts w:cs="Times New Roman"/>
          <w:color w:val="000000" w:themeColor="text1"/>
          <w:szCs w:val="24"/>
        </w:rPr>
        <w:t>s</w:t>
      </w:r>
      <w:r w:rsidR="00B54FF3" w:rsidRPr="00A84E06">
        <w:rPr>
          <w:rFonts w:cs="Times New Roman"/>
          <w:color w:val="000000" w:themeColor="text1"/>
          <w:szCs w:val="24"/>
        </w:rPr>
        <w:t xml:space="preserve">, </w:t>
      </w:r>
      <w:r w:rsidR="00FD3C90" w:rsidRPr="00A84E06">
        <w:rPr>
          <w:rFonts w:cs="Times New Roman"/>
          <w:color w:val="000000" w:themeColor="text1"/>
          <w:szCs w:val="24"/>
        </w:rPr>
        <w:t xml:space="preserve">benefiting from </w:t>
      </w:r>
      <w:r w:rsidR="00BC3C32" w:rsidRPr="00A84E06">
        <w:rPr>
          <w:rFonts w:cs="Times New Roman"/>
          <w:color w:val="000000" w:themeColor="text1"/>
          <w:szCs w:val="24"/>
        </w:rPr>
        <w:t>Enron</w:t>
      </w:r>
      <w:r w:rsidR="00F0220F" w:rsidRPr="00A84E06">
        <w:rPr>
          <w:rFonts w:cs="Times New Roman"/>
          <w:color w:val="000000" w:themeColor="text1"/>
          <w:szCs w:val="24"/>
        </w:rPr>
        <w:t>’s</w:t>
      </w:r>
      <w:r w:rsidR="00BC3C32" w:rsidRPr="00A84E06">
        <w:rPr>
          <w:rFonts w:cs="Times New Roman"/>
          <w:color w:val="000000" w:themeColor="text1"/>
          <w:szCs w:val="24"/>
        </w:rPr>
        <w:t xml:space="preserve"> </w:t>
      </w:r>
      <w:r w:rsidR="00005789" w:rsidRPr="00A84E06">
        <w:rPr>
          <w:rFonts w:cs="Times New Roman"/>
          <w:color w:val="000000" w:themeColor="text1"/>
          <w:szCs w:val="24"/>
        </w:rPr>
        <w:t>superior</w:t>
      </w:r>
      <w:r w:rsidR="00BC3C32" w:rsidRPr="00A84E06">
        <w:rPr>
          <w:rFonts w:cs="Times New Roman"/>
          <w:color w:val="000000" w:themeColor="text1"/>
          <w:szCs w:val="24"/>
        </w:rPr>
        <w:t xml:space="preserve"> trading </w:t>
      </w:r>
      <w:r w:rsidR="00005789" w:rsidRPr="00A84E06">
        <w:rPr>
          <w:rFonts w:cs="Times New Roman"/>
          <w:color w:val="000000" w:themeColor="text1"/>
          <w:szCs w:val="24"/>
        </w:rPr>
        <w:t>expertise</w:t>
      </w:r>
      <w:r w:rsidR="008A02C9" w:rsidRPr="00A84E06">
        <w:rPr>
          <w:rFonts w:cs="Times New Roman"/>
          <w:color w:val="000000" w:themeColor="text1"/>
          <w:szCs w:val="24"/>
        </w:rPr>
        <w:t xml:space="preserve"> that they themselves lacked</w:t>
      </w:r>
      <w:r w:rsidR="008A02C9" w:rsidRPr="00E07801">
        <w:rPr>
          <w:rFonts w:cs="Times New Roman"/>
          <w:color w:val="000000" w:themeColor="text1"/>
          <w:szCs w:val="24"/>
        </w:rPr>
        <w:t>.</w:t>
      </w:r>
      <w:r w:rsidR="003006C2" w:rsidRPr="00E07801">
        <w:rPr>
          <w:rStyle w:val="EndnoteReference"/>
          <w:rFonts w:cs="Times New Roman"/>
          <w:color w:val="000000" w:themeColor="text1"/>
          <w:szCs w:val="24"/>
        </w:rPr>
        <w:endnoteReference w:id="108"/>
      </w:r>
      <w:r w:rsidR="00735225" w:rsidDel="00735225">
        <w:rPr>
          <w:rFonts w:cs="Times New Roman"/>
          <w:color w:val="000000" w:themeColor="text1"/>
          <w:szCs w:val="24"/>
        </w:rPr>
        <w:t xml:space="preserve"> </w:t>
      </w:r>
    </w:p>
    <w:p w14:paraId="140A4099" w14:textId="6AB1B29A" w:rsidR="000142AC" w:rsidRDefault="000142AC" w:rsidP="000142AC">
      <w:pPr>
        <w:spacing w:after="0"/>
        <w:ind w:firstLine="720"/>
        <w:rPr>
          <w:rFonts w:cs="Times New Roman"/>
          <w:color w:val="000000" w:themeColor="text1"/>
          <w:szCs w:val="24"/>
        </w:rPr>
      </w:pPr>
      <w:r w:rsidRPr="00A84E06">
        <w:rPr>
          <w:rFonts w:cs="Times New Roman"/>
          <w:color w:val="000000" w:themeColor="text1"/>
          <w:szCs w:val="24"/>
        </w:rPr>
        <w:t xml:space="preserve">Despite the openness and regularity with which Enron pursued these relationships, </w:t>
      </w:r>
      <w:r w:rsidR="00FD3C90" w:rsidRPr="00A84E06">
        <w:rPr>
          <w:rFonts w:cs="Times New Roman"/>
          <w:color w:val="000000" w:themeColor="text1"/>
          <w:szCs w:val="24"/>
        </w:rPr>
        <w:t xml:space="preserve">the </w:t>
      </w:r>
      <w:r w:rsidR="009A226A" w:rsidRPr="00A84E06">
        <w:rPr>
          <w:rFonts w:cs="Times New Roman"/>
          <w:color w:val="000000" w:themeColor="text1"/>
          <w:szCs w:val="24"/>
        </w:rPr>
        <w:t>undisclosed nature</w:t>
      </w:r>
      <w:r w:rsidR="00607BA1" w:rsidRPr="00A84E06">
        <w:rPr>
          <w:rFonts w:cs="Times New Roman"/>
          <w:color w:val="000000" w:themeColor="text1"/>
          <w:szCs w:val="24"/>
        </w:rPr>
        <w:t xml:space="preserve"> of these </w:t>
      </w:r>
      <w:r w:rsidR="009C44F6" w:rsidRPr="00A84E06">
        <w:rPr>
          <w:rFonts w:cs="Times New Roman"/>
          <w:color w:val="000000" w:themeColor="text1"/>
          <w:szCs w:val="24"/>
        </w:rPr>
        <w:t xml:space="preserve">collaborations </w:t>
      </w:r>
      <w:r w:rsidRPr="00A84E06">
        <w:rPr>
          <w:rFonts w:cs="Times New Roman"/>
          <w:color w:val="000000" w:themeColor="text1"/>
          <w:szCs w:val="24"/>
        </w:rPr>
        <w:t>breach</w:t>
      </w:r>
      <w:r w:rsidR="009C44F6" w:rsidRPr="00A84E06">
        <w:rPr>
          <w:rFonts w:cs="Times New Roman"/>
          <w:color w:val="000000" w:themeColor="text1"/>
          <w:szCs w:val="24"/>
        </w:rPr>
        <w:t>ed</w:t>
      </w:r>
      <w:r w:rsidRPr="00A84E06">
        <w:rPr>
          <w:rFonts w:cs="Times New Roman"/>
          <w:color w:val="000000" w:themeColor="text1"/>
          <w:szCs w:val="24"/>
        </w:rPr>
        <w:t xml:space="preserve"> market rules</w:t>
      </w:r>
      <w:r w:rsidR="009C44F6" w:rsidRPr="00A84E06">
        <w:rPr>
          <w:rFonts w:cs="Times New Roman"/>
          <w:color w:val="000000" w:themeColor="text1"/>
          <w:szCs w:val="24"/>
        </w:rPr>
        <w:t xml:space="preserve"> </w:t>
      </w:r>
      <w:r w:rsidRPr="00A84E06">
        <w:rPr>
          <w:rFonts w:cs="Times New Roman"/>
          <w:color w:val="000000" w:themeColor="text1"/>
          <w:szCs w:val="24"/>
        </w:rPr>
        <w:t>designed to limit the very market power that they were now providing Enron’s traders.</w:t>
      </w:r>
      <w:r w:rsidRPr="002E6E04">
        <w:rPr>
          <w:rFonts w:cs="Times New Roman"/>
          <w:color w:val="000000" w:themeColor="text1"/>
          <w:szCs w:val="24"/>
        </w:rPr>
        <w:t xml:space="preserve"> </w:t>
      </w:r>
      <w:r w:rsidR="00626B32" w:rsidRPr="002E6E04">
        <w:rPr>
          <w:rFonts w:cs="Times New Roman"/>
          <w:color w:val="000000" w:themeColor="text1"/>
          <w:szCs w:val="24"/>
        </w:rPr>
        <w:t>One of t</w:t>
      </w:r>
      <w:r w:rsidRPr="002E6E04">
        <w:rPr>
          <w:rFonts w:cs="Times New Roman"/>
          <w:color w:val="000000" w:themeColor="text1"/>
          <w:szCs w:val="24"/>
        </w:rPr>
        <w:t xml:space="preserve">he earliest and most prominent of </w:t>
      </w:r>
      <w:r w:rsidRPr="002B1CDB">
        <w:rPr>
          <w:rFonts w:cs="Times New Roman"/>
          <w:color w:val="000000" w:themeColor="text1"/>
          <w:szCs w:val="24"/>
        </w:rPr>
        <w:t xml:space="preserve">these partnerships was Enron’s relationship with Texas-based utility, </w:t>
      </w:r>
      <w:r w:rsidRPr="002B1CDB">
        <w:rPr>
          <w:rFonts w:cs="Times New Roman"/>
          <w:i/>
          <w:color w:val="000000" w:themeColor="text1"/>
          <w:szCs w:val="24"/>
        </w:rPr>
        <w:t>El Paso Electric</w:t>
      </w:r>
      <w:r w:rsidRPr="002B1CDB">
        <w:rPr>
          <w:rFonts w:cs="Times New Roman"/>
          <w:color w:val="000000" w:themeColor="text1"/>
          <w:szCs w:val="24"/>
        </w:rPr>
        <w:t>.</w:t>
      </w:r>
      <w:r w:rsidR="009C44F6" w:rsidRPr="002B1CDB">
        <w:rPr>
          <w:rStyle w:val="EndnoteReference"/>
          <w:rFonts w:cs="Times New Roman"/>
          <w:color w:val="000000" w:themeColor="text1"/>
          <w:szCs w:val="24"/>
        </w:rPr>
        <w:t xml:space="preserve"> </w:t>
      </w:r>
      <w:r w:rsidR="009C44F6" w:rsidRPr="002B1CDB">
        <w:rPr>
          <w:rStyle w:val="EndnoteReference"/>
          <w:rFonts w:cs="Times New Roman"/>
          <w:color w:val="000000" w:themeColor="text1"/>
          <w:szCs w:val="24"/>
        </w:rPr>
        <w:endnoteReference w:id="109"/>
      </w:r>
      <w:r w:rsidRPr="002B1CDB">
        <w:rPr>
          <w:rFonts w:cs="Times New Roman"/>
          <w:color w:val="000000" w:themeColor="text1"/>
          <w:szCs w:val="24"/>
        </w:rPr>
        <w:t xml:space="preserve"> </w:t>
      </w:r>
      <w:r w:rsidRPr="00A84E06">
        <w:rPr>
          <w:rFonts w:cs="Times New Roman"/>
          <w:color w:val="000000" w:themeColor="text1"/>
          <w:szCs w:val="24"/>
        </w:rPr>
        <w:t xml:space="preserve">Enron had maintained a close relationship with El Paso for </w:t>
      </w:r>
      <w:r w:rsidR="00BC3C32" w:rsidRPr="00A84E06">
        <w:rPr>
          <w:rFonts w:cs="Times New Roman"/>
          <w:color w:val="000000" w:themeColor="text1"/>
          <w:szCs w:val="24"/>
        </w:rPr>
        <w:t>several</w:t>
      </w:r>
      <w:r w:rsidRPr="00A84E06">
        <w:rPr>
          <w:rFonts w:cs="Times New Roman"/>
          <w:color w:val="000000" w:themeColor="text1"/>
          <w:szCs w:val="24"/>
        </w:rPr>
        <w:t xml:space="preserve"> years and, when the opportunity to profit from California </w:t>
      </w:r>
      <w:r w:rsidR="0059214A" w:rsidRPr="00A84E06">
        <w:rPr>
          <w:rFonts w:cs="Times New Roman"/>
          <w:color w:val="000000" w:themeColor="text1"/>
          <w:szCs w:val="24"/>
        </w:rPr>
        <w:t>materialized</w:t>
      </w:r>
      <w:r w:rsidRPr="00A84E06">
        <w:rPr>
          <w:rFonts w:cs="Times New Roman"/>
          <w:color w:val="000000" w:themeColor="text1"/>
          <w:szCs w:val="24"/>
        </w:rPr>
        <w:t xml:space="preserve">, the utility </w:t>
      </w:r>
      <w:r w:rsidR="00B246F8" w:rsidRPr="00A84E06">
        <w:rPr>
          <w:rFonts w:cs="Times New Roman"/>
          <w:color w:val="000000" w:themeColor="text1"/>
          <w:szCs w:val="24"/>
        </w:rPr>
        <w:t>sign</w:t>
      </w:r>
      <w:r w:rsidR="000E6D7E" w:rsidRPr="00A84E06">
        <w:rPr>
          <w:rFonts w:cs="Times New Roman"/>
          <w:color w:val="000000" w:themeColor="text1"/>
          <w:szCs w:val="24"/>
        </w:rPr>
        <w:t>ed on</w:t>
      </w:r>
      <w:r w:rsidR="00B246F8" w:rsidRPr="00A84E06">
        <w:rPr>
          <w:rFonts w:cs="Times New Roman"/>
          <w:color w:val="000000" w:themeColor="text1"/>
          <w:szCs w:val="24"/>
        </w:rPr>
        <w:t xml:space="preserve"> to</w:t>
      </w:r>
      <w:r w:rsidRPr="00A84E06">
        <w:rPr>
          <w:rFonts w:cs="Times New Roman"/>
          <w:color w:val="000000" w:themeColor="text1"/>
          <w:szCs w:val="24"/>
        </w:rPr>
        <w:t xml:space="preserve"> </w:t>
      </w:r>
      <w:r w:rsidR="00B246F8" w:rsidRPr="00A84E06">
        <w:rPr>
          <w:rFonts w:cs="Times New Roman"/>
          <w:color w:val="000000" w:themeColor="text1"/>
          <w:szCs w:val="24"/>
        </w:rPr>
        <w:t>the traders</w:t>
      </w:r>
      <w:r w:rsidR="00BC3C32" w:rsidRPr="00A84E06">
        <w:rPr>
          <w:rFonts w:cs="Times New Roman"/>
          <w:color w:val="000000" w:themeColor="text1"/>
          <w:szCs w:val="24"/>
        </w:rPr>
        <w:t>’</w:t>
      </w:r>
      <w:r w:rsidR="00B246F8" w:rsidRPr="00A84E06">
        <w:rPr>
          <w:rFonts w:cs="Times New Roman"/>
          <w:color w:val="000000" w:themeColor="text1"/>
          <w:szCs w:val="24"/>
        </w:rPr>
        <w:t xml:space="preserve"> plans</w:t>
      </w:r>
      <w:r w:rsidRPr="002B1CDB">
        <w:rPr>
          <w:rFonts w:cs="Times New Roman"/>
          <w:color w:val="000000" w:themeColor="text1"/>
          <w:szCs w:val="24"/>
        </w:rPr>
        <w:t>.</w:t>
      </w:r>
      <w:r w:rsidR="00294396" w:rsidRPr="002B1CDB">
        <w:rPr>
          <w:rStyle w:val="EndnoteReference"/>
          <w:rFonts w:cs="Times New Roman"/>
          <w:color w:val="000000" w:themeColor="text1"/>
          <w:szCs w:val="24"/>
        </w:rPr>
        <w:endnoteReference w:id="110"/>
      </w:r>
      <w:r w:rsidRPr="002E6E04">
        <w:rPr>
          <w:rFonts w:cs="Times New Roman"/>
          <w:color w:val="000000" w:themeColor="text1"/>
          <w:szCs w:val="24"/>
        </w:rPr>
        <w:t xml:space="preserve"> An example of the sort of arrangement agreed between the two firms can be seen in an email sent by the head of real-time trading, John Forney</w:t>
      </w:r>
      <w:r w:rsidR="00B92AD9" w:rsidRPr="002E6E04">
        <w:rPr>
          <w:rFonts w:cs="Times New Roman"/>
          <w:color w:val="000000" w:themeColor="text1"/>
          <w:szCs w:val="24"/>
        </w:rPr>
        <w:t>,</w:t>
      </w:r>
      <w:r w:rsidRPr="002E6E04">
        <w:rPr>
          <w:rFonts w:cs="Times New Roman"/>
          <w:color w:val="000000" w:themeColor="text1"/>
          <w:szCs w:val="24"/>
        </w:rPr>
        <w:t xml:space="preserve"> to staff in early April, </w:t>
      </w:r>
      <w:r w:rsidR="00B246F8" w:rsidRPr="002E6E04">
        <w:rPr>
          <w:rFonts w:cs="Times New Roman"/>
          <w:color w:val="000000" w:themeColor="text1"/>
          <w:szCs w:val="24"/>
        </w:rPr>
        <w:t xml:space="preserve">when he </w:t>
      </w:r>
      <w:r w:rsidRPr="002E6E04">
        <w:rPr>
          <w:rFonts w:cs="Times New Roman"/>
          <w:color w:val="000000" w:themeColor="text1"/>
          <w:szCs w:val="24"/>
        </w:rPr>
        <w:t>report</w:t>
      </w:r>
      <w:r w:rsidR="00B246F8" w:rsidRPr="002E6E04">
        <w:rPr>
          <w:rFonts w:cs="Times New Roman"/>
          <w:color w:val="000000" w:themeColor="text1"/>
          <w:szCs w:val="24"/>
        </w:rPr>
        <w:t>s</w:t>
      </w:r>
      <w:r w:rsidRPr="002E6E04">
        <w:rPr>
          <w:rFonts w:cs="Times New Roman"/>
          <w:color w:val="000000" w:themeColor="text1"/>
          <w:szCs w:val="24"/>
        </w:rPr>
        <w:t xml:space="preserve"> a new </w:t>
      </w:r>
      <w:r w:rsidR="00B246F8" w:rsidRPr="002E6E04">
        <w:rPr>
          <w:rFonts w:cs="Times New Roman"/>
          <w:color w:val="000000" w:themeColor="text1"/>
          <w:szCs w:val="24"/>
        </w:rPr>
        <w:t xml:space="preserve">arrangement for the </w:t>
      </w:r>
      <w:r w:rsidR="00714EED" w:rsidRPr="002E6E04">
        <w:rPr>
          <w:rFonts w:cs="Times New Roman"/>
          <w:color w:val="000000" w:themeColor="text1"/>
          <w:szCs w:val="24"/>
        </w:rPr>
        <w:t>“</w:t>
      </w:r>
      <w:r w:rsidR="00B246F8" w:rsidRPr="002E6E04">
        <w:rPr>
          <w:rFonts w:cs="Times New Roman"/>
          <w:iCs/>
          <w:color w:val="000000" w:themeColor="text1"/>
          <w:szCs w:val="24"/>
        </w:rPr>
        <w:t>Wheel Out</w:t>
      </w:r>
      <w:r w:rsidR="00714EED" w:rsidRPr="002E6E04">
        <w:rPr>
          <w:rFonts w:cs="Times New Roman"/>
          <w:iCs/>
          <w:color w:val="000000" w:themeColor="text1"/>
          <w:szCs w:val="24"/>
        </w:rPr>
        <w:t>”</w:t>
      </w:r>
      <w:r w:rsidR="00B246F8" w:rsidRPr="002E6E04">
        <w:rPr>
          <w:rFonts w:cs="Times New Roman"/>
          <w:color w:val="000000" w:themeColor="text1"/>
          <w:szCs w:val="24"/>
        </w:rPr>
        <w:t xml:space="preserve"> strategy</w:t>
      </w:r>
      <w:r w:rsidRPr="002E6E04">
        <w:rPr>
          <w:rFonts w:cs="Times New Roman"/>
          <w:color w:val="000000" w:themeColor="text1"/>
          <w:szCs w:val="24"/>
        </w:rPr>
        <w:t>:</w:t>
      </w:r>
    </w:p>
    <w:p w14:paraId="33D8F2EC" w14:textId="77777777" w:rsidR="000F1CB1" w:rsidRPr="002E6E04" w:rsidRDefault="000F1CB1" w:rsidP="000142AC">
      <w:pPr>
        <w:spacing w:after="0"/>
        <w:ind w:firstLine="720"/>
        <w:rPr>
          <w:rFonts w:cs="Times New Roman"/>
          <w:color w:val="000000" w:themeColor="text1"/>
          <w:szCs w:val="24"/>
        </w:rPr>
      </w:pPr>
    </w:p>
    <w:p w14:paraId="685CDE49" w14:textId="58B732C9" w:rsidR="000142AC" w:rsidRDefault="000142AC" w:rsidP="000142AC">
      <w:pPr>
        <w:pStyle w:val="Quote"/>
        <w:spacing w:line="480" w:lineRule="auto"/>
      </w:pPr>
      <w:r w:rsidRPr="002E6E04">
        <w:t xml:space="preserve">We have struck a deal with El Paso where we buy from them PV </w:t>
      </w:r>
      <w:r w:rsidR="00467EB1" w:rsidRPr="002E6E04">
        <w:t>[</w:t>
      </w:r>
      <w:r w:rsidRPr="002E6E04">
        <w:t>Palo Verde</w:t>
      </w:r>
      <w:r w:rsidR="00467EB1" w:rsidRPr="002E6E04">
        <w:t>]</w:t>
      </w:r>
      <w:r w:rsidRPr="002E6E04">
        <w:t xml:space="preserve"> and sell to them 4C </w:t>
      </w:r>
      <w:r w:rsidR="00467EB1" w:rsidRPr="002E6E04">
        <w:t>[</w:t>
      </w:r>
      <w:r w:rsidRPr="002E6E04">
        <w:t>Four Corners</w:t>
      </w:r>
      <w:r w:rsidR="00467EB1" w:rsidRPr="002E6E04">
        <w:t>]</w:t>
      </w:r>
      <w:r w:rsidRPr="002E6E04">
        <w:t xml:space="preserve"> for a $10 spread. They </w:t>
      </w:r>
      <w:r w:rsidR="00594448" w:rsidRPr="002E6E04">
        <w:t xml:space="preserve">don’t </w:t>
      </w:r>
      <w:r w:rsidRPr="002E6E04">
        <w:t xml:space="preserve">flow any </w:t>
      </w:r>
      <w:r w:rsidRPr="002E6E04">
        <w:lastRenderedPageBreak/>
        <w:t xml:space="preserve">power because they have the rights at both </w:t>
      </w:r>
      <w:r w:rsidR="0059214A" w:rsidRPr="002E6E04">
        <w:t>points,</w:t>
      </w:r>
      <w:r w:rsidRPr="002E6E04">
        <w:t xml:space="preserve"> and they collect a check – no risk to them. […] Today, we have been paid in the mid-forties to relieve congestion. With approx. $4 of expenses, we make $31 no risk margin. […]</w:t>
      </w:r>
      <w:r w:rsidR="00294396" w:rsidRPr="002E6E04">
        <w:rPr>
          <w:rStyle w:val="EndnoteReference"/>
        </w:rPr>
        <w:endnoteReference w:id="111"/>
      </w:r>
      <w:r w:rsidRPr="002E6E04">
        <w:t xml:space="preserve"> </w:t>
      </w:r>
    </w:p>
    <w:p w14:paraId="072423E9" w14:textId="77777777" w:rsidR="002B1CDB" w:rsidRPr="002B1CDB" w:rsidRDefault="002B1CDB" w:rsidP="002144FD"/>
    <w:p w14:paraId="4DC872E8" w14:textId="17EE0E5E" w:rsidR="000142AC" w:rsidRPr="002E6E04" w:rsidRDefault="000142AC" w:rsidP="00BC3C32">
      <w:pPr>
        <w:spacing w:after="0"/>
        <w:ind w:firstLine="720"/>
        <w:rPr>
          <w:rFonts w:cs="Times New Roman"/>
          <w:color w:val="000000" w:themeColor="text1"/>
          <w:szCs w:val="24"/>
        </w:rPr>
      </w:pPr>
      <w:r w:rsidRPr="002B1CDB">
        <w:rPr>
          <w:color w:val="000000" w:themeColor="text1"/>
        </w:rPr>
        <w:t xml:space="preserve">Accordingly, </w:t>
      </w:r>
      <w:r w:rsidRPr="00A84E06">
        <w:rPr>
          <w:color w:val="000000" w:themeColor="text1"/>
        </w:rPr>
        <w:t xml:space="preserve">by working with </w:t>
      </w:r>
      <w:r w:rsidR="00507F57" w:rsidRPr="00A84E06">
        <w:rPr>
          <w:color w:val="000000" w:themeColor="text1"/>
        </w:rPr>
        <w:t xml:space="preserve">companies like </w:t>
      </w:r>
      <w:r w:rsidRPr="00A84E06">
        <w:rPr>
          <w:color w:val="000000" w:themeColor="text1"/>
        </w:rPr>
        <w:t xml:space="preserve">El Paso, traders could create an apparently legitimate schedule, </w:t>
      </w:r>
      <w:r w:rsidR="00BC3C32" w:rsidRPr="00A84E06">
        <w:rPr>
          <w:color w:val="000000" w:themeColor="text1"/>
        </w:rPr>
        <w:t>the sole purpose of which was to</w:t>
      </w:r>
      <w:r w:rsidRPr="00A84E06">
        <w:rPr>
          <w:color w:val="000000" w:themeColor="text1"/>
        </w:rPr>
        <w:t xml:space="preserve"> </w:t>
      </w:r>
      <w:r w:rsidR="00BC3C32" w:rsidRPr="00A84E06">
        <w:rPr>
          <w:color w:val="000000" w:themeColor="text1"/>
        </w:rPr>
        <w:t>trigger</w:t>
      </w:r>
      <w:r w:rsidRPr="00A84E06">
        <w:rPr>
          <w:color w:val="000000" w:themeColor="text1"/>
        </w:rPr>
        <w:t xml:space="preserve"> congestion relief </w:t>
      </w:r>
      <w:r w:rsidR="00BC3C32" w:rsidRPr="00A84E06">
        <w:rPr>
          <w:color w:val="000000" w:themeColor="text1"/>
        </w:rPr>
        <w:t>payments</w:t>
      </w:r>
      <w:r w:rsidRPr="002E6E04">
        <w:rPr>
          <w:color w:val="000000" w:themeColor="text1"/>
        </w:rPr>
        <w:t>.</w:t>
      </w:r>
      <w:r w:rsidR="00CA0144">
        <w:rPr>
          <w:rStyle w:val="EndnoteReference"/>
          <w:color w:val="000000" w:themeColor="text1"/>
        </w:rPr>
        <w:endnoteReference w:id="112"/>
      </w:r>
      <w:r w:rsidRPr="002E6E04">
        <w:rPr>
          <w:color w:val="000000" w:themeColor="text1"/>
        </w:rPr>
        <w:t xml:space="preserve"> </w:t>
      </w:r>
      <w:r w:rsidRPr="002E6E04">
        <w:rPr>
          <w:rFonts w:cs="Times New Roman"/>
          <w:color w:val="000000" w:themeColor="text1"/>
          <w:szCs w:val="24"/>
        </w:rPr>
        <w:t>Enron</w:t>
      </w:r>
      <w:r w:rsidR="000129C0" w:rsidRPr="002E6E04">
        <w:rPr>
          <w:rFonts w:cs="Times New Roman"/>
          <w:color w:val="000000" w:themeColor="text1"/>
          <w:szCs w:val="24"/>
        </w:rPr>
        <w:t xml:space="preserve"> also</w:t>
      </w:r>
      <w:r w:rsidRPr="002E6E04">
        <w:rPr>
          <w:rFonts w:cs="Times New Roman"/>
          <w:color w:val="000000" w:themeColor="text1"/>
          <w:szCs w:val="24"/>
        </w:rPr>
        <w:t xml:space="preserve"> ran a large proportion of El Paso</w:t>
      </w:r>
      <w:r w:rsidR="00507F57" w:rsidRPr="002E6E04">
        <w:rPr>
          <w:rFonts w:cs="Times New Roman"/>
          <w:color w:val="000000" w:themeColor="text1"/>
          <w:szCs w:val="24"/>
        </w:rPr>
        <w:t>’s</w:t>
      </w:r>
      <w:r w:rsidRPr="002E6E04">
        <w:rPr>
          <w:rFonts w:cs="Times New Roman"/>
          <w:color w:val="000000" w:themeColor="text1"/>
          <w:szCs w:val="24"/>
        </w:rPr>
        <w:t xml:space="preserve"> scheduling activity, providing</w:t>
      </w:r>
      <w:r w:rsidR="00507F57" w:rsidRPr="002E6E04">
        <w:rPr>
          <w:rFonts w:cs="Times New Roman"/>
          <w:color w:val="000000" w:themeColor="text1"/>
          <w:szCs w:val="24"/>
        </w:rPr>
        <w:t xml:space="preserve"> </w:t>
      </w:r>
      <w:r w:rsidRPr="002E6E04">
        <w:rPr>
          <w:rFonts w:cs="Times New Roman"/>
          <w:color w:val="000000" w:themeColor="text1"/>
          <w:szCs w:val="24"/>
        </w:rPr>
        <w:t>control of generation and privileged information</w:t>
      </w:r>
      <w:r w:rsidR="006679E7" w:rsidRPr="002E6E04">
        <w:rPr>
          <w:rFonts w:cs="Times New Roman"/>
          <w:color w:val="000000" w:themeColor="text1"/>
          <w:szCs w:val="24"/>
        </w:rPr>
        <w:t>, which they used to</w:t>
      </w:r>
      <w:r w:rsidR="000129C0" w:rsidRPr="002E6E04">
        <w:rPr>
          <w:rFonts w:cs="Times New Roman"/>
          <w:color w:val="000000" w:themeColor="text1"/>
          <w:szCs w:val="24"/>
        </w:rPr>
        <w:t xml:space="preserve"> </w:t>
      </w:r>
      <w:r w:rsidR="00E62D7D" w:rsidRPr="002E6E04">
        <w:rPr>
          <w:rFonts w:cs="Times New Roman"/>
          <w:color w:val="000000" w:themeColor="text1"/>
          <w:szCs w:val="24"/>
        </w:rPr>
        <w:t>a</w:t>
      </w:r>
      <w:r w:rsidR="000129C0" w:rsidRPr="002E6E04">
        <w:rPr>
          <w:rFonts w:cs="Times New Roman"/>
          <w:color w:val="000000" w:themeColor="text1"/>
          <w:szCs w:val="24"/>
        </w:rPr>
        <w:t>ffect levels of energy available to the Californian markets</w:t>
      </w:r>
      <w:r w:rsidRPr="002E6E04">
        <w:rPr>
          <w:rFonts w:cs="Times New Roman"/>
          <w:color w:val="000000" w:themeColor="text1"/>
          <w:szCs w:val="24"/>
        </w:rPr>
        <w:t xml:space="preserve">. It was the success of this early relationship with El Paso that would ultimately </w:t>
      </w:r>
      <w:r w:rsidR="000129C0" w:rsidRPr="002E6E04">
        <w:rPr>
          <w:rFonts w:cs="Times New Roman"/>
          <w:color w:val="000000" w:themeColor="text1"/>
          <w:szCs w:val="24"/>
        </w:rPr>
        <w:t>inform the development of a wider network of partners</w:t>
      </w:r>
      <w:r w:rsidRPr="002E6E04">
        <w:rPr>
          <w:rFonts w:cs="Times New Roman"/>
          <w:color w:val="000000" w:themeColor="text1"/>
          <w:szCs w:val="24"/>
        </w:rPr>
        <w:t>, serving “as a model for many of Enron’s other relationships</w:t>
      </w:r>
      <w:r w:rsidR="002B1CDB">
        <w:rPr>
          <w:rFonts w:cs="Times New Roman"/>
          <w:color w:val="000000" w:themeColor="text1"/>
          <w:szCs w:val="24"/>
        </w:rPr>
        <w:t>.</w:t>
      </w:r>
      <w:r w:rsidRPr="002E6E04">
        <w:rPr>
          <w:rFonts w:cs="Times New Roman"/>
          <w:color w:val="000000" w:themeColor="text1"/>
          <w:szCs w:val="24"/>
        </w:rPr>
        <w:t>”</w:t>
      </w:r>
      <w:r w:rsidR="00294396" w:rsidRPr="002E6E04">
        <w:rPr>
          <w:rStyle w:val="EndnoteReference"/>
          <w:rFonts w:cs="Times New Roman"/>
          <w:color w:val="000000" w:themeColor="text1"/>
          <w:szCs w:val="24"/>
        </w:rPr>
        <w:endnoteReference w:id="113"/>
      </w:r>
      <w:r w:rsidR="00A84E06">
        <w:rPr>
          <w:rFonts w:cs="Times New Roman"/>
          <w:color w:val="000000" w:themeColor="text1"/>
          <w:szCs w:val="24"/>
        </w:rPr>
        <w:t xml:space="preserve"> </w:t>
      </w:r>
      <w:r w:rsidR="006B5AF5" w:rsidRPr="002E6E04">
        <w:rPr>
          <w:rFonts w:cs="Times New Roman"/>
          <w:color w:val="000000" w:themeColor="text1"/>
          <w:szCs w:val="24"/>
        </w:rPr>
        <w:t>T</w:t>
      </w:r>
      <w:r w:rsidR="00484D81" w:rsidRPr="002E6E04">
        <w:rPr>
          <w:rFonts w:cs="Times New Roman"/>
          <w:color w:val="000000" w:themeColor="text1"/>
          <w:szCs w:val="24"/>
        </w:rPr>
        <w:t xml:space="preserve">raders </w:t>
      </w:r>
      <w:r w:rsidR="006B5AF5" w:rsidRPr="002E6E04">
        <w:rPr>
          <w:rFonts w:cs="Times New Roman"/>
          <w:color w:val="000000" w:themeColor="text1"/>
          <w:szCs w:val="24"/>
        </w:rPr>
        <w:t xml:space="preserve">also </w:t>
      </w:r>
      <w:r w:rsidR="00484D81" w:rsidRPr="002E6E04">
        <w:rPr>
          <w:rFonts w:cs="Times New Roman"/>
          <w:color w:val="000000" w:themeColor="text1"/>
          <w:szCs w:val="24"/>
        </w:rPr>
        <w:t xml:space="preserve">leveraged Enron’s </w:t>
      </w:r>
      <w:r w:rsidR="00E55734" w:rsidRPr="002E6E04">
        <w:rPr>
          <w:rFonts w:cs="Times New Roman"/>
          <w:color w:val="000000" w:themeColor="text1"/>
          <w:szCs w:val="24"/>
        </w:rPr>
        <w:t>ownership</w:t>
      </w:r>
      <w:r w:rsidR="00484D81" w:rsidRPr="002E6E04">
        <w:rPr>
          <w:rFonts w:cs="Times New Roman"/>
          <w:color w:val="000000" w:themeColor="text1"/>
          <w:szCs w:val="24"/>
        </w:rPr>
        <w:t xml:space="preserve"> of PGE, contravening the requirement to remain operational</w:t>
      </w:r>
      <w:r w:rsidR="00F0220F" w:rsidRPr="002E6E04">
        <w:rPr>
          <w:rFonts w:cs="Times New Roman"/>
          <w:color w:val="000000" w:themeColor="text1"/>
          <w:szCs w:val="24"/>
        </w:rPr>
        <w:t>ly</w:t>
      </w:r>
      <w:r w:rsidR="00484D81" w:rsidRPr="002E6E04">
        <w:rPr>
          <w:rFonts w:cs="Times New Roman"/>
          <w:color w:val="000000" w:themeColor="text1"/>
          <w:szCs w:val="24"/>
        </w:rPr>
        <w:t xml:space="preserve"> </w:t>
      </w:r>
      <w:r w:rsidR="00FF6BA7" w:rsidRPr="002E6E04">
        <w:rPr>
          <w:rFonts w:cs="Times New Roman"/>
          <w:color w:val="000000" w:themeColor="text1"/>
          <w:szCs w:val="24"/>
        </w:rPr>
        <w:t>distinct</w:t>
      </w:r>
      <w:r w:rsidR="00484D81" w:rsidRPr="002E6E04">
        <w:rPr>
          <w:rFonts w:cs="Times New Roman"/>
          <w:color w:val="000000" w:themeColor="text1"/>
          <w:szCs w:val="24"/>
        </w:rPr>
        <w:t xml:space="preserve"> from the </w:t>
      </w:r>
      <w:r w:rsidR="00FF6BA7" w:rsidRPr="002E6E04">
        <w:rPr>
          <w:rFonts w:cs="Times New Roman"/>
          <w:color w:val="000000" w:themeColor="text1"/>
          <w:szCs w:val="24"/>
        </w:rPr>
        <w:t>acquired</w:t>
      </w:r>
      <w:r w:rsidR="00E55734" w:rsidRPr="002E6E04">
        <w:rPr>
          <w:rFonts w:cs="Times New Roman"/>
          <w:color w:val="000000" w:themeColor="text1"/>
          <w:szCs w:val="24"/>
        </w:rPr>
        <w:t xml:space="preserve"> </w:t>
      </w:r>
      <w:r w:rsidR="00484D81" w:rsidRPr="002E6E04">
        <w:rPr>
          <w:rFonts w:cs="Times New Roman"/>
          <w:color w:val="000000" w:themeColor="text1"/>
          <w:szCs w:val="24"/>
        </w:rPr>
        <w:t xml:space="preserve">utility, </w:t>
      </w:r>
      <w:r w:rsidR="00527C7A" w:rsidRPr="002E6E04">
        <w:rPr>
          <w:rFonts w:cs="Times New Roman"/>
          <w:color w:val="000000" w:themeColor="text1"/>
          <w:szCs w:val="24"/>
        </w:rPr>
        <w:t>controlling</w:t>
      </w:r>
      <w:r w:rsidR="00484D81" w:rsidRPr="002E6E04">
        <w:rPr>
          <w:rFonts w:cs="Times New Roman"/>
          <w:color w:val="000000" w:themeColor="text1"/>
          <w:szCs w:val="24"/>
        </w:rPr>
        <w:t xml:space="preserve"> large portions of its operations</w:t>
      </w:r>
      <w:r w:rsidR="00527C7A" w:rsidRPr="002E6E04">
        <w:rPr>
          <w:rFonts w:cs="Times New Roman"/>
          <w:color w:val="000000" w:themeColor="text1"/>
          <w:szCs w:val="24"/>
        </w:rPr>
        <w:t xml:space="preserve"> </w:t>
      </w:r>
      <w:r w:rsidR="00527C7A" w:rsidRPr="002B1CDB">
        <w:rPr>
          <w:rFonts w:cs="Times New Roman"/>
          <w:color w:val="000000" w:themeColor="text1"/>
          <w:szCs w:val="24"/>
        </w:rPr>
        <w:t>instead</w:t>
      </w:r>
      <w:r w:rsidR="00484D81" w:rsidRPr="002B1CDB">
        <w:rPr>
          <w:rFonts w:cs="Times New Roman"/>
          <w:color w:val="000000" w:themeColor="text1"/>
          <w:szCs w:val="24"/>
        </w:rPr>
        <w:t>.</w:t>
      </w:r>
      <w:r w:rsidRPr="002B1CDB">
        <w:rPr>
          <w:rFonts w:cs="Times New Roman"/>
          <w:color w:val="000000" w:themeColor="text1"/>
          <w:szCs w:val="24"/>
        </w:rPr>
        <w:t xml:space="preserve"> </w:t>
      </w:r>
      <w:r w:rsidR="00484D81" w:rsidRPr="00912350">
        <w:rPr>
          <w:rFonts w:cs="Times New Roman"/>
          <w:color w:val="000000" w:themeColor="text1"/>
          <w:szCs w:val="24"/>
        </w:rPr>
        <w:t>Th</w:t>
      </w:r>
      <w:r w:rsidR="00A301CB" w:rsidRPr="00912350">
        <w:rPr>
          <w:rFonts w:cs="Times New Roman"/>
          <w:color w:val="000000" w:themeColor="text1"/>
          <w:szCs w:val="24"/>
        </w:rPr>
        <w:t>r</w:t>
      </w:r>
      <w:r w:rsidR="00484D81" w:rsidRPr="00912350">
        <w:rPr>
          <w:rFonts w:cs="Times New Roman"/>
          <w:color w:val="000000" w:themeColor="text1"/>
          <w:szCs w:val="24"/>
        </w:rPr>
        <w:t>ough these means</w:t>
      </w:r>
      <w:r w:rsidR="000129C0" w:rsidRPr="00912350">
        <w:rPr>
          <w:rFonts w:cs="Times New Roman"/>
          <w:color w:val="000000" w:themeColor="text1"/>
          <w:szCs w:val="24"/>
        </w:rPr>
        <w:t>, a</w:t>
      </w:r>
      <w:r w:rsidR="00A77D0D" w:rsidRPr="00912350">
        <w:rPr>
          <w:rFonts w:cs="Times New Roman"/>
          <w:color w:val="000000" w:themeColor="text1"/>
          <w:szCs w:val="24"/>
        </w:rPr>
        <w:t xml:space="preserve"> network </w:t>
      </w:r>
      <w:r w:rsidR="00BB1F53" w:rsidRPr="00912350">
        <w:rPr>
          <w:rFonts w:cs="Times New Roman"/>
          <w:color w:val="000000" w:themeColor="text1"/>
          <w:szCs w:val="24"/>
        </w:rPr>
        <w:t xml:space="preserve">of </w:t>
      </w:r>
      <w:r w:rsidR="008E2631" w:rsidRPr="00912350">
        <w:rPr>
          <w:rFonts w:cs="Times New Roman"/>
          <w:color w:val="000000" w:themeColor="text1"/>
          <w:szCs w:val="24"/>
        </w:rPr>
        <w:t xml:space="preserve">facilitative </w:t>
      </w:r>
      <w:r w:rsidR="0059214A" w:rsidRPr="00912350">
        <w:rPr>
          <w:rFonts w:cs="Times New Roman"/>
          <w:color w:val="000000" w:themeColor="text1"/>
          <w:szCs w:val="24"/>
        </w:rPr>
        <w:t>organizations</w:t>
      </w:r>
      <w:r w:rsidRPr="00912350">
        <w:rPr>
          <w:rFonts w:cs="Times New Roman"/>
          <w:color w:val="000000" w:themeColor="text1"/>
          <w:szCs w:val="24"/>
        </w:rPr>
        <w:t xml:space="preserve"> beg</w:t>
      </w:r>
      <w:r w:rsidR="00BB1F53" w:rsidRPr="00912350">
        <w:rPr>
          <w:rFonts w:cs="Times New Roman"/>
          <w:color w:val="000000" w:themeColor="text1"/>
          <w:szCs w:val="24"/>
        </w:rPr>
        <w:t>a</w:t>
      </w:r>
      <w:r w:rsidRPr="00912350">
        <w:rPr>
          <w:rFonts w:cs="Times New Roman"/>
          <w:color w:val="000000" w:themeColor="text1"/>
          <w:szCs w:val="24"/>
        </w:rPr>
        <w:t xml:space="preserve">n to </w:t>
      </w:r>
      <w:r w:rsidR="00507F57" w:rsidRPr="00912350">
        <w:rPr>
          <w:rFonts w:cs="Times New Roman"/>
          <w:color w:val="000000" w:themeColor="text1"/>
          <w:szCs w:val="24"/>
        </w:rPr>
        <w:t>emerge</w:t>
      </w:r>
      <w:r w:rsidRPr="00912350">
        <w:rPr>
          <w:rFonts w:cs="Times New Roman"/>
          <w:color w:val="000000" w:themeColor="text1"/>
          <w:szCs w:val="24"/>
        </w:rPr>
        <w:t xml:space="preserve">, </w:t>
      </w:r>
      <w:r w:rsidR="006679E7" w:rsidRPr="00912350">
        <w:rPr>
          <w:rFonts w:cs="Times New Roman"/>
          <w:color w:val="000000" w:themeColor="text1"/>
          <w:szCs w:val="24"/>
        </w:rPr>
        <w:t>with each affiliated firm embedded in the actions</w:t>
      </w:r>
      <w:r w:rsidRPr="00912350">
        <w:rPr>
          <w:rFonts w:cs="Times New Roman"/>
          <w:color w:val="000000" w:themeColor="text1"/>
          <w:szCs w:val="24"/>
        </w:rPr>
        <w:t xml:space="preserve"> of </w:t>
      </w:r>
      <w:r w:rsidR="000129C0" w:rsidRPr="00912350">
        <w:rPr>
          <w:rFonts w:cs="Times New Roman"/>
          <w:color w:val="000000" w:themeColor="text1"/>
          <w:szCs w:val="24"/>
        </w:rPr>
        <w:t>Enron as a</w:t>
      </w:r>
      <w:r w:rsidRPr="00912350">
        <w:rPr>
          <w:rFonts w:cs="Times New Roman"/>
          <w:color w:val="000000" w:themeColor="text1"/>
          <w:szCs w:val="24"/>
        </w:rPr>
        <w:t xml:space="preserve"> dominant</w:t>
      </w:r>
      <w:r w:rsidR="00507F57" w:rsidRPr="00912350">
        <w:rPr>
          <w:rFonts w:cs="Times New Roman"/>
          <w:color w:val="000000" w:themeColor="text1"/>
          <w:szCs w:val="24"/>
        </w:rPr>
        <w:t xml:space="preserve"> corrupt</w:t>
      </w:r>
      <w:r w:rsidRPr="00912350">
        <w:rPr>
          <w:rFonts w:cs="Times New Roman"/>
          <w:color w:val="000000" w:themeColor="text1"/>
          <w:szCs w:val="24"/>
        </w:rPr>
        <w:t xml:space="preserve"> </w:t>
      </w:r>
      <w:r w:rsidR="0059214A" w:rsidRPr="00912350">
        <w:rPr>
          <w:rFonts w:cs="Times New Roman"/>
          <w:color w:val="000000" w:themeColor="text1"/>
          <w:szCs w:val="24"/>
        </w:rPr>
        <w:t>organizatio</w:t>
      </w:r>
      <w:r w:rsidR="00A66FFE" w:rsidRPr="00912350">
        <w:rPr>
          <w:rFonts w:cs="Times New Roman"/>
          <w:color w:val="000000" w:themeColor="text1"/>
          <w:szCs w:val="24"/>
        </w:rPr>
        <w:t>n</w:t>
      </w:r>
      <w:r w:rsidRPr="00912350">
        <w:rPr>
          <w:rFonts w:cs="Times New Roman"/>
          <w:color w:val="000000" w:themeColor="text1"/>
          <w:szCs w:val="24"/>
        </w:rPr>
        <w:t>.</w:t>
      </w:r>
      <w:r w:rsidR="00794807" w:rsidRPr="00912350">
        <w:rPr>
          <w:rStyle w:val="EndnoteReference"/>
          <w:rFonts w:cs="Times New Roman"/>
          <w:color w:val="000000" w:themeColor="text1"/>
          <w:szCs w:val="24"/>
        </w:rPr>
        <w:endnoteReference w:id="114"/>
      </w:r>
      <w:r w:rsidR="00B16505" w:rsidRPr="00912350">
        <w:rPr>
          <w:rFonts w:cs="Times New Roman"/>
          <w:color w:val="000000" w:themeColor="text1"/>
          <w:szCs w:val="24"/>
        </w:rPr>
        <w:t xml:space="preserve"> </w:t>
      </w:r>
      <w:r w:rsidR="00AC2807" w:rsidRPr="00912350">
        <w:rPr>
          <w:rFonts w:cs="Times New Roman"/>
          <w:color w:val="000000" w:themeColor="text1"/>
          <w:szCs w:val="24"/>
        </w:rPr>
        <w:t>Thus, a</w:t>
      </w:r>
      <w:r w:rsidR="00484D81" w:rsidRPr="00912350">
        <w:rPr>
          <w:rFonts w:cs="Times New Roman"/>
          <w:color w:val="000000" w:themeColor="text1"/>
          <w:szCs w:val="24"/>
        </w:rPr>
        <w:t xml:space="preserve">s </w:t>
      </w:r>
      <w:r w:rsidR="00B6276E" w:rsidRPr="00912350">
        <w:rPr>
          <w:rFonts w:cs="Times New Roman"/>
          <w:color w:val="000000" w:themeColor="text1"/>
          <w:szCs w:val="24"/>
        </w:rPr>
        <w:t>illustrated</w:t>
      </w:r>
      <w:r w:rsidR="00484D81" w:rsidRPr="00912350">
        <w:rPr>
          <w:rFonts w:cs="Times New Roman"/>
          <w:color w:val="000000" w:themeColor="text1"/>
          <w:szCs w:val="24"/>
        </w:rPr>
        <w:t xml:space="preserve"> in </w:t>
      </w:r>
      <w:r w:rsidR="00B6276E" w:rsidRPr="00912350">
        <w:rPr>
          <w:rFonts w:cs="Times New Roman"/>
          <w:color w:val="000000" w:themeColor="text1"/>
          <w:szCs w:val="24"/>
        </w:rPr>
        <w:t>F</w:t>
      </w:r>
      <w:r w:rsidR="00484D81" w:rsidRPr="00912350">
        <w:rPr>
          <w:rFonts w:cs="Times New Roman"/>
          <w:color w:val="000000" w:themeColor="text1"/>
          <w:szCs w:val="24"/>
        </w:rPr>
        <w:t>igure</w:t>
      </w:r>
      <w:r w:rsidR="00B6276E" w:rsidRPr="00912350">
        <w:rPr>
          <w:rFonts w:cs="Times New Roman"/>
          <w:color w:val="000000" w:themeColor="text1"/>
          <w:szCs w:val="24"/>
        </w:rPr>
        <w:t xml:space="preserve"> 4</w:t>
      </w:r>
      <w:r w:rsidR="00484D81" w:rsidRPr="00912350">
        <w:rPr>
          <w:rFonts w:cs="Times New Roman"/>
          <w:color w:val="000000" w:themeColor="text1"/>
          <w:szCs w:val="24"/>
        </w:rPr>
        <w:t xml:space="preserve">, by </w:t>
      </w:r>
      <w:r w:rsidR="00E55734" w:rsidRPr="00912350">
        <w:rPr>
          <w:rFonts w:cs="Times New Roman"/>
          <w:color w:val="000000" w:themeColor="text1"/>
          <w:szCs w:val="24"/>
        </w:rPr>
        <w:t xml:space="preserve">leveraging </w:t>
      </w:r>
      <w:r w:rsidR="00484D81" w:rsidRPr="00912350">
        <w:rPr>
          <w:rFonts w:cs="Times New Roman"/>
          <w:color w:val="000000" w:themeColor="text1"/>
          <w:szCs w:val="24"/>
        </w:rPr>
        <w:t>partners</w:t>
      </w:r>
      <w:r w:rsidR="009B1701" w:rsidRPr="00912350">
        <w:rPr>
          <w:rFonts w:cs="Times New Roman"/>
          <w:color w:val="000000" w:themeColor="text1"/>
          <w:szCs w:val="24"/>
        </w:rPr>
        <w:t>’</w:t>
      </w:r>
      <w:r w:rsidRPr="00912350">
        <w:rPr>
          <w:rFonts w:cs="Times New Roman"/>
          <w:color w:val="000000" w:themeColor="text1"/>
          <w:szCs w:val="24"/>
        </w:rPr>
        <w:t xml:space="preserve"> physical assets, information and assistance</w:t>
      </w:r>
      <w:r w:rsidR="000129C0" w:rsidRPr="00912350">
        <w:rPr>
          <w:rFonts w:cs="Times New Roman"/>
          <w:color w:val="000000" w:themeColor="text1"/>
          <w:szCs w:val="24"/>
        </w:rPr>
        <w:t xml:space="preserve">, </w:t>
      </w:r>
      <w:r w:rsidR="00607BA1" w:rsidRPr="00912350">
        <w:rPr>
          <w:rFonts w:cs="Times New Roman"/>
          <w:color w:val="000000" w:themeColor="text1"/>
          <w:szCs w:val="24"/>
        </w:rPr>
        <w:t xml:space="preserve">West Power </w:t>
      </w:r>
      <w:r w:rsidR="008E2631" w:rsidRPr="00912350">
        <w:rPr>
          <w:rFonts w:cs="Times New Roman"/>
          <w:color w:val="000000" w:themeColor="text1"/>
          <w:szCs w:val="24"/>
        </w:rPr>
        <w:t>traders were</w:t>
      </w:r>
      <w:r w:rsidR="006679E7" w:rsidRPr="00912350">
        <w:rPr>
          <w:rFonts w:cs="Times New Roman"/>
          <w:color w:val="000000" w:themeColor="text1"/>
          <w:szCs w:val="24"/>
        </w:rPr>
        <w:t xml:space="preserve"> able to pursue </w:t>
      </w:r>
      <w:r w:rsidRPr="00912350">
        <w:rPr>
          <w:rFonts w:cs="Times New Roman"/>
          <w:color w:val="000000" w:themeColor="text1"/>
          <w:szCs w:val="24"/>
        </w:rPr>
        <w:t xml:space="preserve">profit </w:t>
      </w:r>
      <w:r w:rsidR="00E55734" w:rsidRPr="00912350">
        <w:rPr>
          <w:rFonts w:cs="Times New Roman"/>
          <w:color w:val="000000" w:themeColor="text1"/>
          <w:szCs w:val="24"/>
        </w:rPr>
        <w:t xml:space="preserve">for </w:t>
      </w:r>
      <w:r w:rsidR="008E2631" w:rsidRPr="00912350">
        <w:rPr>
          <w:rFonts w:cs="Times New Roman"/>
          <w:color w:val="000000" w:themeColor="text1"/>
          <w:szCs w:val="24"/>
        </w:rPr>
        <w:t xml:space="preserve">Enron </w:t>
      </w:r>
      <w:r w:rsidR="00484D81" w:rsidRPr="00912350">
        <w:rPr>
          <w:rFonts w:cs="Times New Roman"/>
          <w:color w:val="000000" w:themeColor="text1"/>
          <w:szCs w:val="24"/>
        </w:rPr>
        <w:t xml:space="preserve">and </w:t>
      </w:r>
      <w:r w:rsidR="00FF6BA7" w:rsidRPr="00912350">
        <w:rPr>
          <w:rFonts w:cs="Times New Roman"/>
          <w:color w:val="000000" w:themeColor="text1"/>
          <w:szCs w:val="24"/>
        </w:rPr>
        <w:t>its</w:t>
      </w:r>
      <w:r w:rsidR="00484D81" w:rsidRPr="00912350">
        <w:rPr>
          <w:rFonts w:cs="Times New Roman"/>
          <w:color w:val="000000" w:themeColor="text1"/>
          <w:szCs w:val="24"/>
        </w:rPr>
        <w:t xml:space="preserve"> </w:t>
      </w:r>
      <w:r w:rsidR="00FF6BA7" w:rsidRPr="00912350">
        <w:rPr>
          <w:rFonts w:cs="Times New Roman"/>
          <w:color w:val="000000" w:themeColor="text1"/>
          <w:szCs w:val="24"/>
        </w:rPr>
        <w:t>partners</w:t>
      </w:r>
      <w:r w:rsidR="00484D81" w:rsidRPr="00912350">
        <w:rPr>
          <w:rFonts w:cs="Times New Roman"/>
          <w:color w:val="000000" w:themeColor="text1"/>
          <w:szCs w:val="24"/>
        </w:rPr>
        <w:t xml:space="preserve">, </w:t>
      </w:r>
      <w:r w:rsidR="006679E7" w:rsidRPr="00912350">
        <w:rPr>
          <w:rFonts w:cs="Times New Roman"/>
          <w:color w:val="000000" w:themeColor="text1"/>
          <w:szCs w:val="24"/>
        </w:rPr>
        <w:t xml:space="preserve">via collectively </w:t>
      </w:r>
      <w:r w:rsidR="009A226A" w:rsidRPr="00912350">
        <w:rPr>
          <w:rFonts w:cs="Times New Roman"/>
          <w:color w:val="000000" w:themeColor="text1"/>
          <w:szCs w:val="24"/>
        </w:rPr>
        <w:t>enabled</w:t>
      </w:r>
      <w:r w:rsidRPr="00912350">
        <w:rPr>
          <w:rFonts w:cs="Times New Roman"/>
          <w:color w:val="000000" w:themeColor="text1"/>
          <w:szCs w:val="24"/>
        </w:rPr>
        <w:t xml:space="preserve"> market manipulation.</w:t>
      </w:r>
      <w:r w:rsidR="00E42E2A" w:rsidRPr="002B1CDB">
        <w:rPr>
          <w:rFonts w:cs="Times New Roman"/>
          <w:color w:val="000000" w:themeColor="text1"/>
          <w:szCs w:val="24"/>
        </w:rPr>
        <w:t xml:space="preserve"> </w:t>
      </w:r>
    </w:p>
    <w:p w14:paraId="001417A1" w14:textId="77777777" w:rsidR="002B1CDB" w:rsidRDefault="002B1CDB" w:rsidP="0011243E">
      <w:pPr>
        <w:spacing w:after="0"/>
        <w:ind w:firstLine="720"/>
        <w:jc w:val="center"/>
        <w:rPr>
          <w:rFonts w:cs="Times New Roman"/>
          <w:color w:val="000000" w:themeColor="text1"/>
          <w:szCs w:val="24"/>
        </w:rPr>
      </w:pPr>
    </w:p>
    <w:p w14:paraId="6E3C719A" w14:textId="18D6B616" w:rsidR="0011243E" w:rsidRPr="002E6E04" w:rsidRDefault="0011243E" w:rsidP="0011243E">
      <w:pPr>
        <w:spacing w:after="0"/>
        <w:ind w:firstLine="720"/>
        <w:jc w:val="center"/>
        <w:rPr>
          <w:rFonts w:cs="Times New Roman"/>
          <w:color w:val="000000" w:themeColor="text1"/>
          <w:szCs w:val="24"/>
        </w:rPr>
      </w:pPr>
      <w:r w:rsidRPr="002E6E04">
        <w:rPr>
          <w:rFonts w:cs="Times New Roman"/>
          <w:color w:val="000000" w:themeColor="text1"/>
          <w:szCs w:val="24"/>
        </w:rPr>
        <w:t>[</w:t>
      </w:r>
      <w:r w:rsidR="003074BC" w:rsidRPr="002E6E04">
        <w:rPr>
          <w:rFonts w:cs="Times New Roman"/>
          <w:color w:val="000000" w:themeColor="text1"/>
          <w:szCs w:val="24"/>
        </w:rPr>
        <w:t>Insert Figure 4</w:t>
      </w:r>
      <w:r w:rsidRPr="002E6E04">
        <w:rPr>
          <w:rFonts w:cs="Times New Roman"/>
          <w:color w:val="000000" w:themeColor="text1"/>
          <w:szCs w:val="24"/>
        </w:rPr>
        <w:t xml:space="preserve">] </w:t>
      </w:r>
    </w:p>
    <w:p w14:paraId="04B309A4" w14:textId="77777777" w:rsidR="002B1CDB" w:rsidRDefault="002B1CDB" w:rsidP="000142AC">
      <w:pPr>
        <w:spacing w:after="0"/>
        <w:ind w:firstLine="720"/>
        <w:rPr>
          <w:rFonts w:cs="Times New Roman"/>
          <w:color w:val="000000" w:themeColor="text1"/>
          <w:szCs w:val="24"/>
        </w:rPr>
      </w:pPr>
    </w:p>
    <w:p w14:paraId="1DED06B3" w14:textId="655B9013" w:rsidR="000142AC" w:rsidRPr="002E6E04" w:rsidRDefault="00BC3C32" w:rsidP="000142AC">
      <w:pPr>
        <w:spacing w:after="0"/>
        <w:ind w:firstLine="720"/>
        <w:rPr>
          <w:rFonts w:cs="Times New Roman"/>
          <w:color w:val="000000" w:themeColor="text1"/>
          <w:szCs w:val="24"/>
        </w:rPr>
      </w:pPr>
      <w:r w:rsidRPr="002E6E04">
        <w:rPr>
          <w:rFonts w:cs="Times New Roman"/>
          <w:color w:val="000000" w:themeColor="text1"/>
          <w:szCs w:val="24"/>
        </w:rPr>
        <w:t>As traders developed more strategies</w:t>
      </w:r>
      <w:r w:rsidR="006679E7" w:rsidRPr="002E6E04">
        <w:rPr>
          <w:rFonts w:cs="Times New Roman"/>
          <w:color w:val="000000" w:themeColor="text1"/>
          <w:szCs w:val="24"/>
        </w:rPr>
        <w:t>,</w:t>
      </w:r>
      <w:r w:rsidR="00A77F7A" w:rsidRPr="002E6E04">
        <w:rPr>
          <w:rFonts w:cs="Times New Roman"/>
          <w:color w:val="000000" w:themeColor="text1"/>
          <w:szCs w:val="24"/>
        </w:rPr>
        <w:t xml:space="preserve"> </w:t>
      </w:r>
      <w:r w:rsidRPr="002E6E04">
        <w:rPr>
          <w:rFonts w:cs="Times New Roman"/>
          <w:color w:val="000000" w:themeColor="text1"/>
          <w:szCs w:val="24"/>
        </w:rPr>
        <w:t xml:space="preserve">they created </w:t>
      </w:r>
      <w:r w:rsidR="00A77F7A" w:rsidRPr="002E6E04">
        <w:rPr>
          <w:rFonts w:cs="Times New Roman"/>
          <w:color w:val="000000" w:themeColor="text1"/>
          <w:szCs w:val="24"/>
        </w:rPr>
        <w:t>codenames</w:t>
      </w:r>
      <w:r w:rsidR="000142AC" w:rsidRPr="002E6E04">
        <w:rPr>
          <w:rFonts w:cs="Times New Roman"/>
          <w:color w:val="000000" w:themeColor="text1"/>
          <w:szCs w:val="24"/>
        </w:rPr>
        <w:t xml:space="preserve"> </w:t>
      </w:r>
      <w:r w:rsidRPr="002E6E04">
        <w:rPr>
          <w:rFonts w:cs="Times New Roman"/>
          <w:color w:val="000000" w:themeColor="text1"/>
          <w:szCs w:val="24"/>
        </w:rPr>
        <w:t xml:space="preserve">to distinguish them, further </w:t>
      </w:r>
      <w:r w:rsidR="000142AC" w:rsidRPr="002E6E04">
        <w:rPr>
          <w:rFonts w:cs="Times New Roman"/>
          <w:color w:val="000000" w:themeColor="text1"/>
          <w:szCs w:val="24"/>
        </w:rPr>
        <w:t>embed</w:t>
      </w:r>
      <w:r w:rsidRPr="002E6E04">
        <w:rPr>
          <w:rFonts w:cs="Times New Roman"/>
          <w:color w:val="000000" w:themeColor="text1"/>
          <w:szCs w:val="24"/>
        </w:rPr>
        <w:t>ding</w:t>
      </w:r>
      <w:r w:rsidR="000142AC" w:rsidRPr="002E6E04">
        <w:rPr>
          <w:rFonts w:cs="Times New Roman"/>
          <w:color w:val="000000" w:themeColor="text1"/>
          <w:szCs w:val="24"/>
        </w:rPr>
        <w:t xml:space="preserve"> </w:t>
      </w:r>
      <w:r w:rsidRPr="002E6E04">
        <w:rPr>
          <w:rFonts w:cs="Times New Roman"/>
          <w:color w:val="000000" w:themeColor="text1"/>
          <w:szCs w:val="24"/>
        </w:rPr>
        <w:t>their usage</w:t>
      </w:r>
      <w:r w:rsidR="00A54A29" w:rsidRPr="002E6E04">
        <w:rPr>
          <w:rFonts w:cs="Times New Roman"/>
          <w:color w:val="000000" w:themeColor="text1"/>
          <w:szCs w:val="24"/>
        </w:rPr>
        <w:t xml:space="preserve"> in the collective </w:t>
      </w:r>
      <w:r w:rsidR="000142AC" w:rsidRPr="002E6E04">
        <w:rPr>
          <w:rFonts w:cs="Times New Roman"/>
          <w:color w:val="000000" w:themeColor="text1"/>
          <w:szCs w:val="24"/>
        </w:rPr>
        <w:t>memory and language</w:t>
      </w:r>
      <w:r w:rsidR="00A54A29" w:rsidRPr="002E6E04">
        <w:rPr>
          <w:rFonts w:cs="Times New Roman"/>
          <w:color w:val="000000" w:themeColor="text1"/>
          <w:szCs w:val="24"/>
        </w:rPr>
        <w:t xml:space="preserve"> of the division and its network of partners</w:t>
      </w:r>
      <w:r w:rsidR="000142AC" w:rsidRPr="002E6E04">
        <w:rPr>
          <w:rFonts w:cs="Times New Roman"/>
          <w:color w:val="000000" w:themeColor="text1"/>
          <w:szCs w:val="24"/>
        </w:rPr>
        <w:t xml:space="preserve">. While many of the names appear to stem from internal actors (some even naming them eponymously), it is clear </w:t>
      </w:r>
      <w:r w:rsidR="00937F10" w:rsidRPr="002E6E04">
        <w:rPr>
          <w:rFonts w:cs="Times New Roman"/>
          <w:color w:val="000000" w:themeColor="text1"/>
          <w:szCs w:val="24"/>
        </w:rPr>
        <w:t xml:space="preserve">external actors </w:t>
      </w:r>
      <w:r w:rsidR="000142AC" w:rsidRPr="002E6E04">
        <w:rPr>
          <w:rFonts w:cs="Times New Roman"/>
          <w:color w:val="000000" w:themeColor="text1"/>
          <w:szCs w:val="24"/>
        </w:rPr>
        <w:t>also used and understood the</w:t>
      </w:r>
      <w:r w:rsidR="00937F10" w:rsidRPr="002E6E04">
        <w:rPr>
          <w:rFonts w:cs="Times New Roman"/>
          <w:color w:val="000000" w:themeColor="text1"/>
          <w:szCs w:val="24"/>
        </w:rPr>
        <w:t>m</w:t>
      </w:r>
      <w:r w:rsidR="000142AC" w:rsidRPr="002E6E04">
        <w:rPr>
          <w:rFonts w:cs="Times New Roman"/>
          <w:color w:val="000000" w:themeColor="text1"/>
          <w:szCs w:val="24"/>
        </w:rPr>
        <w:t xml:space="preserve">, even participating in their development. For instance, in April 2000, Forney was in the initial stages </w:t>
      </w:r>
      <w:r w:rsidR="000142AC" w:rsidRPr="002E6E04">
        <w:rPr>
          <w:rFonts w:cs="Times New Roman"/>
          <w:color w:val="000000" w:themeColor="text1"/>
          <w:szCs w:val="24"/>
        </w:rPr>
        <w:lastRenderedPageBreak/>
        <w:t xml:space="preserve">of coordinating a </w:t>
      </w:r>
      <w:r w:rsidR="00BB0240" w:rsidRPr="002E6E04">
        <w:rPr>
          <w:rFonts w:cs="Times New Roman"/>
          <w:color w:val="000000" w:themeColor="text1"/>
          <w:szCs w:val="24"/>
        </w:rPr>
        <w:t xml:space="preserve">new </w:t>
      </w:r>
      <w:r w:rsidR="000142AC" w:rsidRPr="002E6E04">
        <w:rPr>
          <w:rFonts w:cs="Times New Roman"/>
          <w:color w:val="000000" w:themeColor="text1"/>
          <w:szCs w:val="24"/>
        </w:rPr>
        <w:t xml:space="preserve">congestion strategy with Californian utility, </w:t>
      </w:r>
      <w:r w:rsidR="000142AC" w:rsidRPr="002E6E04">
        <w:rPr>
          <w:rFonts w:cs="Times New Roman"/>
          <w:i/>
          <w:color w:val="000000" w:themeColor="text1"/>
          <w:szCs w:val="24"/>
        </w:rPr>
        <w:t>City of Redding</w:t>
      </w:r>
      <w:r w:rsidR="00937F10" w:rsidRPr="002E6E04">
        <w:rPr>
          <w:rFonts w:cs="Times New Roman"/>
          <w:color w:val="000000" w:themeColor="text1"/>
          <w:szCs w:val="24"/>
        </w:rPr>
        <w:t xml:space="preserve">, when he </w:t>
      </w:r>
      <w:r w:rsidR="000142AC" w:rsidRPr="002E6E04">
        <w:rPr>
          <w:rFonts w:cs="Times New Roman"/>
          <w:color w:val="000000" w:themeColor="text1"/>
          <w:szCs w:val="24"/>
        </w:rPr>
        <w:t xml:space="preserve">includes his counterpart in the naming of their new game, suggesting the now notorious, </w:t>
      </w:r>
      <w:r w:rsidR="00714EED" w:rsidRPr="002E6E04">
        <w:rPr>
          <w:rFonts w:cs="Times New Roman"/>
          <w:color w:val="000000" w:themeColor="text1"/>
          <w:szCs w:val="24"/>
        </w:rPr>
        <w:t>“</w:t>
      </w:r>
      <w:r w:rsidR="000142AC" w:rsidRPr="002E6E04">
        <w:rPr>
          <w:rFonts w:cs="Times New Roman"/>
          <w:color w:val="000000" w:themeColor="text1"/>
          <w:szCs w:val="24"/>
        </w:rPr>
        <w:t>Death Star</w:t>
      </w:r>
      <w:r w:rsidR="00714EED" w:rsidRPr="002E6E04">
        <w:rPr>
          <w:rFonts w:cs="Times New Roman"/>
          <w:color w:val="000000" w:themeColor="text1"/>
          <w:szCs w:val="24"/>
        </w:rPr>
        <w:t>”.</w:t>
      </w:r>
    </w:p>
    <w:p w14:paraId="2926C164" w14:textId="77777777" w:rsidR="000142AC" w:rsidRPr="002E6E04" w:rsidRDefault="000142AC" w:rsidP="000142AC">
      <w:pPr>
        <w:pStyle w:val="Quote"/>
        <w:spacing w:line="480" w:lineRule="auto"/>
      </w:pPr>
      <w:r w:rsidRPr="002E6E04">
        <w:t>John: OK what do you want to call this project - we have to have a catchy name for that?</w:t>
      </w:r>
    </w:p>
    <w:p w14:paraId="4ED5F44A" w14:textId="16F9F439" w:rsidR="000142AC" w:rsidRPr="002E6E04" w:rsidRDefault="00873D40" w:rsidP="000142AC">
      <w:pPr>
        <w:pStyle w:val="Quote"/>
        <w:spacing w:line="480" w:lineRule="auto"/>
      </w:pPr>
      <w:r w:rsidRPr="002E6E04">
        <w:t>Trader</w:t>
      </w:r>
      <w:r w:rsidR="000142AC" w:rsidRPr="002E6E04">
        <w:t xml:space="preserve">: Project - ah - I was going to say project loop - but I </w:t>
      </w:r>
      <w:r w:rsidR="00594448" w:rsidRPr="002E6E04">
        <w:t xml:space="preserve">don’t </w:t>
      </w:r>
      <w:r w:rsidR="000142AC" w:rsidRPr="002E6E04">
        <w:t>want that to go out in the world.</w:t>
      </w:r>
    </w:p>
    <w:p w14:paraId="0109A85B" w14:textId="77777777" w:rsidR="000142AC" w:rsidRPr="002E6E04" w:rsidRDefault="000142AC" w:rsidP="000142AC">
      <w:pPr>
        <w:pStyle w:val="Quote"/>
        <w:spacing w:line="480" w:lineRule="auto"/>
      </w:pPr>
      <w:r w:rsidRPr="002E6E04">
        <w:t>John: How about you know something friendly like Death Star?</w:t>
      </w:r>
    </w:p>
    <w:p w14:paraId="283E467C" w14:textId="3709BF17" w:rsidR="000142AC" w:rsidRPr="002E6E04" w:rsidRDefault="00873D40" w:rsidP="00137B9D">
      <w:pPr>
        <w:pStyle w:val="Quote"/>
        <w:spacing w:line="480" w:lineRule="auto"/>
      </w:pPr>
      <w:r w:rsidRPr="002E6E04">
        <w:t>Trader</w:t>
      </w:r>
      <w:r w:rsidR="000142AC" w:rsidRPr="002E6E04">
        <w:t>: (Laughter) How about reduce the debt - debt star- because we are trying to reduce our debt here. Whenever we make money it reduces our debt.</w:t>
      </w:r>
      <w:r w:rsidR="00294396" w:rsidRPr="002E6E04">
        <w:rPr>
          <w:rStyle w:val="EndnoteReference"/>
        </w:rPr>
        <w:endnoteReference w:id="115"/>
      </w:r>
    </w:p>
    <w:p w14:paraId="7822CBCD" w14:textId="3FC90962" w:rsidR="000142AC" w:rsidRPr="002E6E04" w:rsidRDefault="000C794C" w:rsidP="000C794C">
      <w:pPr>
        <w:spacing w:before="240" w:after="0"/>
        <w:ind w:firstLine="720"/>
        <w:rPr>
          <w:color w:val="000000" w:themeColor="text1"/>
        </w:rPr>
      </w:pPr>
      <w:r w:rsidRPr="002E6E04">
        <w:rPr>
          <w:rFonts w:cs="Times New Roman"/>
          <w:color w:val="000000" w:themeColor="text1"/>
          <w:szCs w:val="24"/>
        </w:rPr>
        <w:t xml:space="preserve">Consistent </w:t>
      </w:r>
      <w:r w:rsidRPr="000F1CB1">
        <w:rPr>
          <w:rFonts w:cs="Times New Roman"/>
          <w:color w:val="000000" w:themeColor="text1"/>
          <w:szCs w:val="24"/>
        </w:rPr>
        <w:t>with other</w:t>
      </w:r>
      <w:r w:rsidR="009052DB" w:rsidRPr="000F1CB1">
        <w:rPr>
          <w:rFonts w:cs="Times New Roman"/>
          <w:color w:val="000000" w:themeColor="text1"/>
          <w:szCs w:val="24"/>
        </w:rPr>
        <w:t xml:space="preserve"> accounts of collective wrongdoing</w:t>
      </w:r>
      <w:r w:rsidRPr="000F1CB1">
        <w:rPr>
          <w:rFonts w:cs="Times New Roman"/>
          <w:color w:val="000000" w:themeColor="text1"/>
          <w:szCs w:val="24"/>
        </w:rPr>
        <w:t>, s</w:t>
      </w:r>
      <w:r w:rsidR="004608F0" w:rsidRPr="000F1CB1">
        <w:rPr>
          <w:rFonts w:cs="Times New Roman"/>
          <w:color w:val="000000" w:themeColor="text1"/>
          <w:szCs w:val="24"/>
        </w:rPr>
        <w:t xml:space="preserve">uch </w:t>
      </w:r>
      <w:r w:rsidR="004608F0" w:rsidRPr="00A84E06">
        <w:rPr>
          <w:rFonts w:cs="Times New Roman"/>
          <w:color w:val="000000" w:themeColor="text1"/>
          <w:szCs w:val="24"/>
        </w:rPr>
        <w:t xml:space="preserve">interactions also </w:t>
      </w:r>
      <w:r w:rsidR="009052DB" w:rsidRPr="00A84E06">
        <w:rPr>
          <w:rFonts w:cs="Times New Roman"/>
          <w:color w:val="000000" w:themeColor="text1"/>
          <w:szCs w:val="24"/>
        </w:rPr>
        <w:t xml:space="preserve">allude to </w:t>
      </w:r>
      <w:r w:rsidR="004608F0" w:rsidRPr="00A84E06">
        <w:rPr>
          <w:rFonts w:cs="Times New Roman"/>
          <w:color w:val="000000" w:themeColor="text1"/>
          <w:szCs w:val="24"/>
        </w:rPr>
        <w:t>the excitement that surrounded the new strategies</w:t>
      </w:r>
      <w:r w:rsidR="004608F0" w:rsidRPr="000F1CB1">
        <w:rPr>
          <w:rFonts w:cs="Times New Roman"/>
          <w:color w:val="000000" w:themeColor="text1"/>
          <w:szCs w:val="24"/>
        </w:rPr>
        <w:t>, with codenames compounding their novelty</w:t>
      </w:r>
      <w:r w:rsidRPr="000F1CB1">
        <w:rPr>
          <w:rFonts w:cs="Times New Roman"/>
          <w:color w:val="000000" w:themeColor="text1"/>
          <w:szCs w:val="24"/>
        </w:rPr>
        <w:t>.</w:t>
      </w:r>
      <w:r w:rsidR="004608F0" w:rsidRPr="000F1CB1">
        <w:rPr>
          <w:rStyle w:val="EndnoteReference"/>
          <w:rFonts w:cs="Times New Roman"/>
          <w:color w:val="000000" w:themeColor="text1"/>
          <w:szCs w:val="24"/>
        </w:rPr>
        <w:endnoteReference w:id="116"/>
      </w:r>
      <w:r w:rsidR="004608F0" w:rsidRPr="000F1CB1">
        <w:rPr>
          <w:rFonts w:cs="Times New Roman"/>
          <w:color w:val="000000" w:themeColor="text1"/>
          <w:szCs w:val="24"/>
        </w:rPr>
        <w:t xml:space="preserve"> </w:t>
      </w:r>
      <w:r w:rsidR="000142AC" w:rsidRPr="000F1CB1">
        <w:rPr>
          <w:rFonts w:cs="Times New Roman"/>
          <w:color w:val="000000" w:themeColor="text1"/>
          <w:szCs w:val="24"/>
        </w:rPr>
        <w:t>Other</w:t>
      </w:r>
      <w:r w:rsidR="00DC548F" w:rsidRPr="000F1CB1">
        <w:rPr>
          <w:rFonts w:cs="Times New Roman"/>
          <w:color w:val="000000" w:themeColor="text1"/>
          <w:szCs w:val="24"/>
        </w:rPr>
        <w:t>s</w:t>
      </w:r>
      <w:r w:rsidR="000142AC" w:rsidRPr="000F1CB1">
        <w:rPr>
          <w:rFonts w:cs="Times New Roman"/>
          <w:color w:val="000000" w:themeColor="text1"/>
          <w:szCs w:val="24"/>
        </w:rPr>
        <w:t xml:space="preserve"> </w:t>
      </w:r>
      <w:r w:rsidR="00BC3C32" w:rsidRPr="000F1CB1">
        <w:rPr>
          <w:rFonts w:cs="Times New Roman"/>
          <w:color w:val="000000" w:themeColor="text1"/>
          <w:szCs w:val="24"/>
        </w:rPr>
        <w:t>were</w:t>
      </w:r>
      <w:r w:rsidR="00BC3C32" w:rsidRPr="002E6E04">
        <w:rPr>
          <w:rFonts w:cs="Times New Roman"/>
          <w:color w:val="000000" w:themeColor="text1"/>
          <w:szCs w:val="24"/>
        </w:rPr>
        <w:t xml:space="preserve"> simply</w:t>
      </w:r>
      <w:r w:rsidR="000142AC" w:rsidRPr="002E6E04">
        <w:rPr>
          <w:rFonts w:cs="Times New Roman"/>
          <w:color w:val="000000" w:themeColor="text1"/>
          <w:szCs w:val="24"/>
        </w:rPr>
        <w:t xml:space="preserve"> illustrative of their process. In this way, a </w:t>
      </w:r>
      <w:r w:rsidR="00714EED" w:rsidRPr="002E6E04">
        <w:rPr>
          <w:rFonts w:cs="Times New Roman"/>
          <w:color w:val="000000" w:themeColor="text1"/>
          <w:szCs w:val="24"/>
        </w:rPr>
        <w:t>“</w:t>
      </w:r>
      <w:r w:rsidR="000142AC" w:rsidRPr="002E6E04">
        <w:rPr>
          <w:rFonts w:cs="Times New Roman"/>
          <w:color w:val="000000" w:themeColor="text1"/>
          <w:szCs w:val="24"/>
        </w:rPr>
        <w:t>Ricochet</w:t>
      </w:r>
      <w:r w:rsidR="00714EED" w:rsidRPr="002E6E04">
        <w:rPr>
          <w:rFonts w:cs="Times New Roman"/>
          <w:color w:val="000000" w:themeColor="text1"/>
          <w:szCs w:val="24"/>
        </w:rPr>
        <w:t>”</w:t>
      </w:r>
      <w:r w:rsidR="000142AC" w:rsidRPr="002E6E04">
        <w:rPr>
          <w:rFonts w:cs="Times New Roman"/>
          <w:color w:val="000000" w:themeColor="text1"/>
          <w:szCs w:val="24"/>
        </w:rPr>
        <w:t xml:space="preserve"> involved the rebounding of a scheduled out-of-state energy back into California, simultaneously reducing apparent supply and avoiding the state’s price caps. Thus, </w:t>
      </w:r>
      <w:r w:rsidR="00BC3C32" w:rsidRPr="002E6E04">
        <w:rPr>
          <w:rFonts w:cs="Times New Roman"/>
          <w:color w:val="000000" w:themeColor="text1"/>
          <w:szCs w:val="24"/>
        </w:rPr>
        <w:t xml:space="preserve">codenames made </w:t>
      </w:r>
      <w:r w:rsidR="000142AC" w:rsidRPr="002E6E04">
        <w:rPr>
          <w:rFonts w:cs="Times New Roman"/>
          <w:color w:val="000000" w:themeColor="text1"/>
          <w:szCs w:val="24"/>
        </w:rPr>
        <w:t>complicated gaming processes easily identifiable</w:t>
      </w:r>
      <w:r w:rsidR="004608F0" w:rsidRPr="002E6E04">
        <w:rPr>
          <w:rFonts w:cs="Times New Roman"/>
          <w:color w:val="000000" w:themeColor="text1"/>
          <w:szCs w:val="24"/>
        </w:rPr>
        <w:t xml:space="preserve"> and engaging</w:t>
      </w:r>
      <w:r w:rsidR="000142AC" w:rsidRPr="002E6E04">
        <w:rPr>
          <w:rFonts w:cs="Times New Roman"/>
          <w:color w:val="000000" w:themeColor="text1"/>
          <w:szCs w:val="24"/>
        </w:rPr>
        <w:t xml:space="preserve">, helping to embed them into accepted trading activity.  </w:t>
      </w:r>
    </w:p>
    <w:p w14:paraId="69F15F9F" w14:textId="4F955366" w:rsidR="000142AC" w:rsidRDefault="000142AC" w:rsidP="000142AC">
      <w:pPr>
        <w:spacing w:after="0"/>
        <w:ind w:firstLine="720"/>
        <w:rPr>
          <w:rFonts w:cs="Times New Roman"/>
          <w:color w:val="000000" w:themeColor="text1"/>
          <w:szCs w:val="24"/>
        </w:rPr>
      </w:pPr>
      <w:r w:rsidRPr="00AE69F6">
        <w:rPr>
          <w:rFonts w:cs="Times New Roman"/>
          <w:color w:val="000000" w:themeColor="text1"/>
          <w:szCs w:val="24"/>
        </w:rPr>
        <w:t>Once</w:t>
      </w:r>
      <w:r w:rsidR="00BC3C32" w:rsidRPr="00AE69F6">
        <w:rPr>
          <w:rFonts w:cs="Times New Roman"/>
          <w:color w:val="000000" w:themeColor="text1"/>
          <w:szCs w:val="24"/>
        </w:rPr>
        <w:t xml:space="preserve"> </w:t>
      </w:r>
      <w:r w:rsidR="003740D0" w:rsidRPr="00AE69F6">
        <w:rPr>
          <w:rFonts w:cs="Times New Roman"/>
          <w:color w:val="000000" w:themeColor="text1"/>
          <w:szCs w:val="24"/>
        </w:rPr>
        <w:t xml:space="preserve">arrangements </w:t>
      </w:r>
      <w:r w:rsidR="00240965" w:rsidRPr="00AE69F6">
        <w:rPr>
          <w:rFonts w:cs="Times New Roman"/>
          <w:color w:val="000000" w:themeColor="text1"/>
          <w:szCs w:val="24"/>
        </w:rPr>
        <w:t xml:space="preserve">were established </w:t>
      </w:r>
      <w:r w:rsidR="003740D0" w:rsidRPr="00AE69F6">
        <w:rPr>
          <w:rFonts w:cs="Times New Roman"/>
          <w:color w:val="000000" w:themeColor="text1"/>
          <w:szCs w:val="24"/>
        </w:rPr>
        <w:t>for a particular strategy</w:t>
      </w:r>
      <w:r w:rsidRPr="00AE69F6">
        <w:rPr>
          <w:rFonts w:cs="Times New Roman"/>
          <w:color w:val="000000" w:themeColor="text1"/>
          <w:szCs w:val="24"/>
        </w:rPr>
        <w:t xml:space="preserve">, </w:t>
      </w:r>
      <w:r w:rsidR="00BC3C32" w:rsidRPr="00A84E06">
        <w:rPr>
          <w:rFonts w:cs="Times New Roman"/>
          <w:color w:val="000000" w:themeColor="text1"/>
          <w:szCs w:val="24"/>
        </w:rPr>
        <w:t>senior traders used the formal structures to</w:t>
      </w:r>
      <w:r w:rsidR="003740D0" w:rsidRPr="00A84E06">
        <w:rPr>
          <w:rFonts w:cs="Times New Roman"/>
          <w:color w:val="000000" w:themeColor="text1"/>
          <w:szCs w:val="24"/>
        </w:rPr>
        <w:t xml:space="preserve"> </w:t>
      </w:r>
      <w:r w:rsidRPr="00A84E06">
        <w:rPr>
          <w:rFonts w:cs="Times New Roman"/>
          <w:color w:val="000000" w:themeColor="text1"/>
          <w:szCs w:val="24"/>
        </w:rPr>
        <w:t xml:space="preserve">disseminate </w:t>
      </w:r>
      <w:r w:rsidR="00BC3C32" w:rsidRPr="00A84E06">
        <w:rPr>
          <w:rFonts w:cs="Times New Roman"/>
          <w:color w:val="000000" w:themeColor="text1"/>
          <w:szCs w:val="24"/>
        </w:rPr>
        <w:t>instructions to</w:t>
      </w:r>
      <w:r w:rsidR="003740D0" w:rsidRPr="00A84E06">
        <w:rPr>
          <w:rFonts w:cs="Times New Roman"/>
          <w:color w:val="000000" w:themeColor="text1"/>
          <w:szCs w:val="24"/>
        </w:rPr>
        <w:t xml:space="preserve"> traders</w:t>
      </w:r>
      <w:r w:rsidR="00240965" w:rsidRPr="00A84E06">
        <w:rPr>
          <w:rFonts w:cs="Times New Roman"/>
          <w:color w:val="000000" w:themeColor="text1"/>
          <w:szCs w:val="24"/>
        </w:rPr>
        <w:t xml:space="preserve"> within the division</w:t>
      </w:r>
      <w:r w:rsidR="003740D0" w:rsidRPr="00AE69F6">
        <w:rPr>
          <w:rFonts w:cs="Times New Roman"/>
          <w:color w:val="000000" w:themeColor="text1"/>
          <w:szCs w:val="24"/>
        </w:rPr>
        <w:t xml:space="preserve">, who were responsible for </w:t>
      </w:r>
      <w:r w:rsidR="00BC3C32" w:rsidRPr="00AE69F6">
        <w:rPr>
          <w:rFonts w:cs="Times New Roman"/>
          <w:color w:val="000000" w:themeColor="text1"/>
          <w:szCs w:val="24"/>
        </w:rPr>
        <w:t xml:space="preserve">much of the day-to-day </w:t>
      </w:r>
      <w:r w:rsidR="000D7B1C" w:rsidRPr="00AE69F6">
        <w:rPr>
          <w:rFonts w:cs="Times New Roman"/>
          <w:color w:val="000000" w:themeColor="text1"/>
          <w:szCs w:val="24"/>
        </w:rPr>
        <w:t>implementation</w:t>
      </w:r>
      <w:r w:rsidR="00240965" w:rsidRPr="00AE69F6">
        <w:rPr>
          <w:rFonts w:cs="Times New Roman"/>
          <w:color w:val="000000" w:themeColor="text1"/>
          <w:szCs w:val="24"/>
        </w:rPr>
        <w:t xml:space="preserve"> and coordination with partners</w:t>
      </w:r>
      <w:r w:rsidR="00BC3C32" w:rsidRPr="00AE69F6">
        <w:rPr>
          <w:rFonts w:cs="Times New Roman"/>
          <w:color w:val="000000" w:themeColor="text1"/>
          <w:szCs w:val="24"/>
        </w:rPr>
        <w:t>.</w:t>
      </w:r>
      <w:r w:rsidRPr="00AE69F6">
        <w:rPr>
          <w:rFonts w:cs="Times New Roman"/>
          <w:color w:val="000000" w:themeColor="text1"/>
          <w:szCs w:val="24"/>
        </w:rPr>
        <w:t xml:space="preserve"> </w:t>
      </w:r>
      <w:r w:rsidR="0049070D" w:rsidRPr="001F7A46">
        <w:rPr>
          <w:rFonts w:cs="Times New Roman"/>
          <w:color w:val="000000" w:themeColor="text1"/>
          <w:szCs w:val="24"/>
        </w:rPr>
        <w:t>Indeed,</w:t>
      </w:r>
      <w:r w:rsidR="009775CF">
        <w:rPr>
          <w:rFonts w:cs="Times New Roman"/>
          <w:color w:val="000000" w:themeColor="text1"/>
          <w:szCs w:val="24"/>
        </w:rPr>
        <w:t xml:space="preserve"> </w:t>
      </w:r>
      <w:r w:rsidR="0049070D" w:rsidRPr="001F7A46">
        <w:rPr>
          <w:rFonts w:cs="Times New Roman"/>
          <w:color w:val="000000" w:themeColor="text1"/>
          <w:szCs w:val="24"/>
        </w:rPr>
        <w:t>trial evidence sug</w:t>
      </w:r>
      <w:r w:rsidR="00577AC2" w:rsidRPr="001F7A46">
        <w:rPr>
          <w:rFonts w:cs="Times New Roman"/>
          <w:color w:val="000000" w:themeColor="text1"/>
          <w:szCs w:val="24"/>
        </w:rPr>
        <w:t>g</w:t>
      </w:r>
      <w:r w:rsidR="0049070D" w:rsidRPr="001F7A46">
        <w:rPr>
          <w:rFonts w:cs="Times New Roman"/>
          <w:color w:val="000000" w:themeColor="text1"/>
          <w:szCs w:val="24"/>
        </w:rPr>
        <w:t xml:space="preserve">ests at least </w:t>
      </w:r>
      <w:r w:rsidR="009C44F6" w:rsidRPr="001F7A46">
        <w:rPr>
          <w:rFonts w:cs="Times New Roman"/>
          <w:color w:val="000000" w:themeColor="text1"/>
          <w:szCs w:val="24"/>
        </w:rPr>
        <w:t xml:space="preserve">72 </w:t>
      </w:r>
      <w:r w:rsidR="00577AC2" w:rsidRPr="001F7A46">
        <w:rPr>
          <w:rFonts w:cs="Times New Roman"/>
          <w:color w:val="000000" w:themeColor="text1"/>
          <w:szCs w:val="24"/>
        </w:rPr>
        <w:t xml:space="preserve">of the </w:t>
      </w:r>
      <w:r w:rsidR="006B11D0" w:rsidRPr="006B11D0">
        <w:rPr>
          <w:rFonts w:cs="Times New Roman"/>
          <w:color w:val="000000" w:themeColor="text1"/>
          <w:szCs w:val="24"/>
        </w:rPr>
        <w:t>division’s</w:t>
      </w:r>
      <w:r w:rsidR="00577AC2" w:rsidRPr="001F7A46">
        <w:rPr>
          <w:rFonts w:cs="Times New Roman"/>
          <w:color w:val="000000" w:themeColor="text1"/>
          <w:szCs w:val="24"/>
        </w:rPr>
        <w:t xml:space="preserve"> 100 </w:t>
      </w:r>
      <w:r w:rsidR="0049070D" w:rsidRPr="001F7A46">
        <w:rPr>
          <w:rFonts w:cs="Times New Roman"/>
          <w:color w:val="000000" w:themeColor="text1"/>
          <w:szCs w:val="24"/>
        </w:rPr>
        <w:t xml:space="preserve">employees </w:t>
      </w:r>
      <w:r w:rsidR="009C44F6" w:rsidRPr="001F7A46">
        <w:rPr>
          <w:rFonts w:cs="Times New Roman"/>
          <w:color w:val="000000" w:themeColor="text1"/>
          <w:szCs w:val="24"/>
        </w:rPr>
        <w:t>were</w:t>
      </w:r>
      <w:r w:rsidR="009C44F6" w:rsidRPr="00A84E06">
        <w:rPr>
          <w:rFonts w:cs="Times New Roman"/>
          <w:color w:val="000000" w:themeColor="text1"/>
          <w:szCs w:val="24"/>
        </w:rPr>
        <w:t xml:space="preserve"> involved</w:t>
      </w:r>
      <w:r w:rsidR="00240965" w:rsidRPr="00A84E06">
        <w:rPr>
          <w:rFonts w:cs="Times New Roman"/>
          <w:color w:val="000000" w:themeColor="text1"/>
          <w:szCs w:val="24"/>
        </w:rPr>
        <w:t xml:space="preserve"> in these strategies,</w:t>
      </w:r>
      <w:r w:rsidR="009C44F6" w:rsidRPr="00A84E06">
        <w:rPr>
          <w:rFonts w:cs="Times New Roman"/>
          <w:color w:val="000000" w:themeColor="text1"/>
          <w:szCs w:val="24"/>
        </w:rPr>
        <w:t xml:space="preserve"> along with as many as thirty </w:t>
      </w:r>
      <w:r w:rsidR="00AF7C85" w:rsidRPr="00A84E06">
        <w:rPr>
          <w:rFonts w:cs="Times New Roman"/>
          <w:color w:val="000000" w:themeColor="text1"/>
          <w:szCs w:val="24"/>
        </w:rPr>
        <w:t>generator</w:t>
      </w:r>
      <w:r w:rsidR="009C44F6" w:rsidRPr="00A84E06">
        <w:rPr>
          <w:rFonts w:cs="Times New Roman"/>
          <w:color w:val="000000" w:themeColor="text1"/>
          <w:szCs w:val="24"/>
        </w:rPr>
        <w:t xml:space="preserve">s, who </w:t>
      </w:r>
      <w:r w:rsidR="00AE69F6" w:rsidRPr="00A84E06">
        <w:rPr>
          <w:rFonts w:cs="Times New Roman"/>
          <w:color w:val="000000" w:themeColor="text1"/>
          <w:szCs w:val="24"/>
        </w:rPr>
        <w:t>supported</w:t>
      </w:r>
      <w:r w:rsidR="009C44F6" w:rsidRPr="00A84E06">
        <w:rPr>
          <w:rFonts w:cs="Times New Roman"/>
          <w:color w:val="000000" w:themeColor="text1"/>
          <w:szCs w:val="24"/>
        </w:rPr>
        <w:t xml:space="preserve"> Enron and shared in their profits.</w:t>
      </w:r>
      <w:r w:rsidR="009C44F6" w:rsidRPr="00A84E06">
        <w:rPr>
          <w:rStyle w:val="EndnoteReference"/>
          <w:rFonts w:cs="Times New Roman"/>
          <w:color w:val="000000" w:themeColor="text1"/>
          <w:szCs w:val="24"/>
        </w:rPr>
        <w:endnoteReference w:id="117"/>
      </w:r>
      <w:r w:rsidR="009C44F6" w:rsidRPr="00A84E06">
        <w:rPr>
          <w:rFonts w:cs="Times New Roman"/>
          <w:color w:val="000000" w:themeColor="text1"/>
          <w:szCs w:val="24"/>
        </w:rPr>
        <w:t xml:space="preserve"> E</w:t>
      </w:r>
      <w:r w:rsidRPr="00A84E06">
        <w:rPr>
          <w:rFonts w:cs="Times New Roman"/>
          <w:color w:val="000000" w:themeColor="text1"/>
          <w:szCs w:val="24"/>
        </w:rPr>
        <w:t xml:space="preserve">xpectations </w:t>
      </w:r>
      <w:r w:rsidR="00BC3C32" w:rsidRPr="00A84E06">
        <w:rPr>
          <w:rFonts w:cs="Times New Roman"/>
          <w:color w:val="000000" w:themeColor="text1"/>
          <w:szCs w:val="24"/>
        </w:rPr>
        <w:t xml:space="preserve">were </w:t>
      </w:r>
      <w:r w:rsidRPr="00A84E06">
        <w:rPr>
          <w:rFonts w:cs="Times New Roman"/>
          <w:color w:val="000000" w:themeColor="text1"/>
          <w:szCs w:val="24"/>
        </w:rPr>
        <w:t>openly communicated in meetings and reference materials</w:t>
      </w:r>
      <w:r w:rsidR="00BC3C32" w:rsidRPr="00A84E06">
        <w:rPr>
          <w:rFonts w:cs="Times New Roman"/>
          <w:color w:val="000000" w:themeColor="text1"/>
          <w:szCs w:val="24"/>
        </w:rPr>
        <w:t>, with</w:t>
      </w:r>
      <w:r w:rsidR="00D65A4D" w:rsidRPr="00A84E06">
        <w:rPr>
          <w:rFonts w:cs="Times New Roman"/>
          <w:color w:val="000000" w:themeColor="text1"/>
          <w:szCs w:val="24"/>
        </w:rPr>
        <w:t xml:space="preserve"> </w:t>
      </w:r>
      <w:r w:rsidRPr="00A84E06">
        <w:rPr>
          <w:rFonts w:cs="Times New Roman"/>
          <w:color w:val="000000" w:themeColor="text1"/>
          <w:szCs w:val="24"/>
        </w:rPr>
        <w:lastRenderedPageBreak/>
        <w:t>the Real-Time division’s service handbook</w:t>
      </w:r>
      <w:r w:rsidR="00D65A4D" w:rsidRPr="00A84E06">
        <w:rPr>
          <w:rFonts w:cs="Times New Roman"/>
          <w:color w:val="000000" w:themeColor="text1"/>
          <w:szCs w:val="24"/>
        </w:rPr>
        <w:t xml:space="preserve"> </w:t>
      </w:r>
      <w:r w:rsidR="00A52E03" w:rsidRPr="00A84E06">
        <w:rPr>
          <w:rFonts w:cs="Times New Roman"/>
          <w:color w:val="000000" w:themeColor="text1"/>
          <w:szCs w:val="24"/>
        </w:rPr>
        <w:t>providing detailed instructions for market manipulation</w:t>
      </w:r>
      <w:r w:rsidR="000D7BA9" w:rsidRPr="00A84E06">
        <w:rPr>
          <w:rFonts w:cs="Times New Roman"/>
          <w:color w:val="000000" w:themeColor="text1"/>
          <w:szCs w:val="24"/>
        </w:rPr>
        <w:t xml:space="preserve">, </w:t>
      </w:r>
      <w:r w:rsidR="00FF6BA7" w:rsidRPr="00A84E06">
        <w:rPr>
          <w:rFonts w:cs="Times New Roman"/>
          <w:color w:val="000000" w:themeColor="text1"/>
          <w:szCs w:val="24"/>
        </w:rPr>
        <w:t>specifying</w:t>
      </w:r>
      <w:r w:rsidRPr="00A84E06">
        <w:rPr>
          <w:rFonts w:cs="Times New Roman"/>
          <w:color w:val="000000" w:themeColor="text1"/>
          <w:szCs w:val="24"/>
        </w:rPr>
        <w:t xml:space="preserve"> the generation units, transmission paths and participants to use in the process</w:t>
      </w:r>
      <w:r w:rsidRPr="00AE69F6">
        <w:rPr>
          <w:rFonts w:cs="Times New Roman"/>
          <w:color w:val="000000" w:themeColor="text1"/>
          <w:szCs w:val="24"/>
        </w:rPr>
        <w:t>.</w:t>
      </w:r>
      <w:r w:rsidR="00294396" w:rsidRPr="00AE69F6">
        <w:rPr>
          <w:rStyle w:val="EndnoteReference"/>
          <w:rFonts w:cs="Times New Roman"/>
          <w:color w:val="000000" w:themeColor="text1"/>
          <w:szCs w:val="24"/>
        </w:rPr>
        <w:endnoteReference w:id="118"/>
      </w:r>
      <w:r w:rsidRPr="002E6E04">
        <w:rPr>
          <w:rFonts w:cs="Times New Roman"/>
          <w:color w:val="000000" w:themeColor="text1"/>
          <w:szCs w:val="24"/>
        </w:rPr>
        <w:t xml:space="preserve"> Here, the level to which</w:t>
      </w:r>
      <w:r w:rsidR="00BC3C32" w:rsidRPr="002E6E04">
        <w:rPr>
          <w:rFonts w:cs="Times New Roman"/>
          <w:color w:val="000000" w:themeColor="text1"/>
          <w:szCs w:val="24"/>
        </w:rPr>
        <w:t xml:space="preserve"> </w:t>
      </w:r>
      <w:r w:rsidRPr="002E6E04">
        <w:rPr>
          <w:rFonts w:cs="Times New Roman"/>
          <w:color w:val="000000" w:themeColor="text1"/>
          <w:szCs w:val="24"/>
        </w:rPr>
        <w:t>manipulation</w:t>
      </w:r>
      <w:r w:rsidR="00BC3C32" w:rsidRPr="002E6E04">
        <w:rPr>
          <w:rFonts w:cs="Times New Roman"/>
          <w:color w:val="000000" w:themeColor="text1"/>
          <w:szCs w:val="24"/>
        </w:rPr>
        <w:t xml:space="preserve"> </w:t>
      </w:r>
      <w:r w:rsidR="00FC65B0" w:rsidRPr="002E6E04">
        <w:rPr>
          <w:rFonts w:cs="Times New Roman"/>
          <w:color w:val="000000" w:themeColor="text1"/>
          <w:szCs w:val="24"/>
        </w:rPr>
        <w:t>had become</w:t>
      </w:r>
      <w:r w:rsidR="00BC3C32" w:rsidRPr="002E6E04">
        <w:rPr>
          <w:rFonts w:cs="Times New Roman"/>
          <w:color w:val="000000" w:themeColor="text1"/>
          <w:szCs w:val="24"/>
        </w:rPr>
        <w:t xml:space="preserve"> a</w:t>
      </w:r>
      <w:r w:rsidRPr="002E6E04">
        <w:rPr>
          <w:rFonts w:cs="Times New Roman"/>
          <w:color w:val="000000" w:themeColor="text1"/>
          <w:szCs w:val="24"/>
        </w:rPr>
        <w:t xml:space="preserve"> routine part of trading is highlighted in the FERC’s comments on the use of such handbooks:</w:t>
      </w:r>
    </w:p>
    <w:p w14:paraId="0518FE61" w14:textId="77777777" w:rsidR="00C57BA6" w:rsidRPr="002E6E04" w:rsidRDefault="00C57BA6" w:rsidP="000142AC">
      <w:pPr>
        <w:spacing w:after="0"/>
        <w:ind w:firstLine="720"/>
        <w:rPr>
          <w:rFonts w:cs="Times New Roman"/>
          <w:color w:val="000000" w:themeColor="text1"/>
          <w:szCs w:val="24"/>
        </w:rPr>
      </w:pPr>
    </w:p>
    <w:p w14:paraId="6BEE432E" w14:textId="77777777" w:rsidR="000142AC" w:rsidRPr="002E6E04" w:rsidRDefault="000142AC" w:rsidP="000142AC">
      <w:pPr>
        <w:pStyle w:val="Quote"/>
        <w:spacing w:line="480" w:lineRule="auto"/>
      </w:pPr>
      <w:r w:rsidRPr="002E6E04">
        <w:rPr>
          <w:rFonts w:cs="Times New Roman"/>
        </w:rPr>
        <w:t>[I]f prices in the California market are high, the Enron employee would</w:t>
      </w:r>
      <w:r w:rsidRPr="002E6E04">
        <w:t xml:space="preserve"> refer to the handbook section entitled “Who do you call and what action to take?” The Enron employee first decides if the price is high enough to be profitable to the “customer.” If it is profitable, the Enron employee would: “generate or import and fake, or increase, load.” In this situation, the Enron employee could call, for example, Glendale or Valley Electric and instruct them to increase imports into the California ISO control area; the Handbook lists the transmission paths to be used.</w:t>
      </w:r>
      <w:r w:rsidR="00294396" w:rsidRPr="002E6E04">
        <w:rPr>
          <w:rStyle w:val="EndnoteReference"/>
        </w:rPr>
        <w:endnoteReference w:id="119"/>
      </w:r>
      <w:r w:rsidRPr="002E6E04">
        <w:t xml:space="preserve"> </w:t>
      </w:r>
    </w:p>
    <w:p w14:paraId="2E94358C" w14:textId="01F9CB07" w:rsidR="000142AC" w:rsidRPr="002E6E04" w:rsidRDefault="00BC3C32" w:rsidP="00755187">
      <w:pPr>
        <w:spacing w:before="240" w:after="0"/>
        <w:ind w:firstLine="720"/>
        <w:rPr>
          <w:rFonts w:cs="Times New Roman"/>
          <w:color w:val="000000" w:themeColor="text1"/>
          <w:szCs w:val="24"/>
        </w:rPr>
      </w:pPr>
      <w:r w:rsidRPr="00A84E06">
        <w:rPr>
          <w:rFonts w:cs="Times New Roman"/>
          <w:color w:val="000000" w:themeColor="text1"/>
          <w:szCs w:val="24"/>
        </w:rPr>
        <w:t>Furthermore, t</w:t>
      </w:r>
      <w:r w:rsidR="000142AC" w:rsidRPr="00A84E06">
        <w:rPr>
          <w:rFonts w:cs="Times New Roman"/>
          <w:color w:val="000000" w:themeColor="text1"/>
          <w:szCs w:val="24"/>
        </w:rPr>
        <w:t>he ability to use trading strategies appropriately became an explicitly articulated performance criterion</w:t>
      </w:r>
      <w:r w:rsidR="00386978" w:rsidRPr="00C57BA6">
        <w:rPr>
          <w:rFonts w:cs="Times New Roman"/>
          <w:color w:val="000000" w:themeColor="text1"/>
          <w:szCs w:val="24"/>
        </w:rPr>
        <w:t xml:space="preserve">, with an </w:t>
      </w:r>
      <w:r w:rsidR="000142AC" w:rsidRPr="00C57BA6">
        <w:rPr>
          <w:rFonts w:cs="Times New Roman"/>
          <w:color w:val="000000" w:themeColor="text1"/>
          <w:szCs w:val="24"/>
        </w:rPr>
        <w:t>agenda from a staff meeting even referenc</w:t>
      </w:r>
      <w:r w:rsidR="00386978" w:rsidRPr="00C57BA6">
        <w:rPr>
          <w:rFonts w:cs="Times New Roman"/>
          <w:color w:val="000000" w:themeColor="text1"/>
          <w:szCs w:val="24"/>
        </w:rPr>
        <w:t>ing</w:t>
      </w:r>
      <w:r w:rsidR="000142AC" w:rsidRPr="00C57BA6">
        <w:rPr>
          <w:rFonts w:cs="Times New Roman"/>
          <w:color w:val="000000" w:themeColor="text1"/>
          <w:szCs w:val="24"/>
        </w:rPr>
        <w:t xml:space="preserve"> formally monitored proficiency tests</w:t>
      </w:r>
      <w:r w:rsidR="00386978" w:rsidRPr="00C57BA6">
        <w:rPr>
          <w:rStyle w:val="CommentReference"/>
          <w:color w:val="000000" w:themeColor="text1"/>
        </w:rPr>
        <w:t>.</w:t>
      </w:r>
      <w:r w:rsidR="00386978" w:rsidRPr="00C57BA6">
        <w:rPr>
          <w:rStyle w:val="EndnoteReference"/>
          <w:rFonts w:cs="Times New Roman"/>
          <w:color w:val="000000" w:themeColor="text1"/>
          <w:szCs w:val="24"/>
        </w:rPr>
        <w:endnoteReference w:id="120"/>
      </w:r>
      <w:r w:rsidR="00386978" w:rsidRPr="002E6E04">
        <w:rPr>
          <w:rStyle w:val="EndnoteReference"/>
          <w:rFonts w:cs="Times New Roman"/>
          <w:color w:val="000000" w:themeColor="text1"/>
          <w:szCs w:val="24"/>
        </w:rPr>
        <w:t xml:space="preserve"> </w:t>
      </w:r>
      <w:r w:rsidR="000142AC" w:rsidRPr="002E6E04">
        <w:rPr>
          <w:rFonts w:cs="Times New Roman"/>
          <w:color w:val="000000" w:themeColor="text1"/>
          <w:szCs w:val="24"/>
        </w:rPr>
        <w:t>The agenda goes on to</w:t>
      </w:r>
      <w:r w:rsidR="00695CCC" w:rsidRPr="002E6E04">
        <w:rPr>
          <w:rFonts w:cs="Times New Roman"/>
          <w:color w:val="000000" w:themeColor="text1"/>
          <w:szCs w:val="24"/>
        </w:rPr>
        <w:t xml:space="preserve"> </w:t>
      </w:r>
      <w:r w:rsidR="000142AC" w:rsidRPr="002E6E04">
        <w:rPr>
          <w:rFonts w:cs="Times New Roman"/>
          <w:color w:val="000000" w:themeColor="text1"/>
          <w:szCs w:val="24"/>
        </w:rPr>
        <w:t xml:space="preserve">update </w:t>
      </w:r>
      <w:r w:rsidR="00695CCC" w:rsidRPr="002E6E04">
        <w:rPr>
          <w:rFonts w:cs="Times New Roman"/>
          <w:color w:val="000000" w:themeColor="text1"/>
          <w:szCs w:val="24"/>
        </w:rPr>
        <w:t xml:space="preserve">the group </w:t>
      </w:r>
      <w:r w:rsidR="000142AC" w:rsidRPr="002E6E04">
        <w:rPr>
          <w:rFonts w:cs="Times New Roman"/>
          <w:color w:val="000000" w:themeColor="text1"/>
          <w:szCs w:val="24"/>
        </w:rPr>
        <w:t xml:space="preserve">on current strategy options and </w:t>
      </w:r>
      <w:r w:rsidR="004C7825" w:rsidRPr="002E6E04">
        <w:rPr>
          <w:rFonts w:cs="Times New Roman"/>
          <w:color w:val="000000" w:themeColor="text1"/>
          <w:szCs w:val="24"/>
        </w:rPr>
        <w:t xml:space="preserve">even </w:t>
      </w:r>
      <w:r w:rsidR="00074214" w:rsidRPr="002E6E04">
        <w:rPr>
          <w:rFonts w:cs="Times New Roman"/>
          <w:color w:val="000000" w:themeColor="text1"/>
          <w:szCs w:val="24"/>
        </w:rPr>
        <w:t>i</w:t>
      </w:r>
      <w:r w:rsidR="00695CCC" w:rsidRPr="002E6E04">
        <w:rPr>
          <w:rFonts w:cs="Times New Roman"/>
          <w:color w:val="000000" w:themeColor="text1"/>
          <w:szCs w:val="24"/>
        </w:rPr>
        <w:t>ntroduce</w:t>
      </w:r>
      <w:r w:rsidR="004C7825" w:rsidRPr="002E6E04">
        <w:rPr>
          <w:rFonts w:cs="Times New Roman"/>
          <w:color w:val="000000" w:themeColor="text1"/>
          <w:szCs w:val="24"/>
        </w:rPr>
        <w:t>s</w:t>
      </w:r>
      <w:r w:rsidR="00695CCC" w:rsidRPr="002E6E04">
        <w:rPr>
          <w:rFonts w:cs="Times New Roman"/>
          <w:color w:val="000000" w:themeColor="text1"/>
          <w:szCs w:val="24"/>
        </w:rPr>
        <w:t xml:space="preserve"> three new</w:t>
      </w:r>
      <w:r w:rsidR="00A46469" w:rsidRPr="002E6E04">
        <w:rPr>
          <w:rFonts w:cs="Times New Roman"/>
          <w:color w:val="000000" w:themeColor="text1"/>
          <w:szCs w:val="24"/>
        </w:rPr>
        <w:t xml:space="preserve"> employees (referred to as</w:t>
      </w:r>
      <w:r w:rsidR="00695CCC" w:rsidRPr="002E6E04">
        <w:rPr>
          <w:rFonts w:cs="Times New Roman"/>
          <w:color w:val="000000" w:themeColor="text1"/>
          <w:szCs w:val="24"/>
        </w:rPr>
        <w:t xml:space="preserve"> </w:t>
      </w:r>
      <w:r w:rsidR="00A46469" w:rsidRPr="002E6E04">
        <w:rPr>
          <w:rFonts w:cs="Times New Roman"/>
          <w:color w:val="000000" w:themeColor="text1"/>
          <w:szCs w:val="24"/>
        </w:rPr>
        <w:t>“</w:t>
      </w:r>
      <w:r w:rsidR="00695CCC" w:rsidRPr="002E6E04">
        <w:rPr>
          <w:rFonts w:cs="Times New Roman"/>
          <w:color w:val="000000" w:themeColor="text1"/>
          <w:szCs w:val="24"/>
        </w:rPr>
        <w:t>players”</w:t>
      </w:r>
      <w:r w:rsidR="00A46469" w:rsidRPr="002E6E04">
        <w:rPr>
          <w:rFonts w:cs="Times New Roman"/>
          <w:color w:val="000000" w:themeColor="text1"/>
          <w:szCs w:val="24"/>
        </w:rPr>
        <w:t xml:space="preserve">), </w:t>
      </w:r>
      <w:r w:rsidR="00606D0A" w:rsidRPr="002E6E04">
        <w:rPr>
          <w:rFonts w:cs="Times New Roman"/>
          <w:color w:val="000000" w:themeColor="text1"/>
          <w:szCs w:val="24"/>
        </w:rPr>
        <w:t xml:space="preserve">illustrating the overt nature of managerial expectation, and the </w:t>
      </w:r>
      <w:r w:rsidR="004C7825" w:rsidRPr="002E6E04">
        <w:rPr>
          <w:rFonts w:cs="Times New Roman"/>
          <w:color w:val="000000" w:themeColor="text1"/>
          <w:szCs w:val="24"/>
        </w:rPr>
        <w:t>speed at which</w:t>
      </w:r>
      <w:r w:rsidRPr="002E6E04">
        <w:rPr>
          <w:rFonts w:cs="Times New Roman"/>
          <w:color w:val="000000" w:themeColor="text1"/>
          <w:szCs w:val="24"/>
        </w:rPr>
        <w:t xml:space="preserve"> new </w:t>
      </w:r>
      <w:r w:rsidR="00A46469" w:rsidRPr="002E6E04">
        <w:rPr>
          <w:rFonts w:cs="Times New Roman"/>
          <w:color w:val="000000" w:themeColor="text1"/>
          <w:szCs w:val="24"/>
        </w:rPr>
        <w:t>traders</w:t>
      </w:r>
      <w:r w:rsidR="00606D0A" w:rsidRPr="002E6E04">
        <w:rPr>
          <w:rFonts w:cs="Times New Roman"/>
          <w:color w:val="000000" w:themeColor="text1"/>
          <w:szCs w:val="24"/>
        </w:rPr>
        <w:t xml:space="preserve"> were socialized into the use of corrupt practices.</w:t>
      </w:r>
    </w:p>
    <w:p w14:paraId="06D6FCD3" w14:textId="47FE931D" w:rsidR="000142AC" w:rsidRDefault="000142AC" w:rsidP="000142AC">
      <w:pPr>
        <w:spacing w:after="0"/>
        <w:ind w:firstLine="720"/>
        <w:rPr>
          <w:rFonts w:cs="Times New Roman"/>
          <w:color w:val="000000" w:themeColor="text1"/>
          <w:szCs w:val="24"/>
        </w:rPr>
      </w:pPr>
      <w:r w:rsidRPr="002E6E04">
        <w:rPr>
          <w:rFonts w:cs="Times New Roman"/>
          <w:color w:val="000000" w:themeColor="text1"/>
          <w:szCs w:val="24"/>
        </w:rPr>
        <w:t xml:space="preserve">Once </w:t>
      </w:r>
      <w:r w:rsidR="001A2C10" w:rsidRPr="00C57BA6">
        <w:rPr>
          <w:rFonts w:cs="Times New Roman"/>
          <w:color w:val="000000" w:themeColor="text1"/>
          <w:szCs w:val="24"/>
        </w:rPr>
        <w:t>normalized</w:t>
      </w:r>
      <w:r w:rsidRPr="00C57BA6">
        <w:rPr>
          <w:rFonts w:cs="Times New Roman"/>
          <w:color w:val="000000" w:themeColor="text1"/>
          <w:szCs w:val="24"/>
        </w:rPr>
        <w:t xml:space="preserve">, </w:t>
      </w:r>
      <w:r w:rsidRPr="00A84E06">
        <w:rPr>
          <w:rFonts w:cs="Times New Roman"/>
          <w:color w:val="000000" w:themeColor="text1"/>
          <w:szCs w:val="24"/>
        </w:rPr>
        <w:t xml:space="preserve">market manipulation was neither spontaneous nor </w:t>
      </w:r>
      <w:r w:rsidR="006B11D0" w:rsidRPr="00A84E06">
        <w:rPr>
          <w:rFonts w:cs="Times New Roman"/>
          <w:color w:val="000000" w:themeColor="text1"/>
          <w:szCs w:val="24"/>
        </w:rPr>
        <w:t>occasional.</w:t>
      </w:r>
      <w:r w:rsidR="006B11D0" w:rsidRPr="00E63D4D">
        <w:rPr>
          <w:rFonts w:cs="Times New Roman"/>
          <w:color w:val="000000" w:themeColor="text1"/>
          <w:szCs w:val="24"/>
        </w:rPr>
        <w:t xml:space="preserve"> A</w:t>
      </w:r>
      <w:r w:rsidR="00745063" w:rsidRPr="00E63D4D">
        <w:rPr>
          <w:rFonts w:cs="Times New Roman"/>
          <w:color w:val="000000" w:themeColor="text1"/>
          <w:szCs w:val="24"/>
        </w:rPr>
        <w:t xml:space="preserve"> network of actors from multiple organizations had formed around Enron, with the collective aim of exploiting California’s regulations. While Enron was the linchpin, its traders</w:t>
      </w:r>
      <w:r w:rsidR="00FD0E70" w:rsidRPr="00E63D4D">
        <w:rPr>
          <w:rFonts w:cs="Times New Roman"/>
          <w:color w:val="000000" w:themeColor="text1"/>
          <w:szCs w:val="24"/>
        </w:rPr>
        <w:t xml:space="preserve">’ </w:t>
      </w:r>
      <w:r w:rsidR="00745063" w:rsidRPr="00E63D4D">
        <w:rPr>
          <w:rFonts w:cs="Times New Roman"/>
          <w:color w:val="000000" w:themeColor="text1"/>
          <w:szCs w:val="24"/>
        </w:rPr>
        <w:t>corruption had clearly moved beyond this single organization, evolving to include</w:t>
      </w:r>
      <w:r w:rsidR="00DB4CE8" w:rsidRPr="00E63D4D">
        <w:rPr>
          <w:rFonts w:cs="Times New Roman"/>
          <w:color w:val="000000" w:themeColor="text1"/>
          <w:szCs w:val="24"/>
        </w:rPr>
        <w:t xml:space="preserve"> a</w:t>
      </w:r>
      <w:r w:rsidR="00745063" w:rsidRPr="00E63D4D">
        <w:rPr>
          <w:rFonts w:cs="Times New Roman"/>
          <w:color w:val="000000" w:themeColor="text1"/>
          <w:szCs w:val="24"/>
        </w:rPr>
        <w:t xml:space="preserve"> network of corruption enabling </w:t>
      </w:r>
      <w:r w:rsidR="00FD0E70" w:rsidRPr="00E63D4D">
        <w:rPr>
          <w:rFonts w:cs="Times New Roman"/>
          <w:color w:val="000000" w:themeColor="text1"/>
          <w:szCs w:val="24"/>
        </w:rPr>
        <w:t xml:space="preserve">partner </w:t>
      </w:r>
      <w:r w:rsidR="00745063" w:rsidRPr="00E63D4D">
        <w:rPr>
          <w:rFonts w:cs="Times New Roman"/>
          <w:color w:val="000000" w:themeColor="text1"/>
          <w:szCs w:val="24"/>
        </w:rPr>
        <w:t xml:space="preserve">organizations. </w:t>
      </w:r>
      <w:r w:rsidR="00C57BA6">
        <w:rPr>
          <w:rFonts w:cs="Times New Roman"/>
          <w:color w:val="000000" w:themeColor="text1"/>
          <w:szCs w:val="24"/>
        </w:rPr>
        <w:t xml:space="preserve"> </w:t>
      </w:r>
    </w:p>
    <w:p w14:paraId="18B4B3B5" w14:textId="77777777" w:rsidR="00571464" w:rsidRPr="002E6E04" w:rsidRDefault="00571464" w:rsidP="000142AC">
      <w:pPr>
        <w:spacing w:after="0"/>
        <w:ind w:firstLine="720"/>
        <w:rPr>
          <w:rFonts w:cs="Times New Roman"/>
          <w:color w:val="000000" w:themeColor="text1"/>
          <w:szCs w:val="24"/>
        </w:rPr>
      </w:pPr>
    </w:p>
    <w:p w14:paraId="00E57CC8" w14:textId="4524CC19" w:rsidR="000142AC" w:rsidRPr="00C57BA6" w:rsidRDefault="00BB0240" w:rsidP="00784EA5">
      <w:pPr>
        <w:pStyle w:val="Heading2"/>
        <w:numPr>
          <w:ilvl w:val="0"/>
          <w:numId w:val="0"/>
        </w:numPr>
        <w:ind w:left="576" w:hanging="576"/>
      </w:pPr>
      <w:r w:rsidRPr="00A84E06">
        <w:lastRenderedPageBreak/>
        <w:t>Rationalizing in response to crisis</w:t>
      </w:r>
    </w:p>
    <w:p w14:paraId="2AF91BFE" w14:textId="6847C8C0" w:rsidR="00802782" w:rsidRDefault="00784EA5" w:rsidP="00802782">
      <w:pPr>
        <w:pStyle w:val="Default"/>
        <w:spacing w:line="480" w:lineRule="auto"/>
        <w:jc w:val="both"/>
        <w:rPr>
          <w:color w:val="000000" w:themeColor="text1"/>
          <w:lang w:val="en-US"/>
        </w:rPr>
      </w:pPr>
      <w:r w:rsidRPr="00A84E06">
        <w:rPr>
          <w:color w:val="000000" w:themeColor="text1"/>
          <w:lang w:val="en-US"/>
        </w:rPr>
        <w:t>By spring 2000,</w:t>
      </w:r>
      <w:r w:rsidR="008515BB" w:rsidRPr="00A84E06">
        <w:rPr>
          <w:color w:val="000000" w:themeColor="text1"/>
          <w:lang w:val="en-US"/>
        </w:rPr>
        <w:t xml:space="preserve"> senior traders had normalized corruption in the form of </w:t>
      </w:r>
      <w:r w:rsidRPr="00A84E06">
        <w:rPr>
          <w:color w:val="000000" w:themeColor="text1"/>
          <w:lang w:val="en-US"/>
        </w:rPr>
        <w:t xml:space="preserve">gaming </w:t>
      </w:r>
      <w:r w:rsidR="008515BB" w:rsidRPr="00A84E06">
        <w:rPr>
          <w:color w:val="000000" w:themeColor="text1"/>
          <w:lang w:val="en-US"/>
        </w:rPr>
        <w:t xml:space="preserve">throughout the </w:t>
      </w:r>
      <w:r w:rsidR="000D7B1C" w:rsidRPr="00A84E06">
        <w:rPr>
          <w:color w:val="000000" w:themeColor="text1"/>
          <w:lang w:val="en-US"/>
        </w:rPr>
        <w:t>division</w:t>
      </w:r>
      <w:r w:rsidR="008515BB" w:rsidRPr="00A84E06">
        <w:rPr>
          <w:color w:val="000000" w:themeColor="text1"/>
          <w:lang w:val="en-US"/>
        </w:rPr>
        <w:t xml:space="preserve"> and its network of partner organizations</w:t>
      </w:r>
      <w:r w:rsidRPr="00C57BA6">
        <w:rPr>
          <w:color w:val="000000" w:themeColor="text1"/>
          <w:lang w:val="en-US"/>
        </w:rPr>
        <w:t>; however</w:t>
      </w:r>
      <w:r w:rsidRPr="00F14C44">
        <w:rPr>
          <w:color w:val="000000" w:themeColor="text1"/>
          <w:lang w:val="en-US"/>
        </w:rPr>
        <w:t xml:space="preserve">, </w:t>
      </w:r>
      <w:r w:rsidR="008515BB" w:rsidRPr="00F14C44">
        <w:rPr>
          <w:color w:val="000000" w:themeColor="text1"/>
          <w:lang w:val="en-US"/>
        </w:rPr>
        <w:t>this normalization</w:t>
      </w:r>
      <w:r w:rsidRPr="00F14C44">
        <w:rPr>
          <w:color w:val="000000" w:themeColor="text1"/>
          <w:lang w:val="en-US"/>
        </w:rPr>
        <w:t xml:space="preserve"> was still susceptible to </w:t>
      </w:r>
      <w:r w:rsidR="008515BB" w:rsidRPr="00F14C44">
        <w:rPr>
          <w:color w:val="000000" w:themeColor="text1"/>
          <w:lang w:val="en-US"/>
        </w:rPr>
        <w:t>disruption</w:t>
      </w:r>
      <w:r w:rsidRPr="00F14C44">
        <w:rPr>
          <w:color w:val="000000" w:themeColor="text1"/>
          <w:lang w:val="en-US"/>
        </w:rPr>
        <w:t>.</w:t>
      </w:r>
      <w:r w:rsidRPr="002E6E04">
        <w:rPr>
          <w:color w:val="000000" w:themeColor="text1"/>
          <w:lang w:val="en-US"/>
        </w:rPr>
        <w:t xml:space="preserve"> Before the crisis, </w:t>
      </w:r>
      <w:r w:rsidR="008515BB" w:rsidRPr="002E6E04">
        <w:rPr>
          <w:color w:val="000000" w:themeColor="text1"/>
          <w:lang w:val="en-US"/>
        </w:rPr>
        <w:t>traders had deployed their strategies</w:t>
      </w:r>
      <w:r w:rsidRPr="002E6E04">
        <w:rPr>
          <w:color w:val="000000" w:themeColor="text1"/>
          <w:lang w:val="en-US"/>
        </w:rPr>
        <w:t xml:space="preserve"> within a relatively uneventful market environment, where minimal price volatility and supply issues had kept electricity in the back of public consciousness. However, f</w:t>
      </w:r>
      <w:r w:rsidR="00AA2279" w:rsidRPr="002E6E04">
        <w:rPr>
          <w:color w:val="000000" w:themeColor="text1"/>
          <w:lang w:val="en-US"/>
        </w:rPr>
        <w:t>rom</w:t>
      </w:r>
      <w:r w:rsidR="000142AC" w:rsidRPr="002E6E04">
        <w:rPr>
          <w:color w:val="000000" w:themeColor="text1"/>
          <w:lang w:val="en-US"/>
        </w:rPr>
        <w:t xml:space="preserve"> May, the price utilities paid for electricity started to rise significantly, consistently reach</w:t>
      </w:r>
      <w:r w:rsidR="00AA2279" w:rsidRPr="002E6E04">
        <w:rPr>
          <w:color w:val="000000" w:themeColor="text1"/>
          <w:lang w:val="en-US"/>
        </w:rPr>
        <w:t>ing</w:t>
      </w:r>
      <w:r w:rsidR="000142AC" w:rsidRPr="002E6E04">
        <w:rPr>
          <w:color w:val="000000" w:themeColor="text1"/>
          <w:lang w:val="en-US"/>
        </w:rPr>
        <w:t xml:space="preserve"> the ISO’s wholesale cap of 750$/MWh </w:t>
      </w:r>
      <w:r w:rsidR="00356591" w:rsidRPr="002E6E04">
        <w:rPr>
          <w:color w:val="000000" w:themeColor="text1"/>
          <w:lang w:val="en-US"/>
        </w:rPr>
        <w:t>during that month and beyond, into the summer</w:t>
      </w:r>
      <w:r w:rsidR="00AA2279" w:rsidRPr="002E6E04">
        <w:rPr>
          <w:color w:val="000000" w:themeColor="text1"/>
          <w:lang w:val="en-US"/>
        </w:rPr>
        <w:t>.</w:t>
      </w:r>
      <w:r w:rsidR="00C52A2A" w:rsidRPr="002E6E04">
        <w:rPr>
          <w:rStyle w:val="EndnoteReference"/>
          <w:color w:val="000000" w:themeColor="text1"/>
          <w:lang w:val="en-US"/>
        </w:rPr>
        <w:endnoteReference w:id="121"/>
      </w:r>
      <w:r w:rsidR="000142AC" w:rsidRPr="002E6E04">
        <w:rPr>
          <w:color w:val="000000" w:themeColor="text1"/>
          <w:lang w:val="en-US"/>
        </w:rPr>
        <w:t xml:space="preserve"> </w:t>
      </w:r>
      <w:r w:rsidR="008515BB" w:rsidRPr="002E6E04">
        <w:rPr>
          <w:color w:val="000000" w:themeColor="text1"/>
          <w:lang w:val="en-US"/>
        </w:rPr>
        <w:t>While the</w:t>
      </w:r>
      <w:r w:rsidR="00356591" w:rsidRPr="002E6E04">
        <w:rPr>
          <w:color w:val="000000" w:themeColor="text1"/>
          <w:lang w:val="en-US"/>
        </w:rPr>
        <w:t xml:space="preserve"> cause</w:t>
      </w:r>
      <w:r w:rsidR="008515BB" w:rsidRPr="002E6E04">
        <w:rPr>
          <w:color w:val="000000" w:themeColor="text1"/>
          <w:lang w:val="en-US"/>
        </w:rPr>
        <w:t>s</w:t>
      </w:r>
      <w:r w:rsidR="00356591" w:rsidRPr="002E6E04">
        <w:rPr>
          <w:color w:val="000000" w:themeColor="text1"/>
          <w:lang w:val="en-US"/>
        </w:rPr>
        <w:t xml:space="preserve"> </w:t>
      </w:r>
      <w:r w:rsidR="008515BB" w:rsidRPr="002E6E04">
        <w:rPr>
          <w:color w:val="000000" w:themeColor="text1"/>
          <w:lang w:val="en-US"/>
        </w:rPr>
        <w:t>were</w:t>
      </w:r>
      <w:r w:rsidR="00356591" w:rsidRPr="002E6E04">
        <w:rPr>
          <w:color w:val="000000" w:themeColor="text1"/>
          <w:lang w:val="en-US"/>
        </w:rPr>
        <w:t xml:space="preserve"> unclear, new</w:t>
      </w:r>
      <w:r w:rsidR="000142AC" w:rsidRPr="002E6E04">
        <w:rPr>
          <w:color w:val="000000" w:themeColor="text1"/>
          <w:lang w:val="en-US"/>
        </w:rPr>
        <w:t xml:space="preserve"> regulations, unseasonable weather conditions, an</w:t>
      </w:r>
      <w:r w:rsidR="003E0ADD" w:rsidRPr="002E6E04">
        <w:rPr>
          <w:color w:val="000000" w:themeColor="text1"/>
          <w:lang w:val="en-US"/>
        </w:rPr>
        <w:t>d</w:t>
      </w:r>
      <w:r w:rsidR="008515BB" w:rsidRPr="002E6E04">
        <w:rPr>
          <w:color w:val="000000" w:themeColor="text1"/>
          <w:lang w:val="en-US"/>
        </w:rPr>
        <w:t xml:space="preserve"> </w:t>
      </w:r>
      <w:r w:rsidR="000142AC" w:rsidRPr="002E6E04">
        <w:rPr>
          <w:color w:val="000000" w:themeColor="text1"/>
          <w:lang w:val="en-US"/>
        </w:rPr>
        <w:t xml:space="preserve">suspicions </w:t>
      </w:r>
      <w:r w:rsidR="000142AC" w:rsidRPr="00C57BA6">
        <w:rPr>
          <w:color w:val="000000" w:themeColor="text1"/>
          <w:lang w:val="en-US"/>
        </w:rPr>
        <w:t xml:space="preserve">of opportunistic </w:t>
      </w:r>
      <w:r w:rsidR="0059214A" w:rsidRPr="00C57BA6">
        <w:rPr>
          <w:color w:val="000000" w:themeColor="text1"/>
          <w:lang w:val="en-US"/>
        </w:rPr>
        <w:t>behavior</w:t>
      </w:r>
      <w:r w:rsidR="000142AC" w:rsidRPr="00C57BA6">
        <w:rPr>
          <w:color w:val="000000" w:themeColor="text1"/>
          <w:lang w:val="en-US"/>
        </w:rPr>
        <w:t xml:space="preserve"> by companies such as Enron</w:t>
      </w:r>
      <w:r w:rsidR="003E0ADD" w:rsidRPr="00C57BA6">
        <w:rPr>
          <w:color w:val="000000" w:themeColor="text1"/>
          <w:lang w:val="en-US"/>
        </w:rPr>
        <w:t xml:space="preserve"> were variously singled out for blame</w:t>
      </w:r>
      <w:r w:rsidR="000142AC" w:rsidRPr="00C57BA6">
        <w:rPr>
          <w:color w:val="000000" w:themeColor="text1"/>
          <w:lang w:val="en-US"/>
        </w:rPr>
        <w:t xml:space="preserve">. </w:t>
      </w:r>
      <w:r w:rsidR="000142AC" w:rsidRPr="00A84E06">
        <w:rPr>
          <w:color w:val="000000" w:themeColor="text1"/>
          <w:lang w:val="en-US"/>
        </w:rPr>
        <w:t xml:space="preserve">At this point, </w:t>
      </w:r>
      <w:r w:rsidR="00240965" w:rsidRPr="00A84E06">
        <w:rPr>
          <w:color w:val="000000" w:themeColor="text1"/>
          <w:lang w:val="en-US"/>
        </w:rPr>
        <w:t>Enron</w:t>
      </w:r>
      <w:r w:rsidR="002B6DAE" w:rsidRPr="00A84E06">
        <w:rPr>
          <w:color w:val="000000" w:themeColor="text1"/>
          <w:lang w:val="en-US"/>
        </w:rPr>
        <w:t>’s traders</w:t>
      </w:r>
      <w:r w:rsidR="000142AC" w:rsidRPr="00A84E06">
        <w:rPr>
          <w:color w:val="000000" w:themeColor="text1"/>
          <w:lang w:val="en-US"/>
        </w:rPr>
        <w:t xml:space="preserve"> and</w:t>
      </w:r>
      <w:r w:rsidR="002B6DAE" w:rsidRPr="00A84E06">
        <w:rPr>
          <w:color w:val="000000" w:themeColor="text1"/>
          <w:lang w:val="en-US"/>
        </w:rPr>
        <w:t xml:space="preserve"> their network of partners </w:t>
      </w:r>
      <w:r w:rsidR="000142AC" w:rsidRPr="00A84E06">
        <w:rPr>
          <w:color w:val="000000" w:themeColor="text1"/>
          <w:lang w:val="en-US"/>
        </w:rPr>
        <w:t xml:space="preserve">increasingly used </w:t>
      </w:r>
      <w:r w:rsidR="0059214A" w:rsidRPr="00A84E06">
        <w:rPr>
          <w:color w:val="000000" w:themeColor="text1"/>
          <w:lang w:val="en-US"/>
        </w:rPr>
        <w:t>rationalizing</w:t>
      </w:r>
      <w:r w:rsidR="000142AC" w:rsidRPr="00A84E06">
        <w:rPr>
          <w:color w:val="000000" w:themeColor="text1"/>
          <w:lang w:val="en-US"/>
        </w:rPr>
        <w:t xml:space="preserve"> </w:t>
      </w:r>
      <w:r w:rsidR="008862F1" w:rsidRPr="00A84E06">
        <w:rPr>
          <w:color w:val="000000" w:themeColor="text1"/>
          <w:lang w:val="en-US"/>
        </w:rPr>
        <w:t xml:space="preserve">techniques </w:t>
      </w:r>
      <w:r w:rsidR="000142AC" w:rsidRPr="00A84E06">
        <w:rPr>
          <w:color w:val="000000" w:themeColor="text1"/>
          <w:lang w:val="en-US"/>
        </w:rPr>
        <w:t>to account for the unfolding crisis</w:t>
      </w:r>
      <w:r w:rsidR="008862F1" w:rsidRPr="00A84E06">
        <w:rPr>
          <w:color w:val="000000" w:themeColor="text1"/>
          <w:lang w:val="en-US"/>
        </w:rPr>
        <w:t xml:space="preserve">, </w:t>
      </w:r>
      <w:r w:rsidR="00C57BA6" w:rsidRPr="00A84E06">
        <w:rPr>
          <w:color w:val="000000" w:themeColor="text1"/>
          <w:lang w:val="en-US"/>
        </w:rPr>
        <w:t>attempting to portray their</w:t>
      </w:r>
      <w:r w:rsidR="000142AC" w:rsidRPr="00A84E06">
        <w:rPr>
          <w:color w:val="000000" w:themeColor="text1"/>
          <w:lang w:val="en-US"/>
        </w:rPr>
        <w:t xml:space="preserve"> acts as acceptable, based on certain ideological positions.</w:t>
      </w:r>
      <w:r w:rsidR="00C52A2A" w:rsidRPr="00A84E06">
        <w:rPr>
          <w:rStyle w:val="EndnoteReference"/>
          <w:color w:val="000000" w:themeColor="text1"/>
          <w:lang w:val="en-US"/>
        </w:rPr>
        <w:endnoteReference w:id="122"/>
      </w:r>
      <w:r w:rsidR="000142AC" w:rsidRPr="002E6E04">
        <w:rPr>
          <w:color w:val="000000" w:themeColor="text1"/>
          <w:lang w:val="en-US"/>
        </w:rPr>
        <w:t xml:space="preserve"> </w:t>
      </w:r>
      <w:r w:rsidR="001126FE" w:rsidRPr="002E6E04">
        <w:rPr>
          <w:color w:val="000000" w:themeColor="text1"/>
          <w:lang w:val="en-US"/>
        </w:rPr>
        <w:t>For instance</w:t>
      </w:r>
      <w:r w:rsidR="004C7825" w:rsidRPr="002E6E04">
        <w:rPr>
          <w:color w:val="000000" w:themeColor="text1"/>
          <w:lang w:val="en-US"/>
        </w:rPr>
        <w:t xml:space="preserve">, </w:t>
      </w:r>
      <w:r w:rsidR="00802782" w:rsidRPr="002E6E04">
        <w:rPr>
          <w:color w:val="000000" w:themeColor="text1"/>
          <w:lang w:val="en-US"/>
        </w:rPr>
        <w:t xml:space="preserve">when discussing the situation in California with Belden, his superior notes: </w:t>
      </w:r>
    </w:p>
    <w:p w14:paraId="51A3542F" w14:textId="77777777" w:rsidR="00C57BA6" w:rsidRPr="002E6E04" w:rsidRDefault="00C57BA6" w:rsidP="00802782">
      <w:pPr>
        <w:pStyle w:val="Default"/>
        <w:spacing w:line="480" w:lineRule="auto"/>
        <w:jc w:val="both"/>
        <w:rPr>
          <w:color w:val="000000" w:themeColor="text1"/>
          <w:lang w:val="en-US"/>
        </w:rPr>
      </w:pPr>
    </w:p>
    <w:p w14:paraId="2FCBA0F1" w14:textId="62D24952" w:rsidR="00A94220" w:rsidRPr="002E6E04" w:rsidRDefault="00802782" w:rsidP="00802782">
      <w:pPr>
        <w:pStyle w:val="Quote"/>
        <w:spacing w:line="480" w:lineRule="auto"/>
        <w:rPr>
          <w:rFonts w:cs="Times New Roman"/>
        </w:rPr>
      </w:pPr>
      <w:r w:rsidRPr="002E6E04">
        <w:t>“</w:t>
      </w:r>
      <w:r w:rsidR="00784EA5" w:rsidRPr="002E6E04">
        <w:t>[I]</w:t>
      </w:r>
      <w:r w:rsidR="00594448" w:rsidRPr="002E6E04">
        <w:t xml:space="preserve">t’s </w:t>
      </w:r>
      <w:r w:rsidRPr="002E6E04">
        <w:t xml:space="preserve">just </w:t>
      </w:r>
      <w:r w:rsidR="000555E5" w:rsidRPr="002E6E04">
        <w:t xml:space="preserve">[expletive] </w:t>
      </w:r>
      <w:r w:rsidRPr="002E6E04">
        <w:t xml:space="preserve">unfortunate </w:t>
      </w:r>
      <w:r w:rsidR="00594448" w:rsidRPr="002E6E04">
        <w:t>–</w:t>
      </w:r>
      <w:r w:rsidRPr="002E6E04">
        <w:t xml:space="preserve"> </w:t>
      </w:r>
      <w:r w:rsidR="00594448" w:rsidRPr="002E6E04">
        <w:t xml:space="preserve">we’re </w:t>
      </w:r>
      <w:r w:rsidRPr="002E6E04">
        <w:t xml:space="preserve">going to have repercussions of all this stuff, and not necessarily </w:t>
      </w:r>
      <w:r w:rsidR="00594448" w:rsidRPr="002E6E04">
        <w:t xml:space="preserve">‘cause </w:t>
      </w:r>
      <w:r w:rsidRPr="002E6E04">
        <w:t xml:space="preserve">we do anything wrong…” […] “You take this much money out of a market, I think that </w:t>
      </w:r>
      <w:r w:rsidR="00594448" w:rsidRPr="002E6E04">
        <w:t xml:space="preserve">there’s </w:t>
      </w:r>
      <w:r w:rsidR="00DA0995" w:rsidRPr="002E6E04">
        <w:t>um</w:t>
      </w:r>
      <w:r w:rsidRPr="002E6E04">
        <w:t xml:space="preserve">, you know, they just </w:t>
      </w:r>
      <w:r w:rsidR="000555E5" w:rsidRPr="002E6E04">
        <w:t>[expletive]</w:t>
      </w:r>
      <w:r w:rsidR="00594448" w:rsidRPr="002E6E04">
        <w:t xml:space="preserve"> </w:t>
      </w:r>
      <w:r w:rsidRPr="002E6E04">
        <w:t xml:space="preserve">like try to find </w:t>
      </w:r>
      <w:r w:rsidR="00594448" w:rsidRPr="002E6E04">
        <w:t>somethin’</w:t>
      </w:r>
      <w:r w:rsidR="0003476C" w:rsidRPr="002E6E04">
        <w:t>[</w:t>
      </w:r>
      <w:r w:rsidRPr="002E6E04">
        <w:t>…</w:t>
      </w:r>
      <w:r w:rsidR="0003476C" w:rsidRPr="002E6E04">
        <w:t>]</w:t>
      </w:r>
      <w:r w:rsidR="007A394F" w:rsidRPr="002E6E04">
        <w:rPr>
          <w:rFonts w:cs="Times New Roman"/>
          <w:szCs w:val="24"/>
        </w:rPr>
        <w:t>”</w:t>
      </w:r>
      <w:r w:rsidRPr="002E6E04">
        <w:rPr>
          <w:rStyle w:val="EndnoteReference"/>
          <w:rFonts w:cs="Times New Roman"/>
          <w:szCs w:val="24"/>
        </w:rPr>
        <w:endnoteReference w:id="123"/>
      </w:r>
    </w:p>
    <w:p w14:paraId="30016C69" w14:textId="77777777" w:rsidR="00C57BA6" w:rsidRDefault="00C57BA6" w:rsidP="00802782">
      <w:pPr>
        <w:spacing w:after="0"/>
        <w:rPr>
          <w:rFonts w:cs="Times New Roman"/>
          <w:color w:val="000000" w:themeColor="text1"/>
          <w:szCs w:val="24"/>
        </w:rPr>
      </w:pPr>
    </w:p>
    <w:p w14:paraId="7EF0C7D3" w14:textId="76BCCA8B" w:rsidR="000142AC" w:rsidRPr="002E6E04" w:rsidRDefault="001126FE" w:rsidP="00802782">
      <w:pPr>
        <w:spacing w:after="0"/>
        <w:rPr>
          <w:rFonts w:cs="Times New Roman"/>
          <w:color w:val="000000" w:themeColor="text1"/>
          <w:szCs w:val="24"/>
        </w:rPr>
      </w:pPr>
      <w:r w:rsidRPr="002E6E04">
        <w:rPr>
          <w:rFonts w:cs="Times New Roman"/>
          <w:color w:val="000000" w:themeColor="text1"/>
          <w:szCs w:val="24"/>
        </w:rPr>
        <w:t>Such views</w:t>
      </w:r>
      <w:r w:rsidR="000142AC" w:rsidRPr="002E6E04">
        <w:rPr>
          <w:rFonts w:cs="Times New Roman"/>
          <w:color w:val="000000" w:themeColor="text1"/>
          <w:szCs w:val="24"/>
        </w:rPr>
        <w:t xml:space="preserve"> followed the pre-crisis logic underpinning its initial exploration of vulnerabilities; that is, </w:t>
      </w:r>
      <w:r w:rsidR="000142AC" w:rsidRPr="00C57BA6">
        <w:rPr>
          <w:rFonts w:cs="Times New Roman"/>
          <w:color w:val="000000" w:themeColor="text1"/>
          <w:szCs w:val="24"/>
        </w:rPr>
        <w:t xml:space="preserve">a </w:t>
      </w:r>
      <w:r w:rsidR="000142AC" w:rsidRPr="00A84E06">
        <w:rPr>
          <w:rFonts w:cs="Times New Roman"/>
          <w:color w:val="000000" w:themeColor="text1"/>
          <w:szCs w:val="24"/>
        </w:rPr>
        <w:t>belief that its actions were a legitimate part of participation within a flawed market</w:t>
      </w:r>
      <w:r w:rsidR="000142AC" w:rsidRPr="00C57BA6">
        <w:rPr>
          <w:rFonts w:cs="Times New Roman"/>
          <w:color w:val="000000" w:themeColor="text1"/>
          <w:szCs w:val="24"/>
        </w:rPr>
        <w:t>.</w:t>
      </w:r>
      <w:r w:rsidR="00772933" w:rsidRPr="00C57BA6">
        <w:rPr>
          <w:rFonts w:cs="Times New Roman"/>
          <w:color w:val="000000" w:themeColor="text1"/>
          <w:szCs w:val="24"/>
        </w:rPr>
        <w:t xml:space="preserve"> </w:t>
      </w:r>
      <w:r w:rsidR="000142AC" w:rsidRPr="00C57BA6">
        <w:rPr>
          <w:rFonts w:cs="Times New Roman"/>
          <w:color w:val="000000" w:themeColor="text1"/>
          <w:szCs w:val="24"/>
        </w:rPr>
        <w:t xml:space="preserve">Accordingly, </w:t>
      </w:r>
      <w:r w:rsidR="000142AC" w:rsidRPr="00A84E06">
        <w:rPr>
          <w:rFonts w:cs="Times New Roman"/>
          <w:color w:val="000000" w:themeColor="text1"/>
          <w:szCs w:val="24"/>
        </w:rPr>
        <w:t xml:space="preserve">in the same way George Backus had argued that gaming was a natural stage in the process of deregulation, trading strategies were an uncomplicated route to profit </w:t>
      </w:r>
      <w:r w:rsidR="0059214A" w:rsidRPr="00A84E06">
        <w:rPr>
          <w:rFonts w:cs="Times New Roman"/>
          <w:color w:val="000000" w:themeColor="text1"/>
          <w:szCs w:val="24"/>
        </w:rPr>
        <w:t>maximization</w:t>
      </w:r>
      <w:r w:rsidR="000142AC" w:rsidRPr="00A84E06">
        <w:rPr>
          <w:rFonts w:cs="Times New Roman"/>
          <w:color w:val="000000" w:themeColor="text1"/>
          <w:szCs w:val="24"/>
        </w:rPr>
        <w:t xml:space="preserve">. Thus, the view prevailed that “if they’re going to put in place such a stupid </w:t>
      </w:r>
      <w:r w:rsidR="000142AC" w:rsidRPr="00A84E06">
        <w:rPr>
          <w:rFonts w:cs="Times New Roman"/>
          <w:color w:val="000000" w:themeColor="text1"/>
          <w:szCs w:val="24"/>
        </w:rPr>
        <w:lastRenderedPageBreak/>
        <w:t>system, it makes sense to try to game it</w:t>
      </w:r>
      <w:r w:rsidR="00A84E06">
        <w:rPr>
          <w:rFonts w:cs="Times New Roman"/>
          <w:color w:val="000000" w:themeColor="text1"/>
          <w:szCs w:val="24"/>
        </w:rPr>
        <w:t>.</w:t>
      </w:r>
      <w:r w:rsidR="000142AC" w:rsidRPr="00A84E06">
        <w:rPr>
          <w:rFonts w:cs="Times New Roman"/>
          <w:color w:val="000000" w:themeColor="text1"/>
          <w:szCs w:val="24"/>
        </w:rPr>
        <w:t>”</w:t>
      </w:r>
      <w:r w:rsidR="00C52A2A" w:rsidRPr="00A84E06">
        <w:rPr>
          <w:rStyle w:val="EndnoteReference"/>
          <w:rFonts w:cs="Times New Roman"/>
          <w:color w:val="000000" w:themeColor="text1"/>
          <w:szCs w:val="24"/>
        </w:rPr>
        <w:endnoteReference w:id="124"/>
      </w:r>
      <w:r w:rsidR="000142AC" w:rsidRPr="00A84E06">
        <w:rPr>
          <w:rFonts w:cs="Times New Roman"/>
          <w:color w:val="000000" w:themeColor="text1"/>
          <w:szCs w:val="24"/>
        </w:rPr>
        <w:t xml:space="preserve"> Accordingly, when the system started to fail, this too was added to the</w:t>
      </w:r>
      <w:r w:rsidR="003E0ADD" w:rsidRPr="00A84E06">
        <w:rPr>
          <w:rFonts w:cs="Times New Roman"/>
          <w:color w:val="000000" w:themeColor="text1"/>
          <w:szCs w:val="24"/>
        </w:rPr>
        <w:t xml:space="preserve">ir interpretation of </w:t>
      </w:r>
      <w:r w:rsidR="00FF6BA7" w:rsidRPr="00A84E06">
        <w:rPr>
          <w:rFonts w:cs="Times New Roman"/>
          <w:color w:val="000000" w:themeColor="text1"/>
          <w:szCs w:val="24"/>
        </w:rPr>
        <w:t>acceptability</w:t>
      </w:r>
      <w:r w:rsidR="003E0ADD" w:rsidRPr="00C57BA6">
        <w:rPr>
          <w:rFonts w:cs="Times New Roman"/>
          <w:color w:val="000000" w:themeColor="text1"/>
          <w:szCs w:val="24"/>
        </w:rPr>
        <w:t>.</w:t>
      </w:r>
    </w:p>
    <w:p w14:paraId="762EF6EE" w14:textId="02872944" w:rsidR="000142AC" w:rsidRPr="002E6E04" w:rsidRDefault="00413931" w:rsidP="000142AC">
      <w:pPr>
        <w:spacing w:after="0"/>
        <w:ind w:firstLine="720"/>
        <w:rPr>
          <w:rFonts w:cs="Times New Roman"/>
          <w:color w:val="000000" w:themeColor="text1"/>
          <w:szCs w:val="24"/>
        </w:rPr>
      </w:pPr>
      <w:r w:rsidRPr="002E6E04">
        <w:rPr>
          <w:rFonts w:cs="Times New Roman"/>
          <w:color w:val="000000" w:themeColor="text1"/>
          <w:szCs w:val="24"/>
        </w:rPr>
        <w:t>Arguably,</w:t>
      </w:r>
      <w:r w:rsidR="000142AC" w:rsidRPr="002E6E04">
        <w:rPr>
          <w:rFonts w:cs="Times New Roman"/>
          <w:color w:val="000000" w:themeColor="text1"/>
          <w:szCs w:val="24"/>
        </w:rPr>
        <w:t xml:space="preserve"> the crisis was something of a perfect storm, with multiple factors together creating an exceptional situation.</w:t>
      </w:r>
      <w:r w:rsidR="00C52A2A" w:rsidRPr="002E6E04">
        <w:rPr>
          <w:rStyle w:val="EndnoteReference"/>
          <w:rFonts w:cs="Times New Roman"/>
          <w:color w:val="000000" w:themeColor="text1"/>
          <w:szCs w:val="24"/>
        </w:rPr>
        <w:endnoteReference w:id="125"/>
      </w:r>
      <w:r w:rsidR="000142AC" w:rsidRPr="002E6E04">
        <w:rPr>
          <w:rFonts w:cs="Times New Roman"/>
          <w:color w:val="000000" w:themeColor="text1"/>
          <w:szCs w:val="24"/>
        </w:rPr>
        <w:t xml:space="preserve"> Firstly, there were </w:t>
      </w:r>
      <w:r w:rsidR="008515BB" w:rsidRPr="002E6E04">
        <w:rPr>
          <w:rFonts w:cs="Times New Roman"/>
          <w:color w:val="000000" w:themeColor="text1"/>
          <w:szCs w:val="24"/>
        </w:rPr>
        <w:t>several</w:t>
      </w:r>
      <w:r w:rsidR="000142AC" w:rsidRPr="002E6E04">
        <w:rPr>
          <w:rFonts w:cs="Times New Roman"/>
          <w:color w:val="000000" w:themeColor="text1"/>
          <w:szCs w:val="24"/>
        </w:rPr>
        <w:t xml:space="preserve"> supply and demand issues. Low rainfall contributed to drought conditions in the </w:t>
      </w:r>
      <w:r w:rsidR="00772933" w:rsidRPr="002E6E04">
        <w:rPr>
          <w:rFonts w:cs="Times New Roman"/>
          <w:color w:val="000000" w:themeColor="text1"/>
          <w:szCs w:val="24"/>
        </w:rPr>
        <w:t>N</w:t>
      </w:r>
      <w:r w:rsidR="000142AC" w:rsidRPr="002E6E04">
        <w:rPr>
          <w:rFonts w:cs="Times New Roman"/>
          <w:color w:val="000000" w:themeColor="text1"/>
          <w:szCs w:val="24"/>
        </w:rPr>
        <w:t>orthwest, which limited the hydroelectric generation California could import. Coupled with the state’s low domestic output, this meant that available generation was lower than previous years. On the demand side, hot weather increased air-conditioning and refrigeration-based consumption, adding to demand. This compounded a</w:t>
      </w:r>
      <w:r w:rsidR="00772933" w:rsidRPr="002E6E04">
        <w:rPr>
          <w:rFonts w:cs="Times New Roman"/>
          <w:color w:val="000000" w:themeColor="text1"/>
          <w:szCs w:val="24"/>
        </w:rPr>
        <w:t>n existing</w:t>
      </w:r>
      <w:r w:rsidR="000142AC" w:rsidRPr="002E6E04">
        <w:rPr>
          <w:rFonts w:cs="Times New Roman"/>
          <w:color w:val="000000" w:themeColor="text1"/>
          <w:szCs w:val="24"/>
        </w:rPr>
        <w:t xml:space="preserve"> trend of demand increase, </w:t>
      </w:r>
      <w:r w:rsidR="00772933" w:rsidRPr="002E6E04">
        <w:rPr>
          <w:rFonts w:cs="Times New Roman"/>
          <w:color w:val="000000" w:themeColor="text1"/>
          <w:szCs w:val="24"/>
        </w:rPr>
        <w:t>caused by</w:t>
      </w:r>
      <w:r w:rsidR="000142AC" w:rsidRPr="002E6E04">
        <w:rPr>
          <w:rFonts w:cs="Times New Roman"/>
          <w:color w:val="000000" w:themeColor="text1"/>
          <w:szCs w:val="24"/>
        </w:rPr>
        <w:t xml:space="preserve"> the state’s economic development (particularly Silicon Valley) and greater domestic consumption. These factors significantly contributed to the shortage and thus the price increases. </w:t>
      </w:r>
      <w:r w:rsidR="00DA09F2" w:rsidRPr="002E6E04">
        <w:rPr>
          <w:rFonts w:cs="Times New Roman"/>
          <w:color w:val="000000" w:themeColor="text1"/>
          <w:szCs w:val="24"/>
        </w:rPr>
        <w:t xml:space="preserve">The </w:t>
      </w:r>
      <w:r w:rsidR="000142AC" w:rsidRPr="002E6E04">
        <w:rPr>
          <w:rFonts w:cs="Times New Roman"/>
          <w:color w:val="000000" w:themeColor="text1"/>
          <w:szCs w:val="24"/>
        </w:rPr>
        <w:t xml:space="preserve">new regulations did not help this situation. The cap on consumer rates had essentially decoupled demand from the cost of supply, and with this, the economic situation became problematic for utilities. Forced to pay a heightened price for wholesale energy, they were unable to pass any of this increase on to ratepayers. In turn, the ratepayer had no financial incentive to use less energy. Thus, there was minimal opportunity to reduce the price through economically </w:t>
      </w:r>
      <w:r w:rsidR="0059214A" w:rsidRPr="002E6E04">
        <w:rPr>
          <w:rFonts w:cs="Times New Roman"/>
          <w:color w:val="000000" w:themeColor="text1"/>
          <w:szCs w:val="24"/>
        </w:rPr>
        <w:t>incentivized</w:t>
      </w:r>
      <w:r w:rsidR="000142AC" w:rsidRPr="002E6E04">
        <w:rPr>
          <w:rFonts w:cs="Times New Roman"/>
          <w:color w:val="000000" w:themeColor="text1"/>
          <w:szCs w:val="24"/>
        </w:rPr>
        <w:t xml:space="preserve"> demand reductions.</w:t>
      </w:r>
    </w:p>
    <w:p w14:paraId="02C3ED3E" w14:textId="1F6AE9A9" w:rsidR="000142AC" w:rsidRPr="002E6E04" w:rsidRDefault="000142AC" w:rsidP="00D0029B">
      <w:pPr>
        <w:spacing w:after="0"/>
        <w:ind w:firstLine="720"/>
        <w:rPr>
          <w:rFonts w:cs="Times New Roman"/>
          <w:color w:val="000000" w:themeColor="text1"/>
          <w:szCs w:val="24"/>
        </w:rPr>
      </w:pPr>
      <w:r w:rsidRPr="002E6E04">
        <w:rPr>
          <w:rFonts w:cs="Times New Roman"/>
          <w:color w:val="000000" w:themeColor="text1"/>
          <w:szCs w:val="24"/>
        </w:rPr>
        <w:t>As summer progressed, the economic and infrastructural situation in California deteriorated further. Supply shortages resulted in the first set of rolling blackouts on June</w:t>
      </w:r>
      <w:r w:rsidR="009056B0" w:rsidRPr="002E6E04">
        <w:rPr>
          <w:rFonts w:cs="Times New Roman"/>
          <w:color w:val="000000" w:themeColor="text1"/>
          <w:szCs w:val="24"/>
        </w:rPr>
        <w:t xml:space="preserve"> 14</w:t>
      </w:r>
      <w:r w:rsidRPr="002E6E04">
        <w:rPr>
          <w:rFonts w:cs="Times New Roman"/>
          <w:color w:val="000000" w:themeColor="text1"/>
          <w:szCs w:val="24"/>
        </w:rPr>
        <w:t>, representing a significant escalation of the problem for California’s citizens.</w:t>
      </w:r>
      <w:r w:rsidR="00C52A2A" w:rsidRPr="002E6E04">
        <w:rPr>
          <w:rStyle w:val="EndnoteReference"/>
          <w:rFonts w:cs="Times New Roman"/>
          <w:color w:val="000000" w:themeColor="text1"/>
          <w:szCs w:val="24"/>
        </w:rPr>
        <w:endnoteReference w:id="126"/>
      </w:r>
      <w:r w:rsidRPr="002E6E04">
        <w:rPr>
          <w:rFonts w:cs="Times New Roman"/>
          <w:color w:val="000000" w:themeColor="text1"/>
          <w:szCs w:val="24"/>
        </w:rPr>
        <w:t xml:space="preserve"> Although ratepayers had been largely protected by the consumer price caps, negotiating intersections without traffic lights, elevator trappings and forced industry downtime, brought the public dependence on reliable power into sharp focus. Additionally, San Diego had left the consumer-rate-cap arrangement early and, with </w:t>
      </w:r>
      <w:r w:rsidR="008515BB" w:rsidRPr="002E6E04">
        <w:rPr>
          <w:rFonts w:cs="Times New Roman"/>
          <w:color w:val="000000" w:themeColor="text1"/>
          <w:szCs w:val="24"/>
        </w:rPr>
        <w:t xml:space="preserve">utilities passing </w:t>
      </w:r>
      <w:r w:rsidRPr="002E6E04">
        <w:rPr>
          <w:rFonts w:cs="Times New Roman"/>
          <w:color w:val="000000" w:themeColor="text1"/>
          <w:szCs w:val="24"/>
        </w:rPr>
        <w:t>high energy pric</w:t>
      </w:r>
      <w:r w:rsidR="008515BB" w:rsidRPr="002E6E04">
        <w:rPr>
          <w:rFonts w:cs="Times New Roman"/>
          <w:color w:val="000000" w:themeColor="text1"/>
          <w:szCs w:val="24"/>
        </w:rPr>
        <w:t>es</w:t>
      </w:r>
      <w:r w:rsidRPr="002E6E04">
        <w:rPr>
          <w:rFonts w:cs="Times New Roman"/>
          <w:color w:val="000000" w:themeColor="text1"/>
          <w:szCs w:val="24"/>
        </w:rPr>
        <w:t xml:space="preserve"> on to ratepayers, public anger </w:t>
      </w:r>
      <w:r w:rsidR="00D0029B" w:rsidRPr="002E6E04">
        <w:rPr>
          <w:rFonts w:cs="Times New Roman"/>
          <w:color w:val="000000" w:themeColor="text1"/>
          <w:szCs w:val="24"/>
        </w:rPr>
        <w:t>was swelling</w:t>
      </w:r>
      <w:r w:rsidRPr="002E6E04">
        <w:rPr>
          <w:rFonts w:cs="Times New Roman"/>
          <w:color w:val="000000" w:themeColor="text1"/>
          <w:szCs w:val="24"/>
        </w:rPr>
        <w:t>.</w:t>
      </w:r>
      <w:r w:rsidR="00C52A2A" w:rsidRPr="002E6E04">
        <w:rPr>
          <w:rStyle w:val="EndnoteReference"/>
          <w:rFonts w:cs="Times New Roman"/>
          <w:color w:val="000000" w:themeColor="text1"/>
          <w:szCs w:val="24"/>
        </w:rPr>
        <w:endnoteReference w:id="127"/>
      </w:r>
      <w:r w:rsidRPr="002E6E04">
        <w:rPr>
          <w:rFonts w:cs="Times New Roman"/>
          <w:color w:val="000000" w:themeColor="text1"/>
          <w:szCs w:val="24"/>
        </w:rPr>
        <w:t xml:space="preserve"> Energy companies were increasingly being suspected</w:t>
      </w:r>
      <w:r w:rsidR="00D0029B" w:rsidRPr="002E6E04">
        <w:rPr>
          <w:rFonts w:cs="Times New Roman"/>
          <w:color w:val="000000" w:themeColor="text1"/>
          <w:szCs w:val="24"/>
        </w:rPr>
        <w:t xml:space="preserve"> of foul play</w:t>
      </w:r>
      <w:r w:rsidRPr="002E6E04">
        <w:rPr>
          <w:rFonts w:cs="Times New Roman"/>
          <w:color w:val="000000" w:themeColor="text1"/>
          <w:szCs w:val="24"/>
        </w:rPr>
        <w:t xml:space="preserve"> </w:t>
      </w:r>
      <w:r w:rsidRPr="002E6E04">
        <w:rPr>
          <w:rFonts w:cs="Times New Roman"/>
          <w:color w:val="000000" w:themeColor="text1"/>
          <w:szCs w:val="24"/>
        </w:rPr>
        <w:lastRenderedPageBreak/>
        <w:t>by citizens and politicians alike.</w:t>
      </w:r>
      <w:r w:rsidR="00C52A2A" w:rsidRPr="002E6E04">
        <w:rPr>
          <w:rStyle w:val="EndnoteReference"/>
          <w:rFonts w:cs="Times New Roman"/>
          <w:color w:val="000000" w:themeColor="text1"/>
          <w:szCs w:val="24"/>
        </w:rPr>
        <w:endnoteReference w:id="128"/>
      </w:r>
      <w:r w:rsidRPr="002E6E04">
        <w:rPr>
          <w:rFonts w:cs="Times New Roman"/>
          <w:color w:val="000000" w:themeColor="text1"/>
          <w:szCs w:val="24"/>
        </w:rPr>
        <w:t xml:space="preserve"> </w:t>
      </w:r>
      <w:r w:rsidR="008515BB" w:rsidRPr="002E6E04">
        <w:rPr>
          <w:rFonts w:cs="Times New Roman"/>
          <w:color w:val="000000" w:themeColor="text1"/>
          <w:szCs w:val="24"/>
        </w:rPr>
        <w:t>Moreov</w:t>
      </w:r>
      <w:r w:rsidR="008515BB" w:rsidRPr="00AA06B2">
        <w:rPr>
          <w:rFonts w:cs="Times New Roman"/>
          <w:color w:val="000000" w:themeColor="text1"/>
          <w:szCs w:val="24"/>
        </w:rPr>
        <w:t>er</w:t>
      </w:r>
      <w:r w:rsidR="00712100" w:rsidRPr="00AA06B2">
        <w:rPr>
          <w:rFonts w:cs="Times New Roman"/>
          <w:color w:val="000000" w:themeColor="text1"/>
          <w:szCs w:val="24"/>
        </w:rPr>
        <w:t xml:space="preserve">, </w:t>
      </w:r>
      <w:r w:rsidR="00712100" w:rsidRPr="00A84E06">
        <w:rPr>
          <w:rFonts w:cs="Times New Roman"/>
          <w:color w:val="000000" w:themeColor="text1"/>
          <w:szCs w:val="24"/>
        </w:rPr>
        <w:t>Enron</w:t>
      </w:r>
      <w:r w:rsidR="008515BB" w:rsidRPr="00A84E06">
        <w:rPr>
          <w:rFonts w:cs="Times New Roman"/>
          <w:color w:val="000000" w:themeColor="text1"/>
          <w:szCs w:val="24"/>
        </w:rPr>
        <w:t xml:space="preserve"> was singled</w:t>
      </w:r>
      <w:r w:rsidR="00712100" w:rsidRPr="00A84E06">
        <w:rPr>
          <w:rFonts w:cs="Times New Roman"/>
          <w:color w:val="000000" w:themeColor="text1"/>
          <w:szCs w:val="24"/>
        </w:rPr>
        <w:t xml:space="preserve"> out, part</w:t>
      </w:r>
      <w:r w:rsidR="00330EB3" w:rsidRPr="00A84E06">
        <w:rPr>
          <w:rFonts w:cs="Times New Roman"/>
          <w:color w:val="000000" w:themeColor="text1"/>
          <w:szCs w:val="24"/>
        </w:rPr>
        <w:t>l</w:t>
      </w:r>
      <w:r w:rsidR="00712100" w:rsidRPr="00A84E06">
        <w:rPr>
          <w:rFonts w:cs="Times New Roman"/>
          <w:color w:val="000000" w:themeColor="text1"/>
          <w:szCs w:val="24"/>
        </w:rPr>
        <w:t xml:space="preserve">y for the company’s </w:t>
      </w:r>
      <w:r w:rsidR="00514A20" w:rsidRPr="00A84E06">
        <w:rPr>
          <w:rFonts w:cs="Times New Roman"/>
          <w:color w:val="000000" w:themeColor="text1"/>
          <w:szCs w:val="24"/>
        </w:rPr>
        <w:t xml:space="preserve">vocal advocacy </w:t>
      </w:r>
      <w:r w:rsidR="008515BB" w:rsidRPr="00A84E06">
        <w:rPr>
          <w:rFonts w:cs="Times New Roman"/>
          <w:color w:val="000000" w:themeColor="text1"/>
          <w:szCs w:val="24"/>
        </w:rPr>
        <w:t>for the reforms</w:t>
      </w:r>
      <w:r w:rsidR="00712100" w:rsidRPr="00727F2D">
        <w:rPr>
          <w:rFonts w:cs="Times New Roman"/>
          <w:color w:val="000000" w:themeColor="text1"/>
          <w:szCs w:val="24"/>
        </w:rPr>
        <w:t>,</w:t>
      </w:r>
      <w:r w:rsidR="00514A20" w:rsidRPr="00727F2D">
        <w:rPr>
          <w:rFonts w:cs="Times New Roman"/>
          <w:color w:val="000000" w:themeColor="text1"/>
          <w:szCs w:val="24"/>
        </w:rPr>
        <w:t xml:space="preserve"> </w:t>
      </w:r>
      <w:r w:rsidR="00712100" w:rsidRPr="00A84E06">
        <w:rPr>
          <w:rFonts w:cs="Times New Roman"/>
          <w:color w:val="000000" w:themeColor="text1"/>
          <w:szCs w:val="24"/>
        </w:rPr>
        <w:t xml:space="preserve">but also because it was increasingly seen </w:t>
      </w:r>
      <w:r w:rsidR="00466812" w:rsidRPr="00A84E06">
        <w:rPr>
          <w:rFonts w:cs="Times New Roman"/>
          <w:color w:val="000000" w:themeColor="text1"/>
          <w:szCs w:val="24"/>
        </w:rPr>
        <w:t>by man</w:t>
      </w:r>
      <w:r w:rsidR="00616B43" w:rsidRPr="00A84E06">
        <w:rPr>
          <w:rFonts w:cs="Times New Roman"/>
          <w:color w:val="000000" w:themeColor="text1"/>
          <w:szCs w:val="24"/>
        </w:rPr>
        <w:t>y</w:t>
      </w:r>
      <w:r w:rsidR="00466812" w:rsidRPr="00A84E06">
        <w:rPr>
          <w:rFonts w:cs="Times New Roman"/>
          <w:color w:val="000000" w:themeColor="text1"/>
          <w:szCs w:val="24"/>
        </w:rPr>
        <w:t xml:space="preserve"> </w:t>
      </w:r>
      <w:r w:rsidR="00712100" w:rsidRPr="00A84E06">
        <w:rPr>
          <w:rFonts w:cs="Times New Roman"/>
          <w:color w:val="000000" w:themeColor="text1"/>
          <w:szCs w:val="24"/>
        </w:rPr>
        <w:t>as a self-interested, out-of-state opportunist.</w:t>
      </w:r>
      <w:r w:rsidR="00712100" w:rsidRPr="00A84E06">
        <w:rPr>
          <w:rStyle w:val="EndnoteReference"/>
          <w:rFonts w:cs="Times New Roman"/>
          <w:color w:val="000000" w:themeColor="text1"/>
          <w:szCs w:val="24"/>
        </w:rPr>
        <w:endnoteReference w:id="129"/>
      </w:r>
      <w:r w:rsidR="00712100" w:rsidRPr="00A84E06">
        <w:rPr>
          <w:rFonts w:cs="Times New Roman"/>
          <w:color w:val="000000" w:themeColor="text1"/>
          <w:szCs w:val="24"/>
        </w:rPr>
        <w:t xml:space="preserve"> </w:t>
      </w:r>
    </w:p>
    <w:p w14:paraId="14919CE4" w14:textId="5E0BFCD7" w:rsidR="000142AC" w:rsidRPr="00A84E06" w:rsidRDefault="00A84E06" w:rsidP="001F7A46">
      <w:pPr>
        <w:spacing w:after="0"/>
        <w:rPr>
          <w:rFonts w:cs="Times New Roman"/>
          <w:b/>
          <w:bCs/>
          <w:color w:val="000000" w:themeColor="text1"/>
          <w:szCs w:val="24"/>
        </w:rPr>
      </w:pPr>
      <w:r>
        <w:rPr>
          <w:rFonts w:cs="Times New Roman"/>
          <w:b/>
          <w:bCs/>
          <w:color w:val="000000" w:themeColor="text1"/>
          <w:szCs w:val="24"/>
        </w:rPr>
        <w:tab/>
      </w:r>
      <w:r w:rsidR="004B17AF" w:rsidRPr="002E6E04">
        <w:rPr>
          <w:rFonts w:cs="Times New Roman"/>
          <w:color w:val="000000" w:themeColor="text1"/>
          <w:szCs w:val="24"/>
        </w:rPr>
        <w:t>By late summer, the</w:t>
      </w:r>
      <w:r w:rsidR="000142AC" w:rsidRPr="002E6E04">
        <w:rPr>
          <w:rFonts w:cs="Times New Roman"/>
          <w:color w:val="000000" w:themeColor="text1"/>
          <w:szCs w:val="24"/>
        </w:rPr>
        <w:t xml:space="preserve"> situation in California </w:t>
      </w:r>
      <w:r w:rsidR="004B17AF" w:rsidRPr="002E6E04">
        <w:rPr>
          <w:rFonts w:cs="Times New Roman"/>
          <w:color w:val="000000" w:themeColor="text1"/>
          <w:szCs w:val="24"/>
        </w:rPr>
        <w:t xml:space="preserve">had </w:t>
      </w:r>
      <w:r w:rsidR="000142AC" w:rsidRPr="002E6E04">
        <w:rPr>
          <w:rFonts w:cs="Times New Roman"/>
          <w:color w:val="000000" w:themeColor="text1"/>
          <w:szCs w:val="24"/>
        </w:rPr>
        <w:t>deteriorated</w:t>
      </w:r>
      <w:r w:rsidR="004B17AF" w:rsidRPr="002E6E04">
        <w:rPr>
          <w:rFonts w:cs="Times New Roman"/>
          <w:color w:val="000000" w:themeColor="text1"/>
          <w:szCs w:val="24"/>
        </w:rPr>
        <w:t xml:space="preserve"> further</w:t>
      </w:r>
      <w:r w:rsidR="000142AC" w:rsidRPr="002E6E04">
        <w:rPr>
          <w:rFonts w:cs="Times New Roman"/>
          <w:color w:val="000000" w:themeColor="text1"/>
          <w:szCs w:val="24"/>
        </w:rPr>
        <w:t xml:space="preserve">, </w:t>
      </w:r>
      <w:r w:rsidR="00985EC5" w:rsidRPr="002E6E04">
        <w:rPr>
          <w:rFonts w:cs="Times New Roman"/>
          <w:color w:val="000000" w:themeColor="text1"/>
          <w:szCs w:val="24"/>
        </w:rPr>
        <w:t>and with</w:t>
      </w:r>
      <w:r w:rsidR="000142AC" w:rsidRPr="002E6E04">
        <w:rPr>
          <w:rFonts w:cs="Times New Roman"/>
          <w:color w:val="000000" w:themeColor="text1"/>
          <w:szCs w:val="24"/>
        </w:rPr>
        <w:t xml:space="preserve"> ever-increasing wholesale prices and suspicions of foul play, utilities pressed the FERC to investigate</w:t>
      </w:r>
      <w:r w:rsidR="001809AB" w:rsidRPr="002E6E04">
        <w:rPr>
          <w:rFonts w:cs="Times New Roman"/>
          <w:color w:val="000000" w:themeColor="text1"/>
          <w:szCs w:val="24"/>
        </w:rPr>
        <w:t xml:space="preserve"> whether</w:t>
      </w:r>
      <w:r w:rsidR="000142AC" w:rsidRPr="002E6E04">
        <w:rPr>
          <w:rFonts w:cs="Times New Roman"/>
          <w:color w:val="000000" w:themeColor="text1"/>
          <w:szCs w:val="24"/>
        </w:rPr>
        <w:t xml:space="preserve"> manipulation </w:t>
      </w:r>
      <w:r w:rsidR="001809AB" w:rsidRPr="002E6E04">
        <w:rPr>
          <w:rFonts w:cs="Times New Roman"/>
          <w:color w:val="000000" w:themeColor="text1"/>
          <w:szCs w:val="24"/>
        </w:rPr>
        <w:t xml:space="preserve">had </w:t>
      </w:r>
      <w:r w:rsidR="0059214A" w:rsidRPr="002E6E04">
        <w:rPr>
          <w:rFonts w:cs="Times New Roman"/>
          <w:color w:val="000000" w:themeColor="text1"/>
          <w:szCs w:val="24"/>
        </w:rPr>
        <w:t>occurred</w:t>
      </w:r>
      <w:r w:rsidR="001809AB" w:rsidRPr="002E6E04">
        <w:rPr>
          <w:rFonts w:cs="Times New Roman"/>
          <w:color w:val="000000" w:themeColor="text1"/>
          <w:szCs w:val="24"/>
        </w:rPr>
        <w:t xml:space="preserve"> </w:t>
      </w:r>
      <w:r w:rsidR="000142AC" w:rsidRPr="002E6E04">
        <w:rPr>
          <w:rFonts w:cs="Times New Roman"/>
          <w:color w:val="000000" w:themeColor="text1"/>
          <w:szCs w:val="24"/>
        </w:rPr>
        <w:t>within the</w:t>
      </w:r>
      <w:r w:rsidR="001809AB" w:rsidRPr="002E6E04">
        <w:rPr>
          <w:rFonts w:cs="Times New Roman"/>
          <w:color w:val="000000" w:themeColor="text1"/>
          <w:szCs w:val="24"/>
        </w:rPr>
        <w:t xml:space="preserve"> new</w:t>
      </w:r>
      <w:r w:rsidR="000142AC" w:rsidRPr="002E6E04">
        <w:rPr>
          <w:rFonts w:cs="Times New Roman"/>
          <w:color w:val="000000" w:themeColor="text1"/>
          <w:szCs w:val="24"/>
        </w:rPr>
        <w:t xml:space="preserve"> market. </w:t>
      </w:r>
      <w:r w:rsidR="00365369" w:rsidRPr="002E6E04">
        <w:rPr>
          <w:rFonts w:cs="Times New Roman"/>
          <w:color w:val="000000" w:themeColor="text1"/>
          <w:szCs w:val="24"/>
        </w:rPr>
        <w:t xml:space="preserve">Until now, Enron had been happy to support the </w:t>
      </w:r>
      <w:r w:rsidR="00CA36AA" w:rsidRPr="002E6E04">
        <w:rPr>
          <w:rFonts w:cs="Times New Roman"/>
          <w:color w:val="000000" w:themeColor="text1"/>
          <w:szCs w:val="24"/>
        </w:rPr>
        <w:t>West Power traders</w:t>
      </w:r>
      <w:r w:rsidR="00365369" w:rsidRPr="002E6E04">
        <w:rPr>
          <w:rFonts w:cs="Times New Roman"/>
          <w:color w:val="000000" w:themeColor="text1"/>
          <w:szCs w:val="24"/>
        </w:rPr>
        <w:t xml:space="preserve">, content that </w:t>
      </w:r>
      <w:r w:rsidR="00CA36AA" w:rsidRPr="002E6E04">
        <w:rPr>
          <w:rFonts w:cs="Times New Roman"/>
          <w:color w:val="000000" w:themeColor="text1"/>
          <w:szCs w:val="24"/>
        </w:rPr>
        <w:t>their</w:t>
      </w:r>
      <w:r w:rsidR="00365369" w:rsidRPr="002E6E04">
        <w:rPr>
          <w:rFonts w:cs="Times New Roman"/>
          <w:color w:val="000000" w:themeColor="text1"/>
          <w:szCs w:val="24"/>
        </w:rPr>
        <w:t xml:space="preserve"> endeavors were bring</w:t>
      </w:r>
      <w:r w:rsidR="006934EA" w:rsidRPr="002E6E04">
        <w:rPr>
          <w:rFonts w:cs="Times New Roman"/>
          <w:color w:val="000000" w:themeColor="text1"/>
          <w:szCs w:val="24"/>
        </w:rPr>
        <w:t>ing</w:t>
      </w:r>
      <w:r w:rsidR="00365369" w:rsidRPr="002E6E04">
        <w:rPr>
          <w:rFonts w:cs="Times New Roman"/>
          <w:color w:val="000000" w:themeColor="text1"/>
          <w:szCs w:val="24"/>
        </w:rPr>
        <w:t xml:space="preserve"> in record earnings. However, the FERC enquiry </w:t>
      </w:r>
      <w:r w:rsidR="007971C2" w:rsidRPr="002E6E04">
        <w:rPr>
          <w:rFonts w:cs="Times New Roman"/>
          <w:color w:val="000000" w:themeColor="text1"/>
          <w:szCs w:val="24"/>
        </w:rPr>
        <w:t>p</w:t>
      </w:r>
      <w:r w:rsidR="005049D7" w:rsidRPr="002E6E04">
        <w:rPr>
          <w:rFonts w:cs="Times New Roman"/>
          <w:color w:val="000000" w:themeColor="text1"/>
          <w:szCs w:val="24"/>
        </w:rPr>
        <w:t>rompt</w:t>
      </w:r>
      <w:r w:rsidR="006934EA" w:rsidRPr="002E6E04">
        <w:rPr>
          <w:rFonts w:cs="Times New Roman"/>
          <w:color w:val="000000" w:themeColor="text1"/>
          <w:szCs w:val="24"/>
        </w:rPr>
        <w:t>ed</w:t>
      </w:r>
      <w:r w:rsidR="000142AC" w:rsidRPr="002E6E04">
        <w:rPr>
          <w:rFonts w:cs="Times New Roman"/>
          <w:color w:val="000000" w:themeColor="text1"/>
          <w:szCs w:val="24"/>
        </w:rPr>
        <w:t xml:space="preserve"> Enron’s risk management team</w:t>
      </w:r>
      <w:r w:rsidR="005049D7" w:rsidRPr="002E6E04">
        <w:rPr>
          <w:rFonts w:cs="Times New Roman"/>
          <w:color w:val="000000" w:themeColor="text1"/>
          <w:szCs w:val="24"/>
        </w:rPr>
        <w:t xml:space="preserve"> to</w:t>
      </w:r>
      <w:r w:rsidR="00F61E79" w:rsidRPr="002E6E04">
        <w:rPr>
          <w:rFonts w:cs="Times New Roman"/>
          <w:color w:val="000000" w:themeColor="text1"/>
          <w:szCs w:val="24"/>
        </w:rPr>
        <w:t xml:space="preserve"> launch their own</w:t>
      </w:r>
      <w:r w:rsidR="005049D7" w:rsidRPr="002E6E04">
        <w:rPr>
          <w:rFonts w:cs="Times New Roman"/>
          <w:color w:val="000000" w:themeColor="text1"/>
          <w:szCs w:val="24"/>
        </w:rPr>
        <w:t xml:space="preserve"> investigat</w:t>
      </w:r>
      <w:r w:rsidR="00F61E79" w:rsidRPr="002E6E04">
        <w:rPr>
          <w:rFonts w:cs="Times New Roman"/>
          <w:color w:val="000000" w:themeColor="text1"/>
          <w:szCs w:val="24"/>
        </w:rPr>
        <w:t>ion</w:t>
      </w:r>
      <w:r w:rsidR="000142AC" w:rsidRPr="002E6E04">
        <w:rPr>
          <w:rFonts w:cs="Times New Roman"/>
          <w:color w:val="000000" w:themeColor="text1"/>
          <w:szCs w:val="24"/>
        </w:rPr>
        <w:t xml:space="preserve"> </w:t>
      </w:r>
      <w:r w:rsidR="00F61E79" w:rsidRPr="002E6E04">
        <w:rPr>
          <w:rFonts w:cs="Times New Roman"/>
          <w:color w:val="000000" w:themeColor="text1"/>
          <w:szCs w:val="24"/>
        </w:rPr>
        <w:t>into</w:t>
      </w:r>
      <w:r w:rsidR="000142AC" w:rsidRPr="002E6E04">
        <w:rPr>
          <w:rFonts w:cs="Times New Roman"/>
          <w:color w:val="000000" w:themeColor="text1"/>
          <w:szCs w:val="24"/>
        </w:rPr>
        <w:t xml:space="preserve"> the division’s </w:t>
      </w:r>
      <w:r w:rsidR="004B17AF" w:rsidRPr="002E6E04">
        <w:rPr>
          <w:rFonts w:cs="Times New Roman"/>
          <w:color w:val="000000" w:themeColor="text1"/>
          <w:szCs w:val="24"/>
        </w:rPr>
        <w:t>practices</w:t>
      </w:r>
      <w:r w:rsidR="00365369" w:rsidRPr="002E6E04">
        <w:rPr>
          <w:rFonts w:cs="Times New Roman"/>
          <w:color w:val="000000" w:themeColor="text1"/>
          <w:szCs w:val="24"/>
        </w:rPr>
        <w:t xml:space="preserve">, the details of which Houston </w:t>
      </w:r>
      <w:r w:rsidR="00A254DA" w:rsidRPr="002E6E04">
        <w:rPr>
          <w:rFonts w:cs="Times New Roman"/>
          <w:color w:val="000000" w:themeColor="text1"/>
          <w:szCs w:val="24"/>
        </w:rPr>
        <w:t>was</w:t>
      </w:r>
      <w:r w:rsidR="00365369" w:rsidRPr="002E6E04">
        <w:rPr>
          <w:rFonts w:cs="Times New Roman"/>
          <w:color w:val="000000" w:themeColor="text1"/>
          <w:szCs w:val="24"/>
        </w:rPr>
        <w:t xml:space="preserve"> largely</w:t>
      </w:r>
      <w:r w:rsidR="008B5327" w:rsidRPr="002E6E04">
        <w:rPr>
          <w:rFonts w:cs="Times New Roman"/>
          <w:color w:val="000000" w:themeColor="text1"/>
          <w:szCs w:val="24"/>
        </w:rPr>
        <w:t xml:space="preserve"> still</w:t>
      </w:r>
      <w:r w:rsidR="004B17AF" w:rsidRPr="002E6E04">
        <w:rPr>
          <w:rFonts w:cs="Times New Roman"/>
          <w:color w:val="000000" w:themeColor="text1"/>
          <w:szCs w:val="24"/>
        </w:rPr>
        <w:t xml:space="preserve"> </w:t>
      </w:r>
      <w:r w:rsidR="00A52E03" w:rsidRPr="002E6E04">
        <w:rPr>
          <w:rFonts w:cs="Times New Roman"/>
          <w:color w:val="000000" w:themeColor="text1"/>
          <w:szCs w:val="24"/>
        </w:rPr>
        <w:t>unaware</w:t>
      </w:r>
      <w:r w:rsidR="00A52E03" w:rsidRPr="00017056">
        <w:rPr>
          <w:rFonts w:cs="Times New Roman"/>
          <w:color w:val="000000" w:themeColor="text1"/>
          <w:szCs w:val="24"/>
        </w:rPr>
        <w:t>.</w:t>
      </w:r>
      <w:r w:rsidR="000142AC" w:rsidRPr="00017056">
        <w:rPr>
          <w:rFonts w:cs="Times New Roman"/>
          <w:color w:val="000000" w:themeColor="text1"/>
          <w:szCs w:val="24"/>
        </w:rPr>
        <w:t xml:space="preserve"> </w:t>
      </w:r>
      <w:r w:rsidR="00F61E79" w:rsidRPr="00FB7CC6">
        <w:rPr>
          <w:rFonts w:cs="Times New Roman"/>
          <w:color w:val="000000" w:themeColor="text1"/>
          <w:szCs w:val="24"/>
        </w:rPr>
        <w:t xml:space="preserve">Though their investigation </w:t>
      </w:r>
      <w:r w:rsidR="000C7A07" w:rsidRPr="00FB7CC6">
        <w:rPr>
          <w:rFonts w:cs="Times New Roman"/>
          <w:color w:val="000000" w:themeColor="text1"/>
          <w:szCs w:val="24"/>
        </w:rPr>
        <w:t>revealed the trader’s strategies, codenames and all</w:t>
      </w:r>
      <w:r w:rsidR="00F61E79" w:rsidRPr="00FB7CC6">
        <w:rPr>
          <w:rFonts w:cs="Times New Roman"/>
          <w:color w:val="000000" w:themeColor="text1"/>
          <w:szCs w:val="24"/>
        </w:rPr>
        <w:t xml:space="preserve">, </w:t>
      </w:r>
      <w:r w:rsidR="00CD2DFB" w:rsidRPr="00FB7CC6">
        <w:rPr>
          <w:rFonts w:cs="Times New Roman"/>
          <w:color w:val="000000" w:themeColor="text1"/>
          <w:szCs w:val="24"/>
        </w:rPr>
        <w:t>Enron’s lawyers ultimately permitted its traders</w:t>
      </w:r>
      <w:r w:rsidR="000142AC" w:rsidRPr="00FB7CC6">
        <w:rPr>
          <w:rFonts w:cs="Times New Roman"/>
          <w:color w:val="000000" w:themeColor="text1"/>
          <w:szCs w:val="24"/>
        </w:rPr>
        <w:t xml:space="preserve"> to </w:t>
      </w:r>
      <w:r w:rsidR="0059214A" w:rsidRPr="00FB7CC6">
        <w:rPr>
          <w:rFonts w:cs="Times New Roman"/>
          <w:color w:val="000000" w:themeColor="text1"/>
          <w:szCs w:val="24"/>
        </w:rPr>
        <w:t>continue</w:t>
      </w:r>
      <w:r w:rsidR="00CD2DFB" w:rsidRPr="00FB7CC6">
        <w:rPr>
          <w:rFonts w:cs="Times New Roman"/>
          <w:color w:val="000000" w:themeColor="text1"/>
          <w:szCs w:val="24"/>
        </w:rPr>
        <w:t>, albeit</w:t>
      </w:r>
      <w:r w:rsidR="00090BB7" w:rsidRPr="00FB7CC6">
        <w:rPr>
          <w:rFonts w:cs="Times New Roman"/>
          <w:color w:val="000000" w:themeColor="text1"/>
          <w:szCs w:val="24"/>
        </w:rPr>
        <w:t xml:space="preserve"> </w:t>
      </w:r>
      <w:r w:rsidR="001B0A70" w:rsidRPr="00FB7CC6">
        <w:rPr>
          <w:rFonts w:cs="Times New Roman"/>
          <w:color w:val="000000" w:themeColor="text1"/>
          <w:szCs w:val="24"/>
        </w:rPr>
        <w:t>with</w:t>
      </w:r>
      <w:r w:rsidR="00983A5D" w:rsidRPr="00FB7CC6">
        <w:rPr>
          <w:rFonts w:cs="Times New Roman"/>
          <w:color w:val="000000" w:themeColor="text1"/>
          <w:szCs w:val="24"/>
        </w:rPr>
        <w:t xml:space="preserve"> </w:t>
      </w:r>
      <w:r w:rsidR="00090BB7" w:rsidRPr="00FB7CC6">
        <w:rPr>
          <w:rFonts w:cs="Times New Roman"/>
          <w:color w:val="000000" w:themeColor="text1"/>
          <w:szCs w:val="24"/>
        </w:rPr>
        <w:t xml:space="preserve">notice that their </w:t>
      </w:r>
      <w:r w:rsidR="00983A5D" w:rsidRPr="00FB7CC6">
        <w:rPr>
          <w:rFonts w:cs="Times New Roman"/>
          <w:color w:val="000000" w:themeColor="text1"/>
          <w:szCs w:val="24"/>
        </w:rPr>
        <w:t>strategies</w:t>
      </w:r>
      <w:r w:rsidR="00090BB7" w:rsidRPr="00FB7CC6">
        <w:rPr>
          <w:rFonts w:cs="Times New Roman"/>
          <w:color w:val="000000" w:themeColor="text1"/>
          <w:szCs w:val="24"/>
        </w:rPr>
        <w:t xml:space="preserve"> remained a</w:t>
      </w:r>
      <w:r w:rsidR="00CD2DFB" w:rsidRPr="00FB7CC6">
        <w:rPr>
          <w:rFonts w:cs="Times New Roman"/>
          <w:color w:val="000000" w:themeColor="text1"/>
          <w:szCs w:val="24"/>
        </w:rPr>
        <w:t xml:space="preserve"> </w:t>
      </w:r>
      <w:r w:rsidR="001809AB" w:rsidRPr="00FB7CC6">
        <w:rPr>
          <w:rFonts w:cs="Times New Roman"/>
          <w:color w:val="000000" w:themeColor="text1"/>
          <w:szCs w:val="24"/>
        </w:rPr>
        <w:t>concern</w:t>
      </w:r>
      <w:r w:rsidR="000142AC" w:rsidRPr="002E6E04">
        <w:rPr>
          <w:rFonts w:cs="Times New Roman"/>
          <w:color w:val="000000" w:themeColor="text1"/>
          <w:szCs w:val="24"/>
        </w:rPr>
        <w:t>.</w:t>
      </w:r>
      <w:r w:rsidR="000C7A07" w:rsidRPr="002E6E04">
        <w:rPr>
          <w:rStyle w:val="EndnoteReference"/>
          <w:rFonts w:cs="Times New Roman"/>
          <w:color w:val="000000" w:themeColor="text1"/>
          <w:szCs w:val="24"/>
        </w:rPr>
        <w:endnoteReference w:id="130"/>
      </w:r>
      <w:r w:rsidR="000142AC" w:rsidRPr="002E6E04">
        <w:rPr>
          <w:rFonts w:cs="Times New Roman"/>
          <w:color w:val="000000" w:themeColor="text1"/>
          <w:szCs w:val="24"/>
        </w:rPr>
        <w:t xml:space="preserve"> In November, the FERC </w:t>
      </w:r>
      <w:r w:rsidR="00090BB7" w:rsidRPr="002E6E04">
        <w:rPr>
          <w:rFonts w:cs="Times New Roman"/>
          <w:color w:val="000000" w:themeColor="text1"/>
          <w:szCs w:val="24"/>
        </w:rPr>
        <w:t xml:space="preserve">also </w:t>
      </w:r>
      <w:r w:rsidR="000142AC" w:rsidRPr="002E6E04">
        <w:rPr>
          <w:rFonts w:cs="Times New Roman"/>
          <w:color w:val="000000" w:themeColor="text1"/>
          <w:szCs w:val="24"/>
        </w:rPr>
        <w:t>reported back on their investigation, finding that a combination of supply and demand imbalance and flawed market design had caused the “unjust and unreasonable rates for short-term energy”.</w:t>
      </w:r>
      <w:r w:rsidR="00C52A2A" w:rsidRPr="002E6E04">
        <w:rPr>
          <w:rStyle w:val="EndnoteReference"/>
          <w:rFonts w:cs="Times New Roman"/>
          <w:color w:val="000000" w:themeColor="text1"/>
          <w:szCs w:val="24"/>
        </w:rPr>
        <w:endnoteReference w:id="131"/>
      </w:r>
      <w:r w:rsidR="000142AC" w:rsidRPr="002E6E04">
        <w:rPr>
          <w:rFonts w:cs="Times New Roman"/>
          <w:color w:val="000000" w:themeColor="text1"/>
          <w:szCs w:val="24"/>
        </w:rPr>
        <w:t xml:space="preserve"> </w:t>
      </w:r>
      <w:r w:rsidR="0083373C" w:rsidRPr="002E6E04">
        <w:rPr>
          <w:rFonts w:cs="Times New Roman"/>
          <w:color w:val="000000" w:themeColor="text1"/>
          <w:szCs w:val="24"/>
        </w:rPr>
        <w:t>Claiming insufficient time and a lack of data, the report failed to substantiate</w:t>
      </w:r>
      <w:r w:rsidR="00C37F44" w:rsidRPr="002E6E04">
        <w:rPr>
          <w:rFonts w:cs="Times New Roman"/>
          <w:color w:val="000000" w:themeColor="text1"/>
          <w:szCs w:val="24"/>
        </w:rPr>
        <w:t xml:space="preserve"> </w:t>
      </w:r>
      <w:r w:rsidR="0083373C" w:rsidRPr="002E6E04">
        <w:rPr>
          <w:rFonts w:cs="Times New Roman"/>
          <w:color w:val="000000" w:themeColor="text1"/>
          <w:szCs w:val="24"/>
        </w:rPr>
        <w:t xml:space="preserve">any </w:t>
      </w:r>
      <w:r w:rsidR="000142AC" w:rsidRPr="002E6E04">
        <w:rPr>
          <w:rFonts w:cs="Times New Roman"/>
          <w:color w:val="000000" w:themeColor="text1"/>
          <w:szCs w:val="24"/>
        </w:rPr>
        <w:t xml:space="preserve">specific </w:t>
      </w:r>
      <w:r w:rsidR="0083373C" w:rsidRPr="002E6E04">
        <w:rPr>
          <w:rFonts w:cs="Times New Roman"/>
          <w:color w:val="000000" w:themeColor="text1"/>
          <w:szCs w:val="24"/>
        </w:rPr>
        <w:t>incidents of</w:t>
      </w:r>
      <w:r w:rsidR="000142AC" w:rsidRPr="002E6E04">
        <w:rPr>
          <w:rFonts w:cs="Times New Roman"/>
          <w:color w:val="000000" w:themeColor="text1"/>
          <w:szCs w:val="24"/>
        </w:rPr>
        <w:t xml:space="preserve"> manipulation,</w:t>
      </w:r>
      <w:r w:rsidR="0083373C" w:rsidRPr="002E6E04">
        <w:rPr>
          <w:rFonts w:cs="Times New Roman"/>
          <w:color w:val="000000" w:themeColor="text1"/>
          <w:szCs w:val="24"/>
        </w:rPr>
        <w:t xml:space="preserve"> but</w:t>
      </w:r>
      <w:r w:rsidR="000142AC" w:rsidRPr="002E6E04">
        <w:rPr>
          <w:rFonts w:cs="Times New Roman"/>
          <w:color w:val="000000" w:themeColor="text1"/>
          <w:szCs w:val="24"/>
        </w:rPr>
        <w:t xml:space="preserve"> they acknowledged the opportunity was there</w:t>
      </w:r>
      <w:r w:rsidR="0083373C" w:rsidRPr="002E6E04">
        <w:rPr>
          <w:rFonts w:cs="Times New Roman"/>
          <w:color w:val="000000" w:themeColor="text1"/>
          <w:szCs w:val="24"/>
        </w:rPr>
        <w:t xml:space="preserve"> and that market data suggested such abuses may have already occurred</w:t>
      </w:r>
      <w:r w:rsidR="000142AC" w:rsidRPr="002E6E04">
        <w:rPr>
          <w:rFonts w:cs="Times New Roman"/>
          <w:color w:val="000000" w:themeColor="text1"/>
          <w:szCs w:val="24"/>
        </w:rPr>
        <w:t>.</w:t>
      </w:r>
      <w:r w:rsidR="0083373C" w:rsidRPr="002E6E04">
        <w:rPr>
          <w:rStyle w:val="EndnoteReference"/>
          <w:rFonts w:cs="Times New Roman"/>
          <w:color w:val="000000" w:themeColor="text1"/>
          <w:szCs w:val="24"/>
        </w:rPr>
        <w:endnoteReference w:id="132"/>
      </w:r>
      <w:r w:rsidR="000142AC" w:rsidRPr="002E6E04">
        <w:rPr>
          <w:rFonts w:cs="Times New Roman"/>
          <w:color w:val="000000" w:themeColor="text1"/>
          <w:szCs w:val="24"/>
        </w:rPr>
        <w:t xml:space="preserve"> Within California, the FERC’s decision was seen by many as a failure to act on blatant exploitation</w:t>
      </w:r>
      <w:r w:rsidR="00090BB7" w:rsidRPr="002E6E04">
        <w:rPr>
          <w:rFonts w:cs="Times New Roman"/>
          <w:color w:val="000000" w:themeColor="text1"/>
          <w:szCs w:val="24"/>
        </w:rPr>
        <w:t xml:space="preserve">, and widely </w:t>
      </w:r>
      <w:r w:rsidR="0059214A" w:rsidRPr="002E6E04">
        <w:rPr>
          <w:rFonts w:cs="Times New Roman"/>
          <w:color w:val="000000" w:themeColor="text1"/>
          <w:szCs w:val="24"/>
        </w:rPr>
        <w:t>criticized</w:t>
      </w:r>
      <w:r w:rsidR="000142AC" w:rsidRPr="002E6E04">
        <w:rPr>
          <w:rFonts w:cs="Times New Roman"/>
          <w:color w:val="000000" w:themeColor="text1"/>
          <w:szCs w:val="24"/>
        </w:rPr>
        <w:t>.</w:t>
      </w:r>
      <w:r w:rsidR="00C52A2A" w:rsidRPr="002E6E04">
        <w:rPr>
          <w:rStyle w:val="EndnoteReference"/>
          <w:rFonts w:cs="Times New Roman"/>
          <w:color w:val="000000" w:themeColor="text1"/>
          <w:szCs w:val="24"/>
        </w:rPr>
        <w:endnoteReference w:id="133"/>
      </w:r>
      <w:r w:rsidR="000142AC" w:rsidRPr="002E6E04">
        <w:rPr>
          <w:rFonts w:cs="Times New Roman"/>
          <w:color w:val="000000" w:themeColor="text1"/>
          <w:szCs w:val="24"/>
        </w:rPr>
        <w:t xml:space="preserve"> </w:t>
      </w:r>
    </w:p>
    <w:p w14:paraId="3AF7AC4D" w14:textId="29658C2B" w:rsidR="00A570A6" w:rsidRDefault="00090BB7" w:rsidP="00E51F00">
      <w:pPr>
        <w:spacing w:after="0"/>
        <w:ind w:firstLine="720"/>
        <w:rPr>
          <w:color w:val="000000" w:themeColor="text1"/>
        </w:rPr>
      </w:pPr>
      <w:bookmarkStart w:id="6" w:name="_Hlk503281350"/>
      <w:r w:rsidRPr="008B7F2E">
        <w:rPr>
          <w:rFonts w:cs="Times New Roman"/>
          <w:color w:val="000000" w:themeColor="text1"/>
          <w:szCs w:val="24"/>
        </w:rPr>
        <w:t xml:space="preserve">Despite the report’s findings, the crisis continued to create </w:t>
      </w:r>
      <w:r w:rsidR="000142AC" w:rsidRPr="008B7F2E">
        <w:rPr>
          <w:rFonts w:cs="Times New Roman"/>
          <w:color w:val="000000" w:themeColor="text1"/>
          <w:szCs w:val="24"/>
        </w:rPr>
        <w:t xml:space="preserve">complications </w:t>
      </w:r>
      <w:r w:rsidR="001809AB" w:rsidRPr="008B7F2E">
        <w:rPr>
          <w:rFonts w:cs="Times New Roman"/>
          <w:color w:val="000000" w:themeColor="text1"/>
          <w:szCs w:val="24"/>
        </w:rPr>
        <w:t>for</w:t>
      </w:r>
      <w:r w:rsidR="00CA36AA" w:rsidRPr="008B7F2E">
        <w:rPr>
          <w:rFonts w:cs="Times New Roman"/>
          <w:color w:val="000000" w:themeColor="text1"/>
          <w:szCs w:val="24"/>
        </w:rPr>
        <w:t xml:space="preserve"> Enron’s</w:t>
      </w:r>
      <w:r w:rsidR="007C158A" w:rsidRPr="008B7F2E">
        <w:rPr>
          <w:rFonts w:cs="Times New Roman"/>
          <w:color w:val="000000" w:themeColor="text1"/>
          <w:szCs w:val="24"/>
        </w:rPr>
        <w:t xml:space="preserve"> traders</w:t>
      </w:r>
      <w:r w:rsidR="000142AC" w:rsidRPr="008B7F2E">
        <w:rPr>
          <w:rFonts w:cs="Times New Roman"/>
          <w:color w:val="000000" w:themeColor="text1"/>
          <w:szCs w:val="24"/>
        </w:rPr>
        <w:t xml:space="preserve">, </w:t>
      </w:r>
      <w:r w:rsidR="00B715FC" w:rsidRPr="008B7F2E">
        <w:rPr>
          <w:rFonts w:cs="Times New Roman"/>
          <w:color w:val="000000" w:themeColor="text1"/>
          <w:szCs w:val="24"/>
        </w:rPr>
        <w:t>with</w:t>
      </w:r>
      <w:r w:rsidR="001809AB" w:rsidRPr="008B7F2E">
        <w:rPr>
          <w:rFonts w:cs="Times New Roman"/>
          <w:color w:val="000000" w:themeColor="text1"/>
          <w:szCs w:val="24"/>
        </w:rPr>
        <w:t xml:space="preserve"> so</w:t>
      </w:r>
      <w:r w:rsidR="007C158A" w:rsidRPr="008B7F2E">
        <w:rPr>
          <w:rFonts w:cs="Times New Roman"/>
          <w:color w:val="000000" w:themeColor="text1"/>
          <w:szCs w:val="24"/>
        </w:rPr>
        <w:t>me partners</w:t>
      </w:r>
      <w:r w:rsidR="00527C7A" w:rsidRPr="008B7F2E">
        <w:rPr>
          <w:rFonts w:cs="Times New Roman"/>
          <w:color w:val="000000" w:themeColor="text1"/>
          <w:szCs w:val="24"/>
        </w:rPr>
        <w:t xml:space="preserve"> becoming</w:t>
      </w:r>
      <w:r w:rsidR="001B0A70" w:rsidRPr="008B7F2E">
        <w:rPr>
          <w:rFonts w:cs="Times New Roman"/>
          <w:color w:val="000000" w:themeColor="text1"/>
          <w:szCs w:val="24"/>
        </w:rPr>
        <w:t xml:space="preserve"> </w:t>
      </w:r>
      <w:r w:rsidR="000142AC" w:rsidRPr="008B7F2E">
        <w:rPr>
          <w:rFonts w:cs="Times New Roman"/>
          <w:color w:val="000000" w:themeColor="text1"/>
          <w:szCs w:val="24"/>
        </w:rPr>
        <w:t xml:space="preserve">increasingly reluctant to engage in </w:t>
      </w:r>
      <w:r w:rsidR="00B715FC" w:rsidRPr="008B7F2E">
        <w:rPr>
          <w:rFonts w:cs="Times New Roman"/>
          <w:color w:val="000000" w:themeColor="text1"/>
          <w:szCs w:val="24"/>
        </w:rPr>
        <w:t xml:space="preserve">the </w:t>
      </w:r>
      <w:r w:rsidRPr="008B7F2E">
        <w:rPr>
          <w:rFonts w:cs="Times New Roman"/>
          <w:color w:val="000000" w:themeColor="text1"/>
          <w:szCs w:val="24"/>
        </w:rPr>
        <w:t>inflammatory gaming activities</w:t>
      </w:r>
      <w:r w:rsidR="000142AC" w:rsidRPr="008B7F2E">
        <w:rPr>
          <w:rFonts w:cs="Times New Roman"/>
          <w:color w:val="000000" w:themeColor="text1"/>
          <w:szCs w:val="24"/>
        </w:rPr>
        <w:t>. This, in turn,</w:t>
      </w:r>
      <w:r w:rsidR="004C19A6" w:rsidRPr="008B7F2E">
        <w:rPr>
          <w:rFonts w:cs="Times New Roman"/>
          <w:color w:val="000000" w:themeColor="text1"/>
          <w:szCs w:val="24"/>
        </w:rPr>
        <w:t xml:space="preserve"> frustrated</w:t>
      </w:r>
      <w:r w:rsidR="000142AC" w:rsidRPr="008B7F2E">
        <w:rPr>
          <w:rFonts w:cs="Times New Roman"/>
          <w:color w:val="000000" w:themeColor="text1"/>
          <w:szCs w:val="24"/>
        </w:rPr>
        <w:t xml:space="preserve"> their ability to </w:t>
      </w:r>
      <w:r w:rsidR="0059214A" w:rsidRPr="008B7F2E">
        <w:rPr>
          <w:rFonts w:cs="Times New Roman"/>
          <w:color w:val="000000" w:themeColor="text1"/>
          <w:szCs w:val="24"/>
        </w:rPr>
        <w:t>maximize</w:t>
      </w:r>
      <w:r w:rsidR="000142AC" w:rsidRPr="008B7F2E">
        <w:rPr>
          <w:rFonts w:cs="Times New Roman"/>
          <w:color w:val="000000" w:themeColor="text1"/>
          <w:szCs w:val="24"/>
        </w:rPr>
        <w:t xml:space="preserve"> opportunities effectively, as the use of </w:t>
      </w:r>
      <w:r w:rsidR="00B246F8" w:rsidRPr="008B7F2E">
        <w:rPr>
          <w:rFonts w:cs="Times New Roman"/>
          <w:color w:val="000000" w:themeColor="text1"/>
          <w:szCs w:val="24"/>
        </w:rPr>
        <w:t>alliances</w:t>
      </w:r>
      <w:r w:rsidR="000142AC" w:rsidRPr="008B7F2E">
        <w:rPr>
          <w:rFonts w:cs="Times New Roman"/>
          <w:color w:val="000000" w:themeColor="text1"/>
          <w:szCs w:val="24"/>
        </w:rPr>
        <w:t xml:space="preserve"> was key to their trading strategies.</w:t>
      </w:r>
      <w:bookmarkEnd w:id="6"/>
      <w:r w:rsidR="000142AC" w:rsidRPr="008B7F2E">
        <w:rPr>
          <w:rFonts w:cs="Times New Roman"/>
          <w:color w:val="000000" w:themeColor="text1"/>
          <w:szCs w:val="24"/>
        </w:rPr>
        <w:t xml:space="preserve"> </w:t>
      </w:r>
      <w:r w:rsidR="00B95D52" w:rsidRPr="00FB7CC6">
        <w:rPr>
          <w:rFonts w:cs="Times New Roman"/>
          <w:color w:val="000000" w:themeColor="text1"/>
          <w:szCs w:val="24"/>
        </w:rPr>
        <w:t>A</w:t>
      </w:r>
      <w:r w:rsidR="000142AC" w:rsidRPr="00FB7CC6">
        <w:rPr>
          <w:rFonts w:cs="Times New Roman"/>
          <w:color w:val="000000" w:themeColor="text1"/>
          <w:szCs w:val="24"/>
        </w:rPr>
        <w:t xml:space="preserve">s </w:t>
      </w:r>
      <w:r w:rsidR="00B95D52" w:rsidRPr="00FB7CC6">
        <w:rPr>
          <w:rFonts w:cs="Times New Roman"/>
          <w:color w:val="000000" w:themeColor="text1"/>
          <w:szCs w:val="24"/>
        </w:rPr>
        <w:t xml:space="preserve">the </w:t>
      </w:r>
      <w:r w:rsidR="000142AC" w:rsidRPr="00FB7CC6">
        <w:rPr>
          <w:rFonts w:cs="Times New Roman"/>
          <w:color w:val="000000" w:themeColor="text1"/>
          <w:szCs w:val="24"/>
        </w:rPr>
        <w:t>political risk increased, some</w:t>
      </w:r>
      <w:r w:rsidR="007C158A" w:rsidRPr="00FB7CC6">
        <w:rPr>
          <w:rFonts w:cs="Times New Roman"/>
          <w:color w:val="000000" w:themeColor="text1"/>
          <w:szCs w:val="24"/>
        </w:rPr>
        <w:t xml:space="preserve"> </w:t>
      </w:r>
      <w:r w:rsidR="000142AC" w:rsidRPr="00FB7CC6">
        <w:rPr>
          <w:rFonts w:cs="Times New Roman"/>
          <w:color w:val="000000" w:themeColor="text1"/>
          <w:szCs w:val="24"/>
        </w:rPr>
        <w:t xml:space="preserve">could not reconcile </w:t>
      </w:r>
      <w:r w:rsidR="005911F4" w:rsidRPr="00FB7CC6">
        <w:rPr>
          <w:rFonts w:cs="Times New Roman"/>
          <w:color w:val="000000" w:themeColor="text1"/>
          <w:szCs w:val="24"/>
        </w:rPr>
        <w:t>the risk of</w:t>
      </w:r>
      <w:r w:rsidR="000142AC" w:rsidRPr="00FB7CC6">
        <w:rPr>
          <w:rFonts w:cs="Times New Roman"/>
          <w:color w:val="000000" w:themeColor="text1"/>
          <w:szCs w:val="24"/>
        </w:rPr>
        <w:t xml:space="preserve"> </w:t>
      </w:r>
      <w:r w:rsidR="005911F4" w:rsidRPr="00FB7CC6">
        <w:rPr>
          <w:rFonts w:cs="Times New Roman"/>
          <w:color w:val="000000" w:themeColor="text1"/>
          <w:szCs w:val="24"/>
        </w:rPr>
        <w:t>being found complicit in</w:t>
      </w:r>
      <w:r w:rsidR="000142AC" w:rsidRPr="00FB7CC6">
        <w:rPr>
          <w:rFonts w:cs="Times New Roman"/>
          <w:color w:val="000000" w:themeColor="text1"/>
          <w:szCs w:val="24"/>
        </w:rPr>
        <w:t xml:space="preserve"> the worsening problems. </w:t>
      </w:r>
      <w:r w:rsidR="00C5186F" w:rsidRPr="00FB7CC6">
        <w:rPr>
          <w:rFonts w:cs="Times New Roman"/>
          <w:color w:val="000000" w:themeColor="text1"/>
          <w:szCs w:val="24"/>
        </w:rPr>
        <w:t>S</w:t>
      </w:r>
      <w:r w:rsidR="000142AC" w:rsidRPr="00FB7CC6">
        <w:rPr>
          <w:rFonts w:cs="Times New Roman"/>
          <w:color w:val="000000" w:themeColor="text1"/>
          <w:szCs w:val="24"/>
        </w:rPr>
        <w:t xml:space="preserve">uch reluctance </w:t>
      </w:r>
      <w:r w:rsidR="00C7048B" w:rsidRPr="00FB7CC6">
        <w:rPr>
          <w:rFonts w:cs="Times New Roman"/>
          <w:color w:val="000000" w:themeColor="text1"/>
          <w:szCs w:val="24"/>
        </w:rPr>
        <w:t xml:space="preserve">was particularly strong among Enron’s public </w:t>
      </w:r>
      <w:r w:rsidR="00670F03" w:rsidRPr="00FB7CC6">
        <w:rPr>
          <w:rFonts w:cs="Times New Roman"/>
          <w:color w:val="000000" w:themeColor="text1"/>
          <w:szCs w:val="24"/>
        </w:rPr>
        <w:t>partners</w:t>
      </w:r>
      <w:r w:rsidR="000142AC" w:rsidRPr="00FB7CC6">
        <w:rPr>
          <w:rFonts w:cs="Times New Roman"/>
          <w:color w:val="000000" w:themeColor="text1"/>
          <w:szCs w:val="24"/>
        </w:rPr>
        <w:t xml:space="preserve"> who, irrespective of their own views, feared others might see their actions as unacceptable.</w:t>
      </w:r>
      <w:r w:rsidR="00C7048B" w:rsidRPr="008B7F2E">
        <w:rPr>
          <w:rFonts w:cs="Times New Roman"/>
          <w:color w:val="000000" w:themeColor="text1"/>
          <w:szCs w:val="24"/>
        </w:rPr>
        <w:t xml:space="preserve"> In one case, </w:t>
      </w:r>
      <w:r w:rsidR="00644064" w:rsidRPr="008B7F2E">
        <w:rPr>
          <w:rFonts w:cs="Times New Roman"/>
          <w:color w:val="000000" w:themeColor="text1"/>
          <w:szCs w:val="24"/>
        </w:rPr>
        <w:t xml:space="preserve">a partner explains </w:t>
      </w:r>
      <w:r w:rsidR="00644064" w:rsidRPr="008B7F2E">
        <w:rPr>
          <w:rFonts w:cs="Times New Roman"/>
          <w:color w:val="000000" w:themeColor="text1"/>
          <w:szCs w:val="24"/>
        </w:rPr>
        <w:lastRenderedPageBreak/>
        <w:t>the</w:t>
      </w:r>
      <w:r w:rsidR="00644064" w:rsidRPr="008B7F2E">
        <w:rPr>
          <w:color w:val="000000" w:themeColor="text1"/>
        </w:rPr>
        <w:t xml:space="preserve"> “nasty political situation”</w:t>
      </w:r>
      <w:r w:rsidR="00644064" w:rsidRPr="008B7F2E">
        <w:rPr>
          <w:rFonts w:cs="Times New Roman"/>
          <w:color w:val="000000" w:themeColor="text1"/>
          <w:szCs w:val="24"/>
        </w:rPr>
        <w:t xml:space="preserve"> that would result for a public agency being found to have exported energy out of California, exacerbating the problem while other</w:t>
      </w:r>
      <w:r w:rsidR="00183E78" w:rsidRPr="008B7F2E">
        <w:rPr>
          <w:rFonts w:cs="Times New Roman"/>
          <w:color w:val="000000" w:themeColor="text1"/>
          <w:szCs w:val="24"/>
        </w:rPr>
        <w:t>s</w:t>
      </w:r>
      <w:r w:rsidR="00644064" w:rsidRPr="008B7F2E">
        <w:rPr>
          <w:rFonts w:cs="Times New Roman"/>
          <w:color w:val="000000" w:themeColor="text1"/>
          <w:szCs w:val="24"/>
        </w:rPr>
        <w:t xml:space="preserve"> were trying to solve it.</w:t>
      </w:r>
      <w:r w:rsidR="00C52A2A" w:rsidRPr="008B7F2E">
        <w:rPr>
          <w:rStyle w:val="EndnoteReference"/>
          <w:color w:val="000000" w:themeColor="text1"/>
        </w:rPr>
        <w:endnoteReference w:id="134"/>
      </w:r>
      <w:r w:rsidR="008515BB" w:rsidRPr="008B7F2E">
        <w:rPr>
          <w:color w:val="000000" w:themeColor="text1"/>
        </w:rPr>
        <w:t xml:space="preserve"> </w:t>
      </w:r>
      <w:r w:rsidR="00247958" w:rsidRPr="00FB7CC6">
        <w:rPr>
          <w:color w:val="000000" w:themeColor="text1"/>
        </w:rPr>
        <w:t xml:space="preserve">Thus, rather </w:t>
      </w:r>
      <w:r w:rsidR="00E62DDF">
        <w:rPr>
          <w:color w:val="000000" w:themeColor="text1"/>
        </w:rPr>
        <w:t xml:space="preserve">than failing </w:t>
      </w:r>
      <w:r w:rsidR="00247958" w:rsidRPr="00FB7CC6">
        <w:rPr>
          <w:color w:val="000000" w:themeColor="text1"/>
        </w:rPr>
        <w:t xml:space="preserve">to rationalize their actions, for some, the crisis </w:t>
      </w:r>
      <w:r w:rsidR="00A570A6">
        <w:rPr>
          <w:color w:val="000000" w:themeColor="text1"/>
        </w:rPr>
        <w:t xml:space="preserve">appeared to </w:t>
      </w:r>
      <w:r w:rsidR="00247958" w:rsidRPr="00FB7CC6">
        <w:rPr>
          <w:color w:val="000000" w:themeColor="text1"/>
        </w:rPr>
        <w:t xml:space="preserve">tip the balance of political risk and financial reward, making participation more of a liability than an opportunity. </w:t>
      </w:r>
    </w:p>
    <w:p w14:paraId="2D6286FC" w14:textId="37BF0931" w:rsidR="00A570A6" w:rsidRPr="002E6E04" w:rsidRDefault="000142AC" w:rsidP="00A570A6">
      <w:pPr>
        <w:spacing w:after="0"/>
        <w:ind w:firstLine="720"/>
        <w:rPr>
          <w:rFonts w:cs="Times New Roman"/>
          <w:color w:val="000000" w:themeColor="text1"/>
          <w:szCs w:val="24"/>
        </w:rPr>
      </w:pPr>
      <w:r w:rsidRPr="00571464">
        <w:rPr>
          <w:rFonts w:cs="Times New Roman"/>
          <w:color w:val="000000" w:themeColor="text1"/>
          <w:szCs w:val="24"/>
        </w:rPr>
        <w:t xml:space="preserve">Despite </w:t>
      </w:r>
      <w:r w:rsidR="00090BB7" w:rsidRPr="00571464">
        <w:rPr>
          <w:rFonts w:cs="Times New Roman"/>
          <w:color w:val="000000" w:themeColor="text1"/>
          <w:szCs w:val="24"/>
        </w:rPr>
        <w:t>traders’</w:t>
      </w:r>
      <w:r w:rsidRPr="00571464">
        <w:rPr>
          <w:rFonts w:cs="Times New Roman"/>
          <w:color w:val="000000" w:themeColor="text1"/>
          <w:szCs w:val="24"/>
        </w:rPr>
        <w:t xml:space="preserve"> efforts to encourage continued involvement, the reluctance</w:t>
      </w:r>
      <w:r w:rsidR="00BA13D4" w:rsidRPr="00571464">
        <w:rPr>
          <w:rFonts w:cs="Times New Roman"/>
          <w:color w:val="000000" w:themeColor="text1"/>
          <w:szCs w:val="24"/>
        </w:rPr>
        <w:t xml:space="preserve"> by some</w:t>
      </w:r>
      <w:r w:rsidR="00090BB7" w:rsidRPr="00571464">
        <w:rPr>
          <w:rFonts w:cs="Times New Roman"/>
          <w:color w:val="000000" w:themeColor="text1"/>
          <w:szCs w:val="24"/>
        </w:rPr>
        <w:t xml:space="preserve"> to continue was</w:t>
      </w:r>
      <w:r w:rsidRPr="00571464">
        <w:rPr>
          <w:rFonts w:cs="Times New Roman"/>
          <w:color w:val="000000" w:themeColor="text1"/>
          <w:szCs w:val="24"/>
        </w:rPr>
        <w:t xml:space="preserve"> clearly a frustration</w:t>
      </w:r>
      <w:r w:rsidR="00247958" w:rsidRPr="00571464">
        <w:rPr>
          <w:rFonts w:cs="Times New Roman"/>
          <w:color w:val="000000" w:themeColor="text1"/>
          <w:szCs w:val="24"/>
        </w:rPr>
        <w:t xml:space="preserve"> as, </w:t>
      </w:r>
      <w:r w:rsidR="00F61E79" w:rsidRPr="00571464">
        <w:rPr>
          <w:color w:val="000000" w:themeColor="text1"/>
        </w:rPr>
        <w:t xml:space="preserve">throughout </w:t>
      </w:r>
      <w:r w:rsidR="00EE325D" w:rsidRPr="00571464">
        <w:rPr>
          <w:color w:val="000000" w:themeColor="text1"/>
        </w:rPr>
        <w:t>Enron’s network</w:t>
      </w:r>
      <w:r w:rsidR="00F61E79" w:rsidRPr="00571464">
        <w:rPr>
          <w:color w:val="000000" w:themeColor="text1"/>
        </w:rPr>
        <w:t xml:space="preserve">, </w:t>
      </w:r>
      <w:r w:rsidR="00670F03" w:rsidRPr="00571464">
        <w:rPr>
          <w:color w:val="000000" w:themeColor="text1"/>
        </w:rPr>
        <w:t>partners</w:t>
      </w:r>
      <w:r w:rsidR="00F61E79" w:rsidRPr="00571464">
        <w:rPr>
          <w:color w:val="000000" w:themeColor="text1"/>
        </w:rPr>
        <w:t xml:space="preserve"> were spli</w:t>
      </w:r>
      <w:r w:rsidR="00772933" w:rsidRPr="00571464">
        <w:rPr>
          <w:color w:val="000000" w:themeColor="text1"/>
        </w:rPr>
        <w:t>t</w:t>
      </w:r>
      <w:r w:rsidR="00F61E79" w:rsidRPr="00571464">
        <w:rPr>
          <w:color w:val="000000" w:themeColor="text1"/>
        </w:rPr>
        <w:t xml:space="preserve"> on whether to continue.</w:t>
      </w:r>
      <w:r w:rsidR="00C52A2A" w:rsidRPr="00571464">
        <w:rPr>
          <w:rStyle w:val="EndnoteReference"/>
          <w:color w:val="000000" w:themeColor="text1"/>
        </w:rPr>
        <w:endnoteReference w:id="135"/>
      </w:r>
      <w:r w:rsidR="008862F1" w:rsidRPr="00571464">
        <w:rPr>
          <w:rFonts w:cs="Times New Roman"/>
          <w:color w:val="000000" w:themeColor="text1"/>
          <w:szCs w:val="24"/>
        </w:rPr>
        <w:t xml:space="preserve"> </w:t>
      </w:r>
      <w:r w:rsidRPr="00571464">
        <w:rPr>
          <w:rFonts w:cs="Times New Roman"/>
          <w:color w:val="000000" w:themeColor="text1"/>
          <w:szCs w:val="24"/>
        </w:rPr>
        <w:t>From an internal perspective, t</w:t>
      </w:r>
      <w:r w:rsidR="004B17AF" w:rsidRPr="00571464">
        <w:rPr>
          <w:rFonts w:cs="Times New Roman"/>
          <w:color w:val="000000" w:themeColor="text1"/>
          <w:szCs w:val="24"/>
        </w:rPr>
        <w:t>he risks surro</w:t>
      </w:r>
      <w:r w:rsidR="00CC126D" w:rsidRPr="00571464">
        <w:rPr>
          <w:rFonts w:cs="Times New Roman"/>
          <w:color w:val="000000" w:themeColor="text1"/>
          <w:szCs w:val="24"/>
        </w:rPr>
        <w:t>unding</w:t>
      </w:r>
      <w:r w:rsidR="004B17AF" w:rsidRPr="00571464">
        <w:rPr>
          <w:rFonts w:cs="Times New Roman"/>
          <w:color w:val="000000" w:themeColor="text1"/>
          <w:szCs w:val="24"/>
        </w:rPr>
        <w:t xml:space="preserve"> California</w:t>
      </w:r>
      <w:r w:rsidRPr="00571464">
        <w:rPr>
          <w:rFonts w:cs="Times New Roman"/>
          <w:color w:val="000000" w:themeColor="text1"/>
          <w:szCs w:val="24"/>
        </w:rPr>
        <w:t xml:space="preserve"> came to a head on December</w:t>
      </w:r>
      <w:r w:rsidR="008515BB" w:rsidRPr="00571464">
        <w:rPr>
          <w:rFonts w:cs="Times New Roman"/>
          <w:color w:val="000000" w:themeColor="text1"/>
          <w:szCs w:val="24"/>
        </w:rPr>
        <w:t xml:space="preserve"> 12</w:t>
      </w:r>
      <w:r w:rsidRPr="00571464">
        <w:rPr>
          <w:rFonts w:cs="Times New Roman"/>
          <w:color w:val="000000" w:themeColor="text1"/>
          <w:szCs w:val="24"/>
        </w:rPr>
        <w:t>, when Enron’s legal team returned to Portland, where ultimately, they instructed the cessation of the traders’ strategies.</w:t>
      </w:r>
      <w:r w:rsidR="00C52A2A" w:rsidRPr="00571464">
        <w:rPr>
          <w:rStyle w:val="EndnoteReference"/>
          <w:rFonts w:cs="Times New Roman"/>
          <w:color w:val="000000" w:themeColor="text1"/>
          <w:szCs w:val="24"/>
        </w:rPr>
        <w:endnoteReference w:id="136"/>
      </w:r>
      <w:r w:rsidRPr="00571464">
        <w:rPr>
          <w:rFonts w:cs="Times New Roman"/>
          <w:color w:val="000000" w:themeColor="text1"/>
          <w:szCs w:val="24"/>
        </w:rPr>
        <w:t xml:space="preserve"> At least a partial suspension </w:t>
      </w:r>
      <w:r w:rsidR="00C37F44" w:rsidRPr="00571464">
        <w:rPr>
          <w:rFonts w:cs="Times New Roman"/>
          <w:color w:val="000000" w:themeColor="text1"/>
          <w:szCs w:val="24"/>
        </w:rPr>
        <w:t>wa</w:t>
      </w:r>
      <w:r w:rsidRPr="00571464">
        <w:rPr>
          <w:rFonts w:cs="Times New Roman"/>
          <w:color w:val="000000" w:themeColor="text1"/>
          <w:szCs w:val="24"/>
        </w:rPr>
        <w:t xml:space="preserve">s subsequently apparent from communications, </w:t>
      </w:r>
      <w:r w:rsidR="00BA13D4" w:rsidRPr="00571464">
        <w:rPr>
          <w:rFonts w:cs="Times New Roman"/>
          <w:color w:val="000000" w:themeColor="text1"/>
          <w:szCs w:val="24"/>
        </w:rPr>
        <w:t xml:space="preserve">with </w:t>
      </w:r>
      <w:r w:rsidRPr="00571464">
        <w:rPr>
          <w:rFonts w:cs="Times New Roman"/>
          <w:color w:val="000000" w:themeColor="text1"/>
          <w:szCs w:val="24"/>
        </w:rPr>
        <w:t xml:space="preserve">some </w:t>
      </w:r>
      <w:r w:rsidR="00CA36AA" w:rsidRPr="00571464">
        <w:rPr>
          <w:rFonts w:cs="Times New Roman"/>
          <w:color w:val="000000" w:themeColor="text1"/>
          <w:szCs w:val="24"/>
        </w:rPr>
        <w:t xml:space="preserve">traders </w:t>
      </w:r>
      <w:r w:rsidR="00BA13D4" w:rsidRPr="00571464">
        <w:rPr>
          <w:rFonts w:cs="Times New Roman"/>
          <w:color w:val="000000" w:themeColor="text1"/>
          <w:szCs w:val="24"/>
        </w:rPr>
        <w:t>seeing the</w:t>
      </w:r>
      <w:r w:rsidRPr="00571464">
        <w:rPr>
          <w:rFonts w:cs="Times New Roman"/>
          <w:color w:val="000000" w:themeColor="text1"/>
          <w:szCs w:val="24"/>
        </w:rPr>
        <w:t xml:space="preserve"> move as a prudent one </w:t>
      </w:r>
      <w:r w:rsidR="00BA13D4" w:rsidRPr="00571464">
        <w:rPr>
          <w:rFonts w:cs="Times New Roman"/>
          <w:color w:val="000000" w:themeColor="text1"/>
          <w:szCs w:val="24"/>
        </w:rPr>
        <w:t>and</w:t>
      </w:r>
      <w:r w:rsidRPr="00571464">
        <w:rPr>
          <w:rFonts w:cs="Times New Roman"/>
          <w:color w:val="000000" w:themeColor="text1"/>
          <w:szCs w:val="24"/>
        </w:rPr>
        <w:t xml:space="preserve"> others </w:t>
      </w:r>
      <w:r w:rsidR="00BA13D4" w:rsidRPr="00571464">
        <w:rPr>
          <w:rFonts w:cs="Times New Roman"/>
          <w:color w:val="000000" w:themeColor="text1"/>
          <w:szCs w:val="24"/>
        </w:rPr>
        <w:t>eager for a resumption</w:t>
      </w:r>
      <w:r w:rsidRPr="00571464">
        <w:rPr>
          <w:rFonts w:cs="Times New Roman"/>
          <w:color w:val="000000" w:themeColor="text1"/>
          <w:szCs w:val="24"/>
        </w:rPr>
        <w:t>.</w:t>
      </w:r>
      <w:r w:rsidR="00C52A2A" w:rsidRPr="00571464">
        <w:rPr>
          <w:rStyle w:val="EndnoteReference"/>
          <w:rFonts w:cs="Times New Roman"/>
          <w:color w:val="000000" w:themeColor="text1"/>
          <w:szCs w:val="24"/>
        </w:rPr>
        <w:endnoteReference w:id="137"/>
      </w:r>
      <w:r w:rsidRPr="00571464">
        <w:rPr>
          <w:rFonts w:cs="Times New Roman"/>
          <w:color w:val="000000" w:themeColor="text1"/>
          <w:szCs w:val="24"/>
        </w:rPr>
        <w:t xml:space="preserve"> </w:t>
      </w:r>
      <w:r w:rsidR="00AC5AF7" w:rsidRPr="00571464">
        <w:rPr>
          <w:rFonts w:cs="Times New Roman"/>
          <w:color w:val="000000" w:themeColor="text1"/>
          <w:szCs w:val="24"/>
        </w:rPr>
        <w:t>However, t</w:t>
      </w:r>
      <w:r w:rsidRPr="00571464">
        <w:rPr>
          <w:rFonts w:cs="Times New Roman"/>
          <w:color w:val="000000" w:themeColor="text1"/>
          <w:szCs w:val="24"/>
        </w:rPr>
        <w:t>his state of inactivity did not last long,</w:t>
      </w:r>
      <w:r w:rsidR="00BA13D4" w:rsidRPr="00571464">
        <w:rPr>
          <w:rFonts w:cs="Times New Roman"/>
          <w:color w:val="000000" w:themeColor="text1"/>
          <w:szCs w:val="24"/>
        </w:rPr>
        <w:t xml:space="preserve"> and</w:t>
      </w:r>
      <w:r w:rsidRPr="00571464">
        <w:rPr>
          <w:rFonts w:cs="Times New Roman"/>
          <w:color w:val="000000" w:themeColor="text1"/>
          <w:szCs w:val="24"/>
        </w:rPr>
        <w:t xml:space="preserve"> it is clear that manipulation activity </w:t>
      </w:r>
      <w:r w:rsidR="00BA13D4" w:rsidRPr="00571464">
        <w:rPr>
          <w:rFonts w:cs="Times New Roman"/>
          <w:color w:val="000000" w:themeColor="text1"/>
          <w:szCs w:val="24"/>
        </w:rPr>
        <w:t>resumed just a few weeks later.</w:t>
      </w:r>
      <w:r w:rsidR="00A570A6" w:rsidRPr="00571464">
        <w:rPr>
          <w:rFonts w:cs="Times New Roman"/>
          <w:color w:val="000000" w:themeColor="text1"/>
          <w:szCs w:val="24"/>
        </w:rPr>
        <w:t xml:space="preserve"> </w:t>
      </w:r>
      <w:r w:rsidR="00571464" w:rsidRPr="00571464">
        <w:rPr>
          <w:rFonts w:cs="Times New Roman"/>
          <w:color w:val="000000" w:themeColor="text1"/>
          <w:szCs w:val="24"/>
        </w:rPr>
        <w:t>In</w:t>
      </w:r>
      <w:r w:rsidR="00571464">
        <w:rPr>
          <w:rFonts w:cs="Times New Roman"/>
          <w:color w:val="000000" w:themeColor="text1"/>
          <w:szCs w:val="24"/>
        </w:rPr>
        <w:t>deed</w:t>
      </w:r>
      <w:r w:rsidR="00A570A6" w:rsidRPr="00571464">
        <w:rPr>
          <w:rFonts w:cs="Times New Roman"/>
          <w:color w:val="000000" w:themeColor="text1"/>
          <w:szCs w:val="24"/>
        </w:rPr>
        <w:t xml:space="preserve">, the increased political and legal scrutiny </w:t>
      </w:r>
      <w:r w:rsidR="00571464">
        <w:rPr>
          <w:rFonts w:cs="Times New Roman"/>
          <w:color w:val="000000" w:themeColor="text1"/>
          <w:szCs w:val="24"/>
        </w:rPr>
        <w:t xml:space="preserve">had </w:t>
      </w:r>
      <w:r w:rsidR="00A570A6" w:rsidRPr="00571464">
        <w:rPr>
          <w:rFonts w:cs="Times New Roman"/>
          <w:color w:val="000000" w:themeColor="text1"/>
          <w:szCs w:val="24"/>
        </w:rPr>
        <w:t>encouraged Enron’s traders and their network of partners to incorporate new, clandestine behaviors into their normalized practice. Again, Enron’s traders led the way, encouraging the use of cell phones and chat rooms to avoid monitored official telephone and email channels.</w:t>
      </w:r>
      <w:r w:rsidR="00A570A6" w:rsidRPr="00571464">
        <w:rPr>
          <w:rStyle w:val="EndnoteReference"/>
          <w:rFonts w:cs="Times New Roman"/>
          <w:color w:val="000000" w:themeColor="text1"/>
          <w:szCs w:val="24"/>
        </w:rPr>
        <w:endnoteReference w:id="138"/>
      </w:r>
      <w:r w:rsidR="00A570A6" w:rsidRPr="002E6E04">
        <w:rPr>
          <w:rFonts w:cs="Times New Roman"/>
          <w:color w:val="000000" w:themeColor="text1"/>
          <w:szCs w:val="24"/>
        </w:rPr>
        <w:t xml:space="preserve"> </w:t>
      </w:r>
    </w:p>
    <w:p w14:paraId="6C025067" w14:textId="1D909EFD" w:rsidR="000142AC" w:rsidRPr="002E6E04" w:rsidRDefault="000142AC" w:rsidP="000142AC">
      <w:pPr>
        <w:spacing w:after="0"/>
        <w:ind w:firstLine="720"/>
        <w:rPr>
          <w:rFonts w:cs="Times New Roman"/>
          <w:color w:val="000000" w:themeColor="text1"/>
          <w:szCs w:val="24"/>
        </w:rPr>
      </w:pPr>
      <w:r w:rsidRPr="002E6E04">
        <w:rPr>
          <w:rFonts w:cs="Times New Roman"/>
          <w:color w:val="000000" w:themeColor="text1"/>
          <w:szCs w:val="24"/>
        </w:rPr>
        <w:t>In January 2001, Forney moved to Houston, and his colleague Bill Williams was promoted as his successor. At this time, some of the original trading strategies remained suspended, with political risk and market illiquidity issues continuing to limit traders’ use of them.</w:t>
      </w:r>
      <w:r w:rsidR="00C52A2A" w:rsidRPr="002E6E04">
        <w:rPr>
          <w:rStyle w:val="EndnoteReference"/>
          <w:rFonts w:cs="Times New Roman"/>
          <w:color w:val="000000" w:themeColor="text1"/>
          <w:szCs w:val="24"/>
        </w:rPr>
        <w:endnoteReference w:id="139"/>
      </w:r>
      <w:r w:rsidRPr="002E6E04">
        <w:rPr>
          <w:rFonts w:cs="Times New Roman"/>
          <w:color w:val="000000" w:themeColor="text1"/>
          <w:szCs w:val="24"/>
        </w:rPr>
        <w:t xml:space="preserve"> Despite the risks, Williams was keen to continue the work his predecessor had instigated, noting his desire to “take the shackles off and get after it again”.</w:t>
      </w:r>
      <w:r w:rsidR="00C52A2A" w:rsidRPr="002E6E04">
        <w:rPr>
          <w:rStyle w:val="EndnoteReference"/>
          <w:rFonts w:cs="Times New Roman"/>
          <w:color w:val="000000" w:themeColor="text1"/>
          <w:szCs w:val="24"/>
        </w:rPr>
        <w:endnoteReference w:id="140"/>
      </w:r>
      <w:r w:rsidRPr="002E6E04">
        <w:rPr>
          <w:rFonts w:cs="Times New Roman"/>
          <w:color w:val="000000" w:themeColor="text1"/>
          <w:szCs w:val="24"/>
        </w:rPr>
        <w:t xml:space="preserve"> </w:t>
      </w:r>
      <w:r w:rsidR="00C312B0" w:rsidRPr="002E6E04">
        <w:rPr>
          <w:rFonts w:cs="Times New Roman"/>
          <w:color w:val="000000" w:themeColor="text1"/>
          <w:szCs w:val="24"/>
        </w:rPr>
        <w:t xml:space="preserve">However, </w:t>
      </w:r>
      <w:r w:rsidRPr="002E6E04">
        <w:rPr>
          <w:rFonts w:cs="Times New Roman"/>
          <w:color w:val="000000" w:themeColor="text1"/>
          <w:szCs w:val="24"/>
        </w:rPr>
        <w:t xml:space="preserve">Forney cautioned Williams that they needed to limit their activity until the crisis had settled, also warning him that personal liability was an increasing issue for them. Accordingly, </w:t>
      </w:r>
      <w:r w:rsidR="00EE325D" w:rsidRPr="002E6E04">
        <w:rPr>
          <w:rFonts w:cs="Times New Roman"/>
          <w:color w:val="000000" w:themeColor="text1"/>
          <w:szCs w:val="24"/>
        </w:rPr>
        <w:t>Enron’s focus</w:t>
      </w:r>
      <w:r w:rsidRPr="002E6E04">
        <w:rPr>
          <w:rFonts w:cs="Times New Roman"/>
          <w:color w:val="000000" w:themeColor="text1"/>
          <w:szCs w:val="24"/>
        </w:rPr>
        <w:t xml:space="preserve"> on actual trading strategies such as the Death Star reduced somewhat, with them instead </w:t>
      </w:r>
      <w:r w:rsidRPr="002E6E04">
        <w:rPr>
          <w:rFonts w:cs="Times New Roman"/>
          <w:color w:val="000000" w:themeColor="text1"/>
          <w:szCs w:val="24"/>
        </w:rPr>
        <w:lastRenderedPageBreak/>
        <w:t xml:space="preserve">working </w:t>
      </w:r>
      <w:r w:rsidR="00EE325D" w:rsidRPr="002E6E04">
        <w:rPr>
          <w:rFonts w:cs="Times New Roman"/>
          <w:color w:val="000000" w:themeColor="text1"/>
          <w:szCs w:val="24"/>
        </w:rPr>
        <w:t xml:space="preserve">with partners </w:t>
      </w:r>
      <w:r w:rsidRPr="002E6E04">
        <w:rPr>
          <w:rFonts w:cs="Times New Roman"/>
          <w:color w:val="000000" w:themeColor="text1"/>
          <w:szCs w:val="24"/>
        </w:rPr>
        <w:t>to physically withhold energy f</w:t>
      </w:r>
      <w:r w:rsidR="00E62DDF">
        <w:rPr>
          <w:rFonts w:cs="Times New Roman"/>
          <w:color w:val="000000" w:themeColor="text1"/>
          <w:szCs w:val="24"/>
        </w:rPr>
        <w:t>ro</w:t>
      </w:r>
      <w:r w:rsidRPr="002E6E04">
        <w:rPr>
          <w:rFonts w:cs="Times New Roman"/>
          <w:color w:val="000000" w:themeColor="text1"/>
          <w:szCs w:val="24"/>
        </w:rPr>
        <w:t>m California, increasing prices throughout the western markets in the process.</w:t>
      </w:r>
      <w:r w:rsidR="00C52A2A" w:rsidRPr="002E6E04">
        <w:rPr>
          <w:rStyle w:val="EndnoteReference"/>
          <w:rFonts w:cs="Times New Roman"/>
          <w:color w:val="000000" w:themeColor="text1"/>
          <w:szCs w:val="24"/>
        </w:rPr>
        <w:endnoteReference w:id="141"/>
      </w:r>
      <w:r w:rsidR="008B7F2E">
        <w:rPr>
          <w:rFonts w:cs="Times New Roman"/>
          <w:color w:val="000000" w:themeColor="text1"/>
          <w:szCs w:val="24"/>
        </w:rPr>
        <w:t xml:space="preserve"> </w:t>
      </w:r>
    </w:p>
    <w:p w14:paraId="2FD379ED" w14:textId="61208F0B" w:rsidR="000142AC" w:rsidRPr="002E6E04" w:rsidRDefault="000142AC" w:rsidP="000142AC">
      <w:pPr>
        <w:spacing w:after="0"/>
        <w:ind w:firstLine="720"/>
        <w:rPr>
          <w:rFonts w:cs="Times New Roman"/>
          <w:color w:val="000000" w:themeColor="text1"/>
          <w:szCs w:val="24"/>
        </w:rPr>
      </w:pPr>
      <w:r w:rsidRPr="002E6E04">
        <w:rPr>
          <w:rFonts w:cs="Times New Roman"/>
          <w:color w:val="000000" w:themeColor="text1"/>
          <w:szCs w:val="24"/>
        </w:rPr>
        <w:t xml:space="preserve">In California, the financial implications of the crisis were reaching a critical point. The creditworthiness of indebted utilities meant generators were unwilling to sell power to their </w:t>
      </w:r>
      <w:r w:rsidR="00FF6BA7" w:rsidRPr="002E6E04">
        <w:rPr>
          <w:rFonts w:cs="Times New Roman"/>
          <w:color w:val="000000" w:themeColor="text1"/>
          <w:szCs w:val="24"/>
        </w:rPr>
        <w:t>de facto creditors</w:t>
      </w:r>
      <w:r w:rsidRPr="002E6E04">
        <w:rPr>
          <w:rFonts w:cs="Times New Roman"/>
          <w:color w:val="000000" w:themeColor="text1"/>
          <w:szCs w:val="24"/>
        </w:rPr>
        <w:t>, the PX and ISO</w:t>
      </w:r>
      <w:r w:rsidR="00997864" w:rsidRPr="002E6E04">
        <w:rPr>
          <w:rFonts w:cs="Times New Roman"/>
          <w:color w:val="000000" w:themeColor="text1"/>
          <w:szCs w:val="24"/>
        </w:rPr>
        <w:t>.</w:t>
      </w:r>
      <w:r w:rsidR="00C52A2A" w:rsidRPr="002E6E04">
        <w:rPr>
          <w:rStyle w:val="EndnoteReference"/>
          <w:rFonts w:cs="Times New Roman"/>
          <w:color w:val="000000" w:themeColor="text1"/>
          <w:szCs w:val="24"/>
        </w:rPr>
        <w:endnoteReference w:id="142"/>
      </w:r>
      <w:r w:rsidRPr="002E6E04">
        <w:rPr>
          <w:rFonts w:cs="Times New Roman"/>
          <w:color w:val="000000" w:themeColor="text1"/>
          <w:szCs w:val="24"/>
        </w:rPr>
        <w:t xml:space="preserve"> While such credit issues were a genuine liability for anyone selling into California, this was not the only reason why the state was struggling to acquire energy. By </w:t>
      </w:r>
      <w:r w:rsidRPr="002E6E04">
        <w:rPr>
          <w:color w:val="000000" w:themeColor="text1"/>
          <w:szCs w:val="24"/>
        </w:rPr>
        <w:t>physically withholding energy, market participants were able to maintain high prices within the Western Interconnection, offering continued profit for companies like Enron.</w:t>
      </w:r>
      <w:r w:rsidR="00C52A2A" w:rsidRPr="002E6E04">
        <w:rPr>
          <w:rStyle w:val="EndnoteReference"/>
          <w:color w:val="000000" w:themeColor="text1"/>
          <w:szCs w:val="24"/>
        </w:rPr>
        <w:endnoteReference w:id="143"/>
      </w:r>
      <w:r w:rsidRPr="002E6E04">
        <w:rPr>
          <w:color w:val="000000" w:themeColor="text1"/>
          <w:szCs w:val="24"/>
        </w:rPr>
        <w:t xml:space="preserve"> </w:t>
      </w:r>
      <w:r w:rsidR="00745063" w:rsidRPr="002E6E04">
        <w:rPr>
          <w:color w:val="000000" w:themeColor="text1"/>
          <w:szCs w:val="24"/>
        </w:rPr>
        <w:t xml:space="preserve">Indeed, such withholding was actively </w:t>
      </w:r>
      <w:r w:rsidR="00745063" w:rsidRPr="00640DAA">
        <w:rPr>
          <w:color w:val="000000" w:themeColor="text1"/>
          <w:szCs w:val="24"/>
        </w:rPr>
        <w:t xml:space="preserve">pursued </w:t>
      </w:r>
      <w:r w:rsidR="00E3086A" w:rsidRPr="00640DAA">
        <w:rPr>
          <w:color w:val="000000" w:themeColor="text1"/>
          <w:szCs w:val="24"/>
        </w:rPr>
        <w:t>within</w:t>
      </w:r>
      <w:r w:rsidR="00745063" w:rsidRPr="00640DAA">
        <w:rPr>
          <w:color w:val="000000" w:themeColor="text1"/>
          <w:szCs w:val="24"/>
        </w:rPr>
        <w:t xml:space="preserve"> </w:t>
      </w:r>
      <w:r w:rsidR="00745063" w:rsidRPr="001F7A46">
        <w:rPr>
          <w:color w:val="000000" w:themeColor="text1"/>
          <w:szCs w:val="24"/>
        </w:rPr>
        <w:t>Enron</w:t>
      </w:r>
      <w:r w:rsidR="00853C21" w:rsidRPr="001F7A46">
        <w:rPr>
          <w:color w:val="000000" w:themeColor="text1"/>
          <w:szCs w:val="24"/>
        </w:rPr>
        <w:t xml:space="preserve"> West Power</w:t>
      </w:r>
      <w:r w:rsidR="00745063" w:rsidRPr="00640DAA">
        <w:rPr>
          <w:color w:val="000000" w:themeColor="text1"/>
          <w:szCs w:val="24"/>
        </w:rPr>
        <w:t>,</w:t>
      </w:r>
      <w:r w:rsidR="00745063" w:rsidRPr="002E6E04">
        <w:rPr>
          <w:color w:val="000000" w:themeColor="text1"/>
          <w:szCs w:val="24"/>
        </w:rPr>
        <w:t xml:space="preserve"> with the FERC finding it “</w:t>
      </w:r>
      <w:r w:rsidR="00745063" w:rsidRPr="002E6E04">
        <w:rPr>
          <w:rFonts w:cs="Times New Roman"/>
          <w:color w:val="000000" w:themeColor="text1"/>
          <w:szCs w:val="24"/>
        </w:rPr>
        <w:t>used its ability to control and withhold large amounts of generation to manipulate the market.</w:t>
      </w:r>
      <w:r w:rsidR="00745063" w:rsidRPr="002E6E04">
        <w:rPr>
          <w:color w:val="000000" w:themeColor="text1"/>
          <w:szCs w:val="24"/>
        </w:rPr>
        <w:t>”</w:t>
      </w:r>
      <w:r w:rsidR="00745063" w:rsidRPr="002E6E04">
        <w:rPr>
          <w:rStyle w:val="EndnoteReference"/>
          <w:color w:val="000000" w:themeColor="text1"/>
          <w:szCs w:val="24"/>
        </w:rPr>
        <w:endnoteReference w:id="144"/>
      </w:r>
      <w:r w:rsidR="00745063" w:rsidRPr="002E6E04">
        <w:rPr>
          <w:color w:val="000000" w:themeColor="text1"/>
          <w:szCs w:val="24"/>
        </w:rPr>
        <w:t xml:space="preserve"> </w:t>
      </w:r>
      <w:r w:rsidRPr="002E6E04">
        <w:rPr>
          <w:color w:val="000000" w:themeColor="text1"/>
          <w:szCs w:val="24"/>
        </w:rPr>
        <w:t>To do this, they also needed to mitigate the ISO’s new federal powers</w:t>
      </w:r>
      <w:r w:rsidRPr="00027D7D">
        <w:rPr>
          <w:color w:val="000000" w:themeColor="text1"/>
          <w:szCs w:val="24"/>
        </w:rPr>
        <w:t>, which allowed them to compel generators to supply them during shortages.</w:t>
      </w:r>
      <w:r w:rsidR="00C52A2A" w:rsidRPr="00027D7D">
        <w:rPr>
          <w:rStyle w:val="EndnoteReference"/>
          <w:color w:val="000000" w:themeColor="text1"/>
          <w:szCs w:val="24"/>
        </w:rPr>
        <w:endnoteReference w:id="145"/>
      </w:r>
      <w:r w:rsidRPr="00027D7D">
        <w:rPr>
          <w:color w:val="000000" w:themeColor="text1"/>
          <w:szCs w:val="24"/>
        </w:rPr>
        <w:t xml:space="preserve"> In this way, </w:t>
      </w:r>
      <w:r w:rsidRPr="00FB7CC6">
        <w:rPr>
          <w:color w:val="000000" w:themeColor="text1"/>
          <w:szCs w:val="24"/>
        </w:rPr>
        <w:t xml:space="preserve">Enron’s traders encouraged </w:t>
      </w:r>
      <w:r w:rsidR="005562C9" w:rsidRPr="00FB7CC6">
        <w:rPr>
          <w:color w:val="000000" w:themeColor="text1"/>
          <w:szCs w:val="24"/>
        </w:rPr>
        <w:t xml:space="preserve">its partners </w:t>
      </w:r>
      <w:r w:rsidRPr="00FB7CC6">
        <w:rPr>
          <w:color w:val="000000" w:themeColor="text1"/>
          <w:szCs w:val="24"/>
        </w:rPr>
        <w:t>to find increasingly elaborate ways to avoid selling to California</w:t>
      </w:r>
      <w:r w:rsidRPr="00027D7D">
        <w:rPr>
          <w:color w:val="000000" w:themeColor="text1"/>
          <w:szCs w:val="24"/>
        </w:rPr>
        <w:t>.</w:t>
      </w:r>
    </w:p>
    <w:p w14:paraId="5EF95256" w14:textId="178705C2" w:rsidR="000142AC" w:rsidRPr="002E6E04" w:rsidRDefault="000142AC" w:rsidP="000142AC">
      <w:pPr>
        <w:spacing w:after="0"/>
        <w:ind w:firstLine="720"/>
        <w:rPr>
          <w:rFonts w:cs="Times New Roman"/>
          <w:color w:val="000000" w:themeColor="text1"/>
          <w:szCs w:val="24"/>
        </w:rPr>
      </w:pPr>
      <w:r w:rsidRPr="002E6E04">
        <w:rPr>
          <w:color w:val="000000" w:themeColor="text1"/>
          <w:szCs w:val="24"/>
        </w:rPr>
        <w:t xml:space="preserve">Such activity was illustrated most prominently when Williams asked a generator, </w:t>
      </w:r>
      <w:r w:rsidRPr="002E6E04">
        <w:rPr>
          <w:i/>
          <w:color w:val="000000" w:themeColor="text1"/>
          <w:szCs w:val="24"/>
        </w:rPr>
        <w:t>Las Vegas Cogeneration</w:t>
      </w:r>
      <w:r w:rsidRPr="002E6E04">
        <w:rPr>
          <w:color w:val="000000" w:themeColor="text1"/>
          <w:szCs w:val="24"/>
        </w:rPr>
        <w:t>, to “get a little creative [...] and come up with a reason to go down</w:t>
      </w:r>
      <w:r w:rsidR="00027D7D">
        <w:rPr>
          <w:color w:val="000000" w:themeColor="text1"/>
          <w:szCs w:val="24"/>
        </w:rPr>
        <w:t>.</w:t>
      </w:r>
      <w:r w:rsidRPr="002E6E04">
        <w:rPr>
          <w:color w:val="000000" w:themeColor="text1"/>
          <w:szCs w:val="24"/>
        </w:rPr>
        <w:t>”</w:t>
      </w:r>
      <w:r w:rsidR="00C52A2A" w:rsidRPr="002E6E04">
        <w:rPr>
          <w:rStyle w:val="EndnoteReference"/>
          <w:color w:val="000000" w:themeColor="text1"/>
          <w:szCs w:val="24"/>
        </w:rPr>
        <w:endnoteReference w:id="146"/>
      </w:r>
      <w:r w:rsidRPr="002E6E04">
        <w:rPr>
          <w:color w:val="000000" w:themeColor="text1"/>
          <w:szCs w:val="24"/>
        </w:rPr>
        <w:t xml:space="preserve"> Here, his contact agreed to stop generation for maintenance, meaning </w:t>
      </w:r>
      <w:r w:rsidR="008515BB" w:rsidRPr="002E6E04">
        <w:rPr>
          <w:color w:val="000000" w:themeColor="text1"/>
          <w:szCs w:val="24"/>
        </w:rPr>
        <w:t>a plausible excuse accompanied their withholding of electricity</w:t>
      </w:r>
      <w:r w:rsidRPr="002E6E04">
        <w:rPr>
          <w:color w:val="000000" w:themeColor="text1"/>
          <w:szCs w:val="24"/>
        </w:rPr>
        <w:t xml:space="preserve">. This allowed them to avoid a schedule they had already committed to California, while the state again was forced to implement emergency procedures. Similarly, on </w:t>
      </w:r>
      <w:r w:rsidRPr="00640DAA">
        <w:rPr>
          <w:color w:val="000000" w:themeColor="text1"/>
          <w:szCs w:val="24"/>
        </w:rPr>
        <w:t>January</w:t>
      </w:r>
      <w:r w:rsidR="008515BB" w:rsidRPr="00640DAA">
        <w:rPr>
          <w:color w:val="000000" w:themeColor="text1"/>
          <w:szCs w:val="24"/>
        </w:rPr>
        <w:t xml:space="preserve"> 19</w:t>
      </w:r>
      <w:r w:rsidRPr="00640DAA">
        <w:rPr>
          <w:color w:val="000000" w:themeColor="text1"/>
          <w:szCs w:val="24"/>
        </w:rPr>
        <w:t xml:space="preserve">, </w:t>
      </w:r>
      <w:r w:rsidR="00853C21" w:rsidRPr="00640DAA">
        <w:rPr>
          <w:color w:val="000000" w:themeColor="text1"/>
          <w:szCs w:val="24"/>
        </w:rPr>
        <w:t>the ISO use</w:t>
      </w:r>
      <w:r w:rsidR="00577AC2" w:rsidRPr="00640DAA">
        <w:rPr>
          <w:color w:val="000000" w:themeColor="text1"/>
          <w:szCs w:val="24"/>
        </w:rPr>
        <w:t>d</w:t>
      </w:r>
      <w:r w:rsidR="00853C21" w:rsidRPr="00640DAA">
        <w:rPr>
          <w:color w:val="000000" w:themeColor="text1"/>
          <w:szCs w:val="24"/>
        </w:rPr>
        <w:t xml:space="preserve"> new powers to order </w:t>
      </w:r>
      <w:r w:rsidRPr="00640DAA">
        <w:rPr>
          <w:color w:val="000000" w:themeColor="text1"/>
          <w:szCs w:val="24"/>
        </w:rPr>
        <w:t xml:space="preserve">Enron </w:t>
      </w:r>
      <w:r w:rsidRPr="002E6E04">
        <w:rPr>
          <w:color w:val="000000" w:themeColor="text1"/>
          <w:szCs w:val="24"/>
        </w:rPr>
        <w:t>to notify the</w:t>
      </w:r>
      <w:r w:rsidR="00853C21">
        <w:rPr>
          <w:color w:val="000000" w:themeColor="text1"/>
          <w:szCs w:val="24"/>
        </w:rPr>
        <w:t>m</w:t>
      </w:r>
      <w:r w:rsidRPr="002E6E04">
        <w:rPr>
          <w:color w:val="000000" w:themeColor="text1"/>
          <w:szCs w:val="24"/>
        </w:rPr>
        <w:t xml:space="preserve"> of all their available generation in the whole Western Interconnection. On receiving the order, the trader on duty immediately called numerous colleagues and between them constructed a way to </w:t>
      </w:r>
      <w:r w:rsidR="0059214A" w:rsidRPr="002E6E04">
        <w:rPr>
          <w:color w:val="000000" w:themeColor="text1"/>
          <w:szCs w:val="24"/>
        </w:rPr>
        <w:t>minimize</w:t>
      </w:r>
      <w:r w:rsidRPr="002E6E04">
        <w:rPr>
          <w:color w:val="000000" w:themeColor="text1"/>
          <w:szCs w:val="24"/>
        </w:rPr>
        <w:t xml:space="preserve"> the amount of </w:t>
      </w:r>
      <w:r w:rsidR="00EB50EC" w:rsidRPr="002E6E04">
        <w:rPr>
          <w:color w:val="000000" w:themeColor="text1"/>
          <w:szCs w:val="24"/>
        </w:rPr>
        <w:t>e</w:t>
      </w:r>
      <w:r w:rsidRPr="002E6E04">
        <w:rPr>
          <w:color w:val="000000" w:themeColor="text1"/>
          <w:szCs w:val="24"/>
        </w:rPr>
        <w:t>nergy they</w:t>
      </w:r>
      <w:r w:rsidR="00EB50EC" w:rsidRPr="002E6E04">
        <w:rPr>
          <w:color w:val="000000" w:themeColor="text1"/>
          <w:szCs w:val="24"/>
        </w:rPr>
        <w:t xml:space="preserve"> would </w:t>
      </w:r>
      <w:r w:rsidR="008515BB" w:rsidRPr="002E6E04">
        <w:rPr>
          <w:color w:val="000000" w:themeColor="text1"/>
          <w:szCs w:val="24"/>
        </w:rPr>
        <w:t>have</w:t>
      </w:r>
      <w:r w:rsidR="00EB50EC" w:rsidRPr="002E6E04">
        <w:rPr>
          <w:color w:val="000000" w:themeColor="text1"/>
          <w:szCs w:val="24"/>
        </w:rPr>
        <w:t xml:space="preserve"> to</w:t>
      </w:r>
      <w:r w:rsidRPr="002E6E04">
        <w:rPr>
          <w:color w:val="000000" w:themeColor="text1"/>
          <w:szCs w:val="24"/>
        </w:rPr>
        <w:t xml:space="preserve"> declare.</w:t>
      </w:r>
      <w:r w:rsidR="00C52A2A" w:rsidRPr="002E6E04">
        <w:rPr>
          <w:rStyle w:val="EndnoteReference"/>
          <w:color w:val="000000" w:themeColor="text1"/>
          <w:szCs w:val="24"/>
        </w:rPr>
        <w:endnoteReference w:id="147"/>
      </w:r>
      <w:r w:rsidRPr="002E6E04">
        <w:rPr>
          <w:color w:val="000000" w:themeColor="text1"/>
          <w:szCs w:val="24"/>
        </w:rPr>
        <w:t xml:space="preserve"> In </w:t>
      </w:r>
      <w:r w:rsidRPr="00027D7D">
        <w:rPr>
          <w:color w:val="000000" w:themeColor="text1"/>
          <w:szCs w:val="24"/>
        </w:rPr>
        <w:t xml:space="preserve">this way, </w:t>
      </w:r>
      <w:r w:rsidRPr="00FB7CC6">
        <w:rPr>
          <w:color w:val="000000" w:themeColor="text1"/>
          <w:szCs w:val="24"/>
        </w:rPr>
        <w:t>market manipulation had escalated from trading strategies that unfairly exploited the rules, to actions that actively contravened the federal orders implemented to mitigate the crisis</w:t>
      </w:r>
      <w:r w:rsidRPr="00027D7D">
        <w:rPr>
          <w:color w:val="000000" w:themeColor="text1"/>
          <w:szCs w:val="24"/>
        </w:rPr>
        <w:t>.</w:t>
      </w:r>
      <w:r w:rsidRPr="002E6E04">
        <w:rPr>
          <w:color w:val="000000" w:themeColor="text1"/>
          <w:szCs w:val="24"/>
        </w:rPr>
        <w:t xml:space="preserve"> </w:t>
      </w:r>
    </w:p>
    <w:p w14:paraId="1B38D9B0" w14:textId="1932FFAF" w:rsidR="00C618D7" w:rsidRPr="002E6E04" w:rsidRDefault="0001268E" w:rsidP="00894E62">
      <w:pPr>
        <w:spacing w:after="0"/>
        <w:ind w:firstLine="576"/>
        <w:rPr>
          <w:rFonts w:cs="Times New Roman"/>
          <w:color w:val="000000" w:themeColor="text1"/>
          <w:szCs w:val="24"/>
        </w:rPr>
      </w:pPr>
      <w:r w:rsidRPr="002E6E04">
        <w:rPr>
          <w:rFonts w:cs="Times New Roman"/>
          <w:color w:val="000000" w:themeColor="text1"/>
          <w:szCs w:val="24"/>
        </w:rPr>
        <w:lastRenderedPageBreak/>
        <w:t xml:space="preserve">It was not until June that a fall </w:t>
      </w:r>
      <w:r w:rsidR="0008679C" w:rsidRPr="002E6E04">
        <w:rPr>
          <w:rFonts w:cs="Times New Roman"/>
          <w:color w:val="000000" w:themeColor="text1"/>
          <w:szCs w:val="24"/>
        </w:rPr>
        <w:t xml:space="preserve">in </w:t>
      </w:r>
      <w:r w:rsidRPr="002E6E04">
        <w:rPr>
          <w:rFonts w:cs="Times New Roman"/>
          <w:color w:val="000000" w:themeColor="text1"/>
          <w:szCs w:val="24"/>
        </w:rPr>
        <w:t>prices gave the first suggestion the crisis was abating, by which time it ha</w:t>
      </w:r>
      <w:r w:rsidR="00894E62" w:rsidRPr="002E6E04">
        <w:rPr>
          <w:rFonts w:cs="Times New Roman"/>
          <w:color w:val="000000" w:themeColor="text1"/>
          <w:szCs w:val="24"/>
        </w:rPr>
        <w:t>d</w:t>
      </w:r>
      <w:r w:rsidRPr="002E6E04">
        <w:rPr>
          <w:rFonts w:cs="Times New Roman"/>
          <w:color w:val="000000" w:themeColor="text1"/>
          <w:szCs w:val="24"/>
        </w:rPr>
        <w:t xml:space="preserve"> already brought about the bankruptcy of both the PX and</w:t>
      </w:r>
      <w:r w:rsidR="00894E62" w:rsidRPr="002E6E04">
        <w:rPr>
          <w:rFonts w:cs="Times New Roman"/>
          <w:color w:val="000000" w:themeColor="text1"/>
          <w:szCs w:val="24"/>
        </w:rPr>
        <w:t xml:space="preserve"> major</w:t>
      </w:r>
      <w:r w:rsidRPr="002E6E04">
        <w:rPr>
          <w:rFonts w:cs="Times New Roman"/>
          <w:color w:val="000000" w:themeColor="text1"/>
          <w:szCs w:val="24"/>
        </w:rPr>
        <w:t xml:space="preserve"> Californian utility, </w:t>
      </w:r>
      <w:r w:rsidR="00D56BA6" w:rsidRPr="002E6E04">
        <w:rPr>
          <w:rFonts w:cs="Times New Roman"/>
          <w:i/>
          <w:color w:val="000000" w:themeColor="text1"/>
          <w:szCs w:val="24"/>
        </w:rPr>
        <w:t>Pacific Gas and Electric</w:t>
      </w:r>
      <w:r w:rsidR="00D56BA6" w:rsidRPr="002E6E04">
        <w:rPr>
          <w:rFonts w:cs="Times New Roman"/>
          <w:color w:val="000000" w:themeColor="text1"/>
          <w:szCs w:val="24"/>
        </w:rPr>
        <w:t>.</w:t>
      </w:r>
      <w:r w:rsidR="00C52A2A" w:rsidRPr="002E6E04">
        <w:rPr>
          <w:rStyle w:val="EndnoteReference"/>
          <w:rFonts w:cs="Times New Roman"/>
          <w:color w:val="000000" w:themeColor="text1"/>
          <w:szCs w:val="24"/>
        </w:rPr>
        <w:endnoteReference w:id="148"/>
      </w:r>
      <w:r w:rsidR="000142AC" w:rsidRPr="002E6E04">
        <w:rPr>
          <w:rFonts w:cs="Times New Roman"/>
          <w:color w:val="000000" w:themeColor="text1"/>
          <w:szCs w:val="24"/>
        </w:rPr>
        <w:t xml:space="preserve"> </w:t>
      </w:r>
      <w:r w:rsidR="001A6A41" w:rsidRPr="002E6E04">
        <w:rPr>
          <w:rFonts w:cs="Times New Roman"/>
          <w:color w:val="000000" w:themeColor="text1"/>
          <w:szCs w:val="24"/>
        </w:rPr>
        <w:t>T</w:t>
      </w:r>
      <w:r w:rsidR="00F536C9" w:rsidRPr="002E6E04">
        <w:rPr>
          <w:rFonts w:cs="Times New Roman"/>
          <w:color w:val="000000" w:themeColor="text1"/>
          <w:szCs w:val="24"/>
        </w:rPr>
        <w:t>he FERC</w:t>
      </w:r>
      <w:r w:rsidRPr="002E6E04">
        <w:rPr>
          <w:rFonts w:cs="Times New Roman"/>
          <w:color w:val="000000" w:themeColor="text1"/>
          <w:szCs w:val="24"/>
        </w:rPr>
        <w:t xml:space="preserve"> had extended</w:t>
      </w:r>
      <w:r w:rsidR="00F536C9" w:rsidRPr="002E6E04">
        <w:rPr>
          <w:rFonts w:cs="Times New Roman"/>
          <w:color w:val="000000" w:themeColor="text1"/>
          <w:szCs w:val="24"/>
        </w:rPr>
        <w:t xml:space="preserve"> emergency regulatio</w:t>
      </w:r>
      <w:r w:rsidRPr="002E6E04">
        <w:rPr>
          <w:rFonts w:cs="Times New Roman"/>
          <w:color w:val="000000" w:themeColor="text1"/>
          <w:szCs w:val="24"/>
        </w:rPr>
        <w:t>n</w:t>
      </w:r>
      <w:r w:rsidR="001A6A41" w:rsidRPr="002E6E04">
        <w:rPr>
          <w:rFonts w:cs="Times New Roman"/>
          <w:color w:val="000000" w:themeColor="text1"/>
          <w:szCs w:val="24"/>
        </w:rPr>
        <w:t xml:space="preserve">, </w:t>
      </w:r>
      <w:r w:rsidR="00F536C9" w:rsidRPr="002E6E04">
        <w:rPr>
          <w:rFonts w:cs="Times New Roman"/>
          <w:color w:val="000000" w:themeColor="text1"/>
          <w:szCs w:val="24"/>
        </w:rPr>
        <w:t>requir</w:t>
      </w:r>
      <w:r w:rsidR="001A6A41" w:rsidRPr="002E6E04">
        <w:rPr>
          <w:rFonts w:cs="Times New Roman"/>
          <w:color w:val="000000" w:themeColor="text1"/>
          <w:szCs w:val="24"/>
        </w:rPr>
        <w:t>ing</w:t>
      </w:r>
      <w:r w:rsidR="00F536C9" w:rsidRPr="002E6E04">
        <w:rPr>
          <w:rFonts w:cs="Times New Roman"/>
          <w:color w:val="000000" w:themeColor="text1"/>
          <w:szCs w:val="24"/>
        </w:rPr>
        <w:t xml:space="preserve"> all generators in the </w:t>
      </w:r>
      <w:r w:rsidR="006930CC" w:rsidRPr="002E6E04">
        <w:rPr>
          <w:rFonts w:cs="Times New Roman"/>
          <w:color w:val="000000" w:themeColor="text1"/>
          <w:szCs w:val="24"/>
        </w:rPr>
        <w:t>Western Interconnection</w:t>
      </w:r>
      <w:r w:rsidR="00F536C9" w:rsidRPr="002E6E04">
        <w:rPr>
          <w:rFonts w:cs="Times New Roman"/>
          <w:color w:val="000000" w:themeColor="text1"/>
          <w:szCs w:val="24"/>
        </w:rPr>
        <w:t xml:space="preserve"> to bid available </w:t>
      </w:r>
      <w:r w:rsidR="006930CC" w:rsidRPr="002E6E04">
        <w:rPr>
          <w:rFonts w:cs="Times New Roman"/>
          <w:color w:val="000000" w:themeColor="text1"/>
          <w:szCs w:val="24"/>
        </w:rPr>
        <w:t>power</w:t>
      </w:r>
      <w:r w:rsidR="00F536C9" w:rsidRPr="002E6E04">
        <w:rPr>
          <w:rFonts w:cs="Times New Roman"/>
          <w:color w:val="000000" w:themeColor="text1"/>
          <w:szCs w:val="24"/>
        </w:rPr>
        <w:t xml:space="preserve"> into </w:t>
      </w:r>
      <w:r w:rsidR="006930CC" w:rsidRPr="002E6E04">
        <w:rPr>
          <w:rFonts w:cs="Times New Roman"/>
          <w:color w:val="000000" w:themeColor="text1"/>
          <w:szCs w:val="24"/>
        </w:rPr>
        <w:t>California</w:t>
      </w:r>
      <w:r w:rsidR="00F536C9" w:rsidRPr="002E6E04">
        <w:rPr>
          <w:rFonts w:cs="Times New Roman"/>
          <w:color w:val="000000" w:themeColor="text1"/>
          <w:szCs w:val="24"/>
        </w:rPr>
        <w:t>, whether on or off-peak</w:t>
      </w:r>
      <w:r w:rsidR="001A6A41" w:rsidRPr="002E6E04">
        <w:rPr>
          <w:rFonts w:cs="Times New Roman"/>
          <w:color w:val="000000" w:themeColor="text1"/>
          <w:szCs w:val="24"/>
        </w:rPr>
        <w:t>. This</w:t>
      </w:r>
      <w:r w:rsidR="00F536C9" w:rsidRPr="002E6E04">
        <w:rPr>
          <w:rFonts w:cs="Times New Roman"/>
          <w:color w:val="000000" w:themeColor="text1"/>
          <w:szCs w:val="24"/>
        </w:rPr>
        <w:t xml:space="preserve"> clos</w:t>
      </w:r>
      <w:r w:rsidR="001A6A41" w:rsidRPr="002E6E04">
        <w:rPr>
          <w:rFonts w:cs="Times New Roman"/>
          <w:color w:val="000000" w:themeColor="text1"/>
          <w:szCs w:val="24"/>
        </w:rPr>
        <w:t>ed</w:t>
      </w:r>
      <w:r w:rsidR="00F536C9" w:rsidRPr="002E6E04">
        <w:rPr>
          <w:rFonts w:cs="Times New Roman"/>
          <w:color w:val="000000" w:themeColor="text1"/>
          <w:szCs w:val="24"/>
        </w:rPr>
        <w:t xml:space="preserve"> many of the </w:t>
      </w:r>
      <w:r w:rsidR="000B2E4D" w:rsidRPr="002E6E04">
        <w:rPr>
          <w:rFonts w:cs="Times New Roman"/>
          <w:color w:val="000000" w:themeColor="text1"/>
          <w:szCs w:val="24"/>
        </w:rPr>
        <w:t xml:space="preserve">remaining </w:t>
      </w:r>
      <w:r w:rsidR="00F536C9" w:rsidRPr="002E6E04">
        <w:rPr>
          <w:rFonts w:cs="Times New Roman"/>
          <w:color w:val="000000" w:themeColor="text1"/>
          <w:szCs w:val="24"/>
        </w:rPr>
        <w:t>opportunities for inter-state manipulation</w:t>
      </w:r>
      <w:r w:rsidR="001A6A41" w:rsidRPr="002E6E04">
        <w:rPr>
          <w:rFonts w:cs="Times New Roman"/>
          <w:color w:val="000000" w:themeColor="text1"/>
          <w:szCs w:val="24"/>
        </w:rPr>
        <w:t xml:space="preserve"> and </w:t>
      </w:r>
      <w:r w:rsidR="00F536C9" w:rsidRPr="002E6E04">
        <w:rPr>
          <w:rFonts w:cs="Times New Roman"/>
          <w:color w:val="000000" w:themeColor="text1"/>
          <w:szCs w:val="24"/>
        </w:rPr>
        <w:t>by the end of summer the price</w:t>
      </w:r>
      <w:r w:rsidR="006930CC" w:rsidRPr="002E6E04">
        <w:rPr>
          <w:rFonts w:cs="Times New Roman"/>
          <w:color w:val="000000" w:themeColor="text1"/>
          <w:szCs w:val="24"/>
        </w:rPr>
        <w:t>s</w:t>
      </w:r>
      <w:r w:rsidR="00F536C9" w:rsidRPr="002E6E04">
        <w:rPr>
          <w:rFonts w:cs="Times New Roman"/>
          <w:color w:val="000000" w:themeColor="text1"/>
          <w:szCs w:val="24"/>
        </w:rPr>
        <w:t xml:space="preserve"> had </w:t>
      </w:r>
      <w:r w:rsidR="001A6A41" w:rsidRPr="002E6E04">
        <w:rPr>
          <w:rFonts w:cs="Times New Roman"/>
          <w:color w:val="000000" w:themeColor="text1"/>
          <w:szCs w:val="24"/>
        </w:rPr>
        <w:t xml:space="preserve">returned </w:t>
      </w:r>
      <w:r w:rsidR="00F536C9" w:rsidRPr="002E6E04">
        <w:rPr>
          <w:rFonts w:cs="Times New Roman"/>
          <w:color w:val="000000" w:themeColor="text1"/>
          <w:szCs w:val="24"/>
        </w:rPr>
        <w:t>to pre-crisis levels</w:t>
      </w:r>
      <w:r w:rsidR="001A6A41" w:rsidRPr="002E6E04">
        <w:rPr>
          <w:rFonts w:cs="Times New Roman"/>
          <w:color w:val="000000" w:themeColor="text1"/>
          <w:szCs w:val="24"/>
        </w:rPr>
        <w:t>.</w:t>
      </w:r>
      <w:r w:rsidR="00205E8E" w:rsidRPr="002E6E04">
        <w:rPr>
          <w:rStyle w:val="EndnoteReference"/>
          <w:rFonts w:cs="Times New Roman"/>
          <w:color w:val="000000" w:themeColor="text1"/>
          <w:szCs w:val="24"/>
        </w:rPr>
        <w:endnoteReference w:id="149"/>
      </w:r>
      <w:r w:rsidR="001A6A41" w:rsidRPr="002E6E04">
        <w:rPr>
          <w:rFonts w:cs="Times New Roman"/>
          <w:color w:val="000000" w:themeColor="text1"/>
          <w:szCs w:val="24"/>
        </w:rPr>
        <w:t xml:space="preserve"> </w:t>
      </w:r>
      <w:r w:rsidR="00F536C9" w:rsidRPr="002E6E04">
        <w:rPr>
          <w:rFonts w:cs="Times New Roman"/>
          <w:color w:val="000000" w:themeColor="text1"/>
          <w:szCs w:val="24"/>
        </w:rPr>
        <w:t xml:space="preserve">For </w:t>
      </w:r>
      <w:r w:rsidR="006930CC" w:rsidRPr="002E6E04">
        <w:rPr>
          <w:rFonts w:cs="Times New Roman"/>
          <w:color w:val="000000" w:themeColor="text1"/>
          <w:szCs w:val="24"/>
        </w:rPr>
        <w:t>Enron’s</w:t>
      </w:r>
      <w:r w:rsidR="00F536C9" w:rsidRPr="002E6E04">
        <w:rPr>
          <w:rFonts w:cs="Times New Roman"/>
          <w:color w:val="000000" w:themeColor="text1"/>
          <w:szCs w:val="24"/>
        </w:rPr>
        <w:t xml:space="preserve"> traders, the significance of the energy crisis was dramatically eclipsed by the bankruptcy and fraud scandal of </w:t>
      </w:r>
      <w:r w:rsidR="006930CC" w:rsidRPr="002E6E04">
        <w:rPr>
          <w:rFonts w:cs="Times New Roman"/>
          <w:color w:val="000000" w:themeColor="text1"/>
          <w:szCs w:val="24"/>
        </w:rPr>
        <w:t>the company</w:t>
      </w:r>
      <w:r w:rsidR="00F536C9" w:rsidRPr="002E6E04">
        <w:rPr>
          <w:rFonts w:cs="Times New Roman"/>
          <w:color w:val="000000" w:themeColor="text1"/>
          <w:szCs w:val="24"/>
        </w:rPr>
        <w:t xml:space="preserve"> just months later. </w:t>
      </w:r>
      <w:r w:rsidR="00745063" w:rsidRPr="002E6E04">
        <w:rPr>
          <w:rFonts w:cs="Times New Roman"/>
          <w:color w:val="000000" w:themeColor="text1"/>
          <w:szCs w:val="24"/>
        </w:rPr>
        <w:t xml:space="preserve">As the various companies within its network entered a period of lean post-crisis market conditions, Enron was making ever more dramatic headlines. </w:t>
      </w:r>
      <w:r w:rsidR="00F536C9" w:rsidRPr="002E6E04">
        <w:rPr>
          <w:rFonts w:cs="Times New Roman"/>
          <w:color w:val="000000" w:themeColor="text1"/>
          <w:szCs w:val="24"/>
        </w:rPr>
        <w:t xml:space="preserve">The impact this had on the Portland-based traders was naturally </w:t>
      </w:r>
      <w:r w:rsidR="00661BD7" w:rsidRPr="002E6E04">
        <w:rPr>
          <w:rFonts w:cs="Times New Roman"/>
          <w:color w:val="000000" w:themeColor="text1"/>
          <w:szCs w:val="24"/>
        </w:rPr>
        <w:t>significant, and, after months of force</w:t>
      </w:r>
      <w:r w:rsidR="00EB50EC" w:rsidRPr="002E6E04">
        <w:rPr>
          <w:rFonts w:cs="Times New Roman"/>
          <w:color w:val="000000" w:themeColor="text1"/>
          <w:szCs w:val="24"/>
        </w:rPr>
        <w:t>d</w:t>
      </w:r>
      <w:r w:rsidR="00661BD7" w:rsidRPr="002E6E04">
        <w:rPr>
          <w:rFonts w:cs="Times New Roman"/>
          <w:color w:val="000000" w:themeColor="text1"/>
          <w:szCs w:val="24"/>
        </w:rPr>
        <w:t xml:space="preserve"> inactivity</w:t>
      </w:r>
      <w:r w:rsidR="0095435A" w:rsidRPr="002E6E04">
        <w:rPr>
          <w:rFonts w:cs="Times New Roman"/>
          <w:color w:val="000000" w:themeColor="text1"/>
          <w:szCs w:val="24"/>
        </w:rPr>
        <w:t xml:space="preserve"> due to its </w:t>
      </w:r>
      <w:r w:rsidR="00EB50EC" w:rsidRPr="002E6E04">
        <w:rPr>
          <w:rFonts w:cs="Times New Roman"/>
          <w:color w:val="000000" w:themeColor="text1"/>
          <w:szCs w:val="24"/>
        </w:rPr>
        <w:t xml:space="preserve">poor </w:t>
      </w:r>
      <w:r w:rsidR="0095435A" w:rsidRPr="002E6E04">
        <w:rPr>
          <w:rFonts w:cs="Times New Roman"/>
          <w:color w:val="000000" w:themeColor="text1"/>
          <w:szCs w:val="24"/>
        </w:rPr>
        <w:t>credit rating</w:t>
      </w:r>
      <w:r w:rsidR="00661BD7" w:rsidRPr="002E6E04">
        <w:rPr>
          <w:rFonts w:cs="Times New Roman"/>
          <w:color w:val="000000" w:themeColor="text1"/>
          <w:szCs w:val="24"/>
        </w:rPr>
        <w:t>, the group was</w:t>
      </w:r>
      <w:r w:rsidR="0095435A" w:rsidRPr="002E6E04">
        <w:rPr>
          <w:rFonts w:cs="Times New Roman"/>
          <w:color w:val="000000" w:themeColor="text1"/>
          <w:szCs w:val="24"/>
        </w:rPr>
        <w:t xml:space="preserve"> largely </w:t>
      </w:r>
      <w:r w:rsidR="00661BD7" w:rsidRPr="002E6E04">
        <w:rPr>
          <w:rFonts w:cs="Times New Roman"/>
          <w:color w:val="000000" w:themeColor="text1"/>
          <w:szCs w:val="24"/>
        </w:rPr>
        <w:t xml:space="preserve">disbanded </w:t>
      </w:r>
      <w:r w:rsidR="0095435A" w:rsidRPr="002E6E04">
        <w:rPr>
          <w:rFonts w:cs="Times New Roman"/>
          <w:color w:val="000000" w:themeColor="text1"/>
          <w:szCs w:val="24"/>
        </w:rPr>
        <w:t xml:space="preserve">before being sold off </w:t>
      </w:r>
      <w:r w:rsidR="008515BB" w:rsidRPr="002E6E04">
        <w:rPr>
          <w:rFonts w:cs="Times New Roman"/>
          <w:color w:val="000000" w:themeColor="text1"/>
          <w:szCs w:val="24"/>
        </w:rPr>
        <w:t>in the fallout from Enron’s bankruptcy</w:t>
      </w:r>
      <w:r w:rsidR="00661BD7" w:rsidRPr="002E6E04">
        <w:rPr>
          <w:rFonts w:cs="Times New Roman"/>
          <w:color w:val="000000" w:themeColor="text1"/>
          <w:szCs w:val="24"/>
        </w:rPr>
        <w:t>.</w:t>
      </w:r>
      <w:r w:rsidR="00661BD7" w:rsidRPr="002E6E04">
        <w:rPr>
          <w:rStyle w:val="EndnoteReference"/>
          <w:rFonts w:cs="Times New Roman"/>
          <w:color w:val="000000" w:themeColor="text1"/>
          <w:szCs w:val="24"/>
        </w:rPr>
        <w:endnoteReference w:id="150"/>
      </w:r>
      <w:r w:rsidR="00B33DA8" w:rsidRPr="002E6E04">
        <w:rPr>
          <w:rFonts w:cs="Times New Roman"/>
          <w:color w:val="000000" w:themeColor="text1"/>
          <w:szCs w:val="24"/>
        </w:rPr>
        <w:t xml:space="preserve"> </w:t>
      </w:r>
    </w:p>
    <w:p w14:paraId="6BF9EC14" w14:textId="77777777" w:rsidR="00017056" w:rsidRDefault="00017056" w:rsidP="00784EA5">
      <w:pPr>
        <w:pStyle w:val="Heading2"/>
        <w:numPr>
          <w:ilvl w:val="0"/>
          <w:numId w:val="0"/>
        </w:numPr>
        <w:ind w:left="576" w:hanging="576"/>
      </w:pPr>
    </w:p>
    <w:p w14:paraId="6F03E603" w14:textId="1161B218" w:rsidR="00C618D7" w:rsidRPr="002E6E04" w:rsidRDefault="000379AE" w:rsidP="00784EA5">
      <w:pPr>
        <w:pStyle w:val="Heading2"/>
        <w:numPr>
          <w:ilvl w:val="0"/>
          <w:numId w:val="0"/>
        </w:numPr>
        <w:ind w:left="576" w:hanging="576"/>
      </w:pPr>
      <w:r w:rsidRPr="002E6E04">
        <w:t>Conclusion</w:t>
      </w:r>
    </w:p>
    <w:p w14:paraId="7DB7911C" w14:textId="1E09B2F8" w:rsidR="004435BA" w:rsidRPr="002E6E04" w:rsidRDefault="002522A1" w:rsidP="004435BA">
      <w:pPr>
        <w:spacing w:after="0"/>
        <w:rPr>
          <w:rFonts w:cs="Times New Roman"/>
          <w:color w:val="000000" w:themeColor="text1"/>
          <w:szCs w:val="24"/>
        </w:rPr>
      </w:pPr>
      <w:r w:rsidRPr="002E6E04">
        <w:rPr>
          <w:rFonts w:cs="Times New Roman"/>
          <w:color w:val="000000" w:themeColor="text1"/>
          <w:szCs w:val="24"/>
        </w:rPr>
        <w:t>When California deregulated its energy industry</w:t>
      </w:r>
      <w:r w:rsidRPr="002E6E04">
        <w:rPr>
          <w:rFonts w:eastAsia="Times New Roman" w:cs="Times New Roman"/>
          <w:color w:val="000000" w:themeColor="text1"/>
          <w:szCs w:val="24"/>
          <w:lang w:eastAsia="en-GB"/>
        </w:rPr>
        <w:t xml:space="preserve">, it materially changed the environment of electricity generation and supply throughout the western states. Not only did it separate the previously integrated processes of generation, transmission and distribution, but the experimental market structure encouraged the entry of new market participants, who offered their financial expertise to incumbents unused to </w:t>
      </w:r>
      <w:r w:rsidRPr="00640DAA">
        <w:rPr>
          <w:rFonts w:eastAsia="Times New Roman" w:cs="Times New Roman"/>
          <w:color w:val="000000" w:themeColor="text1"/>
          <w:szCs w:val="24"/>
          <w:lang w:eastAsia="en-GB"/>
        </w:rPr>
        <w:t xml:space="preserve">operating within competitive markets. Among these, Enron’s West Power </w:t>
      </w:r>
      <w:r w:rsidR="00A063C1" w:rsidRPr="00640DAA">
        <w:rPr>
          <w:rFonts w:eastAsia="Times New Roman" w:cs="Times New Roman"/>
          <w:color w:val="000000" w:themeColor="text1"/>
          <w:szCs w:val="24"/>
          <w:lang w:eastAsia="en-GB"/>
        </w:rPr>
        <w:t>division</w:t>
      </w:r>
      <w:r w:rsidRPr="00640DAA">
        <w:rPr>
          <w:rFonts w:eastAsia="Times New Roman" w:cs="Times New Roman"/>
          <w:color w:val="000000" w:themeColor="text1"/>
          <w:szCs w:val="24"/>
          <w:lang w:eastAsia="en-GB"/>
        </w:rPr>
        <w:t xml:space="preserve"> was found</w:t>
      </w:r>
      <w:r w:rsidR="00027D7D" w:rsidRPr="00640DAA">
        <w:rPr>
          <w:rFonts w:eastAsia="Times New Roman" w:cs="Times New Roman"/>
          <w:color w:val="000000" w:themeColor="text1"/>
          <w:szCs w:val="24"/>
          <w:lang w:eastAsia="en-GB"/>
        </w:rPr>
        <w:t xml:space="preserve"> </w:t>
      </w:r>
      <w:r w:rsidR="00853C21" w:rsidRPr="00640DAA">
        <w:rPr>
          <w:rFonts w:eastAsia="Times New Roman" w:cs="Times New Roman"/>
          <w:color w:val="000000" w:themeColor="text1"/>
          <w:szCs w:val="24"/>
          <w:lang w:eastAsia="en-GB"/>
        </w:rPr>
        <w:t xml:space="preserve">by </w:t>
      </w:r>
      <w:r w:rsidR="00E62DDF">
        <w:rPr>
          <w:rFonts w:eastAsia="Times New Roman" w:cs="Times New Roman"/>
          <w:color w:val="000000" w:themeColor="text1"/>
          <w:szCs w:val="24"/>
          <w:lang w:eastAsia="en-GB"/>
        </w:rPr>
        <w:t xml:space="preserve">the </w:t>
      </w:r>
      <w:r w:rsidR="00853C21" w:rsidRPr="00640DAA">
        <w:rPr>
          <w:rFonts w:eastAsia="Times New Roman" w:cs="Times New Roman"/>
          <w:color w:val="000000" w:themeColor="text1"/>
          <w:szCs w:val="24"/>
          <w:lang w:eastAsia="en-GB"/>
        </w:rPr>
        <w:t>FERC</w:t>
      </w:r>
      <w:r w:rsidRPr="001F7A46">
        <w:rPr>
          <w:rFonts w:eastAsia="Times New Roman" w:cs="Times New Roman"/>
          <w:color w:val="000000" w:themeColor="text1"/>
          <w:szCs w:val="24"/>
          <w:lang w:eastAsia="en-GB"/>
        </w:rPr>
        <w:t xml:space="preserve"> </w:t>
      </w:r>
      <w:r w:rsidRPr="00640DAA">
        <w:rPr>
          <w:rFonts w:eastAsia="Times New Roman" w:cs="Times New Roman"/>
          <w:color w:val="000000" w:themeColor="text1"/>
          <w:szCs w:val="24"/>
          <w:lang w:eastAsia="en-GB"/>
        </w:rPr>
        <w:t xml:space="preserve">to have </w:t>
      </w:r>
      <w:r w:rsidR="00F622CB" w:rsidRPr="00640DAA">
        <w:rPr>
          <w:rFonts w:eastAsia="Times New Roman" w:cs="Times New Roman"/>
          <w:color w:val="000000" w:themeColor="text1"/>
          <w:szCs w:val="24"/>
          <w:lang w:eastAsia="en-GB"/>
        </w:rPr>
        <w:t xml:space="preserve">conceived and exploited various </w:t>
      </w:r>
      <w:r w:rsidR="00F622CB" w:rsidRPr="00640DAA">
        <w:rPr>
          <w:color w:val="000000" w:themeColor="text1"/>
        </w:rPr>
        <w:t>illicit strategies</w:t>
      </w:r>
      <w:r w:rsidR="00F622CB" w:rsidRPr="00640DAA">
        <w:rPr>
          <w:rFonts w:eastAsia="Times New Roman" w:cs="Times New Roman"/>
          <w:color w:val="000000" w:themeColor="text1"/>
          <w:szCs w:val="24"/>
          <w:lang w:eastAsia="en-GB"/>
        </w:rPr>
        <w:t xml:space="preserve">, </w:t>
      </w:r>
      <w:r w:rsidRPr="00640DAA">
        <w:rPr>
          <w:rFonts w:eastAsia="Times New Roman" w:cs="Times New Roman"/>
          <w:color w:val="000000" w:themeColor="text1"/>
          <w:szCs w:val="24"/>
          <w:lang w:eastAsia="en-GB"/>
        </w:rPr>
        <w:t>manipulat</w:t>
      </w:r>
      <w:r w:rsidR="004435BA" w:rsidRPr="00640DAA">
        <w:rPr>
          <w:rFonts w:eastAsia="Times New Roman" w:cs="Times New Roman"/>
          <w:color w:val="000000" w:themeColor="text1"/>
          <w:szCs w:val="24"/>
          <w:lang w:eastAsia="en-GB"/>
        </w:rPr>
        <w:t>ing</w:t>
      </w:r>
      <w:r w:rsidRPr="00640DAA">
        <w:rPr>
          <w:rFonts w:eastAsia="Times New Roman" w:cs="Times New Roman"/>
          <w:color w:val="000000" w:themeColor="text1"/>
          <w:szCs w:val="24"/>
          <w:lang w:eastAsia="en-GB"/>
        </w:rPr>
        <w:t xml:space="preserve"> the new </w:t>
      </w:r>
      <w:r w:rsidR="005F3BAD" w:rsidRPr="00640DAA">
        <w:rPr>
          <w:rFonts w:eastAsia="Times New Roman" w:cs="Times New Roman"/>
          <w:color w:val="000000" w:themeColor="text1"/>
          <w:szCs w:val="24"/>
          <w:lang w:eastAsia="en-GB"/>
        </w:rPr>
        <w:t>markets,</w:t>
      </w:r>
      <w:r w:rsidR="00F622CB" w:rsidRPr="00640DAA">
        <w:rPr>
          <w:rFonts w:eastAsia="Times New Roman" w:cs="Times New Roman"/>
          <w:color w:val="000000" w:themeColor="text1"/>
          <w:szCs w:val="24"/>
          <w:lang w:eastAsia="en-GB"/>
        </w:rPr>
        <w:t xml:space="preserve"> and</w:t>
      </w:r>
      <w:r w:rsidRPr="00FB7CC6">
        <w:rPr>
          <w:rFonts w:eastAsia="Times New Roman" w:cs="Times New Roman"/>
          <w:color w:val="000000" w:themeColor="text1"/>
          <w:szCs w:val="24"/>
          <w:lang w:eastAsia="en-GB"/>
        </w:rPr>
        <w:t xml:space="preserve"> </w:t>
      </w:r>
      <w:r w:rsidR="00F622CB" w:rsidRPr="00FB7CC6">
        <w:rPr>
          <w:rFonts w:eastAsia="Times New Roman" w:cs="Times New Roman"/>
          <w:color w:val="000000" w:themeColor="text1"/>
          <w:szCs w:val="24"/>
          <w:lang w:eastAsia="en-GB"/>
        </w:rPr>
        <w:t>contributing to the ensuing crisis</w:t>
      </w:r>
      <w:r w:rsidRPr="00027D7D">
        <w:rPr>
          <w:color w:val="000000" w:themeColor="text1"/>
        </w:rPr>
        <w:t>.</w:t>
      </w:r>
      <w:r w:rsidR="00577AC2">
        <w:rPr>
          <w:rStyle w:val="EndnoteReference"/>
          <w:color w:val="000000" w:themeColor="text1"/>
        </w:rPr>
        <w:endnoteReference w:id="151"/>
      </w:r>
      <w:r w:rsidRPr="00027D7D">
        <w:rPr>
          <w:color w:val="000000" w:themeColor="text1"/>
        </w:rPr>
        <w:t xml:space="preserve"> This article develops an analytically structured history</w:t>
      </w:r>
      <w:r w:rsidR="00027D7D" w:rsidRPr="00027D7D">
        <w:rPr>
          <w:color w:val="000000" w:themeColor="text1"/>
        </w:rPr>
        <w:t xml:space="preserve"> and argues that</w:t>
      </w:r>
      <w:r w:rsidRPr="00FB7CC6">
        <w:rPr>
          <w:color w:val="000000" w:themeColor="text1"/>
        </w:rPr>
        <w:t xml:space="preserve"> Enron normalized corruption in the form of market manipulation</w:t>
      </w:r>
      <w:r w:rsidR="00CF0965" w:rsidRPr="00FB7CC6">
        <w:rPr>
          <w:color w:val="000000" w:themeColor="text1"/>
        </w:rPr>
        <w:t xml:space="preserve">, developing and maintaining a </w:t>
      </w:r>
      <w:r w:rsidR="00615061" w:rsidRPr="00FB7CC6">
        <w:rPr>
          <w:color w:val="000000" w:themeColor="text1"/>
        </w:rPr>
        <w:t>facilitative network of complicit organizations</w:t>
      </w:r>
      <w:r w:rsidR="00CF0965" w:rsidRPr="00FB7CC6">
        <w:rPr>
          <w:color w:val="000000" w:themeColor="text1"/>
        </w:rPr>
        <w:t xml:space="preserve"> that enabled their illicit strategies</w:t>
      </w:r>
      <w:r w:rsidR="00615061" w:rsidRPr="00027D7D">
        <w:rPr>
          <w:color w:val="000000" w:themeColor="text1"/>
        </w:rPr>
        <w:t>.</w:t>
      </w:r>
      <w:r w:rsidRPr="00027D7D">
        <w:rPr>
          <w:color w:val="000000" w:themeColor="text1"/>
        </w:rPr>
        <w:t xml:space="preserve"> </w:t>
      </w:r>
      <w:r w:rsidR="00E34E30" w:rsidRPr="00027D7D">
        <w:rPr>
          <w:rFonts w:cs="Times New Roman"/>
          <w:color w:val="000000" w:themeColor="text1"/>
          <w:szCs w:val="24"/>
        </w:rPr>
        <w:t>Enron’s manipulation of the California energy markets</w:t>
      </w:r>
      <w:r w:rsidR="00B026C2" w:rsidRPr="00027D7D">
        <w:rPr>
          <w:rFonts w:cs="Times New Roman"/>
          <w:color w:val="000000" w:themeColor="text1"/>
          <w:szCs w:val="24"/>
        </w:rPr>
        <w:t xml:space="preserve"> </w:t>
      </w:r>
      <w:r w:rsidR="004435BA" w:rsidRPr="00027D7D">
        <w:rPr>
          <w:rFonts w:cs="Times New Roman"/>
          <w:color w:val="000000" w:themeColor="text1"/>
          <w:szCs w:val="24"/>
        </w:rPr>
        <w:t xml:space="preserve">thus </w:t>
      </w:r>
      <w:r w:rsidR="00B026C2" w:rsidRPr="00027D7D">
        <w:rPr>
          <w:rFonts w:cs="Times New Roman"/>
          <w:color w:val="000000" w:themeColor="text1"/>
          <w:szCs w:val="24"/>
        </w:rPr>
        <w:t>highlights that some</w:t>
      </w:r>
      <w:r w:rsidR="00B026C2" w:rsidRPr="002E6E04">
        <w:rPr>
          <w:rFonts w:cs="Times New Roman"/>
          <w:color w:val="000000" w:themeColor="text1"/>
          <w:szCs w:val="24"/>
        </w:rPr>
        <w:t xml:space="preserve"> </w:t>
      </w:r>
      <w:r w:rsidR="00CF0965" w:rsidRPr="002E6E04">
        <w:rPr>
          <w:rFonts w:cs="Times New Roman"/>
          <w:color w:val="000000" w:themeColor="text1"/>
          <w:szCs w:val="24"/>
        </w:rPr>
        <w:t xml:space="preserve">cases of corruption </w:t>
      </w:r>
      <w:r w:rsidR="00B026C2" w:rsidRPr="002E6E04">
        <w:rPr>
          <w:rFonts w:cs="Times New Roman"/>
          <w:color w:val="000000" w:themeColor="text1"/>
          <w:szCs w:val="24"/>
        </w:rPr>
        <w:lastRenderedPageBreak/>
        <w:t>are difficult to understand without considering</w:t>
      </w:r>
      <w:r w:rsidR="003D52FC" w:rsidRPr="002E6E04">
        <w:rPr>
          <w:rFonts w:cs="Times New Roman"/>
          <w:color w:val="000000" w:themeColor="text1"/>
          <w:szCs w:val="24"/>
        </w:rPr>
        <w:t xml:space="preserve"> routine</w:t>
      </w:r>
      <w:r w:rsidR="00B026C2" w:rsidRPr="002E6E04">
        <w:rPr>
          <w:rFonts w:cs="Times New Roman"/>
          <w:color w:val="000000" w:themeColor="text1"/>
          <w:szCs w:val="24"/>
        </w:rPr>
        <w:t xml:space="preserve"> inter-organizational </w:t>
      </w:r>
      <w:r w:rsidR="00785C74" w:rsidRPr="002E6E04">
        <w:rPr>
          <w:rFonts w:cs="Times New Roman"/>
          <w:color w:val="000000" w:themeColor="text1"/>
          <w:szCs w:val="24"/>
        </w:rPr>
        <w:t>involvement</w:t>
      </w:r>
      <w:r w:rsidR="00B026C2" w:rsidRPr="002E6E04">
        <w:rPr>
          <w:rFonts w:cs="Times New Roman"/>
          <w:color w:val="000000" w:themeColor="text1"/>
          <w:szCs w:val="24"/>
        </w:rPr>
        <w:t xml:space="preserve"> as a fundamental component</w:t>
      </w:r>
      <w:r w:rsidR="00785C74" w:rsidRPr="002E6E04">
        <w:rPr>
          <w:rFonts w:cs="Times New Roman"/>
          <w:color w:val="000000" w:themeColor="text1"/>
          <w:szCs w:val="24"/>
        </w:rPr>
        <w:t xml:space="preserve">, even when </w:t>
      </w:r>
      <w:r w:rsidR="004435BA" w:rsidRPr="002E6E04">
        <w:rPr>
          <w:rFonts w:cs="Times New Roman"/>
          <w:color w:val="000000" w:themeColor="text1"/>
          <w:szCs w:val="24"/>
        </w:rPr>
        <w:t xml:space="preserve">ostensibly </w:t>
      </w:r>
      <w:r w:rsidR="00785C74" w:rsidRPr="002E6E04">
        <w:rPr>
          <w:rFonts w:cs="Times New Roman"/>
          <w:color w:val="000000" w:themeColor="text1"/>
          <w:szCs w:val="24"/>
        </w:rPr>
        <w:t>concentrated</w:t>
      </w:r>
      <w:r w:rsidR="004435BA" w:rsidRPr="002E6E04">
        <w:rPr>
          <w:rFonts w:cs="Times New Roman"/>
          <w:color w:val="000000" w:themeColor="text1"/>
          <w:szCs w:val="24"/>
        </w:rPr>
        <w:t xml:space="preserve"> </w:t>
      </w:r>
      <w:r w:rsidR="00785C74" w:rsidRPr="002E6E04">
        <w:rPr>
          <w:rFonts w:cs="Times New Roman"/>
          <w:color w:val="000000" w:themeColor="text1"/>
          <w:szCs w:val="24"/>
        </w:rPr>
        <w:t xml:space="preserve">around a single </w:t>
      </w:r>
      <w:r w:rsidR="004435BA" w:rsidRPr="002E6E04">
        <w:rPr>
          <w:rFonts w:cs="Times New Roman"/>
          <w:color w:val="000000" w:themeColor="text1"/>
          <w:szCs w:val="24"/>
        </w:rPr>
        <w:t xml:space="preserve">corrupt </w:t>
      </w:r>
      <w:r w:rsidR="00785C74" w:rsidRPr="002E6E04">
        <w:rPr>
          <w:rFonts w:cs="Times New Roman"/>
          <w:color w:val="000000" w:themeColor="text1"/>
          <w:szCs w:val="24"/>
        </w:rPr>
        <w:t>organization</w:t>
      </w:r>
      <w:r w:rsidR="00B026C2" w:rsidRPr="002E6E04">
        <w:rPr>
          <w:rFonts w:cs="Times New Roman"/>
          <w:color w:val="000000" w:themeColor="text1"/>
          <w:szCs w:val="24"/>
        </w:rPr>
        <w:t>.</w:t>
      </w:r>
    </w:p>
    <w:p w14:paraId="759455F0" w14:textId="258987DD" w:rsidR="004E6FEF" w:rsidRPr="002E6E04" w:rsidRDefault="00B026C2" w:rsidP="004435BA">
      <w:pPr>
        <w:spacing w:after="0"/>
        <w:ind w:firstLine="720"/>
        <w:rPr>
          <w:color w:val="000000" w:themeColor="text1"/>
        </w:rPr>
      </w:pPr>
      <w:r w:rsidRPr="002E6E04">
        <w:rPr>
          <w:rFonts w:cs="Times New Roman"/>
          <w:color w:val="000000" w:themeColor="text1"/>
          <w:szCs w:val="24"/>
        </w:rPr>
        <w:t xml:space="preserve">While it has been assumed that corrupt organizations often require a level of external </w:t>
      </w:r>
      <w:r w:rsidR="004435BA" w:rsidRPr="002E6E04">
        <w:rPr>
          <w:rFonts w:cs="Times New Roman"/>
          <w:color w:val="000000" w:themeColor="text1"/>
          <w:szCs w:val="24"/>
        </w:rPr>
        <w:t>involvement</w:t>
      </w:r>
      <w:r w:rsidRPr="002E6E04">
        <w:rPr>
          <w:rFonts w:cs="Times New Roman"/>
          <w:color w:val="000000" w:themeColor="text1"/>
          <w:szCs w:val="24"/>
        </w:rPr>
        <w:t xml:space="preserve"> to enable corrupt behavior, the dynamics of such arrangements </w:t>
      </w:r>
      <w:r w:rsidR="00FB3612" w:rsidRPr="002E6E04">
        <w:rPr>
          <w:rFonts w:cs="Times New Roman"/>
          <w:color w:val="000000" w:themeColor="text1"/>
          <w:szCs w:val="24"/>
        </w:rPr>
        <w:t>have</w:t>
      </w:r>
      <w:r w:rsidR="009F6EB6" w:rsidRPr="002E6E04">
        <w:rPr>
          <w:rFonts w:cs="Times New Roman"/>
          <w:color w:val="000000" w:themeColor="text1"/>
          <w:szCs w:val="24"/>
        </w:rPr>
        <w:t xml:space="preserve"> largely</w:t>
      </w:r>
      <w:r w:rsidR="00FB3612" w:rsidRPr="002E6E04">
        <w:rPr>
          <w:rFonts w:cs="Times New Roman"/>
          <w:color w:val="000000" w:themeColor="text1"/>
          <w:szCs w:val="24"/>
        </w:rPr>
        <w:t xml:space="preserve"> been</w:t>
      </w:r>
      <w:r w:rsidR="009F6EB6" w:rsidRPr="002E6E04">
        <w:rPr>
          <w:rFonts w:cs="Times New Roman"/>
          <w:color w:val="000000" w:themeColor="text1"/>
          <w:szCs w:val="24"/>
        </w:rPr>
        <w:t xml:space="preserve"> omitted </w:t>
      </w:r>
      <w:r w:rsidR="00FB3612" w:rsidRPr="002E6E04">
        <w:rPr>
          <w:rFonts w:cs="Times New Roman"/>
          <w:color w:val="000000" w:themeColor="text1"/>
          <w:szCs w:val="24"/>
        </w:rPr>
        <w:t>in favor of organization-level analysis</w:t>
      </w:r>
      <w:r w:rsidRPr="002E6E04">
        <w:rPr>
          <w:rFonts w:cs="Times New Roman"/>
          <w:color w:val="000000" w:themeColor="text1"/>
          <w:szCs w:val="24"/>
        </w:rPr>
        <w:t>.</w:t>
      </w:r>
      <w:r w:rsidR="007B297A" w:rsidRPr="002E6E04">
        <w:rPr>
          <w:rStyle w:val="EndnoteReference"/>
          <w:rFonts w:cs="Times New Roman"/>
          <w:color w:val="000000" w:themeColor="text1"/>
          <w:szCs w:val="24"/>
        </w:rPr>
        <w:endnoteReference w:id="152"/>
      </w:r>
      <w:r w:rsidRPr="002E6E04">
        <w:rPr>
          <w:rFonts w:cs="Times New Roman"/>
          <w:color w:val="000000" w:themeColor="text1"/>
          <w:szCs w:val="24"/>
        </w:rPr>
        <w:t xml:space="preserve"> </w:t>
      </w:r>
      <w:r w:rsidR="004435BA" w:rsidRPr="002E6E04">
        <w:rPr>
          <w:rFonts w:cs="Times New Roman"/>
          <w:color w:val="000000" w:themeColor="text1"/>
          <w:szCs w:val="24"/>
        </w:rPr>
        <w:t>Our analysis show</w:t>
      </w:r>
      <w:r w:rsidR="003D52FC" w:rsidRPr="002E6E04">
        <w:rPr>
          <w:rFonts w:cs="Times New Roman"/>
          <w:color w:val="000000" w:themeColor="text1"/>
          <w:szCs w:val="24"/>
        </w:rPr>
        <w:t>s</w:t>
      </w:r>
      <w:r w:rsidR="004435BA" w:rsidRPr="002E6E04">
        <w:rPr>
          <w:rFonts w:cs="Times New Roman"/>
          <w:color w:val="000000" w:themeColor="text1"/>
          <w:szCs w:val="24"/>
        </w:rPr>
        <w:t xml:space="preserve"> how</w:t>
      </w:r>
      <w:r w:rsidR="00E85012" w:rsidRPr="002E6E04">
        <w:rPr>
          <w:rFonts w:cs="Times New Roman"/>
          <w:color w:val="000000" w:themeColor="text1"/>
          <w:szCs w:val="24"/>
        </w:rPr>
        <w:t xml:space="preserve"> t</w:t>
      </w:r>
      <w:r w:rsidRPr="002E6E04">
        <w:rPr>
          <w:rFonts w:cs="Times New Roman"/>
          <w:color w:val="000000" w:themeColor="text1"/>
          <w:szCs w:val="24"/>
        </w:rPr>
        <w:t xml:space="preserve">he strategies employed by Enron would not have been feasible without </w:t>
      </w:r>
      <w:r w:rsidR="00CF0965" w:rsidRPr="002E6E04">
        <w:rPr>
          <w:rFonts w:cs="Times New Roman"/>
          <w:color w:val="000000" w:themeColor="text1"/>
          <w:szCs w:val="24"/>
        </w:rPr>
        <w:t>its network of partners</w:t>
      </w:r>
      <w:r w:rsidR="00F55E07" w:rsidRPr="002E6E04">
        <w:rPr>
          <w:rFonts w:cs="Times New Roman"/>
          <w:color w:val="000000" w:themeColor="text1"/>
          <w:szCs w:val="24"/>
        </w:rPr>
        <w:t xml:space="preserve">, </w:t>
      </w:r>
      <w:r w:rsidRPr="002E6E04">
        <w:rPr>
          <w:rFonts w:cs="Times New Roman"/>
          <w:color w:val="000000" w:themeColor="text1"/>
          <w:szCs w:val="24"/>
        </w:rPr>
        <w:t xml:space="preserve">who held structurally different positions from Enron </w:t>
      </w:r>
      <w:r w:rsidR="00F55E07" w:rsidRPr="002E6E04">
        <w:rPr>
          <w:rFonts w:cs="Times New Roman"/>
          <w:color w:val="000000" w:themeColor="text1"/>
          <w:szCs w:val="24"/>
        </w:rPr>
        <w:t>and</w:t>
      </w:r>
      <w:r w:rsidR="007B297A" w:rsidRPr="002E6E04">
        <w:rPr>
          <w:rFonts w:cs="Times New Roman"/>
          <w:color w:val="000000" w:themeColor="text1"/>
          <w:szCs w:val="24"/>
        </w:rPr>
        <w:t xml:space="preserve"> controlled</w:t>
      </w:r>
      <w:r w:rsidR="00F55E07" w:rsidRPr="002E6E04">
        <w:rPr>
          <w:rFonts w:cs="Times New Roman"/>
          <w:color w:val="000000" w:themeColor="text1"/>
          <w:szCs w:val="24"/>
        </w:rPr>
        <w:t xml:space="preserve"> the generation </w:t>
      </w:r>
      <w:r w:rsidR="00FF6BA7" w:rsidRPr="002E6E04">
        <w:rPr>
          <w:rFonts w:cs="Times New Roman"/>
          <w:color w:val="000000" w:themeColor="text1"/>
          <w:szCs w:val="24"/>
        </w:rPr>
        <w:t>assets</w:t>
      </w:r>
      <w:r w:rsidR="00F55E07" w:rsidRPr="002E6E04">
        <w:rPr>
          <w:rFonts w:cs="Times New Roman"/>
          <w:color w:val="000000" w:themeColor="text1"/>
          <w:szCs w:val="24"/>
        </w:rPr>
        <w:t xml:space="preserve"> traders needed to execute their strategies.</w:t>
      </w:r>
      <w:r w:rsidRPr="002E6E04">
        <w:rPr>
          <w:rFonts w:cs="Times New Roman"/>
          <w:color w:val="000000" w:themeColor="text1"/>
          <w:szCs w:val="24"/>
        </w:rPr>
        <w:t xml:space="preserve"> </w:t>
      </w:r>
      <w:r w:rsidR="00F55E07" w:rsidRPr="00027D7D">
        <w:rPr>
          <w:rFonts w:cs="Times New Roman"/>
          <w:color w:val="000000" w:themeColor="text1"/>
          <w:szCs w:val="24"/>
        </w:rPr>
        <w:t xml:space="preserve">In this way, </w:t>
      </w:r>
      <w:r w:rsidR="00EE325D" w:rsidRPr="00FB7CC6">
        <w:rPr>
          <w:rFonts w:cs="Times New Roman"/>
          <w:color w:val="000000" w:themeColor="text1"/>
          <w:szCs w:val="24"/>
        </w:rPr>
        <w:t>Enron’s use of network-enabled corruption</w:t>
      </w:r>
      <w:r w:rsidR="00F55E07" w:rsidRPr="00FB7CC6">
        <w:rPr>
          <w:rFonts w:cs="Times New Roman"/>
          <w:color w:val="000000" w:themeColor="text1"/>
          <w:szCs w:val="24"/>
        </w:rPr>
        <w:t xml:space="preserve"> was embedded within the division’s </w:t>
      </w:r>
      <w:r w:rsidR="004435BA" w:rsidRPr="00FB7CC6">
        <w:rPr>
          <w:rFonts w:cs="Times New Roman"/>
          <w:color w:val="000000" w:themeColor="text1"/>
          <w:szCs w:val="24"/>
        </w:rPr>
        <w:t>core</w:t>
      </w:r>
      <w:r w:rsidR="00F55E07" w:rsidRPr="00FB7CC6">
        <w:rPr>
          <w:rFonts w:cs="Times New Roman"/>
          <w:color w:val="000000" w:themeColor="text1"/>
          <w:szCs w:val="24"/>
        </w:rPr>
        <w:t xml:space="preserve"> </w:t>
      </w:r>
      <w:r w:rsidR="00B543C0" w:rsidRPr="00FB7CC6">
        <w:rPr>
          <w:rFonts w:cs="Times New Roman"/>
          <w:color w:val="000000" w:themeColor="text1"/>
          <w:szCs w:val="24"/>
        </w:rPr>
        <w:t>business</w:t>
      </w:r>
      <w:r w:rsidR="00F55E07" w:rsidRPr="00FB7CC6">
        <w:rPr>
          <w:rFonts w:cs="Times New Roman"/>
          <w:color w:val="000000" w:themeColor="text1"/>
          <w:szCs w:val="24"/>
        </w:rPr>
        <w:t xml:space="preserve"> </w:t>
      </w:r>
      <w:r w:rsidR="00917F0E" w:rsidRPr="00FB7CC6">
        <w:rPr>
          <w:rFonts w:cs="Times New Roman"/>
          <w:color w:val="000000" w:themeColor="text1"/>
          <w:szCs w:val="24"/>
        </w:rPr>
        <w:t>model</w:t>
      </w:r>
      <w:r w:rsidR="00917F0E" w:rsidRPr="00027D7D">
        <w:rPr>
          <w:rFonts w:cs="Times New Roman"/>
          <w:color w:val="000000" w:themeColor="text1"/>
          <w:szCs w:val="24"/>
        </w:rPr>
        <w:t xml:space="preserve">, </w:t>
      </w:r>
      <w:r w:rsidR="004435BA" w:rsidRPr="00027D7D">
        <w:rPr>
          <w:rFonts w:cs="Times New Roman"/>
          <w:color w:val="000000" w:themeColor="text1"/>
          <w:szCs w:val="24"/>
        </w:rPr>
        <w:t>providing financial services to</w:t>
      </w:r>
      <w:r w:rsidR="00E85012" w:rsidRPr="00027D7D">
        <w:rPr>
          <w:rFonts w:cs="Times New Roman"/>
          <w:color w:val="000000" w:themeColor="text1"/>
          <w:szCs w:val="24"/>
        </w:rPr>
        <w:t xml:space="preserve"> market participant</w:t>
      </w:r>
      <w:r w:rsidR="00E34E30" w:rsidRPr="00027D7D">
        <w:rPr>
          <w:rFonts w:cs="Times New Roman"/>
          <w:color w:val="000000" w:themeColor="text1"/>
          <w:szCs w:val="24"/>
        </w:rPr>
        <w:t xml:space="preserve">s, </w:t>
      </w:r>
      <w:r w:rsidR="00B543C0" w:rsidRPr="00027D7D">
        <w:rPr>
          <w:rFonts w:cs="Times New Roman"/>
          <w:color w:val="000000" w:themeColor="text1"/>
          <w:szCs w:val="24"/>
        </w:rPr>
        <w:t>evolv</w:t>
      </w:r>
      <w:r w:rsidR="00FF6BA7" w:rsidRPr="00027D7D">
        <w:rPr>
          <w:rFonts w:cs="Times New Roman"/>
          <w:color w:val="000000" w:themeColor="text1"/>
          <w:szCs w:val="24"/>
        </w:rPr>
        <w:t>ing</w:t>
      </w:r>
      <w:r w:rsidR="00B543C0" w:rsidRPr="00027D7D">
        <w:rPr>
          <w:rFonts w:cs="Times New Roman"/>
          <w:color w:val="000000" w:themeColor="text1"/>
          <w:szCs w:val="24"/>
        </w:rPr>
        <w:t xml:space="preserve"> </w:t>
      </w:r>
      <w:r w:rsidR="004435BA" w:rsidRPr="00027D7D">
        <w:rPr>
          <w:rFonts w:cs="Times New Roman"/>
          <w:color w:val="000000" w:themeColor="text1"/>
          <w:szCs w:val="24"/>
        </w:rPr>
        <w:t xml:space="preserve"> partnerships </w:t>
      </w:r>
      <w:r w:rsidR="00E34E30" w:rsidRPr="00027D7D">
        <w:rPr>
          <w:rFonts w:cs="Times New Roman"/>
          <w:color w:val="000000" w:themeColor="text1"/>
          <w:szCs w:val="24"/>
        </w:rPr>
        <w:t>over time</w:t>
      </w:r>
      <w:r w:rsidR="00B543C0" w:rsidRPr="00027D7D">
        <w:rPr>
          <w:rFonts w:cs="Times New Roman"/>
          <w:color w:val="000000" w:themeColor="text1"/>
          <w:szCs w:val="24"/>
        </w:rPr>
        <w:t xml:space="preserve"> </w:t>
      </w:r>
      <w:r w:rsidR="00E85012" w:rsidRPr="00027D7D">
        <w:rPr>
          <w:rFonts w:cs="Times New Roman"/>
          <w:color w:val="000000" w:themeColor="text1"/>
          <w:szCs w:val="24"/>
        </w:rPr>
        <w:t xml:space="preserve">to increase </w:t>
      </w:r>
      <w:r w:rsidR="00B543C0" w:rsidRPr="00027D7D">
        <w:rPr>
          <w:rFonts w:cs="Times New Roman"/>
          <w:color w:val="000000" w:themeColor="text1"/>
          <w:szCs w:val="24"/>
        </w:rPr>
        <w:t>control of</w:t>
      </w:r>
      <w:r w:rsidR="004E6FEF" w:rsidRPr="00027D7D">
        <w:rPr>
          <w:rFonts w:cs="Times New Roman"/>
          <w:color w:val="000000" w:themeColor="text1"/>
          <w:szCs w:val="24"/>
        </w:rPr>
        <w:t xml:space="preserve"> resources beyond the scope of their legitimate market relationship</w:t>
      </w:r>
      <w:r w:rsidR="00B543C0" w:rsidRPr="00027D7D">
        <w:rPr>
          <w:rFonts w:cs="Times New Roman"/>
          <w:color w:val="000000" w:themeColor="text1"/>
          <w:szCs w:val="24"/>
        </w:rPr>
        <w:t>.</w:t>
      </w:r>
      <w:r w:rsidR="00B543C0" w:rsidRPr="00027D7D">
        <w:rPr>
          <w:rStyle w:val="EndnoteReference"/>
          <w:rFonts w:cs="Times New Roman"/>
          <w:color w:val="000000" w:themeColor="text1"/>
          <w:szCs w:val="24"/>
        </w:rPr>
        <w:endnoteReference w:id="153"/>
      </w:r>
      <w:r w:rsidR="00816849" w:rsidRPr="00027D7D">
        <w:rPr>
          <w:rFonts w:cs="Times New Roman"/>
          <w:color w:val="000000" w:themeColor="text1"/>
          <w:szCs w:val="24"/>
        </w:rPr>
        <w:t xml:space="preserve"> </w:t>
      </w:r>
      <w:r w:rsidR="00EB6225" w:rsidRPr="00027D7D">
        <w:rPr>
          <w:rFonts w:cs="Times New Roman"/>
          <w:color w:val="000000" w:themeColor="text1"/>
          <w:szCs w:val="24"/>
        </w:rPr>
        <w:t>Far from discrete and unambiguous rule breaking, this alternative conceptualization of inter-organizational corruption shows how such abuses often mutate from the normal</w:t>
      </w:r>
      <w:r w:rsidR="00EB6225" w:rsidRPr="002E6E04">
        <w:rPr>
          <w:rFonts w:cs="Times New Roman"/>
          <w:color w:val="000000" w:themeColor="text1"/>
          <w:szCs w:val="24"/>
        </w:rPr>
        <w:t xml:space="preserve"> pursuit of competitiveness and profitability, and as our analysis shows, this can extend to include an organization’s network of </w:t>
      </w:r>
      <w:r w:rsidR="00CF0965" w:rsidRPr="002E6E04">
        <w:rPr>
          <w:rFonts w:cs="Times New Roman"/>
          <w:color w:val="000000" w:themeColor="text1"/>
          <w:szCs w:val="24"/>
        </w:rPr>
        <w:t xml:space="preserve">ostensibly legitimate </w:t>
      </w:r>
      <w:r w:rsidR="00EB6225" w:rsidRPr="002E6E04">
        <w:rPr>
          <w:rFonts w:cs="Times New Roman"/>
          <w:color w:val="000000" w:themeColor="text1"/>
          <w:szCs w:val="24"/>
        </w:rPr>
        <w:t>market relations.</w:t>
      </w:r>
    </w:p>
    <w:p w14:paraId="7A5D2D90" w14:textId="6C7BA203" w:rsidR="004E6FEF" w:rsidRPr="00FB7CC6" w:rsidRDefault="00715602" w:rsidP="00720B40">
      <w:pPr>
        <w:spacing w:after="0"/>
        <w:ind w:firstLine="720"/>
        <w:rPr>
          <w:rFonts w:cs="Times New Roman"/>
          <w:color w:val="000000" w:themeColor="text1"/>
          <w:szCs w:val="24"/>
        </w:rPr>
      </w:pPr>
      <w:r w:rsidRPr="002E6E04">
        <w:rPr>
          <w:rFonts w:cs="Times New Roman"/>
          <w:color w:val="000000" w:themeColor="text1"/>
          <w:szCs w:val="24"/>
        </w:rPr>
        <w:t xml:space="preserve">While </w:t>
      </w:r>
      <w:r w:rsidR="003E5DD1" w:rsidRPr="002E6E04">
        <w:rPr>
          <w:rFonts w:cs="Times New Roman"/>
          <w:color w:val="000000" w:themeColor="text1"/>
          <w:szCs w:val="24"/>
        </w:rPr>
        <w:t>i</w:t>
      </w:r>
      <w:r w:rsidR="004E6FEF" w:rsidRPr="002E6E04">
        <w:rPr>
          <w:rFonts w:cs="Times New Roman"/>
          <w:color w:val="000000" w:themeColor="text1"/>
          <w:szCs w:val="24"/>
        </w:rPr>
        <w:t>llicit cartels</w:t>
      </w:r>
      <w:r w:rsidR="00327989" w:rsidRPr="002E6E04">
        <w:rPr>
          <w:rFonts w:cs="Times New Roman"/>
          <w:color w:val="000000" w:themeColor="text1"/>
          <w:szCs w:val="24"/>
        </w:rPr>
        <w:t xml:space="preserve"> </w:t>
      </w:r>
      <w:r w:rsidR="004E6FEF" w:rsidRPr="002E6E04">
        <w:rPr>
          <w:rFonts w:cs="Times New Roman"/>
          <w:color w:val="000000" w:themeColor="text1"/>
          <w:szCs w:val="24"/>
        </w:rPr>
        <w:t xml:space="preserve">represent an alternative </w:t>
      </w:r>
      <w:r w:rsidR="003E5DD1" w:rsidRPr="002E6E04">
        <w:rPr>
          <w:rFonts w:cs="Times New Roman"/>
          <w:color w:val="000000" w:themeColor="text1"/>
          <w:szCs w:val="24"/>
        </w:rPr>
        <w:t>form</w:t>
      </w:r>
      <w:r w:rsidR="004E6FEF" w:rsidRPr="002E6E04">
        <w:rPr>
          <w:rFonts w:cs="Times New Roman"/>
          <w:color w:val="000000" w:themeColor="text1"/>
          <w:szCs w:val="24"/>
        </w:rPr>
        <w:t xml:space="preserve"> </w:t>
      </w:r>
      <w:r w:rsidR="003E5DD1" w:rsidRPr="002E6E04">
        <w:rPr>
          <w:rFonts w:cs="Times New Roman"/>
          <w:color w:val="000000" w:themeColor="text1"/>
          <w:szCs w:val="24"/>
        </w:rPr>
        <w:t>of inter-organizational corruption</w:t>
      </w:r>
      <w:r w:rsidR="004E6FEF" w:rsidRPr="002E6E04">
        <w:rPr>
          <w:rFonts w:cs="Times New Roman"/>
          <w:color w:val="000000" w:themeColor="text1"/>
          <w:szCs w:val="24"/>
        </w:rPr>
        <w:t>,</w:t>
      </w:r>
      <w:r w:rsidR="003E5DD1" w:rsidRPr="002E6E04">
        <w:rPr>
          <w:rFonts w:cs="Times New Roman"/>
          <w:color w:val="000000" w:themeColor="text1"/>
          <w:szCs w:val="24"/>
        </w:rPr>
        <w:t xml:space="preserve"> these a</w:t>
      </w:r>
      <w:r w:rsidR="00E17439" w:rsidRPr="002E6E04">
        <w:rPr>
          <w:rFonts w:cs="Times New Roman"/>
          <w:color w:val="000000" w:themeColor="text1"/>
          <w:szCs w:val="24"/>
        </w:rPr>
        <w:t>re</w:t>
      </w:r>
      <w:r w:rsidR="003E5DD1" w:rsidRPr="002E6E04">
        <w:rPr>
          <w:rFonts w:cs="Times New Roman"/>
          <w:color w:val="000000" w:themeColor="text1"/>
          <w:szCs w:val="24"/>
        </w:rPr>
        <w:t xml:space="preserve"> notably different to the concept we </w:t>
      </w:r>
      <w:r w:rsidR="004C65BF" w:rsidRPr="002E6E04">
        <w:rPr>
          <w:rFonts w:cs="Times New Roman"/>
          <w:color w:val="000000" w:themeColor="text1"/>
          <w:szCs w:val="24"/>
        </w:rPr>
        <w:t>introduce here</w:t>
      </w:r>
      <w:r w:rsidR="003E5DD1" w:rsidRPr="002E6E04">
        <w:rPr>
          <w:rFonts w:cs="Times New Roman"/>
          <w:color w:val="000000" w:themeColor="text1"/>
          <w:szCs w:val="24"/>
        </w:rPr>
        <w:t>.</w:t>
      </w:r>
      <w:r w:rsidR="004E6FEF" w:rsidRPr="002E6E04">
        <w:rPr>
          <w:rFonts w:cs="Times New Roman"/>
          <w:color w:val="000000" w:themeColor="text1"/>
          <w:szCs w:val="24"/>
        </w:rPr>
        <w:t xml:space="preserve"> </w:t>
      </w:r>
      <w:r w:rsidR="003E5DD1" w:rsidRPr="002E6E04">
        <w:rPr>
          <w:rFonts w:cs="Times New Roman"/>
          <w:color w:val="000000" w:themeColor="text1"/>
          <w:szCs w:val="24"/>
        </w:rPr>
        <w:t>With</w:t>
      </w:r>
      <w:r w:rsidR="00327989" w:rsidRPr="002E6E04">
        <w:rPr>
          <w:rFonts w:cs="Times New Roman"/>
          <w:color w:val="000000" w:themeColor="text1"/>
          <w:szCs w:val="24"/>
        </w:rPr>
        <w:t>in</w:t>
      </w:r>
      <w:r w:rsidR="003E5DD1" w:rsidRPr="002E6E04">
        <w:rPr>
          <w:rFonts w:cs="Times New Roman"/>
          <w:color w:val="000000" w:themeColor="text1"/>
          <w:szCs w:val="24"/>
        </w:rPr>
        <w:t xml:space="preserve"> such networks,</w:t>
      </w:r>
      <w:r w:rsidR="004E6FEF" w:rsidRPr="002E6E04">
        <w:rPr>
          <w:rFonts w:cs="Times New Roman"/>
          <w:color w:val="000000" w:themeColor="text1"/>
          <w:szCs w:val="24"/>
        </w:rPr>
        <w:t xml:space="preserve"> scope for collaboration is narrow</w:t>
      </w:r>
      <w:r w:rsidR="00720B40" w:rsidRPr="002E6E04">
        <w:rPr>
          <w:rFonts w:cs="Times New Roman"/>
          <w:color w:val="000000" w:themeColor="text1"/>
          <w:szCs w:val="24"/>
        </w:rPr>
        <w:t xml:space="preserve">ly </w:t>
      </w:r>
      <w:r w:rsidR="003E5DD1" w:rsidRPr="002E6E04">
        <w:rPr>
          <w:rFonts w:cs="Times New Roman"/>
          <w:color w:val="000000" w:themeColor="text1"/>
          <w:szCs w:val="24"/>
        </w:rPr>
        <w:t>focused</w:t>
      </w:r>
      <w:r w:rsidR="004E6FEF" w:rsidRPr="002E6E04">
        <w:rPr>
          <w:rFonts w:cs="Times New Roman"/>
          <w:color w:val="000000" w:themeColor="text1"/>
          <w:szCs w:val="24"/>
        </w:rPr>
        <w:t xml:space="preserve"> </w:t>
      </w:r>
      <w:r w:rsidR="00720B40" w:rsidRPr="002E6E04">
        <w:rPr>
          <w:rFonts w:cs="Times New Roman"/>
          <w:color w:val="000000" w:themeColor="text1"/>
          <w:szCs w:val="24"/>
        </w:rPr>
        <w:t xml:space="preserve">(on </w:t>
      </w:r>
      <w:r w:rsidR="004E6FEF" w:rsidRPr="002E6E04">
        <w:rPr>
          <w:rFonts w:cs="Times New Roman"/>
          <w:color w:val="000000" w:themeColor="text1"/>
          <w:szCs w:val="24"/>
        </w:rPr>
        <w:t>price</w:t>
      </w:r>
      <w:r w:rsidR="00327989" w:rsidRPr="002E6E04">
        <w:rPr>
          <w:rFonts w:cs="Times New Roman"/>
          <w:color w:val="000000" w:themeColor="text1"/>
          <w:szCs w:val="24"/>
        </w:rPr>
        <w:t xml:space="preserve"> fixing</w:t>
      </w:r>
      <w:r w:rsidR="004E6FEF" w:rsidRPr="002E6E04">
        <w:rPr>
          <w:rFonts w:cs="Times New Roman"/>
          <w:color w:val="000000" w:themeColor="text1"/>
          <w:szCs w:val="24"/>
        </w:rPr>
        <w:t>) and generally disconnected from legitimate market structures.</w:t>
      </w:r>
      <w:r w:rsidR="004E6FEF" w:rsidRPr="002E6E04">
        <w:rPr>
          <w:rStyle w:val="EndnoteReference"/>
          <w:rFonts w:cs="Times New Roman"/>
          <w:color w:val="000000" w:themeColor="text1"/>
          <w:szCs w:val="24"/>
        </w:rPr>
        <w:endnoteReference w:id="154"/>
      </w:r>
      <w:r w:rsidR="004E6FEF" w:rsidRPr="002E6E04">
        <w:rPr>
          <w:rFonts w:cs="Times New Roman"/>
          <w:color w:val="000000" w:themeColor="text1"/>
          <w:szCs w:val="24"/>
        </w:rPr>
        <w:t xml:space="preserve"> </w:t>
      </w:r>
      <w:r w:rsidR="00720B40" w:rsidRPr="002E6E04">
        <w:rPr>
          <w:rFonts w:cs="Times New Roman"/>
          <w:color w:val="000000" w:themeColor="text1"/>
          <w:szCs w:val="24"/>
        </w:rPr>
        <w:t>As such, price fixing is generally intermittent and covert practice</w:t>
      </w:r>
      <w:r w:rsidR="00327989" w:rsidRPr="002E6E04">
        <w:rPr>
          <w:rFonts w:cs="Times New Roman"/>
          <w:color w:val="000000" w:themeColor="text1"/>
          <w:szCs w:val="24"/>
        </w:rPr>
        <w:t xml:space="preserve"> - </w:t>
      </w:r>
      <w:r w:rsidR="003E5DD1" w:rsidRPr="002E6E04">
        <w:rPr>
          <w:rFonts w:cs="Times New Roman"/>
          <w:color w:val="000000" w:themeColor="text1"/>
          <w:szCs w:val="24"/>
        </w:rPr>
        <w:t>Brooks talks of G</w:t>
      </w:r>
      <w:r w:rsidR="00E45B1D" w:rsidRPr="002E6E04">
        <w:rPr>
          <w:rFonts w:cs="Times New Roman"/>
          <w:color w:val="000000" w:themeColor="text1"/>
          <w:szCs w:val="24"/>
        </w:rPr>
        <w:t>.</w:t>
      </w:r>
      <w:r w:rsidR="003E5DD1" w:rsidRPr="002E6E04">
        <w:rPr>
          <w:rFonts w:cs="Times New Roman"/>
          <w:color w:val="000000" w:themeColor="text1"/>
          <w:szCs w:val="24"/>
        </w:rPr>
        <w:t>E</w:t>
      </w:r>
      <w:r w:rsidR="00E45B1D" w:rsidRPr="002E6E04">
        <w:rPr>
          <w:rFonts w:cs="Times New Roman"/>
          <w:color w:val="000000" w:themeColor="text1"/>
          <w:szCs w:val="24"/>
        </w:rPr>
        <w:t>.</w:t>
      </w:r>
      <w:r w:rsidR="003E5DD1" w:rsidRPr="002E6E04">
        <w:rPr>
          <w:rFonts w:cs="Times New Roman"/>
          <w:color w:val="000000" w:themeColor="text1"/>
          <w:szCs w:val="24"/>
        </w:rPr>
        <w:t xml:space="preserve"> managers</w:t>
      </w:r>
      <w:r w:rsidR="00E45B1D" w:rsidRPr="002E6E04">
        <w:rPr>
          <w:rFonts w:cs="Times New Roman"/>
          <w:color w:val="000000" w:themeColor="text1"/>
          <w:szCs w:val="24"/>
        </w:rPr>
        <w:t xml:space="preserve"> periodically</w:t>
      </w:r>
      <w:r w:rsidR="003E5DD1" w:rsidRPr="002E6E04">
        <w:rPr>
          <w:rFonts w:cs="Times New Roman"/>
          <w:color w:val="000000" w:themeColor="text1"/>
          <w:szCs w:val="24"/>
        </w:rPr>
        <w:t xml:space="preserve"> going to surreptitious lunches a</w:t>
      </w:r>
      <w:r w:rsidR="00E45B1D" w:rsidRPr="002E6E04">
        <w:rPr>
          <w:rFonts w:cs="Times New Roman"/>
          <w:color w:val="000000" w:themeColor="text1"/>
          <w:szCs w:val="24"/>
        </w:rPr>
        <w:t>nd</w:t>
      </w:r>
      <w:r w:rsidR="00720B40" w:rsidRPr="002E6E04">
        <w:rPr>
          <w:rFonts w:cs="Times New Roman"/>
          <w:color w:val="000000" w:themeColor="text1"/>
          <w:szCs w:val="24"/>
        </w:rPr>
        <w:t xml:space="preserve"> </w:t>
      </w:r>
      <w:r w:rsidR="00785C74" w:rsidRPr="002E6E04">
        <w:rPr>
          <w:rFonts w:cs="Times New Roman"/>
          <w:color w:val="000000" w:themeColor="text1"/>
          <w:szCs w:val="24"/>
        </w:rPr>
        <w:t xml:space="preserve">holding </w:t>
      </w:r>
      <w:r w:rsidR="00720B40" w:rsidRPr="002E6E04">
        <w:rPr>
          <w:rFonts w:cs="Times New Roman"/>
          <w:color w:val="000000" w:themeColor="text1"/>
          <w:szCs w:val="24"/>
        </w:rPr>
        <w:t xml:space="preserve">euphemistic discussions with colleagues </w:t>
      </w:r>
      <w:r w:rsidR="00327989" w:rsidRPr="002E6E04">
        <w:rPr>
          <w:rFonts w:cs="Times New Roman"/>
          <w:color w:val="000000" w:themeColor="text1"/>
          <w:szCs w:val="24"/>
        </w:rPr>
        <w:t>– which</w:t>
      </w:r>
      <w:r w:rsidR="00E45B1D" w:rsidRPr="002E6E04">
        <w:rPr>
          <w:rFonts w:cs="Times New Roman"/>
          <w:color w:val="000000" w:themeColor="text1"/>
          <w:szCs w:val="24"/>
        </w:rPr>
        <w:t xml:space="preserve">, even </w:t>
      </w:r>
      <w:r w:rsidR="00327989" w:rsidRPr="002E6E04">
        <w:rPr>
          <w:rFonts w:cs="Times New Roman"/>
          <w:color w:val="000000" w:themeColor="text1"/>
          <w:szCs w:val="24"/>
        </w:rPr>
        <w:t>when</w:t>
      </w:r>
      <w:r w:rsidR="00E45B1D" w:rsidRPr="002E6E04">
        <w:rPr>
          <w:rFonts w:cs="Times New Roman"/>
          <w:color w:val="000000" w:themeColor="text1"/>
          <w:szCs w:val="24"/>
        </w:rPr>
        <w:t xml:space="preserve"> widely practice</w:t>
      </w:r>
      <w:r w:rsidR="009776A8" w:rsidRPr="002E6E04">
        <w:rPr>
          <w:rFonts w:cs="Times New Roman"/>
          <w:color w:val="000000" w:themeColor="text1"/>
          <w:szCs w:val="24"/>
        </w:rPr>
        <w:t>d</w:t>
      </w:r>
      <w:r w:rsidR="00E45B1D" w:rsidRPr="002E6E04">
        <w:rPr>
          <w:rFonts w:cs="Times New Roman"/>
          <w:color w:val="000000" w:themeColor="text1"/>
          <w:szCs w:val="24"/>
        </w:rPr>
        <w:t xml:space="preserve"> and accepted, </w:t>
      </w:r>
      <w:r w:rsidR="00327989" w:rsidRPr="002E6E04">
        <w:rPr>
          <w:rFonts w:cs="Times New Roman"/>
          <w:color w:val="000000" w:themeColor="text1"/>
          <w:szCs w:val="24"/>
        </w:rPr>
        <w:t>are generally forbidden officially by the organization(s) involved</w:t>
      </w:r>
      <w:r w:rsidR="00E45B1D" w:rsidRPr="002E6E04">
        <w:rPr>
          <w:rFonts w:cs="Times New Roman"/>
          <w:color w:val="000000" w:themeColor="text1"/>
          <w:szCs w:val="24"/>
        </w:rPr>
        <w:t>.</w:t>
      </w:r>
      <w:r w:rsidR="00720B40" w:rsidRPr="002E6E04">
        <w:rPr>
          <w:rStyle w:val="EndnoteReference"/>
          <w:rFonts w:cs="Times New Roman"/>
          <w:color w:val="000000" w:themeColor="text1"/>
          <w:szCs w:val="24"/>
        </w:rPr>
        <w:endnoteReference w:id="155"/>
      </w:r>
      <w:r w:rsidR="00E45B1D" w:rsidRPr="002E6E04">
        <w:rPr>
          <w:rFonts w:cs="Times New Roman"/>
          <w:color w:val="000000" w:themeColor="text1"/>
          <w:szCs w:val="24"/>
        </w:rPr>
        <w:t xml:space="preserve"> </w:t>
      </w:r>
      <w:r w:rsidR="00327989" w:rsidRPr="002E6E04">
        <w:rPr>
          <w:rFonts w:cs="Times New Roman"/>
          <w:color w:val="000000" w:themeColor="text1"/>
          <w:szCs w:val="24"/>
        </w:rPr>
        <w:t xml:space="preserve">Bribery or rent-seeking relations are similarly unambiguous in their </w:t>
      </w:r>
      <w:r w:rsidR="00720B40" w:rsidRPr="002E6E04">
        <w:rPr>
          <w:rFonts w:cs="Times New Roman"/>
          <w:color w:val="000000" w:themeColor="text1"/>
          <w:szCs w:val="24"/>
        </w:rPr>
        <w:t>wrongfulness</w:t>
      </w:r>
      <w:r w:rsidR="00327989" w:rsidRPr="002E6E04">
        <w:rPr>
          <w:rFonts w:cs="Times New Roman"/>
          <w:color w:val="000000" w:themeColor="text1"/>
          <w:szCs w:val="24"/>
        </w:rPr>
        <w:t xml:space="preserve">, and </w:t>
      </w:r>
      <w:r w:rsidR="00720B40" w:rsidRPr="002E6E04">
        <w:rPr>
          <w:rFonts w:cs="Times New Roman"/>
          <w:color w:val="000000" w:themeColor="text1"/>
          <w:szCs w:val="24"/>
        </w:rPr>
        <w:t xml:space="preserve">also </w:t>
      </w:r>
      <w:r w:rsidR="00327989" w:rsidRPr="002E6E04">
        <w:rPr>
          <w:rFonts w:cs="Times New Roman"/>
          <w:color w:val="000000" w:themeColor="text1"/>
          <w:szCs w:val="24"/>
        </w:rPr>
        <w:t>like cartels, involve corruption committed across a</w:t>
      </w:r>
      <w:r w:rsidR="009776A8" w:rsidRPr="002E6E04">
        <w:rPr>
          <w:rFonts w:cs="Times New Roman"/>
          <w:color w:val="000000" w:themeColor="text1"/>
          <w:szCs w:val="24"/>
        </w:rPr>
        <w:t xml:space="preserve"> </w:t>
      </w:r>
      <w:r w:rsidR="00327989" w:rsidRPr="002E6E04">
        <w:rPr>
          <w:rFonts w:cs="Times New Roman"/>
          <w:color w:val="000000" w:themeColor="text1"/>
          <w:szCs w:val="24"/>
        </w:rPr>
        <w:t>network</w:t>
      </w:r>
      <w:r w:rsidR="00785C74" w:rsidRPr="002E6E04">
        <w:rPr>
          <w:rFonts w:cs="Times New Roman"/>
          <w:color w:val="000000" w:themeColor="text1"/>
          <w:szCs w:val="24"/>
        </w:rPr>
        <w:t>,</w:t>
      </w:r>
      <w:r w:rsidR="00327989" w:rsidRPr="002E6E04">
        <w:rPr>
          <w:rFonts w:cs="Times New Roman"/>
          <w:color w:val="000000" w:themeColor="text1"/>
          <w:szCs w:val="24"/>
        </w:rPr>
        <w:t xml:space="preserve"> rather than through one dominant organization. </w:t>
      </w:r>
      <w:r w:rsidR="004E6FEF" w:rsidRPr="002E6E04">
        <w:rPr>
          <w:rFonts w:cs="Times New Roman"/>
          <w:color w:val="000000" w:themeColor="text1"/>
          <w:szCs w:val="24"/>
        </w:rPr>
        <w:t xml:space="preserve">In contrast, </w:t>
      </w:r>
      <w:r w:rsidR="00E45B1D" w:rsidRPr="002E6E04">
        <w:rPr>
          <w:rFonts w:cs="Times New Roman"/>
          <w:color w:val="000000" w:themeColor="text1"/>
          <w:szCs w:val="24"/>
        </w:rPr>
        <w:t>our</w:t>
      </w:r>
      <w:r w:rsidR="003E5DD1" w:rsidRPr="002E6E04">
        <w:rPr>
          <w:rFonts w:cs="Times New Roman"/>
          <w:color w:val="000000" w:themeColor="text1"/>
          <w:szCs w:val="24"/>
        </w:rPr>
        <w:t xml:space="preserve"> </w:t>
      </w:r>
      <w:r w:rsidR="004E6FEF" w:rsidRPr="002E6E04">
        <w:rPr>
          <w:rFonts w:cs="Times New Roman"/>
          <w:color w:val="000000" w:themeColor="text1"/>
          <w:szCs w:val="24"/>
        </w:rPr>
        <w:lastRenderedPageBreak/>
        <w:t xml:space="preserve">case elaborates </w:t>
      </w:r>
      <w:r w:rsidR="00720B40" w:rsidRPr="002E6E04">
        <w:rPr>
          <w:rFonts w:cs="Times New Roman"/>
          <w:color w:val="000000" w:themeColor="text1"/>
          <w:szCs w:val="24"/>
        </w:rPr>
        <w:t xml:space="preserve">a form of corruption </w:t>
      </w:r>
      <w:r w:rsidR="00785C74" w:rsidRPr="002E6E04">
        <w:rPr>
          <w:rFonts w:cs="Times New Roman"/>
          <w:color w:val="000000" w:themeColor="text1"/>
          <w:szCs w:val="24"/>
        </w:rPr>
        <w:t>that closely aligned with normal operational activities</w:t>
      </w:r>
      <w:r w:rsidR="004E6FEF" w:rsidRPr="002E6E04">
        <w:rPr>
          <w:rFonts w:cs="Times New Roman"/>
          <w:color w:val="000000" w:themeColor="text1"/>
          <w:szCs w:val="24"/>
        </w:rPr>
        <w:t>,</w:t>
      </w:r>
      <w:r w:rsidR="00785C74" w:rsidRPr="002E6E04">
        <w:rPr>
          <w:rFonts w:cs="Times New Roman"/>
          <w:color w:val="000000" w:themeColor="text1"/>
          <w:szCs w:val="24"/>
        </w:rPr>
        <w:t xml:space="preserve"> representing </w:t>
      </w:r>
      <w:r w:rsidR="004E6FEF" w:rsidRPr="002E6E04">
        <w:rPr>
          <w:rFonts w:cs="Times New Roman"/>
          <w:color w:val="000000" w:themeColor="text1"/>
          <w:szCs w:val="24"/>
        </w:rPr>
        <w:t xml:space="preserve">illicit means by which multiple organizational </w:t>
      </w:r>
      <w:r w:rsidRPr="002E6E04">
        <w:rPr>
          <w:rFonts w:cs="Times New Roman"/>
          <w:color w:val="000000" w:themeColor="text1"/>
          <w:szCs w:val="24"/>
        </w:rPr>
        <w:t xml:space="preserve">commercial </w:t>
      </w:r>
      <w:r w:rsidR="004E6FEF" w:rsidRPr="002E6E04">
        <w:rPr>
          <w:rFonts w:cs="Times New Roman"/>
          <w:color w:val="000000" w:themeColor="text1"/>
          <w:szCs w:val="24"/>
        </w:rPr>
        <w:t xml:space="preserve">interests </w:t>
      </w:r>
      <w:r w:rsidRPr="002E6E04">
        <w:rPr>
          <w:rFonts w:cs="Times New Roman"/>
          <w:color w:val="000000" w:themeColor="text1"/>
          <w:szCs w:val="24"/>
        </w:rPr>
        <w:t xml:space="preserve">were directly or indirectly </w:t>
      </w:r>
      <w:r w:rsidR="004E6FEF" w:rsidRPr="002E6E04">
        <w:rPr>
          <w:rFonts w:cs="Times New Roman"/>
          <w:color w:val="000000" w:themeColor="text1"/>
          <w:szCs w:val="24"/>
        </w:rPr>
        <w:t xml:space="preserve">realized. </w:t>
      </w:r>
      <w:r w:rsidRPr="002E6E04">
        <w:rPr>
          <w:rFonts w:cs="Times New Roman"/>
          <w:color w:val="000000" w:themeColor="text1"/>
          <w:szCs w:val="24"/>
        </w:rPr>
        <w:t>Thus, traders communicated their practices in an</w:t>
      </w:r>
      <w:r w:rsidR="00E45B1D" w:rsidRPr="002E6E04">
        <w:rPr>
          <w:rFonts w:cs="Times New Roman"/>
          <w:color w:val="000000" w:themeColor="text1"/>
          <w:szCs w:val="24"/>
        </w:rPr>
        <w:t xml:space="preserve"> uncomplicated and explicit </w:t>
      </w:r>
      <w:r w:rsidR="00327989" w:rsidRPr="002E6E04">
        <w:rPr>
          <w:rFonts w:cs="Times New Roman"/>
          <w:color w:val="000000" w:themeColor="text1"/>
          <w:szCs w:val="24"/>
        </w:rPr>
        <w:t>way</w:t>
      </w:r>
      <w:r w:rsidR="00E45B1D" w:rsidRPr="002E6E04">
        <w:rPr>
          <w:rFonts w:cs="Times New Roman"/>
          <w:color w:val="000000" w:themeColor="text1"/>
          <w:szCs w:val="24"/>
        </w:rPr>
        <w:t xml:space="preserve">, even highlighting their gaming achievements and discussing their strategies </w:t>
      </w:r>
      <w:r w:rsidR="003D52FC" w:rsidRPr="002E6E04">
        <w:rPr>
          <w:rFonts w:cs="Times New Roman"/>
          <w:color w:val="000000" w:themeColor="text1"/>
          <w:szCs w:val="24"/>
        </w:rPr>
        <w:t xml:space="preserve">and partnerships </w:t>
      </w:r>
      <w:r w:rsidR="00E45B1D" w:rsidRPr="002E6E04">
        <w:rPr>
          <w:rFonts w:cs="Times New Roman"/>
          <w:color w:val="000000" w:themeColor="text1"/>
          <w:szCs w:val="24"/>
        </w:rPr>
        <w:t>open</w:t>
      </w:r>
      <w:r w:rsidRPr="002E6E04">
        <w:rPr>
          <w:rFonts w:cs="Times New Roman"/>
          <w:color w:val="000000" w:themeColor="text1"/>
          <w:szCs w:val="24"/>
        </w:rPr>
        <w:t>ly</w:t>
      </w:r>
      <w:r w:rsidR="00E45B1D" w:rsidRPr="002E6E04">
        <w:rPr>
          <w:rFonts w:cs="Times New Roman"/>
          <w:color w:val="000000" w:themeColor="text1"/>
          <w:szCs w:val="24"/>
        </w:rPr>
        <w:t xml:space="preserve">. </w:t>
      </w:r>
      <w:r w:rsidR="00327989" w:rsidRPr="002E6E04">
        <w:rPr>
          <w:rFonts w:cs="Times New Roman"/>
          <w:color w:val="000000" w:themeColor="text1"/>
          <w:szCs w:val="24"/>
        </w:rPr>
        <w:t>I</w:t>
      </w:r>
      <w:r w:rsidR="00E45B1D" w:rsidRPr="002E6E04">
        <w:rPr>
          <w:rFonts w:cs="Times New Roman"/>
          <w:color w:val="000000" w:themeColor="text1"/>
          <w:szCs w:val="24"/>
        </w:rPr>
        <w:t xml:space="preserve">t was only </w:t>
      </w:r>
      <w:r w:rsidR="00327989" w:rsidRPr="002E6E04">
        <w:rPr>
          <w:rFonts w:cs="Times New Roman"/>
          <w:color w:val="000000" w:themeColor="text1"/>
          <w:szCs w:val="24"/>
        </w:rPr>
        <w:t>with the worsening</w:t>
      </w:r>
      <w:r w:rsidR="00E45B1D" w:rsidRPr="002E6E04">
        <w:rPr>
          <w:rFonts w:cs="Times New Roman"/>
          <w:color w:val="000000" w:themeColor="text1"/>
          <w:szCs w:val="24"/>
        </w:rPr>
        <w:t xml:space="preserve"> energy crisis and </w:t>
      </w:r>
      <w:r w:rsidR="00E62DDF">
        <w:rPr>
          <w:rFonts w:cs="Times New Roman"/>
          <w:color w:val="000000" w:themeColor="text1"/>
          <w:szCs w:val="24"/>
        </w:rPr>
        <w:t xml:space="preserve">the </w:t>
      </w:r>
      <w:r w:rsidR="00E45B1D" w:rsidRPr="002E6E04">
        <w:rPr>
          <w:rFonts w:cs="Times New Roman"/>
          <w:color w:val="000000" w:themeColor="text1"/>
          <w:szCs w:val="24"/>
        </w:rPr>
        <w:t>FERC’s investigation</w:t>
      </w:r>
      <w:r w:rsidR="00327989" w:rsidRPr="002E6E04">
        <w:rPr>
          <w:rFonts w:cs="Times New Roman"/>
          <w:color w:val="000000" w:themeColor="text1"/>
          <w:szCs w:val="24"/>
        </w:rPr>
        <w:t xml:space="preserve">, that their </w:t>
      </w:r>
      <w:r w:rsidR="00327989" w:rsidRPr="00FB7CC6">
        <w:rPr>
          <w:rFonts w:cs="Times New Roman"/>
          <w:color w:val="000000" w:themeColor="text1"/>
          <w:szCs w:val="24"/>
        </w:rPr>
        <w:t>corruption took on a more clandestine form.</w:t>
      </w:r>
      <w:r w:rsidR="00720B40" w:rsidRPr="00FB7CC6">
        <w:rPr>
          <w:rFonts w:cs="Times New Roman"/>
          <w:color w:val="000000" w:themeColor="text1"/>
          <w:szCs w:val="24"/>
        </w:rPr>
        <w:t xml:space="preserve"> </w:t>
      </w:r>
    </w:p>
    <w:p w14:paraId="6953CEA6" w14:textId="2FBC771F" w:rsidR="004E6FEF" w:rsidRPr="00FB7CC6" w:rsidRDefault="00715602" w:rsidP="004E6FEF">
      <w:pPr>
        <w:spacing w:after="0"/>
        <w:ind w:firstLine="720"/>
        <w:rPr>
          <w:rFonts w:cs="Times New Roman"/>
          <w:color w:val="000000" w:themeColor="text1"/>
          <w:szCs w:val="24"/>
        </w:rPr>
      </w:pPr>
      <w:r w:rsidRPr="00FB7CC6">
        <w:rPr>
          <w:color w:val="000000" w:themeColor="text1"/>
        </w:rPr>
        <w:t>In this regard, o</w:t>
      </w:r>
      <w:r w:rsidR="004E6FEF" w:rsidRPr="00FB7CC6">
        <w:rPr>
          <w:color w:val="000000" w:themeColor="text1"/>
        </w:rPr>
        <w:t>ur analysis of Enron also shows the normalization of corrup</w:t>
      </w:r>
      <w:r w:rsidR="00027D7D" w:rsidRPr="00FB7CC6">
        <w:rPr>
          <w:color w:val="000000" w:themeColor="text1"/>
        </w:rPr>
        <w:t>t “gaming,”</w:t>
      </w:r>
      <w:r w:rsidR="004E6FEF" w:rsidRPr="00FB7CC6">
        <w:rPr>
          <w:color w:val="000000" w:themeColor="text1"/>
        </w:rPr>
        <w:t>, where</w:t>
      </w:r>
      <w:r w:rsidR="00720B40" w:rsidRPr="00FB7CC6">
        <w:rPr>
          <w:color w:val="000000" w:themeColor="text1"/>
        </w:rPr>
        <w:t xml:space="preserve">by market manipulation became a core component of day-to-day operations and the </w:t>
      </w:r>
      <w:r w:rsidR="004E6FEF" w:rsidRPr="00FB7CC6">
        <w:rPr>
          <w:color w:val="000000" w:themeColor="text1"/>
        </w:rPr>
        <w:t>deliberate pursuit of organizational profit.</w:t>
      </w:r>
      <w:r w:rsidR="004E6FEF" w:rsidRPr="00FB7CC6">
        <w:rPr>
          <w:rStyle w:val="EndnoteReference"/>
          <w:color w:val="000000" w:themeColor="text1"/>
        </w:rPr>
        <w:endnoteReference w:id="156"/>
      </w:r>
      <w:r w:rsidR="004E6FEF" w:rsidRPr="00FB7CC6">
        <w:rPr>
          <w:color w:val="000000" w:themeColor="text1"/>
        </w:rPr>
        <w:t xml:space="preserve"> </w:t>
      </w:r>
      <w:r w:rsidR="004E6FEF" w:rsidRPr="00FB7CC6">
        <w:rPr>
          <w:rFonts w:cs="Times New Roman"/>
          <w:color w:val="000000" w:themeColor="text1"/>
          <w:szCs w:val="24"/>
        </w:rPr>
        <w:t>While the process of normalization has been described empirically – most notably in Diane Vaughan’s ethnographic history of deviance within NASA – detailed analysis concerning corruption remains largely theoretical.</w:t>
      </w:r>
      <w:r w:rsidR="004E6FEF" w:rsidRPr="00FB7CC6">
        <w:rPr>
          <w:rStyle w:val="EndnoteReference"/>
          <w:rFonts w:cs="Times New Roman"/>
          <w:color w:val="000000" w:themeColor="text1"/>
          <w:szCs w:val="24"/>
        </w:rPr>
        <w:endnoteReference w:id="157"/>
      </w:r>
      <w:r w:rsidR="004E6FEF" w:rsidRPr="00FB7CC6">
        <w:rPr>
          <w:rFonts w:cs="Times New Roman"/>
          <w:color w:val="000000" w:themeColor="text1"/>
          <w:szCs w:val="24"/>
        </w:rPr>
        <w:t xml:space="preserve"> </w:t>
      </w:r>
      <w:r w:rsidR="00EB6225" w:rsidRPr="00FB7CC6">
        <w:rPr>
          <w:rFonts w:cs="Times New Roman"/>
          <w:color w:val="000000" w:themeColor="text1"/>
          <w:szCs w:val="24"/>
        </w:rPr>
        <w:t>N</w:t>
      </w:r>
      <w:r w:rsidR="004E6FEF" w:rsidRPr="00FB7CC6">
        <w:rPr>
          <w:rFonts w:cs="Times New Roman"/>
          <w:color w:val="000000" w:themeColor="text1"/>
          <w:szCs w:val="24"/>
        </w:rPr>
        <w:t xml:space="preserve">ormalization within </w:t>
      </w:r>
      <w:r w:rsidR="00CD7833" w:rsidRPr="00FB7CC6">
        <w:rPr>
          <w:rFonts w:cs="Times New Roman"/>
          <w:color w:val="000000" w:themeColor="text1"/>
          <w:szCs w:val="24"/>
        </w:rPr>
        <w:t xml:space="preserve">Enron and its network </w:t>
      </w:r>
      <w:r w:rsidR="004E6FEF" w:rsidRPr="00FB7CC6">
        <w:rPr>
          <w:rFonts w:cs="Times New Roman"/>
          <w:color w:val="000000" w:themeColor="text1"/>
          <w:szCs w:val="24"/>
        </w:rPr>
        <w:t xml:space="preserve">emerged from intricate patterns of </w:t>
      </w:r>
      <w:r w:rsidR="00027D7D" w:rsidRPr="00FB7CC6">
        <w:rPr>
          <w:rFonts w:cs="Times New Roman"/>
          <w:color w:val="000000" w:themeColor="text1"/>
          <w:szCs w:val="24"/>
        </w:rPr>
        <w:t>network</w:t>
      </w:r>
      <w:r w:rsidR="004E6FEF" w:rsidRPr="00FB7CC6">
        <w:rPr>
          <w:rFonts w:cs="Times New Roman"/>
          <w:color w:val="000000" w:themeColor="text1"/>
          <w:szCs w:val="24"/>
        </w:rPr>
        <w:t xml:space="preserve"> </w:t>
      </w:r>
      <w:r w:rsidR="0067243D" w:rsidRPr="00FB7CC6">
        <w:rPr>
          <w:rFonts w:cs="Times New Roman"/>
          <w:color w:val="000000" w:themeColor="text1"/>
          <w:szCs w:val="24"/>
        </w:rPr>
        <w:t>interaction</w:t>
      </w:r>
      <w:r w:rsidR="00F32211" w:rsidRPr="00FB7CC6">
        <w:rPr>
          <w:rFonts w:cs="Times New Roman"/>
          <w:color w:val="000000" w:themeColor="text1"/>
          <w:szCs w:val="24"/>
        </w:rPr>
        <w:t>s</w:t>
      </w:r>
      <w:r w:rsidR="004E6FEF" w:rsidRPr="00FB7CC6">
        <w:rPr>
          <w:rFonts w:cs="Times New Roman"/>
          <w:color w:val="000000" w:themeColor="text1"/>
          <w:szCs w:val="24"/>
        </w:rPr>
        <w:t xml:space="preserve"> that, while not necessarily of individual significance, collectively showed the embedding and routinization of deviant behaviors over time. Sustained enquiry into the psychology of wrongdoing also shows that actors often frame their decisions around self-deceptive rationalizations, which can themselves contribute to the process of normalization.</w:t>
      </w:r>
      <w:r w:rsidR="004E6FEF" w:rsidRPr="00FB7CC6">
        <w:rPr>
          <w:rStyle w:val="EndnoteReference"/>
          <w:rFonts w:cs="Times New Roman"/>
          <w:color w:val="000000" w:themeColor="text1"/>
          <w:szCs w:val="24"/>
        </w:rPr>
        <w:endnoteReference w:id="158"/>
      </w:r>
      <w:r w:rsidR="004E6FEF" w:rsidRPr="00FB7CC6">
        <w:rPr>
          <w:rFonts w:cs="Times New Roman"/>
          <w:color w:val="000000" w:themeColor="text1"/>
          <w:szCs w:val="24"/>
        </w:rPr>
        <w:t xml:space="preserve"> While this is primarily seen as a cognitive process, the everyday organization of corruption shows how these rationalizations are also developed through the interactions and collectively constructed beliefs and responses of participating individuals.</w:t>
      </w:r>
      <w:r w:rsidR="004E6FEF" w:rsidRPr="00FB7CC6">
        <w:rPr>
          <w:rStyle w:val="EndnoteReference"/>
          <w:rFonts w:cs="Times New Roman"/>
          <w:color w:val="000000" w:themeColor="text1"/>
          <w:szCs w:val="24"/>
        </w:rPr>
        <w:endnoteReference w:id="159"/>
      </w:r>
      <w:r w:rsidR="004E6FEF" w:rsidRPr="00FB7CC6">
        <w:rPr>
          <w:rFonts w:cs="Times New Roman"/>
          <w:color w:val="000000" w:themeColor="text1"/>
          <w:szCs w:val="24"/>
        </w:rPr>
        <w:t xml:space="preserve"> In this way, the collective interpretation of, and response to, the crisis was mediated through regular informal interaction, and the</w:t>
      </w:r>
      <w:r w:rsidR="00EB6225" w:rsidRPr="00FB7CC6">
        <w:rPr>
          <w:rFonts w:cs="Times New Roman"/>
          <w:color w:val="000000" w:themeColor="text1"/>
          <w:szCs w:val="24"/>
        </w:rPr>
        <w:t xml:space="preserve"> clandestine norms later</w:t>
      </w:r>
      <w:r w:rsidR="004E6FEF" w:rsidRPr="00FB7CC6">
        <w:rPr>
          <w:rFonts w:cs="Times New Roman"/>
          <w:color w:val="000000" w:themeColor="text1"/>
          <w:szCs w:val="24"/>
        </w:rPr>
        <w:t xml:space="preserve"> instigated by </w:t>
      </w:r>
      <w:r w:rsidR="00027D7D" w:rsidRPr="00FB7CC6">
        <w:rPr>
          <w:rFonts w:cs="Times New Roman"/>
          <w:color w:val="000000" w:themeColor="text1"/>
          <w:szCs w:val="24"/>
        </w:rPr>
        <w:t xml:space="preserve">Enron traders </w:t>
      </w:r>
      <w:r w:rsidR="00FB10EC" w:rsidRPr="00FB7CC6">
        <w:rPr>
          <w:rFonts w:cs="Times New Roman"/>
          <w:color w:val="000000" w:themeColor="text1"/>
          <w:szCs w:val="24"/>
        </w:rPr>
        <w:t xml:space="preserve">provides a key example of the </w:t>
      </w:r>
      <w:r w:rsidR="004E6FEF" w:rsidRPr="00FB7CC6">
        <w:rPr>
          <w:rFonts w:cs="Times New Roman"/>
          <w:color w:val="000000" w:themeColor="text1"/>
          <w:szCs w:val="24"/>
        </w:rPr>
        <w:t xml:space="preserve">socially organized responses to changing market and regulatory circumstances.      </w:t>
      </w:r>
    </w:p>
    <w:p w14:paraId="3B488AFA" w14:textId="56147A41" w:rsidR="00B026C2" w:rsidRPr="002E6E04" w:rsidRDefault="00F55E07" w:rsidP="00F55E07">
      <w:pPr>
        <w:spacing w:after="0"/>
        <w:ind w:firstLine="720"/>
        <w:rPr>
          <w:rFonts w:cs="Times New Roman"/>
          <w:color w:val="000000" w:themeColor="text1"/>
          <w:szCs w:val="24"/>
        </w:rPr>
      </w:pPr>
      <w:r w:rsidRPr="00FB7CC6">
        <w:rPr>
          <w:rFonts w:cs="Times New Roman"/>
          <w:color w:val="000000" w:themeColor="text1"/>
          <w:szCs w:val="24"/>
        </w:rPr>
        <w:t>California’s reforms clearly provided a facilitative context for corruption, constituting a form of criminogenic environment.</w:t>
      </w:r>
      <w:r w:rsidRPr="00FB7CC6">
        <w:rPr>
          <w:rStyle w:val="EndnoteReference"/>
          <w:rFonts w:cs="Times New Roman"/>
          <w:color w:val="000000" w:themeColor="text1"/>
          <w:szCs w:val="24"/>
        </w:rPr>
        <w:endnoteReference w:id="160"/>
      </w:r>
      <w:r w:rsidRPr="00FB7CC6">
        <w:rPr>
          <w:rFonts w:cs="Times New Roman"/>
          <w:color w:val="000000" w:themeColor="text1"/>
          <w:szCs w:val="24"/>
        </w:rPr>
        <w:t xml:space="preserve"> Within Enron, exploitable </w:t>
      </w:r>
      <w:r w:rsidR="00FF6BA7" w:rsidRPr="00FB7CC6">
        <w:rPr>
          <w:rFonts w:cs="Times New Roman"/>
          <w:color w:val="000000" w:themeColor="text1"/>
          <w:szCs w:val="24"/>
        </w:rPr>
        <w:t>loopholes</w:t>
      </w:r>
      <w:r w:rsidRPr="00FB7CC6">
        <w:rPr>
          <w:rFonts w:cs="Times New Roman"/>
          <w:color w:val="000000" w:themeColor="text1"/>
          <w:szCs w:val="24"/>
        </w:rPr>
        <w:t xml:space="preserve"> directly influence</w:t>
      </w:r>
      <w:r w:rsidR="00065F4F" w:rsidRPr="00FB7CC6">
        <w:rPr>
          <w:rFonts w:cs="Times New Roman"/>
          <w:color w:val="000000" w:themeColor="text1"/>
          <w:szCs w:val="24"/>
        </w:rPr>
        <w:t>d</w:t>
      </w:r>
      <w:r w:rsidRPr="00FB7CC6">
        <w:rPr>
          <w:rFonts w:cs="Times New Roman"/>
          <w:color w:val="000000" w:themeColor="text1"/>
          <w:szCs w:val="24"/>
        </w:rPr>
        <w:t xml:space="preserve"> the strategic direction of the division, with traders working to expose and </w:t>
      </w:r>
      <w:r w:rsidR="00FF6BA7" w:rsidRPr="00FB7CC6">
        <w:rPr>
          <w:rFonts w:cs="Times New Roman"/>
          <w:color w:val="000000" w:themeColor="text1"/>
          <w:szCs w:val="24"/>
        </w:rPr>
        <w:lastRenderedPageBreak/>
        <w:t>operationalize</w:t>
      </w:r>
      <w:r w:rsidRPr="00FB7CC6">
        <w:rPr>
          <w:rFonts w:cs="Times New Roman"/>
          <w:color w:val="000000" w:themeColor="text1"/>
          <w:szCs w:val="24"/>
        </w:rPr>
        <w:t xml:space="preserve"> these lucrative flaws. For its partners, the reforms markedly changed the nature of energy supply, adding new risks, opportunities</w:t>
      </w:r>
      <w:r w:rsidRPr="002E6E04">
        <w:rPr>
          <w:rFonts w:cs="Times New Roman"/>
          <w:color w:val="000000" w:themeColor="text1"/>
          <w:szCs w:val="24"/>
        </w:rPr>
        <w:t xml:space="preserve">, and </w:t>
      </w:r>
      <w:r w:rsidR="00FF6BA7" w:rsidRPr="002E6E04">
        <w:rPr>
          <w:rFonts w:cs="Times New Roman"/>
          <w:color w:val="000000" w:themeColor="text1"/>
          <w:szCs w:val="24"/>
        </w:rPr>
        <w:t>uncertainty</w:t>
      </w:r>
      <w:r w:rsidRPr="002E6E04">
        <w:rPr>
          <w:rFonts w:cs="Times New Roman"/>
          <w:color w:val="000000" w:themeColor="text1"/>
          <w:szCs w:val="24"/>
        </w:rPr>
        <w:t xml:space="preserve"> that they addressed through the</w:t>
      </w:r>
      <w:r w:rsidR="001C685A" w:rsidRPr="002E6E04">
        <w:rPr>
          <w:rFonts w:cs="Times New Roman"/>
          <w:color w:val="000000" w:themeColor="text1"/>
          <w:szCs w:val="24"/>
        </w:rPr>
        <w:t>ir</w:t>
      </w:r>
      <w:r w:rsidRPr="002E6E04">
        <w:rPr>
          <w:rFonts w:cs="Times New Roman"/>
          <w:color w:val="000000" w:themeColor="text1"/>
          <w:szCs w:val="24"/>
        </w:rPr>
        <w:t xml:space="preserve"> relationship</w:t>
      </w:r>
      <w:r w:rsidR="00E774D1" w:rsidRPr="002E6E04">
        <w:rPr>
          <w:rFonts w:cs="Times New Roman"/>
          <w:color w:val="000000" w:themeColor="text1"/>
          <w:szCs w:val="24"/>
        </w:rPr>
        <w:t>s</w:t>
      </w:r>
      <w:r w:rsidRPr="002E6E04">
        <w:rPr>
          <w:rFonts w:cs="Times New Roman"/>
          <w:color w:val="000000" w:themeColor="text1"/>
          <w:szCs w:val="24"/>
        </w:rPr>
        <w:t xml:space="preserve"> with Enron. </w:t>
      </w:r>
      <w:r w:rsidR="00FB3612" w:rsidRPr="002E6E04">
        <w:rPr>
          <w:rFonts w:cs="Times New Roman"/>
          <w:color w:val="000000" w:themeColor="text1"/>
          <w:szCs w:val="24"/>
        </w:rPr>
        <w:t>T</w:t>
      </w:r>
      <w:r w:rsidRPr="002E6E04">
        <w:rPr>
          <w:rFonts w:cs="Times New Roman"/>
          <w:color w:val="000000" w:themeColor="text1"/>
          <w:szCs w:val="24"/>
        </w:rPr>
        <w:t>hese responses were bound within a fledgling commercial landscape, where ambiguity and emergent norms further compromised ethical decision making.</w:t>
      </w:r>
      <w:r w:rsidRPr="002E6E04">
        <w:rPr>
          <w:rStyle w:val="EndnoteReference"/>
          <w:rFonts w:cs="Times New Roman"/>
          <w:color w:val="000000" w:themeColor="text1"/>
          <w:szCs w:val="24"/>
        </w:rPr>
        <w:endnoteReference w:id="161"/>
      </w:r>
      <w:r w:rsidRPr="002E6E04">
        <w:rPr>
          <w:rFonts w:cs="Times New Roman"/>
          <w:color w:val="000000" w:themeColor="text1"/>
          <w:szCs w:val="24"/>
        </w:rPr>
        <w:t xml:space="preserve"> Though the regulations were breaking new ground</w:t>
      </w:r>
      <w:r w:rsidR="001C685A" w:rsidRPr="002E6E04">
        <w:rPr>
          <w:rFonts w:cs="Times New Roman"/>
          <w:color w:val="000000" w:themeColor="text1"/>
          <w:szCs w:val="24"/>
        </w:rPr>
        <w:t xml:space="preserve"> with</w:t>
      </w:r>
      <w:r w:rsidR="007F58AC" w:rsidRPr="002E6E04">
        <w:rPr>
          <w:rFonts w:cs="Times New Roman"/>
          <w:color w:val="000000" w:themeColor="text1"/>
          <w:szCs w:val="24"/>
        </w:rPr>
        <w:t>in</w:t>
      </w:r>
      <w:r w:rsidR="001C685A" w:rsidRPr="002E6E04">
        <w:rPr>
          <w:rFonts w:cs="Times New Roman"/>
          <w:color w:val="000000" w:themeColor="text1"/>
          <w:szCs w:val="24"/>
        </w:rPr>
        <w:t xml:space="preserve"> the energy industry</w:t>
      </w:r>
      <w:r w:rsidRPr="002E6E04">
        <w:rPr>
          <w:rFonts w:cs="Times New Roman"/>
          <w:color w:val="000000" w:themeColor="text1"/>
          <w:szCs w:val="24"/>
        </w:rPr>
        <w:t>, they were also symptomatic of wider trends of the period, and</w:t>
      </w:r>
      <w:r w:rsidR="00CD7833" w:rsidRPr="002E6E04">
        <w:rPr>
          <w:rFonts w:cs="Times New Roman"/>
          <w:color w:val="000000" w:themeColor="text1"/>
          <w:szCs w:val="24"/>
        </w:rPr>
        <w:t xml:space="preserve"> Enron</w:t>
      </w:r>
      <w:r w:rsidR="00A254DA" w:rsidRPr="002E6E04">
        <w:rPr>
          <w:rFonts w:cs="Times New Roman"/>
          <w:color w:val="000000" w:themeColor="text1"/>
          <w:szCs w:val="24"/>
        </w:rPr>
        <w:t>’s</w:t>
      </w:r>
      <w:r w:rsidR="00CD7833" w:rsidRPr="002E6E04">
        <w:rPr>
          <w:rFonts w:cs="Times New Roman"/>
          <w:color w:val="000000" w:themeColor="text1"/>
          <w:szCs w:val="24"/>
        </w:rPr>
        <w:t xml:space="preserve"> network of partners</w:t>
      </w:r>
      <w:r w:rsidRPr="002E6E04">
        <w:rPr>
          <w:rFonts w:cs="Times New Roman"/>
          <w:color w:val="000000" w:themeColor="text1"/>
          <w:szCs w:val="24"/>
        </w:rPr>
        <w:t xml:space="preserve"> </w:t>
      </w:r>
      <w:r w:rsidR="00CD7833" w:rsidRPr="002E6E04">
        <w:rPr>
          <w:rFonts w:cs="Times New Roman"/>
          <w:color w:val="000000" w:themeColor="text1"/>
          <w:szCs w:val="24"/>
        </w:rPr>
        <w:t xml:space="preserve">illustrates </w:t>
      </w:r>
      <w:r w:rsidR="003D3574" w:rsidRPr="002E6E04">
        <w:rPr>
          <w:rFonts w:cs="Times New Roman"/>
          <w:color w:val="000000" w:themeColor="text1"/>
          <w:szCs w:val="24"/>
        </w:rPr>
        <w:t xml:space="preserve">how </w:t>
      </w:r>
      <w:r w:rsidR="00CD7833" w:rsidRPr="002E6E04">
        <w:rPr>
          <w:rFonts w:cs="Times New Roman"/>
          <w:color w:val="000000" w:themeColor="text1"/>
          <w:szCs w:val="24"/>
        </w:rPr>
        <w:t>some cho</w:t>
      </w:r>
      <w:r w:rsidR="00715602" w:rsidRPr="002E6E04">
        <w:rPr>
          <w:rFonts w:cs="Times New Roman"/>
          <w:color w:val="000000" w:themeColor="text1"/>
          <w:szCs w:val="24"/>
        </w:rPr>
        <w:t>se</w:t>
      </w:r>
      <w:r w:rsidR="00CD7833" w:rsidRPr="002E6E04">
        <w:rPr>
          <w:rFonts w:cs="Times New Roman"/>
          <w:color w:val="000000" w:themeColor="text1"/>
          <w:szCs w:val="24"/>
        </w:rPr>
        <w:t xml:space="preserve"> to</w:t>
      </w:r>
      <w:r w:rsidR="003D3574" w:rsidRPr="002E6E04">
        <w:rPr>
          <w:rFonts w:cs="Times New Roman"/>
          <w:color w:val="000000" w:themeColor="text1"/>
          <w:szCs w:val="24"/>
        </w:rPr>
        <w:t xml:space="preserve"> navigate these conditions within </w:t>
      </w:r>
      <w:r w:rsidR="00715602" w:rsidRPr="002E6E04">
        <w:rPr>
          <w:rFonts w:cs="Times New Roman"/>
          <w:color w:val="000000" w:themeColor="text1"/>
          <w:szCs w:val="24"/>
        </w:rPr>
        <w:t>this particular</w:t>
      </w:r>
      <w:r w:rsidRPr="002E6E04">
        <w:rPr>
          <w:rFonts w:cs="Times New Roman"/>
          <w:color w:val="000000" w:themeColor="text1"/>
          <w:szCs w:val="24"/>
        </w:rPr>
        <w:t xml:space="preserve"> industry context.</w:t>
      </w:r>
      <w:r w:rsidR="00005789" w:rsidRPr="002E6E04">
        <w:rPr>
          <w:rFonts w:cs="Times New Roman"/>
          <w:color w:val="000000" w:themeColor="text1"/>
          <w:szCs w:val="24"/>
        </w:rPr>
        <w:t xml:space="preserve"> Here, understanding the manipulation of California’s energy markets, requires an appreciation of the </w:t>
      </w:r>
      <w:r w:rsidR="00FF6BA7" w:rsidRPr="002E6E04">
        <w:rPr>
          <w:rFonts w:cs="Times New Roman"/>
          <w:color w:val="000000" w:themeColor="text1"/>
          <w:szCs w:val="24"/>
        </w:rPr>
        <w:t>integrated</w:t>
      </w:r>
      <w:r w:rsidR="00005789" w:rsidRPr="002E6E04">
        <w:rPr>
          <w:rFonts w:cs="Times New Roman"/>
          <w:color w:val="000000" w:themeColor="text1"/>
          <w:szCs w:val="24"/>
        </w:rPr>
        <w:t xml:space="preserve"> nature of both physical and market-based elements of the energy supply industry. </w:t>
      </w:r>
      <w:r w:rsidRPr="002E6E04">
        <w:rPr>
          <w:rFonts w:cs="Times New Roman"/>
          <w:color w:val="000000" w:themeColor="text1"/>
          <w:szCs w:val="24"/>
        </w:rPr>
        <w:t xml:space="preserve">Indeed, the network characteristics of energy supply highlights that, while individual organizations are often singled out as culprits, the complexity and inter-connectedness of some industries can </w:t>
      </w:r>
      <w:r w:rsidR="00951339" w:rsidRPr="002E6E04">
        <w:rPr>
          <w:rFonts w:cs="Times New Roman"/>
          <w:color w:val="000000" w:themeColor="text1"/>
          <w:szCs w:val="24"/>
        </w:rPr>
        <w:t>precipitate</w:t>
      </w:r>
      <w:r w:rsidRPr="002E6E04">
        <w:rPr>
          <w:rFonts w:cs="Times New Roman"/>
          <w:color w:val="000000" w:themeColor="text1"/>
          <w:szCs w:val="24"/>
        </w:rPr>
        <w:t xml:space="preserve"> more cooperative, market-based </w:t>
      </w:r>
      <w:r w:rsidR="003D3574" w:rsidRPr="002E6E04">
        <w:rPr>
          <w:rFonts w:cs="Times New Roman"/>
          <w:color w:val="000000" w:themeColor="text1"/>
          <w:szCs w:val="24"/>
        </w:rPr>
        <w:t>response</w:t>
      </w:r>
      <w:r w:rsidR="005304BD" w:rsidRPr="002E6E04">
        <w:rPr>
          <w:rFonts w:cs="Times New Roman"/>
          <w:color w:val="000000" w:themeColor="text1"/>
          <w:szCs w:val="24"/>
        </w:rPr>
        <w:t>s</w:t>
      </w:r>
      <w:r w:rsidR="003D3574" w:rsidRPr="002E6E04">
        <w:rPr>
          <w:rFonts w:cs="Times New Roman"/>
          <w:color w:val="000000" w:themeColor="text1"/>
          <w:szCs w:val="24"/>
        </w:rPr>
        <w:t xml:space="preserve"> to criminogenic conditions</w:t>
      </w:r>
      <w:r w:rsidRPr="002E6E04">
        <w:rPr>
          <w:rFonts w:cs="Times New Roman"/>
          <w:color w:val="000000" w:themeColor="text1"/>
          <w:szCs w:val="24"/>
        </w:rPr>
        <w:t xml:space="preserve">. </w:t>
      </w:r>
    </w:p>
    <w:p w14:paraId="1B529C5E" w14:textId="118D1F54" w:rsidR="00EB6225" w:rsidRPr="002E6E04" w:rsidRDefault="002F40D1" w:rsidP="00FB10EC">
      <w:pPr>
        <w:spacing w:after="0"/>
        <w:ind w:firstLine="720"/>
        <w:rPr>
          <w:rFonts w:cs="Times New Roman"/>
          <w:color w:val="000000" w:themeColor="text1"/>
          <w:szCs w:val="24"/>
        </w:rPr>
      </w:pPr>
      <w:r w:rsidRPr="002E6E04">
        <w:rPr>
          <w:color w:val="000000" w:themeColor="text1"/>
        </w:rPr>
        <w:t>With</w:t>
      </w:r>
      <w:r w:rsidR="004435BA" w:rsidRPr="002E6E04">
        <w:rPr>
          <w:color w:val="000000" w:themeColor="text1"/>
        </w:rPr>
        <w:t>in</w:t>
      </w:r>
      <w:r w:rsidRPr="002E6E04">
        <w:rPr>
          <w:color w:val="000000" w:themeColor="text1"/>
        </w:rPr>
        <w:t xml:space="preserve"> this paper, we combine a conceptual elaboration of organizational corruption with a rich empirical account of what is usually a </w:t>
      </w:r>
      <w:r w:rsidR="0006266D">
        <w:rPr>
          <w:color w:val="000000" w:themeColor="text1"/>
        </w:rPr>
        <w:t>hidden</w:t>
      </w:r>
      <w:r w:rsidRPr="002E6E04">
        <w:rPr>
          <w:color w:val="000000" w:themeColor="text1"/>
        </w:rPr>
        <w:t xml:space="preserve"> and </w:t>
      </w:r>
      <w:r w:rsidR="0006266D">
        <w:rPr>
          <w:color w:val="000000" w:themeColor="text1"/>
        </w:rPr>
        <w:t>difficult</w:t>
      </w:r>
      <w:r w:rsidRPr="002E6E04">
        <w:rPr>
          <w:color w:val="000000" w:themeColor="text1"/>
        </w:rPr>
        <w:t xml:space="preserve"> to observe setting. </w:t>
      </w:r>
      <w:r w:rsidR="00025ADC" w:rsidRPr="002E6E04">
        <w:rPr>
          <w:color w:val="000000" w:themeColor="text1"/>
        </w:rPr>
        <w:t>This historically situated view extends our temporal appreciation of corruption beyond existing theorizing and elaborates how it actually occurs as a</w:t>
      </w:r>
      <w:r w:rsidR="00DF4EF8" w:rsidRPr="002E6E04">
        <w:rPr>
          <w:color w:val="000000" w:themeColor="text1"/>
        </w:rPr>
        <w:t xml:space="preserve">n </w:t>
      </w:r>
      <w:r w:rsidR="00025ADC" w:rsidRPr="002E6E04">
        <w:rPr>
          <w:color w:val="000000" w:themeColor="text1"/>
        </w:rPr>
        <w:t>organizational and market phenomenon</w:t>
      </w:r>
      <w:r w:rsidR="00DF4EF8" w:rsidRPr="002E6E04">
        <w:rPr>
          <w:color w:val="000000" w:themeColor="text1"/>
        </w:rPr>
        <w:t xml:space="preserve"> over time</w:t>
      </w:r>
      <w:r w:rsidR="00025ADC" w:rsidRPr="002E6E04">
        <w:rPr>
          <w:color w:val="000000" w:themeColor="text1"/>
        </w:rPr>
        <w:t xml:space="preserve">. </w:t>
      </w:r>
      <w:r w:rsidR="00F622CB" w:rsidRPr="002E6E04">
        <w:rPr>
          <w:color w:val="000000" w:themeColor="text1"/>
        </w:rPr>
        <w:t xml:space="preserve">This is significant as </w:t>
      </w:r>
      <w:r w:rsidR="00F622CB" w:rsidRPr="002E6E04">
        <w:rPr>
          <w:rFonts w:cs="Times New Roman"/>
          <w:color w:val="000000" w:themeColor="text1"/>
          <w:szCs w:val="24"/>
        </w:rPr>
        <w:t>corruption</w:t>
      </w:r>
      <w:r w:rsidR="00DF4EF8" w:rsidRPr="002E6E04">
        <w:rPr>
          <w:rFonts w:cs="Times New Roman"/>
          <w:color w:val="000000" w:themeColor="text1"/>
          <w:szCs w:val="24"/>
        </w:rPr>
        <w:t xml:space="preserve"> is often </w:t>
      </w:r>
      <w:r w:rsidR="00164C66" w:rsidRPr="002E6E04">
        <w:rPr>
          <w:rFonts w:cs="Times New Roman"/>
          <w:color w:val="000000" w:themeColor="text1"/>
          <w:szCs w:val="24"/>
        </w:rPr>
        <w:t xml:space="preserve">highly </w:t>
      </w:r>
      <w:r w:rsidR="00DF4EF8" w:rsidRPr="002E6E04">
        <w:rPr>
          <w:rFonts w:cs="Times New Roman"/>
          <w:color w:val="000000" w:themeColor="text1"/>
          <w:szCs w:val="24"/>
        </w:rPr>
        <w:t>complex</w:t>
      </w:r>
      <w:r w:rsidR="00164C66" w:rsidRPr="002E6E04">
        <w:rPr>
          <w:rFonts w:cs="Times New Roman"/>
          <w:color w:val="000000" w:themeColor="text1"/>
          <w:szCs w:val="24"/>
        </w:rPr>
        <w:t xml:space="preserve"> in nature,</w:t>
      </w:r>
      <w:r w:rsidR="005304BD" w:rsidRPr="002E6E04">
        <w:rPr>
          <w:rFonts w:cs="Times New Roman"/>
          <w:color w:val="000000" w:themeColor="text1"/>
          <w:szCs w:val="24"/>
        </w:rPr>
        <w:t xml:space="preserve"> </w:t>
      </w:r>
      <w:r w:rsidR="00F622CB" w:rsidRPr="002E6E04">
        <w:rPr>
          <w:rFonts w:cs="Times New Roman"/>
          <w:color w:val="000000" w:themeColor="text1"/>
          <w:szCs w:val="24"/>
        </w:rPr>
        <w:t>blur</w:t>
      </w:r>
      <w:r w:rsidR="00DF4EF8" w:rsidRPr="002E6E04">
        <w:rPr>
          <w:rFonts w:cs="Times New Roman"/>
          <w:color w:val="000000" w:themeColor="text1"/>
          <w:szCs w:val="24"/>
        </w:rPr>
        <w:t>ring</w:t>
      </w:r>
      <w:r w:rsidR="00F622CB" w:rsidRPr="002E6E04">
        <w:rPr>
          <w:rFonts w:cs="Times New Roman"/>
          <w:color w:val="000000" w:themeColor="text1"/>
          <w:szCs w:val="24"/>
        </w:rPr>
        <w:t xml:space="preserve"> </w:t>
      </w:r>
      <w:r w:rsidR="00DF4EF8" w:rsidRPr="002E6E04">
        <w:rPr>
          <w:rFonts w:cs="Times New Roman"/>
          <w:color w:val="000000" w:themeColor="text1"/>
          <w:szCs w:val="24"/>
        </w:rPr>
        <w:t>legitimate business practices with</w:t>
      </w:r>
      <w:r w:rsidR="003D52FC" w:rsidRPr="002E6E04">
        <w:rPr>
          <w:rFonts w:cs="Times New Roman"/>
          <w:color w:val="000000" w:themeColor="text1"/>
          <w:szCs w:val="24"/>
        </w:rPr>
        <w:t xml:space="preserve"> </w:t>
      </w:r>
      <w:r w:rsidR="00DF4EF8" w:rsidRPr="002E6E04">
        <w:rPr>
          <w:rFonts w:cs="Times New Roman"/>
          <w:color w:val="000000" w:themeColor="text1"/>
          <w:szCs w:val="24"/>
        </w:rPr>
        <w:t>abuses of</w:t>
      </w:r>
      <w:r w:rsidR="00F622CB" w:rsidRPr="002E6E04">
        <w:rPr>
          <w:rFonts w:cs="Times New Roman"/>
          <w:color w:val="000000" w:themeColor="text1"/>
          <w:szCs w:val="24"/>
        </w:rPr>
        <w:t xml:space="preserve"> authority and the privilege</w:t>
      </w:r>
      <w:r w:rsidR="003D52FC" w:rsidRPr="002E6E04">
        <w:rPr>
          <w:rFonts w:cs="Times New Roman"/>
          <w:color w:val="000000" w:themeColor="text1"/>
          <w:szCs w:val="24"/>
        </w:rPr>
        <w:t>s</w:t>
      </w:r>
      <w:r w:rsidR="00F622CB" w:rsidRPr="002E6E04">
        <w:rPr>
          <w:rFonts w:cs="Times New Roman"/>
          <w:color w:val="000000" w:themeColor="text1"/>
          <w:szCs w:val="24"/>
        </w:rPr>
        <w:t xml:space="preserve"> conferred </w:t>
      </w:r>
      <w:r w:rsidR="008E53AC" w:rsidRPr="002E6E04">
        <w:rPr>
          <w:rFonts w:cs="Times New Roman"/>
          <w:color w:val="000000" w:themeColor="text1"/>
          <w:szCs w:val="24"/>
        </w:rPr>
        <w:t>through participation within a given</w:t>
      </w:r>
      <w:r w:rsidR="00F622CB" w:rsidRPr="002E6E04">
        <w:rPr>
          <w:rFonts w:cs="Times New Roman"/>
          <w:color w:val="000000" w:themeColor="text1"/>
          <w:szCs w:val="24"/>
        </w:rPr>
        <w:t xml:space="preserve"> commercial context. This makes </w:t>
      </w:r>
      <w:r w:rsidR="00DF4EF8" w:rsidRPr="002E6E04">
        <w:rPr>
          <w:rFonts w:cs="Times New Roman"/>
          <w:color w:val="000000" w:themeColor="text1"/>
          <w:szCs w:val="24"/>
        </w:rPr>
        <w:t>it</w:t>
      </w:r>
      <w:r w:rsidR="00F622CB" w:rsidRPr="002E6E04">
        <w:rPr>
          <w:rFonts w:cs="Times New Roman"/>
          <w:color w:val="000000" w:themeColor="text1"/>
          <w:szCs w:val="24"/>
        </w:rPr>
        <w:t xml:space="preserve"> an important area for business historians to explore further, and extensions such as network-enabled corruption</w:t>
      </w:r>
      <w:r w:rsidR="00DF4EF8" w:rsidRPr="002E6E04">
        <w:rPr>
          <w:rFonts w:cs="Times New Roman"/>
          <w:color w:val="000000" w:themeColor="text1"/>
          <w:szCs w:val="24"/>
        </w:rPr>
        <w:t xml:space="preserve"> highlight</w:t>
      </w:r>
      <w:r w:rsidR="00164C66" w:rsidRPr="002E6E04">
        <w:rPr>
          <w:rFonts w:cs="Times New Roman"/>
          <w:color w:val="000000" w:themeColor="text1"/>
          <w:szCs w:val="24"/>
        </w:rPr>
        <w:t xml:space="preserve"> </w:t>
      </w:r>
      <w:r w:rsidR="00DF4EF8" w:rsidRPr="002E6E04">
        <w:rPr>
          <w:rFonts w:cs="Times New Roman"/>
          <w:color w:val="000000" w:themeColor="text1"/>
          <w:szCs w:val="24"/>
        </w:rPr>
        <w:t>the affordances historical approaches present to understanding how</w:t>
      </w:r>
      <w:r w:rsidR="00F622CB" w:rsidRPr="002E6E04">
        <w:rPr>
          <w:rFonts w:cs="Times New Roman"/>
          <w:color w:val="000000" w:themeColor="text1"/>
          <w:szCs w:val="24"/>
        </w:rPr>
        <w:t xml:space="preserve"> organizational actors actually go about exploiting </w:t>
      </w:r>
      <w:r w:rsidR="00DF4EF8" w:rsidRPr="002E6E04">
        <w:rPr>
          <w:rFonts w:cs="Times New Roman"/>
          <w:color w:val="000000" w:themeColor="text1"/>
          <w:szCs w:val="24"/>
        </w:rPr>
        <w:t>such behaviors</w:t>
      </w:r>
      <w:r w:rsidR="00F622CB" w:rsidRPr="002E6E04">
        <w:rPr>
          <w:rFonts w:cs="Times New Roman"/>
          <w:color w:val="000000" w:themeColor="text1"/>
          <w:szCs w:val="24"/>
        </w:rPr>
        <w:t xml:space="preserve"> over time. </w:t>
      </w:r>
      <w:r w:rsidR="000142AC" w:rsidRPr="002E6E04">
        <w:rPr>
          <w:color w:val="000000" w:themeColor="text1"/>
        </w:rPr>
        <w:t xml:space="preserve">In providing </w:t>
      </w:r>
      <w:r w:rsidR="00025ADC" w:rsidRPr="002E6E04">
        <w:rPr>
          <w:color w:val="000000" w:themeColor="text1"/>
        </w:rPr>
        <w:t xml:space="preserve">our history of Enron and California energy crisis, </w:t>
      </w:r>
      <w:r w:rsidR="000142AC" w:rsidRPr="002E6E04">
        <w:rPr>
          <w:color w:val="000000" w:themeColor="text1"/>
        </w:rPr>
        <w:t xml:space="preserve">we elaborate the </w:t>
      </w:r>
      <w:r w:rsidR="008E53AC" w:rsidRPr="002E6E04">
        <w:rPr>
          <w:color w:val="000000" w:themeColor="text1"/>
        </w:rPr>
        <w:t xml:space="preserve">day-to-day practices and </w:t>
      </w:r>
      <w:r w:rsidR="000142AC" w:rsidRPr="002E6E04">
        <w:rPr>
          <w:color w:val="000000" w:themeColor="text1"/>
        </w:rPr>
        <w:t xml:space="preserve">networks of relationships that </w:t>
      </w:r>
      <w:r w:rsidR="00DF4EF8" w:rsidRPr="002E6E04">
        <w:rPr>
          <w:color w:val="000000" w:themeColor="text1"/>
        </w:rPr>
        <w:t>enabled</w:t>
      </w:r>
      <w:r w:rsidR="000142AC" w:rsidRPr="002E6E04">
        <w:rPr>
          <w:color w:val="000000" w:themeColor="text1"/>
        </w:rPr>
        <w:t xml:space="preserve"> a </w:t>
      </w:r>
      <w:r w:rsidR="000142AC" w:rsidRPr="002E6E04">
        <w:rPr>
          <w:color w:val="000000" w:themeColor="text1"/>
        </w:rPr>
        <w:lastRenderedPageBreak/>
        <w:t xml:space="preserve">corrupt </w:t>
      </w:r>
      <w:r w:rsidR="0059214A" w:rsidRPr="002E6E04">
        <w:rPr>
          <w:color w:val="000000" w:themeColor="text1"/>
        </w:rPr>
        <w:t>organization</w:t>
      </w:r>
      <w:r w:rsidR="000142AC" w:rsidRPr="002E6E04">
        <w:rPr>
          <w:color w:val="000000" w:themeColor="text1"/>
        </w:rPr>
        <w:t xml:space="preserve"> to function</w:t>
      </w:r>
      <w:r w:rsidR="00025ADC" w:rsidRPr="002E6E04">
        <w:rPr>
          <w:color w:val="000000" w:themeColor="text1"/>
        </w:rPr>
        <w:t xml:space="preserve"> and i</w:t>
      </w:r>
      <w:r w:rsidR="000142AC" w:rsidRPr="002E6E04">
        <w:rPr>
          <w:color w:val="000000" w:themeColor="text1"/>
        </w:rPr>
        <w:t xml:space="preserve">n doing so, demonstrate how corruption became a </w:t>
      </w:r>
      <w:r w:rsidR="008E53AC" w:rsidRPr="002E6E04">
        <w:rPr>
          <w:color w:val="000000" w:themeColor="text1"/>
        </w:rPr>
        <w:t xml:space="preserve">normalized and </w:t>
      </w:r>
      <w:r w:rsidR="000142AC" w:rsidRPr="002E6E04">
        <w:rPr>
          <w:color w:val="000000" w:themeColor="text1"/>
        </w:rPr>
        <w:t xml:space="preserve">highly integrated </w:t>
      </w:r>
      <w:r w:rsidR="008E53AC" w:rsidRPr="002E6E04">
        <w:rPr>
          <w:color w:val="000000" w:themeColor="text1"/>
        </w:rPr>
        <w:t>part of organizational life.</w:t>
      </w:r>
      <w:r w:rsidR="000142AC" w:rsidRPr="002E6E04">
        <w:rPr>
          <w:color w:val="000000" w:themeColor="text1"/>
        </w:rPr>
        <w:t xml:space="preserve"> </w:t>
      </w:r>
    </w:p>
    <w:p w14:paraId="4C89FF4D" w14:textId="77777777" w:rsidR="00FB10EC" w:rsidRPr="002E6E04" w:rsidRDefault="00FB10EC">
      <w:pPr>
        <w:spacing w:line="259" w:lineRule="auto"/>
        <w:jc w:val="left"/>
        <w:rPr>
          <w:i/>
          <w:iCs/>
          <w:color w:val="000000" w:themeColor="text1"/>
        </w:rPr>
      </w:pPr>
      <w:r w:rsidRPr="002E6E04">
        <w:rPr>
          <w:i/>
          <w:iCs/>
          <w:color w:val="000000" w:themeColor="text1"/>
        </w:rPr>
        <w:br w:type="page"/>
      </w:r>
    </w:p>
    <w:p w14:paraId="30E143C9" w14:textId="445D5B72" w:rsidR="00855AEB" w:rsidRPr="002E6E04" w:rsidRDefault="00855AEB" w:rsidP="00855AEB">
      <w:pPr>
        <w:rPr>
          <w:i/>
          <w:iCs/>
          <w:color w:val="000000" w:themeColor="text1"/>
        </w:rPr>
      </w:pPr>
      <w:r w:rsidRPr="002E6E04">
        <w:rPr>
          <w:i/>
          <w:iCs/>
          <w:color w:val="000000" w:themeColor="text1"/>
        </w:rPr>
        <w:lastRenderedPageBreak/>
        <w:t xml:space="preserve">Figure </w:t>
      </w:r>
      <w:r w:rsidR="003561BA" w:rsidRPr="002E6E04">
        <w:rPr>
          <w:i/>
          <w:iCs/>
          <w:color w:val="000000" w:themeColor="text1"/>
        </w:rPr>
        <w:t>1</w:t>
      </w:r>
      <w:r w:rsidRPr="002E6E04">
        <w:rPr>
          <w:i/>
          <w:iCs/>
          <w:color w:val="000000" w:themeColor="text1"/>
        </w:rPr>
        <w:t xml:space="preserve"> Representation of pre-reform energy supply</w:t>
      </w:r>
      <w:r w:rsidR="00E62D7D" w:rsidRPr="002E6E04">
        <w:rPr>
          <w:rStyle w:val="EndnoteReference"/>
          <w:i/>
          <w:iCs/>
          <w:color w:val="000000" w:themeColor="text1"/>
        </w:rPr>
        <w:endnoteReference w:id="162"/>
      </w:r>
      <w:r w:rsidRPr="002E6E04">
        <w:rPr>
          <w:i/>
          <w:iCs/>
          <w:color w:val="000000" w:themeColor="text1"/>
        </w:rPr>
        <w:t xml:space="preserve"> </w:t>
      </w:r>
      <w:bookmarkStart w:id="7" w:name="_Toc532665669"/>
      <w:bookmarkStart w:id="8" w:name="_Toc532744894"/>
    </w:p>
    <w:p w14:paraId="1EE8C3F3" w14:textId="77777777" w:rsidR="00855AEB" w:rsidRPr="002E6E04" w:rsidRDefault="00855AEB">
      <w:pPr>
        <w:spacing w:line="259" w:lineRule="auto"/>
        <w:jc w:val="left"/>
        <w:rPr>
          <w:color w:val="000000" w:themeColor="text1"/>
        </w:rPr>
      </w:pPr>
      <w:r w:rsidRPr="002E6E04">
        <w:rPr>
          <w:noProof/>
          <w:color w:val="000000" w:themeColor="text1"/>
          <w:lang w:eastAsia="en-GB"/>
        </w:rPr>
        <w:drawing>
          <wp:inline distT="0" distB="0" distL="0" distR="0" wp14:anchorId="6B2E5B8D" wp14:editId="28300382">
            <wp:extent cx="57340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991100"/>
                    </a:xfrm>
                    <a:prstGeom prst="rect">
                      <a:avLst/>
                    </a:prstGeom>
                    <a:noFill/>
                    <a:ln>
                      <a:noFill/>
                    </a:ln>
                  </pic:spPr>
                </pic:pic>
              </a:graphicData>
            </a:graphic>
          </wp:inline>
        </w:drawing>
      </w:r>
    </w:p>
    <w:p w14:paraId="27440D74" w14:textId="77777777" w:rsidR="003561BA" w:rsidRPr="002E6E04" w:rsidRDefault="00855AEB">
      <w:pPr>
        <w:spacing w:line="259" w:lineRule="auto"/>
        <w:jc w:val="left"/>
        <w:rPr>
          <w:color w:val="000000" w:themeColor="text1"/>
        </w:rPr>
      </w:pPr>
      <w:r w:rsidRPr="002E6E04">
        <w:rPr>
          <w:color w:val="000000" w:themeColor="text1"/>
        </w:rPr>
        <w:br w:type="page"/>
      </w:r>
    </w:p>
    <w:tbl>
      <w:tblPr>
        <w:tblStyle w:val="TableGrid"/>
        <w:tblpPr w:leftFromText="181" w:rightFromText="181" w:vertAnchor="page" w:horzAnchor="margin" w:tblpY="16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E6E04" w:rsidRPr="002E6E04" w14:paraId="368F9783" w14:textId="77777777" w:rsidTr="00FB7AE7">
        <w:tc>
          <w:tcPr>
            <w:tcW w:w="9026" w:type="dxa"/>
          </w:tcPr>
          <w:p w14:paraId="78C4F247" w14:textId="758E024E" w:rsidR="003561BA" w:rsidRPr="002E6E04" w:rsidRDefault="003561BA" w:rsidP="00FB7AE7">
            <w:pPr>
              <w:pStyle w:val="Caption"/>
              <w:spacing w:line="480" w:lineRule="auto"/>
              <w:rPr>
                <w:color w:val="000000" w:themeColor="text1"/>
              </w:rPr>
            </w:pPr>
            <w:r w:rsidRPr="002E6E04">
              <w:rPr>
                <w:color w:val="000000" w:themeColor="text1"/>
              </w:rPr>
              <w:lastRenderedPageBreak/>
              <w:t xml:space="preserve">Figure 2 Map of </w:t>
            </w:r>
            <w:r w:rsidR="007171A5" w:rsidRPr="002E6E04">
              <w:rPr>
                <w:color w:val="000000" w:themeColor="text1"/>
              </w:rPr>
              <w:t>North American</w:t>
            </w:r>
            <w:r w:rsidRPr="002E6E04">
              <w:rPr>
                <w:color w:val="000000" w:themeColor="text1"/>
              </w:rPr>
              <w:t xml:space="preserve"> Energy Interconnections</w:t>
            </w:r>
            <w:r w:rsidRPr="002E6E04">
              <w:rPr>
                <w:rStyle w:val="EndnoteReference"/>
                <w:color w:val="000000" w:themeColor="text1"/>
              </w:rPr>
              <w:endnoteReference w:id="163"/>
            </w:r>
          </w:p>
        </w:tc>
      </w:tr>
      <w:tr w:rsidR="002E6E04" w:rsidRPr="002E6E04" w14:paraId="499594F2" w14:textId="77777777" w:rsidTr="00FB7AE7">
        <w:tc>
          <w:tcPr>
            <w:tcW w:w="9026" w:type="dxa"/>
          </w:tcPr>
          <w:p w14:paraId="3DB45109" w14:textId="77777777" w:rsidR="003561BA" w:rsidRPr="002E6E04" w:rsidRDefault="003561BA" w:rsidP="00FB7AE7">
            <w:pPr>
              <w:jc w:val="center"/>
              <w:rPr>
                <w:color w:val="000000" w:themeColor="text1"/>
              </w:rPr>
            </w:pPr>
            <w:r w:rsidRPr="002E6E04">
              <w:rPr>
                <w:noProof/>
                <w:color w:val="000000" w:themeColor="text1"/>
                <w:lang w:eastAsia="en-GB"/>
              </w:rPr>
              <w:drawing>
                <wp:inline distT="0" distB="0" distL="0" distR="0" wp14:anchorId="0A7FD71E" wp14:editId="656C4D26">
                  <wp:extent cx="5732780" cy="4586605"/>
                  <wp:effectExtent l="0" t="0" r="1270" b="4445"/>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C Western Interconnection Map bw.png"/>
                          <pic:cNvPicPr/>
                        </pic:nvPicPr>
                        <pic:blipFill>
                          <a:blip r:embed="rId9">
                            <a:extLst>
                              <a:ext uri="{28A0092B-C50C-407E-A947-70E740481C1C}">
                                <a14:useLocalDpi xmlns:a14="http://schemas.microsoft.com/office/drawing/2010/main" val="0"/>
                              </a:ext>
                            </a:extLst>
                          </a:blip>
                          <a:stretch>
                            <a:fillRect/>
                          </a:stretch>
                        </pic:blipFill>
                        <pic:spPr>
                          <a:xfrm>
                            <a:off x="0" y="0"/>
                            <a:ext cx="5732780" cy="4586605"/>
                          </a:xfrm>
                          <a:prstGeom prst="rect">
                            <a:avLst/>
                          </a:prstGeom>
                        </pic:spPr>
                      </pic:pic>
                    </a:graphicData>
                  </a:graphic>
                </wp:inline>
              </w:drawing>
            </w:r>
          </w:p>
        </w:tc>
      </w:tr>
    </w:tbl>
    <w:p w14:paraId="63461C68" w14:textId="2355A267" w:rsidR="00855AEB" w:rsidRPr="002E6E04" w:rsidRDefault="00855AEB">
      <w:pPr>
        <w:spacing w:line="259" w:lineRule="auto"/>
        <w:jc w:val="left"/>
        <w:rPr>
          <w:color w:val="000000" w:themeColor="text1"/>
        </w:rPr>
      </w:pPr>
    </w:p>
    <w:p w14:paraId="6DBE8C77" w14:textId="421FA632" w:rsidR="00855AEB" w:rsidRPr="002E6E04" w:rsidRDefault="00855AEB">
      <w:pPr>
        <w:spacing w:line="259" w:lineRule="auto"/>
        <w:jc w:val="left"/>
        <w:rPr>
          <w:i/>
          <w:iCs/>
          <w:color w:val="000000" w:themeColor="text1"/>
        </w:rPr>
      </w:pPr>
    </w:p>
    <w:p w14:paraId="29F8CDDE" w14:textId="77777777" w:rsidR="003561BA" w:rsidRPr="002E6E04" w:rsidRDefault="003561BA">
      <w:pPr>
        <w:spacing w:line="259" w:lineRule="auto"/>
        <w:jc w:val="left"/>
        <w:rPr>
          <w:i/>
          <w:iCs/>
          <w:color w:val="000000" w:themeColor="text1"/>
        </w:rPr>
      </w:pPr>
      <w:r w:rsidRPr="002E6E04">
        <w:rPr>
          <w:i/>
          <w:iCs/>
          <w:color w:val="000000" w:themeColor="text1"/>
        </w:rPr>
        <w:br w:type="page"/>
      </w:r>
    </w:p>
    <w:p w14:paraId="5576D63E" w14:textId="2FC27275" w:rsidR="00855AEB" w:rsidRPr="002E6E04" w:rsidRDefault="00855AEB" w:rsidP="00855AEB">
      <w:pPr>
        <w:rPr>
          <w:i/>
          <w:iCs/>
          <w:color w:val="000000" w:themeColor="text1"/>
        </w:rPr>
      </w:pPr>
      <w:r w:rsidRPr="002E6E04">
        <w:rPr>
          <w:i/>
          <w:iCs/>
          <w:color w:val="000000" w:themeColor="text1"/>
        </w:rPr>
        <w:lastRenderedPageBreak/>
        <w:t xml:space="preserve">Figure </w:t>
      </w:r>
      <w:r w:rsidR="003074BC" w:rsidRPr="002E6E04">
        <w:rPr>
          <w:i/>
          <w:iCs/>
          <w:color w:val="000000" w:themeColor="text1"/>
        </w:rPr>
        <w:t>3</w:t>
      </w:r>
      <w:r w:rsidRPr="002E6E04">
        <w:rPr>
          <w:i/>
          <w:iCs/>
          <w:color w:val="000000" w:themeColor="text1"/>
        </w:rPr>
        <w:t xml:space="preserve"> Representation of post-reform energy supply</w:t>
      </w:r>
    </w:p>
    <w:p w14:paraId="6B8C5D05" w14:textId="7456C966" w:rsidR="00855AEB" w:rsidRPr="002E6E04" w:rsidRDefault="00501E7D">
      <w:pPr>
        <w:spacing w:line="259" w:lineRule="auto"/>
        <w:jc w:val="left"/>
        <w:rPr>
          <w:color w:val="000000" w:themeColor="text1"/>
        </w:rPr>
      </w:pPr>
      <w:r w:rsidRPr="002E6E04">
        <w:rPr>
          <w:noProof/>
          <w:color w:val="000000" w:themeColor="text1"/>
          <w:lang w:eastAsia="en-GB"/>
        </w:rPr>
        <w:drawing>
          <wp:inline distT="0" distB="0" distL="0" distR="0" wp14:anchorId="3EAA4DC4" wp14:editId="45AC0C0B">
            <wp:extent cx="5727700" cy="4864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864100"/>
                    </a:xfrm>
                    <a:prstGeom prst="rect">
                      <a:avLst/>
                    </a:prstGeom>
                    <a:noFill/>
                    <a:ln>
                      <a:noFill/>
                    </a:ln>
                  </pic:spPr>
                </pic:pic>
              </a:graphicData>
            </a:graphic>
          </wp:inline>
        </w:drawing>
      </w:r>
      <w:r w:rsidR="00855AEB" w:rsidRPr="002E6E04">
        <w:rPr>
          <w:color w:val="000000" w:themeColor="text1"/>
        </w:rPr>
        <w:br w:type="page"/>
      </w:r>
    </w:p>
    <w:p w14:paraId="6D116614" w14:textId="77777777" w:rsidR="00734F35" w:rsidRPr="002E6E04" w:rsidRDefault="00734F35">
      <w:pPr>
        <w:rPr>
          <w:color w:val="000000" w:themeColor="text1"/>
        </w:rPr>
      </w:pPr>
    </w:p>
    <w:tbl>
      <w:tblPr>
        <w:tblpPr w:leftFromText="181" w:rightFromText="181" w:vertAnchor="page" w:tblpXSpec="center" w:tblpY="1441"/>
        <w:tblOverlap w:val="never"/>
        <w:tblW w:w="9639" w:type="dxa"/>
        <w:tblLook w:val="04A0" w:firstRow="1" w:lastRow="0" w:firstColumn="1" w:lastColumn="0" w:noHBand="0" w:noVBand="1"/>
      </w:tblPr>
      <w:tblGrid>
        <w:gridCol w:w="1560"/>
        <w:gridCol w:w="5244"/>
        <w:gridCol w:w="2835"/>
      </w:tblGrid>
      <w:tr w:rsidR="002E6E04" w:rsidRPr="002E6E04" w14:paraId="37CA528D" w14:textId="77777777" w:rsidTr="00BB57D8">
        <w:trPr>
          <w:trHeight w:val="303"/>
        </w:trPr>
        <w:tc>
          <w:tcPr>
            <w:tcW w:w="9639" w:type="dxa"/>
            <w:gridSpan w:val="3"/>
            <w:tcBorders>
              <w:bottom w:val="single" w:sz="4" w:space="0" w:color="auto"/>
            </w:tcBorders>
          </w:tcPr>
          <w:p w14:paraId="28860068" w14:textId="3057C0B0" w:rsidR="00A66FFE" w:rsidRPr="002E6E04" w:rsidRDefault="00A66FFE" w:rsidP="00A66FFE">
            <w:pPr>
              <w:pStyle w:val="Caption"/>
              <w:rPr>
                <w:color w:val="000000" w:themeColor="text1"/>
              </w:rPr>
            </w:pPr>
            <w:r w:rsidRPr="002E6E04">
              <w:rPr>
                <w:color w:val="000000" w:themeColor="text1"/>
              </w:rPr>
              <w:t>Table 1 Summary of key trading strategies</w:t>
            </w:r>
          </w:p>
        </w:tc>
      </w:tr>
      <w:bookmarkEnd w:id="7"/>
      <w:bookmarkEnd w:id="8"/>
      <w:tr w:rsidR="002E6E04" w:rsidRPr="002E6E04" w14:paraId="6B8A2744" w14:textId="7C15BD09" w:rsidTr="00EE6537">
        <w:trPr>
          <w:trHeight w:val="303"/>
        </w:trPr>
        <w:tc>
          <w:tcPr>
            <w:tcW w:w="1560" w:type="dxa"/>
            <w:tcBorders>
              <w:bottom w:val="single" w:sz="4" w:space="0" w:color="auto"/>
            </w:tcBorders>
          </w:tcPr>
          <w:p w14:paraId="5E6D15BC" w14:textId="219695BE" w:rsidR="00EE6537" w:rsidRPr="002E6E04" w:rsidRDefault="00EE6537" w:rsidP="00EA0BA8">
            <w:pPr>
              <w:spacing w:line="240" w:lineRule="auto"/>
              <w:jc w:val="left"/>
              <w:rPr>
                <w:b/>
                <w:color w:val="000000" w:themeColor="text1"/>
                <w:szCs w:val="24"/>
              </w:rPr>
            </w:pPr>
            <w:r w:rsidRPr="002E6E04">
              <w:rPr>
                <w:b/>
                <w:color w:val="000000" w:themeColor="text1"/>
                <w:szCs w:val="24"/>
              </w:rPr>
              <w:t>Codename</w:t>
            </w:r>
          </w:p>
        </w:tc>
        <w:tc>
          <w:tcPr>
            <w:tcW w:w="5244" w:type="dxa"/>
            <w:tcBorders>
              <w:bottom w:val="single" w:sz="4" w:space="0" w:color="auto"/>
            </w:tcBorders>
          </w:tcPr>
          <w:p w14:paraId="19E7C556" w14:textId="77777777" w:rsidR="00EE6537" w:rsidRPr="002E6E04" w:rsidRDefault="00EE6537" w:rsidP="00EA0BA8">
            <w:pPr>
              <w:spacing w:line="240" w:lineRule="auto"/>
              <w:jc w:val="left"/>
              <w:rPr>
                <w:b/>
                <w:color w:val="000000" w:themeColor="text1"/>
                <w:szCs w:val="24"/>
              </w:rPr>
            </w:pPr>
            <w:r w:rsidRPr="002E6E04">
              <w:rPr>
                <w:b/>
                <w:color w:val="000000" w:themeColor="text1"/>
                <w:szCs w:val="24"/>
              </w:rPr>
              <w:t>Description</w:t>
            </w:r>
          </w:p>
        </w:tc>
        <w:tc>
          <w:tcPr>
            <w:tcW w:w="2835" w:type="dxa"/>
            <w:tcBorders>
              <w:bottom w:val="single" w:sz="4" w:space="0" w:color="auto"/>
            </w:tcBorders>
          </w:tcPr>
          <w:p w14:paraId="6901F2CF" w14:textId="6A7C10CC" w:rsidR="00EE6537" w:rsidRPr="002E6E04" w:rsidRDefault="00EE6537" w:rsidP="00EA0BA8">
            <w:pPr>
              <w:spacing w:line="240" w:lineRule="auto"/>
              <w:jc w:val="left"/>
              <w:rPr>
                <w:b/>
                <w:color w:val="000000" w:themeColor="text1"/>
                <w:szCs w:val="24"/>
              </w:rPr>
            </w:pPr>
            <w:r w:rsidRPr="002E6E04">
              <w:rPr>
                <w:b/>
                <w:color w:val="000000" w:themeColor="text1"/>
                <w:szCs w:val="24"/>
              </w:rPr>
              <w:t>Result</w:t>
            </w:r>
          </w:p>
        </w:tc>
      </w:tr>
      <w:tr w:rsidR="002E6E04" w:rsidRPr="002E6E04" w14:paraId="263B9C5C" w14:textId="0ACCE8D0" w:rsidTr="00EE6537">
        <w:trPr>
          <w:trHeight w:val="561"/>
        </w:trPr>
        <w:tc>
          <w:tcPr>
            <w:tcW w:w="1560" w:type="dxa"/>
          </w:tcPr>
          <w:p w14:paraId="4CB1E84A" w14:textId="68D9EC08" w:rsidR="00EE6537" w:rsidRPr="002E6E04" w:rsidRDefault="00EE6537" w:rsidP="00EA0BA8">
            <w:pPr>
              <w:spacing w:line="240" w:lineRule="auto"/>
              <w:jc w:val="left"/>
              <w:rPr>
                <w:color w:val="000000" w:themeColor="text1"/>
                <w:szCs w:val="24"/>
              </w:rPr>
            </w:pPr>
            <w:r w:rsidRPr="002E6E04">
              <w:rPr>
                <w:color w:val="000000" w:themeColor="text1"/>
                <w:szCs w:val="24"/>
              </w:rPr>
              <w:t xml:space="preserve">Ricochet </w:t>
            </w:r>
          </w:p>
        </w:tc>
        <w:tc>
          <w:tcPr>
            <w:tcW w:w="5244" w:type="dxa"/>
          </w:tcPr>
          <w:p w14:paraId="602929F6" w14:textId="1AD88A3C" w:rsidR="00EE6537" w:rsidRPr="002E6E04" w:rsidRDefault="00EE6537" w:rsidP="00EA0BA8">
            <w:pPr>
              <w:spacing w:line="240" w:lineRule="auto"/>
              <w:jc w:val="left"/>
              <w:rPr>
                <w:color w:val="000000" w:themeColor="text1"/>
                <w:szCs w:val="24"/>
              </w:rPr>
            </w:pPr>
            <w:r w:rsidRPr="002E6E04">
              <w:rPr>
                <w:color w:val="000000" w:themeColor="text1"/>
                <w:szCs w:val="24"/>
              </w:rPr>
              <w:t>Exporting energy out of California’s ISO’s system, thus simultaneously avoiding price caps</w:t>
            </w:r>
            <w:r w:rsidR="0008386D" w:rsidRPr="002E6E04">
              <w:rPr>
                <w:color w:val="000000" w:themeColor="text1"/>
                <w:szCs w:val="24"/>
              </w:rPr>
              <w:t>,</w:t>
            </w:r>
            <w:r w:rsidRPr="002E6E04">
              <w:rPr>
                <w:color w:val="000000" w:themeColor="text1"/>
                <w:szCs w:val="24"/>
              </w:rPr>
              <w:t xml:space="preserve"> and decreasing supply</w:t>
            </w:r>
            <w:r w:rsidR="006930CC" w:rsidRPr="002E6E04">
              <w:rPr>
                <w:color w:val="000000" w:themeColor="text1"/>
                <w:szCs w:val="24"/>
              </w:rPr>
              <w:t xml:space="preserve">, </w:t>
            </w:r>
            <w:r w:rsidRPr="002E6E04">
              <w:rPr>
                <w:color w:val="000000" w:themeColor="text1"/>
                <w:szCs w:val="24"/>
              </w:rPr>
              <w:t>then re-imported</w:t>
            </w:r>
            <w:r w:rsidR="006930CC" w:rsidRPr="002E6E04">
              <w:rPr>
                <w:color w:val="000000" w:themeColor="text1"/>
                <w:szCs w:val="24"/>
              </w:rPr>
              <w:t xml:space="preserve"> it</w:t>
            </w:r>
            <w:r w:rsidRPr="002E6E04">
              <w:rPr>
                <w:color w:val="000000" w:themeColor="text1"/>
                <w:szCs w:val="24"/>
              </w:rPr>
              <w:t>, selling it in the next day’s (uncapped) real-time markets.</w:t>
            </w:r>
          </w:p>
        </w:tc>
        <w:tc>
          <w:tcPr>
            <w:tcW w:w="2835" w:type="dxa"/>
          </w:tcPr>
          <w:p w14:paraId="720C1F78" w14:textId="0FF28146" w:rsidR="00EE6537" w:rsidRPr="002E6E04" w:rsidRDefault="00164F3B" w:rsidP="00EA0BA8">
            <w:pPr>
              <w:spacing w:line="240" w:lineRule="auto"/>
              <w:jc w:val="left"/>
              <w:rPr>
                <w:color w:val="000000" w:themeColor="text1"/>
                <w:szCs w:val="24"/>
              </w:rPr>
            </w:pPr>
            <w:r w:rsidRPr="002E6E04">
              <w:rPr>
                <w:color w:val="000000" w:themeColor="text1"/>
                <w:szCs w:val="24"/>
              </w:rPr>
              <w:t>Artificially increased prices</w:t>
            </w:r>
          </w:p>
        </w:tc>
      </w:tr>
      <w:tr w:rsidR="002E6E04" w:rsidRPr="002E6E04" w14:paraId="7939D7B4" w14:textId="5620295E" w:rsidTr="00EE6537">
        <w:trPr>
          <w:trHeight w:val="561"/>
        </w:trPr>
        <w:tc>
          <w:tcPr>
            <w:tcW w:w="1560" w:type="dxa"/>
          </w:tcPr>
          <w:p w14:paraId="4E0D2745" w14:textId="77777777" w:rsidR="00EE6537" w:rsidRPr="002E6E04" w:rsidRDefault="00EE6537" w:rsidP="00EA0BA8">
            <w:pPr>
              <w:spacing w:line="240" w:lineRule="auto"/>
              <w:jc w:val="left"/>
              <w:rPr>
                <w:color w:val="000000" w:themeColor="text1"/>
                <w:szCs w:val="24"/>
              </w:rPr>
            </w:pPr>
            <w:r w:rsidRPr="002E6E04">
              <w:rPr>
                <w:rFonts w:cs="Times New Roman"/>
                <w:color w:val="000000" w:themeColor="text1"/>
                <w:szCs w:val="24"/>
              </w:rPr>
              <w:t>Fat Boy</w:t>
            </w:r>
          </w:p>
        </w:tc>
        <w:tc>
          <w:tcPr>
            <w:tcW w:w="5244" w:type="dxa"/>
          </w:tcPr>
          <w:p w14:paraId="69A8510A" w14:textId="0D2C627D" w:rsidR="00EE6537" w:rsidRPr="002E6E04" w:rsidRDefault="003006C2" w:rsidP="00EA0BA8">
            <w:pPr>
              <w:spacing w:line="240" w:lineRule="auto"/>
              <w:jc w:val="left"/>
              <w:rPr>
                <w:rFonts w:cs="Times New Roman"/>
                <w:color w:val="000000" w:themeColor="text1"/>
                <w:szCs w:val="24"/>
              </w:rPr>
            </w:pPr>
            <w:r>
              <w:rPr>
                <w:rFonts w:cs="Times New Roman"/>
                <w:color w:val="000000" w:themeColor="text1"/>
                <w:szCs w:val="24"/>
              </w:rPr>
              <w:t>Deliberately</w:t>
            </w:r>
            <w:r w:rsidR="00EE6537" w:rsidRPr="002E6E04">
              <w:rPr>
                <w:rFonts w:cs="Times New Roman"/>
                <w:color w:val="000000" w:themeColor="text1"/>
                <w:szCs w:val="24"/>
              </w:rPr>
              <w:t xml:space="preserve"> overscheduling demand in the hour or day-ahead markets, generating a surplus which could then be sold in the uncapped real-time markets.</w:t>
            </w:r>
          </w:p>
        </w:tc>
        <w:tc>
          <w:tcPr>
            <w:tcW w:w="2835" w:type="dxa"/>
          </w:tcPr>
          <w:p w14:paraId="2ADFCED8" w14:textId="5F8C900B" w:rsidR="00EE6537" w:rsidRPr="002E6E04" w:rsidRDefault="00164F3B" w:rsidP="00EA0BA8">
            <w:pPr>
              <w:spacing w:line="240" w:lineRule="auto"/>
              <w:jc w:val="left"/>
              <w:rPr>
                <w:rFonts w:cs="Times New Roman"/>
                <w:color w:val="000000" w:themeColor="text1"/>
                <w:szCs w:val="24"/>
              </w:rPr>
            </w:pPr>
            <w:r w:rsidRPr="002E6E04">
              <w:rPr>
                <w:color w:val="000000" w:themeColor="text1"/>
                <w:szCs w:val="24"/>
              </w:rPr>
              <w:t>Artificially increased</w:t>
            </w:r>
            <w:r w:rsidR="00EE6537" w:rsidRPr="002E6E04">
              <w:rPr>
                <w:color w:val="000000" w:themeColor="text1"/>
                <w:szCs w:val="24"/>
              </w:rPr>
              <w:t xml:space="preserve"> price</w:t>
            </w:r>
            <w:r w:rsidRPr="002E6E04">
              <w:rPr>
                <w:color w:val="000000" w:themeColor="text1"/>
                <w:szCs w:val="24"/>
              </w:rPr>
              <w:t>s</w:t>
            </w:r>
          </w:p>
        </w:tc>
      </w:tr>
      <w:tr w:rsidR="002E6E04" w:rsidRPr="002E6E04" w14:paraId="755E2405" w14:textId="670F0A2F" w:rsidTr="00EE6537">
        <w:trPr>
          <w:trHeight w:val="546"/>
        </w:trPr>
        <w:tc>
          <w:tcPr>
            <w:tcW w:w="1560" w:type="dxa"/>
          </w:tcPr>
          <w:p w14:paraId="113B5D97" w14:textId="33A2A0F9" w:rsidR="00EE6537" w:rsidRPr="002E6E04" w:rsidRDefault="00EE6537" w:rsidP="00EA0BA8">
            <w:pPr>
              <w:spacing w:line="240" w:lineRule="auto"/>
              <w:jc w:val="left"/>
              <w:rPr>
                <w:color w:val="000000" w:themeColor="text1"/>
                <w:szCs w:val="24"/>
              </w:rPr>
            </w:pPr>
            <w:r w:rsidRPr="002E6E04">
              <w:rPr>
                <w:color w:val="000000" w:themeColor="text1"/>
                <w:szCs w:val="24"/>
              </w:rPr>
              <w:t xml:space="preserve">Death Star </w:t>
            </w:r>
          </w:p>
        </w:tc>
        <w:tc>
          <w:tcPr>
            <w:tcW w:w="5244" w:type="dxa"/>
          </w:tcPr>
          <w:p w14:paraId="2D8228A6" w14:textId="43398D92" w:rsidR="00EE6537" w:rsidRPr="002E6E04" w:rsidRDefault="00EE6537" w:rsidP="00EA0BA8">
            <w:pPr>
              <w:spacing w:line="240" w:lineRule="auto"/>
              <w:jc w:val="left"/>
              <w:rPr>
                <w:color w:val="000000" w:themeColor="text1"/>
                <w:szCs w:val="24"/>
              </w:rPr>
            </w:pPr>
            <w:r w:rsidRPr="002E6E04">
              <w:rPr>
                <w:color w:val="000000" w:themeColor="text1"/>
                <w:szCs w:val="24"/>
              </w:rPr>
              <w:t xml:space="preserve">Scheduling a fictitious energy transmission in a loop that flows in the opposite direction to a congested transmission path. This entitled them to collect congestion relief revenues. </w:t>
            </w:r>
            <w:r w:rsidR="003006C2">
              <w:rPr>
                <w:color w:val="000000" w:themeColor="text1"/>
                <w:szCs w:val="24"/>
              </w:rPr>
              <w:t>Known v</w:t>
            </w:r>
            <w:r w:rsidRPr="002E6E04">
              <w:rPr>
                <w:color w:val="000000" w:themeColor="text1"/>
                <w:szCs w:val="24"/>
              </w:rPr>
              <w:t>ariants on this strategy included Forney’s Perpetual Loop and Driscoll’s Death Star</w:t>
            </w:r>
          </w:p>
        </w:tc>
        <w:tc>
          <w:tcPr>
            <w:tcW w:w="2835" w:type="dxa"/>
          </w:tcPr>
          <w:p w14:paraId="4706A57C" w14:textId="22E8094C" w:rsidR="00EE6537" w:rsidRPr="002E6E04" w:rsidRDefault="00EE6537" w:rsidP="00EA0BA8">
            <w:pPr>
              <w:spacing w:line="240" w:lineRule="auto"/>
              <w:jc w:val="left"/>
              <w:rPr>
                <w:color w:val="000000" w:themeColor="text1"/>
                <w:szCs w:val="24"/>
              </w:rPr>
            </w:pPr>
            <w:r w:rsidRPr="002E6E04">
              <w:rPr>
                <w:color w:val="000000" w:themeColor="text1"/>
                <w:szCs w:val="24"/>
              </w:rPr>
              <w:t>Activated congestion relief payment</w:t>
            </w:r>
            <w:r w:rsidR="00F92893" w:rsidRPr="002E6E04">
              <w:rPr>
                <w:color w:val="000000" w:themeColor="text1"/>
                <w:szCs w:val="24"/>
              </w:rPr>
              <w:t>s</w:t>
            </w:r>
          </w:p>
        </w:tc>
      </w:tr>
      <w:tr w:rsidR="002E6E04" w:rsidRPr="002E6E04" w14:paraId="4572FFB8" w14:textId="65075BEA" w:rsidTr="00EE6537">
        <w:trPr>
          <w:trHeight w:val="546"/>
        </w:trPr>
        <w:tc>
          <w:tcPr>
            <w:tcW w:w="1560" w:type="dxa"/>
          </w:tcPr>
          <w:p w14:paraId="7BB484E0" w14:textId="74BFEF86" w:rsidR="00EE6537" w:rsidRPr="002E6E04" w:rsidRDefault="00EE6537" w:rsidP="00EA0BA8">
            <w:pPr>
              <w:spacing w:line="240" w:lineRule="auto"/>
              <w:jc w:val="left"/>
              <w:rPr>
                <w:color w:val="000000" w:themeColor="text1"/>
                <w:szCs w:val="24"/>
              </w:rPr>
            </w:pPr>
            <w:r w:rsidRPr="002E6E04">
              <w:rPr>
                <w:color w:val="000000" w:themeColor="text1"/>
                <w:szCs w:val="24"/>
              </w:rPr>
              <w:t>Load Shift</w:t>
            </w:r>
          </w:p>
        </w:tc>
        <w:tc>
          <w:tcPr>
            <w:tcW w:w="5244" w:type="dxa"/>
          </w:tcPr>
          <w:p w14:paraId="575A7CCF" w14:textId="1052CE60" w:rsidR="00EE6537" w:rsidRPr="002E6E04" w:rsidRDefault="0093678C" w:rsidP="00EA0BA8">
            <w:pPr>
              <w:spacing w:line="240" w:lineRule="auto"/>
              <w:jc w:val="left"/>
              <w:rPr>
                <w:color w:val="000000" w:themeColor="text1"/>
                <w:szCs w:val="24"/>
              </w:rPr>
            </w:pPr>
            <w:r w:rsidRPr="002E6E04">
              <w:rPr>
                <w:color w:val="000000" w:themeColor="text1"/>
                <w:szCs w:val="24"/>
              </w:rPr>
              <w:t xml:space="preserve">Created phantom </w:t>
            </w:r>
            <w:r w:rsidR="00EE6537" w:rsidRPr="002E6E04">
              <w:rPr>
                <w:color w:val="000000" w:themeColor="text1"/>
                <w:szCs w:val="24"/>
              </w:rPr>
              <w:t>demand for energy in order to change market price and then buy or sell in that market at an advantageous rate.</w:t>
            </w:r>
          </w:p>
        </w:tc>
        <w:tc>
          <w:tcPr>
            <w:tcW w:w="2835" w:type="dxa"/>
          </w:tcPr>
          <w:p w14:paraId="665DFFFD" w14:textId="1569CBCF" w:rsidR="00EE6537" w:rsidRPr="002E6E04" w:rsidRDefault="0093678C" w:rsidP="00EA0BA8">
            <w:pPr>
              <w:spacing w:line="240" w:lineRule="auto"/>
              <w:jc w:val="left"/>
              <w:rPr>
                <w:color w:val="000000" w:themeColor="text1"/>
                <w:szCs w:val="24"/>
              </w:rPr>
            </w:pPr>
            <w:r w:rsidRPr="002E6E04">
              <w:rPr>
                <w:color w:val="000000" w:themeColor="text1"/>
                <w:szCs w:val="24"/>
              </w:rPr>
              <w:t xml:space="preserve">Activated congestion relief payment, and </w:t>
            </w:r>
            <w:r w:rsidR="00164F3B" w:rsidRPr="002E6E04">
              <w:rPr>
                <w:color w:val="000000" w:themeColor="text1"/>
                <w:szCs w:val="24"/>
              </w:rPr>
              <w:t>artificially increased prices</w:t>
            </w:r>
          </w:p>
        </w:tc>
      </w:tr>
      <w:tr w:rsidR="002E6E04" w:rsidRPr="002E6E04" w14:paraId="0B5F69B5" w14:textId="3F3280E6" w:rsidTr="00EE6537">
        <w:trPr>
          <w:trHeight w:val="546"/>
        </w:trPr>
        <w:tc>
          <w:tcPr>
            <w:tcW w:w="1560" w:type="dxa"/>
          </w:tcPr>
          <w:p w14:paraId="26F5A38D" w14:textId="77777777" w:rsidR="00EE6537" w:rsidRPr="002E6E04" w:rsidRDefault="00EE6537" w:rsidP="00EA0BA8">
            <w:pPr>
              <w:spacing w:line="240" w:lineRule="auto"/>
              <w:jc w:val="left"/>
              <w:rPr>
                <w:color w:val="000000" w:themeColor="text1"/>
                <w:szCs w:val="24"/>
              </w:rPr>
            </w:pPr>
            <w:r w:rsidRPr="002E6E04">
              <w:rPr>
                <w:color w:val="000000" w:themeColor="text1"/>
                <w:szCs w:val="24"/>
              </w:rPr>
              <w:t>Wheel-Out</w:t>
            </w:r>
          </w:p>
        </w:tc>
        <w:tc>
          <w:tcPr>
            <w:tcW w:w="5244" w:type="dxa"/>
          </w:tcPr>
          <w:p w14:paraId="38901AC2" w14:textId="56918EDA" w:rsidR="00EE6537" w:rsidRPr="002E6E04" w:rsidRDefault="00EE6537" w:rsidP="00EA0BA8">
            <w:pPr>
              <w:spacing w:line="240" w:lineRule="auto"/>
              <w:jc w:val="left"/>
              <w:rPr>
                <w:color w:val="000000" w:themeColor="text1"/>
                <w:szCs w:val="24"/>
              </w:rPr>
            </w:pPr>
            <w:r w:rsidRPr="002E6E04">
              <w:rPr>
                <w:color w:val="000000" w:themeColor="text1"/>
                <w:szCs w:val="24"/>
              </w:rPr>
              <w:t>Purposefully scheduling transmission on a path that was out of service, thus entitling them to congestion revenues.</w:t>
            </w:r>
          </w:p>
        </w:tc>
        <w:tc>
          <w:tcPr>
            <w:tcW w:w="2835" w:type="dxa"/>
          </w:tcPr>
          <w:p w14:paraId="0F87D84A" w14:textId="77731A0C" w:rsidR="00EE6537" w:rsidRPr="002E6E04" w:rsidRDefault="00EE6537" w:rsidP="00EA0BA8">
            <w:pPr>
              <w:spacing w:line="240" w:lineRule="auto"/>
              <w:jc w:val="left"/>
              <w:rPr>
                <w:color w:val="000000" w:themeColor="text1"/>
                <w:szCs w:val="24"/>
              </w:rPr>
            </w:pPr>
            <w:r w:rsidRPr="002E6E04">
              <w:rPr>
                <w:color w:val="000000" w:themeColor="text1"/>
                <w:szCs w:val="24"/>
              </w:rPr>
              <w:t>Activated congestion relief payments</w:t>
            </w:r>
          </w:p>
        </w:tc>
      </w:tr>
      <w:tr w:rsidR="002E6E04" w:rsidRPr="002E6E04" w14:paraId="40008028" w14:textId="69815577" w:rsidTr="00EE6537">
        <w:trPr>
          <w:trHeight w:val="331"/>
        </w:trPr>
        <w:tc>
          <w:tcPr>
            <w:tcW w:w="1560" w:type="dxa"/>
            <w:tcBorders>
              <w:bottom w:val="single" w:sz="4" w:space="0" w:color="auto"/>
            </w:tcBorders>
          </w:tcPr>
          <w:p w14:paraId="3ADCB5FE" w14:textId="4C4D6465" w:rsidR="00EE6537" w:rsidRPr="002E6E04" w:rsidRDefault="00EE6537" w:rsidP="00EA0BA8">
            <w:pPr>
              <w:spacing w:line="240" w:lineRule="auto"/>
              <w:jc w:val="left"/>
              <w:rPr>
                <w:color w:val="000000" w:themeColor="text1"/>
                <w:szCs w:val="24"/>
              </w:rPr>
            </w:pPr>
            <w:r w:rsidRPr="002E6E04">
              <w:rPr>
                <w:color w:val="000000" w:themeColor="text1"/>
                <w:szCs w:val="24"/>
              </w:rPr>
              <w:t>Get Shorty</w:t>
            </w:r>
          </w:p>
        </w:tc>
        <w:tc>
          <w:tcPr>
            <w:tcW w:w="5244" w:type="dxa"/>
            <w:tcBorders>
              <w:bottom w:val="single" w:sz="4" w:space="0" w:color="auto"/>
            </w:tcBorders>
          </w:tcPr>
          <w:p w14:paraId="403EB05C" w14:textId="7910522A" w:rsidR="00EE6537" w:rsidRPr="002E6E04" w:rsidRDefault="00EE6537" w:rsidP="00EA0BA8">
            <w:pPr>
              <w:spacing w:line="240" w:lineRule="auto"/>
              <w:jc w:val="left"/>
              <w:rPr>
                <w:color w:val="000000" w:themeColor="text1"/>
                <w:szCs w:val="24"/>
              </w:rPr>
            </w:pPr>
            <w:r w:rsidRPr="002E6E04">
              <w:rPr>
                <w:color w:val="000000" w:themeColor="text1"/>
                <w:szCs w:val="24"/>
              </w:rPr>
              <w:t>Selling reserves in the day-ahead markets and then buying them in the cheaper real-time market.</w:t>
            </w:r>
          </w:p>
        </w:tc>
        <w:tc>
          <w:tcPr>
            <w:tcW w:w="2835" w:type="dxa"/>
            <w:tcBorders>
              <w:bottom w:val="single" w:sz="4" w:space="0" w:color="auto"/>
            </w:tcBorders>
          </w:tcPr>
          <w:p w14:paraId="21B8941E" w14:textId="0368EC82" w:rsidR="00EE6537" w:rsidRPr="002E6E04" w:rsidRDefault="00EE6537" w:rsidP="00EA0BA8">
            <w:pPr>
              <w:spacing w:line="240" w:lineRule="auto"/>
              <w:jc w:val="left"/>
              <w:rPr>
                <w:color w:val="000000" w:themeColor="text1"/>
                <w:szCs w:val="24"/>
              </w:rPr>
            </w:pPr>
            <w:r w:rsidRPr="002E6E04">
              <w:rPr>
                <w:color w:val="000000" w:themeColor="text1"/>
                <w:szCs w:val="24"/>
              </w:rPr>
              <w:t>Provided a (prohibited) arbitrage opportunity between markets.</w:t>
            </w:r>
          </w:p>
        </w:tc>
      </w:tr>
    </w:tbl>
    <w:p w14:paraId="51235174" w14:textId="36CDC1A8" w:rsidR="0081567A" w:rsidRPr="002E6E04" w:rsidRDefault="0081567A" w:rsidP="000A4510">
      <w:pPr>
        <w:rPr>
          <w:color w:val="000000" w:themeColor="text1"/>
        </w:rPr>
      </w:pPr>
    </w:p>
    <w:p w14:paraId="2BB02E4F" w14:textId="4649786C" w:rsidR="003074BC" w:rsidRPr="002E6E04" w:rsidRDefault="003D4482" w:rsidP="003074BC">
      <w:pPr>
        <w:spacing w:line="259" w:lineRule="auto"/>
        <w:jc w:val="left"/>
        <w:rPr>
          <w:i/>
          <w:iCs/>
          <w:color w:val="000000" w:themeColor="text1"/>
        </w:rPr>
      </w:pPr>
      <w:r w:rsidRPr="002E6E04">
        <w:rPr>
          <w:color w:val="000000" w:themeColor="text1"/>
        </w:rPr>
        <w:br w:type="page"/>
      </w:r>
      <w:r w:rsidR="003074BC" w:rsidRPr="00B54FF3">
        <w:rPr>
          <w:i/>
          <w:iCs/>
          <w:color w:val="000000" w:themeColor="text1"/>
        </w:rPr>
        <w:lastRenderedPageBreak/>
        <w:t>Figure 4 Str</w:t>
      </w:r>
      <w:r w:rsidR="00B54FF3" w:rsidRPr="00B54FF3">
        <w:rPr>
          <w:i/>
          <w:iCs/>
          <w:color w:val="000000" w:themeColor="text1"/>
        </w:rPr>
        <w:t xml:space="preserve">ucture of </w:t>
      </w:r>
      <w:r w:rsidR="003074BC" w:rsidRPr="00B54FF3">
        <w:rPr>
          <w:i/>
          <w:iCs/>
          <w:color w:val="000000" w:themeColor="text1"/>
        </w:rPr>
        <w:t xml:space="preserve">Enron’s </w:t>
      </w:r>
      <w:r w:rsidR="003006C2">
        <w:rPr>
          <w:i/>
          <w:iCs/>
          <w:color w:val="000000" w:themeColor="text1"/>
        </w:rPr>
        <w:t>n</w:t>
      </w:r>
      <w:r w:rsidR="008F3AB0" w:rsidRPr="00B54FF3">
        <w:rPr>
          <w:i/>
          <w:iCs/>
          <w:color w:val="000000" w:themeColor="text1"/>
        </w:rPr>
        <w:t xml:space="preserve">etwork of </w:t>
      </w:r>
      <w:r w:rsidR="003006C2">
        <w:rPr>
          <w:i/>
          <w:iCs/>
          <w:color w:val="000000" w:themeColor="text1"/>
        </w:rPr>
        <w:t>m</w:t>
      </w:r>
      <w:r w:rsidR="008F3AB0" w:rsidRPr="00B54FF3">
        <w:rPr>
          <w:i/>
          <w:iCs/>
          <w:color w:val="000000" w:themeColor="text1"/>
        </w:rPr>
        <w:t xml:space="preserve">arket </w:t>
      </w:r>
      <w:r w:rsidR="003006C2">
        <w:rPr>
          <w:i/>
          <w:iCs/>
          <w:color w:val="000000" w:themeColor="text1"/>
        </w:rPr>
        <w:t>p</w:t>
      </w:r>
      <w:r w:rsidR="008F3AB0" w:rsidRPr="00B54FF3">
        <w:rPr>
          <w:i/>
          <w:iCs/>
          <w:color w:val="000000" w:themeColor="text1"/>
        </w:rPr>
        <w:t>articipants</w:t>
      </w:r>
      <w:r w:rsidR="00CB15A4" w:rsidRPr="00B54FF3">
        <w:rPr>
          <w:rStyle w:val="EndnoteReference"/>
          <w:i/>
          <w:iCs/>
          <w:color w:val="000000" w:themeColor="text1"/>
        </w:rPr>
        <w:endnoteReference w:id="164"/>
      </w:r>
    </w:p>
    <w:p w14:paraId="70304AED" w14:textId="11ED845F" w:rsidR="003074BC" w:rsidRPr="002E6E04" w:rsidRDefault="00B54FF3" w:rsidP="003074BC">
      <w:pPr>
        <w:spacing w:line="259" w:lineRule="auto"/>
        <w:jc w:val="left"/>
        <w:rPr>
          <w:color w:val="000000" w:themeColor="text1"/>
        </w:rPr>
      </w:pPr>
      <w:r>
        <w:rPr>
          <w:noProof/>
          <w:color w:val="000000" w:themeColor="text1"/>
          <w:lang w:eastAsia="en-GB"/>
        </w:rPr>
        <w:drawing>
          <wp:inline distT="0" distB="0" distL="0" distR="0" wp14:anchorId="5B4833FC" wp14:editId="117D3997">
            <wp:extent cx="5736566" cy="5628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531" t="2447" r="4506" b="36587"/>
                    <a:stretch/>
                  </pic:blipFill>
                  <pic:spPr bwMode="auto">
                    <a:xfrm>
                      <a:off x="0" y="0"/>
                      <a:ext cx="5742573" cy="5634824"/>
                    </a:xfrm>
                    <a:prstGeom prst="rect">
                      <a:avLst/>
                    </a:prstGeom>
                    <a:noFill/>
                    <a:ln>
                      <a:noFill/>
                    </a:ln>
                    <a:extLst>
                      <a:ext uri="{53640926-AAD7-44D8-BBD7-CCE9431645EC}">
                        <a14:shadowObscured xmlns:a14="http://schemas.microsoft.com/office/drawing/2010/main"/>
                      </a:ext>
                    </a:extLst>
                  </pic:spPr>
                </pic:pic>
              </a:graphicData>
            </a:graphic>
          </wp:inline>
        </w:drawing>
      </w:r>
    </w:p>
    <w:p w14:paraId="1CCBA84F" w14:textId="5910B823" w:rsidR="00C0589C" w:rsidRPr="002E6E04" w:rsidRDefault="003074BC">
      <w:pPr>
        <w:spacing w:line="259" w:lineRule="auto"/>
        <w:jc w:val="left"/>
        <w:rPr>
          <w:color w:val="000000" w:themeColor="text1"/>
        </w:rPr>
      </w:pPr>
      <w:r w:rsidRPr="002E6E04">
        <w:rPr>
          <w:color w:val="000000" w:themeColor="text1"/>
        </w:rPr>
        <w:br w:type="page"/>
      </w:r>
    </w:p>
    <w:sectPr w:rsidR="00C0589C" w:rsidRPr="002E6E04">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DDA5" w14:textId="77777777" w:rsidR="0064002A" w:rsidRDefault="0064002A" w:rsidP="000142AC">
      <w:pPr>
        <w:spacing w:after="0" w:line="240" w:lineRule="auto"/>
      </w:pPr>
      <w:r>
        <w:separator/>
      </w:r>
    </w:p>
  </w:endnote>
  <w:endnote w:type="continuationSeparator" w:id="0">
    <w:p w14:paraId="4F31349B" w14:textId="77777777" w:rsidR="0064002A" w:rsidRDefault="0064002A" w:rsidP="000142AC">
      <w:pPr>
        <w:spacing w:after="0" w:line="240" w:lineRule="auto"/>
      </w:pPr>
      <w:r>
        <w:continuationSeparator/>
      </w:r>
    </w:p>
  </w:endnote>
  <w:endnote w:id="1">
    <w:p w14:paraId="030A5C90" w14:textId="60F34AC8" w:rsidR="00E26C57" w:rsidRPr="00FC3C61" w:rsidRDefault="00E26C57">
      <w:pPr>
        <w:pStyle w:val="EndnoteText"/>
        <w:rPr>
          <w:rFonts w:cs="Times New Roman"/>
          <w:sz w:val="22"/>
          <w:szCs w:val="22"/>
        </w:rPr>
      </w:pPr>
      <w:r w:rsidRPr="00FC3C61">
        <w:rPr>
          <w:rStyle w:val="EndnoteReference"/>
          <w:rFonts w:cs="Times New Roman"/>
          <w:color w:val="000000" w:themeColor="text1"/>
          <w:sz w:val="22"/>
          <w:szCs w:val="22"/>
        </w:rPr>
        <w:endnoteRef/>
      </w:r>
      <w:r w:rsidRPr="00FC3C61">
        <w:rPr>
          <w:rFonts w:cs="Times New Roman"/>
          <w:color w:val="000000" w:themeColor="text1"/>
          <w:sz w:val="22"/>
          <w:szCs w:val="22"/>
        </w:rPr>
        <w:t xml:space="preserve"> </w:t>
      </w:r>
      <w:r w:rsidR="007E5920" w:rsidRPr="00FC3C61">
        <w:rPr>
          <w:rFonts w:cs="Times New Roman"/>
          <w:color w:val="000000" w:themeColor="text1"/>
          <w:sz w:val="22"/>
          <w:szCs w:val="22"/>
        </w:rPr>
        <w:t xml:space="preserve">FERC, Commission revokes Enron's market-based rate authority, blanket gas certificates terminated, 2003. </w:t>
      </w:r>
      <w:r w:rsidR="00E759F6" w:rsidRPr="00FC3C61">
        <w:rPr>
          <w:rFonts w:cs="Times New Roman"/>
          <w:color w:val="000000" w:themeColor="text1"/>
          <w:sz w:val="22"/>
          <w:szCs w:val="22"/>
        </w:rPr>
        <w:t>FERC</w:t>
      </w:r>
      <w:r w:rsidR="00262509" w:rsidRPr="00FC3C61">
        <w:rPr>
          <w:rFonts w:cs="Times New Roman"/>
          <w:color w:val="000000" w:themeColor="text1"/>
          <w:sz w:val="22"/>
          <w:szCs w:val="22"/>
        </w:rPr>
        <w:t>, “Order</w:t>
      </w:r>
      <w:r w:rsidR="00E759F6" w:rsidRPr="00FC3C61">
        <w:rPr>
          <w:rFonts w:cs="Times New Roman"/>
          <w:color w:val="000000" w:themeColor="text1"/>
          <w:sz w:val="22"/>
          <w:szCs w:val="22"/>
        </w:rPr>
        <w:t xml:space="preserve"> revoking market-based rate authorities and terminating blanket marketing certificates” 103 FERC ¶ 61,343</w:t>
      </w:r>
      <w:r w:rsidR="009546E3" w:rsidRPr="00FC3C61">
        <w:rPr>
          <w:rFonts w:cs="Times New Roman"/>
          <w:color w:val="000000" w:themeColor="text1"/>
          <w:sz w:val="22"/>
          <w:szCs w:val="22"/>
        </w:rPr>
        <w:t>, 2003</w:t>
      </w:r>
      <w:r w:rsidR="00E759F6" w:rsidRPr="00FC3C61">
        <w:rPr>
          <w:rFonts w:cs="Times New Roman"/>
          <w:color w:val="000000" w:themeColor="text1"/>
          <w:sz w:val="22"/>
          <w:szCs w:val="22"/>
        </w:rPr>
        <w:t xml:space="preserve">. </w:t>
      </w:r>
      <w:r w:rsidR="00FF229C" w:rsidRPr="00FC3C61">
        <w:rPr>
          <w:rFonts w:cs="Times New Roman"/>
          <w:color w:val="000000" w:themeColor="text1"/>
          <w:sz w:val="22"/>
          <w:szCs w:val="22"/>
        </w:rPr>
        <w:t>Gaming</w:t>
      </w:r>
      <w:r w:rsidR="00857D06" w:rsidRPr="00FC3C61">
        <w:rPr>
          <w:rFonts w:cs="Times New Roman"/>
          <w:color w:val="000000" w:themeColor="text1"/>
          <w:sz w:val="22"/>
          <w:szCs w:val="22"/>
        </w:rPr>
        <w:t xml:space="preserve"> here </w:t>
      </w:r>
      <w:r w:rsidR="00B33DA8" w:rsidRPr="00FC3C61">
        <w:rPr>
          <w:rFonts w:cs="Times New Roman"/>
          <w:color w:val="000000" w:themeColor="text1"/>
          <w:sz w:val="22"/>
          <w:szCs w:val="22"/>
        </w:rPr>
        <w:t>represents th</w:t>
      </w:r>
      <w:r w:rsidR="0033170E" w:rsidRPr="00FC3C61">
        <w:rPr>
          <w:rFonts w:cs="Times New Roman"/>
          <w:color w:val="000000" w:themeColor="text1"/>
          <w:sz w:val="22"/>
          <w:szCs w:val="22"/>
        </w:rPr>
        <w:t>e</w:t>
      </w:r>
      <w:r w:rsidR="00B33DA8" w:rsidRPr="00FC3C61">
        <w:rPr>
          <w:rFonts w:cs="Times New Roman"/>
          <w:color w:val="000000" w:themeColor="text1"/>
          <w:sz w:val="22"/>
          <w:szCs w:val="22"/>
        </w:rPr>
        <w:t xml:space="preserve"> taking of an </w:t>
      </w:r>
      <w:r w:rsidR="00FF229C" w:rsidRPr="00FC3C61">
        <w:rPr>
          <w:rFonts w:cs="Times New Roman"/>
          <w:color w:val="000000" w:themeColor="text1"/>
          <w:sz w:val="22"/>
          <w:szCs w:val="22"/>
        </w:rPr>
        <w:t xml:space="preserve">unfair advantage </w:t>
      </w:r>
      <w:r w:rsidR="00B33DA8" w:rsidRPr="00FC3C61">
        <w:rPr>
          <w:rFonts w:cs="Times New Roman"/>
          <w:color w:val="000000" w:themeColor="text1"/>
          <w:sz w:val="22"/>
          <w:szCs w:val="22"/>
        </w:rPr>
        <w:t xml:space="preserve">from market </w:t>
      </w:r>
      <w:r w:rsidR="00FF229C" w:rsidRPr="00FC3C61">
        <w:rPr>
          <w:rFonts w:cs="Times New Roman"/>
          <w:color w:val="000000" w:themeColor="text1"/>
          <w:sz w:val="22"/>
          <w:szCs w:val="22"/>
        </w:rPr>
        <w:t>rules and procedures</w:t>
      </w:r>
      <w:r w:rsidR="00857D06" w:rsidRPr="00FC3C61">
        <w:rPr>
          <w:rFonts w:cs="Times New Roman"/>
          <w:color w:val="000000" w:themeColor="text1"/>
          <w:sz w:val="22"/>
          <w:szCs w:val="22"/>
        </w:rPr>
        <w:t>, or any market</w:t>
      </w:r>
      <w:r w:rsidR="00FF229C" w:rsidRPr="00FC3C61">
        <w:rPr>
          <w:rFonts w:cs="Times New Roman"/>
          <w:color w:val="000000" w:themeColor="text1"/>
          <w:sz w:val="22"/>
          <w:szCs w:val="22"/>
        </w:rPr>
        <w:t xml:space="preserve"> conditions that </w:t>
      </w:r>
      <w:r w:rsidR="00857D06" w:rsidRPr="00FC3C61">
        <w:rPr>
          <w:rFonts w:cs="Times New Roman"/>
          <w:color w:val="000000" w:themeColor="text1"/>
          <w:sz w:val="22"/>
          <w:szCs w:val="22"/>
        </w:rPr>
        <w:t>could</w:t>
      </w:r>
      <w:r w:rsidR="00FF229C" w:rsidRPr="00FC3C61">
        <w:rPr>
          <w:rFonts w:cs="Times New Roman"/>
          <w:color w:val="000000" w:themeColor="text1"/>
          <w:sz w:val="22"/>
          <w:szCs w:val="22"/>
        </w:rPr>
        <w:t xml:space="preserve"> affect the availability of transmission and generation capacity</w:t>
      </w:r>
      <w:r w:rsidR="00B33DA8" w:rsidRPr="00FC3C61">
        <w:rPr>
          <w:rFonts w:cs="Times New Roman"/>
          <w:color w:val="000000" w:themeColor="text1"/>
          <w:sz w:val="22"/>
          <w:szCs w:val="22"/>
        </w:rPr>
        <w:t xml:space="preserve"> or behavior of other market participants</w:t>
      </w:r>
      <w:r w:rsidR="00857D06" w:rsidRPr="00FC3C61">
        <w:rPr>
          <w:rFonts w:cs="Times New Roman"/>
          <w:color w:val="000000" w:themeColor="text1"/>
          <w:sz w:val="22"/>
          <w:szCs w:val="22"/>
        </w:rPr>
        <w:t>,</w:t>
      </w:r>
      <w:r w:rsidR="00FF229C" w:rsidRPr="00FC3C61">
        <w:rPr>
          <w:rFonts w:cs="Times New Roman"/>
          <w:color w:val="000000" w:themeColor="text1"/>
          <w:sz w:val="22"/>
          <w:szCs w:val="22"/>
        </w:rPr>
        <w:t xml:space="preserve"> </w:t>
      </w:r>
      <w:r w:rsidR="00857D06" w:rsidRPr="00FC3C61">
        <w:rPr>
          <w:rFonts w:cs="Times New Roman"/>
          <w:color w:val="000000" w:themeColor="text1"/>
          <w:sz w:val="22"/>
          <w:szCs w:val="22"/>
          <w:shd w:val="clear" w:color="auto" w:fill="FFFFFF"/>
        </w:rPr>
        <w:t>to the detriment of efficiency and consumers.</w:t>
      </w:r>
      <w:r w:rsidR="00857D06" w:rsidRPr="00FC3C61">
        <w:rPr>
          <w:rFonts w:cs="Times New Roman"/>
          <w:color w:val="000000" w:themeColor="text1"/>
          <w:sz w:val="22"/>
          <w:szCs w:val="22"/>
        </w:rPr>
        <w:t xml:space="preserve"> </w:t>
      </w:r>
      <w:r w:rsidR="0033170E" w:rsidRPr="00FC3C61">
        <w:rPr>
          <w:rFonts w:cs="Times New Roman"/>
          <w:color w:val="000000" w:themeColor="text1"/>
          <w:sz w:val="22"/>
          <w:szCs w:val="22"/>
        </w:rPr>
        <w:t xml:space="preserve">See </w:t>
      </w:r>
      <w:r w:rsidR="0033170E" w:rsidRPr="00FC3C61">
        <w:rPr>
          <w:rFonts w:cs="Times New Roman"/>
          <w:color w:val="000000" w:themeColor="text1"/>
          <w:sz w:val="22"/>
          <w:szCs w:val="22"/>
        </w:rPr>
        <w:fldChar w:fldCharType="begin" w:fldLock="1"/>
      </w:r>
      <w:r w:rsidR="000C72AB" w:rsidRPr="00FC3C61">
        <w:rPr>
          <w:rFonts w:cs="Times New Roman"/>
          <w:color w:val="000000" w:themeColor="text1"/>
          <w:sz w:val="22"/>
          <w:szCs w:val="22"/>
        </w:rPr>
        <w:instrText>ADDIN CSL_CITATION {"citationItems":[{"id":"ITEM-1","itemData":{"author":[{"dropping-particle":"","family":"CAISO","given":"","non-dropping-particle":"","parse-names":false,"suffix":""}],"collection-title":"EL03-180, SNO-127","id":"ITEM-1","issued":{"date-parts":[["2000"]]},"title":"ISO Market Monitoring and Information Protocol","type":"report"},"uris":["http://www.mendeley.com/documents/?uuid=51535c1e-7aee-43d2-ac49-d6ad564c3f45"]}],"mendeley":{"formattedCitation":"CAISO, “ISO Market Monitoring and Information Protocol,” EL03-180, SNO-127, 2000.","manualFormatting":"CAISO, “ISO Market Monitoring and Information Protocol,” 2000, EL03-180, SNO-127, FERC.","plainTextFormattedCitation":"CAISO, “ISO Market Monitoring and Information Protocol,” EL03-180, SNO-127, 2000.","previouslyFormattedCitation":"CAISO, “ISO Market Monitoring and Information Protocol,” EL03-180, SNO-127, 2000."},"properties":{"noteIndex":0},"schema":"https://github.com/citation-style-language/schema/raw/master/csl-citation.json"}</w:instrText>
      </w:r>
      <w:r w:rsidR="0033170E" w:rsidRPr="00FC3C61">
        <w:rPr>
          <w:rFonts w:cs="Times New Roman"/>
          <w:color w:val="000000" w:themeColor="text1"/>
          <w:sz w:val="22"/>
          <w:szCs w:val="22"/>
        </w:rPr>
        <w:fldChar w:fldCharType="separate"/>
      </w:r>
      <w:r w:rsidR="0033170E" w:rsidRPr="00FC3C61">
        <w:rPr>
          <w:rFonts w:cs="Times New Roman"/>
          <w:noProof/>
          <w:color w:val="000000" w:themeColor="text1"/>
          <w:sz w:val="22"/>
          <w:szCs w:val="22"/>
        </w:rPr>
        <w:t xml:space="preserve">CAISO, “ISO Market Monitoring and Information Protocol,” </w:t>
      </w:r>
      <w:r w:rsidR="00262509" w:rsidRPr="00FC3C61">
        <w:rPr>
          <w:rFonts w:cs="Times New Roman"/>
          <w:noProof/>
          <w:color w:val="000000" w:themeColor="text1"/>
          <w:sz w:val="22"/>
          <w:szCs w:val="22"/>
        </w:rPr>
        <w:t xml:space="preserve">2000, </w:t>
      </w:r>
      <w:r w:rsidR="0033170E" w:rsidRPr="00FC3C61">
        <w:rPr>
          <w:rFonts w:cs="Times New Roman"/>
          <w:noProof/>
          <w:color w:val="000000" w:themeColor="text1"/>
          <w:sz w:val="22"/>
          <w:szCs w:val="22"/>
        </w:rPr>
        <w:t xml:space="preserve">EL03-180, SNO-127, </w:t>
      </w:r>
      <w:r w:rsidR="00262509" w:rsidRPr="00FC3C61">
        <w:rPr>
          <w:rFonts w:cs="Times New Roman"/>
          <w:noProof/>
          <w:color w:val="000000" w:themeColor="text1"/>
          <w:sz w:val="22"/>
          <w:szCs w:val="22"/>
        </w:rPr>
        <w:t>FERC</w:t>
      </w:r>
      <w:r w:rsidR="0033170E" w:rsidRPr="00FC3C61">
        <w:rPr>
          <w:rFonts w:cs="Times New Roman"/>
          <w:noProof/>
          <w:color w:val="000000" w:themeColor="text1"/>
          <w:sz w:val="22"/>
          <w:szCs w:val="22"/>
        </w:rPr>
        <w:t>.</w:t>
      </w:r>
      <w:r w:rsidR="0033170E" w:rsidRPr="00FC3C61">
        <w:rPr>
          <w:rFonts w:cs="Times New Roman"/>
          <w:color w:val="000000" w:themeColor="text1"/>
          <w:sz w:val="22"/>
          <w:szCs w:val="22"/>
        </w:rPr>
        <w:fldChar w:fldCharType="end"/>
      </w:r>
    </w:p>
  </w:endnote>
  <w:endnote w:id="2">
    <w:p w14:paraId="69B85D30" w14:textId="77777777" w:rsidR="007D3317" w:rsidRPr="00FC3C61" w:rsidRDefault="007D3317" w:rsidP="007D3317">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1566-1679","author":[{"dropping-particle":"","family":"Blumstein","given":"Carl","non-dropping-particle":"","parse-names":false,"suffix":""},{"dropping-particle":"","family":"Friedman","given":"Lee","non-dropping-particle":"","parse-names":false,"suffix":""},{"dropping-particle":"","family":"Green","given":"Richard","non-dropping-particle":"","parse-names":false,"suffix":""}],"container-title":"Journal of Industry, Competition and Trade","id":"ITEM-1","issue":"1","issued":{"date-parts":[["2002"]]},"page":"9-38","title":"The history of electricity restructuring in California","type":"article-journal","volume":"2"},"uris":["http://www.mendeley.com/documents/?uuid=2606f3dd-2a66-434a-8cb7-dc4fdb262341"]}],"mendeley":{"formattedCitation":"Carl Blumstein, Lee Friedman, and Richard Green, “The History of Electricity Restructuring in California,” &lt;i&gt;Journal of Industry, Competition and Trade&lt;/i&gt; 2, no. 1 (2002): 9–38.","plainTextFormattedCitation":"Carl Blumstein, Lee Friedman, and Richard Green, “The History of Electricity Restructuring in California,” Journal of Industry, Competition and Trade 2, no. 1 (2002): 9–38.","previouslyFormattedCitation":"Carl Blumstein, Lee Friedman, and Richard Green, “The History of Electricity Restructuring in California,” &lt;i&gt;Journal of Industry, Competition and Trade&lt;/i&gt; 2, no. 1 (2002): 9–38."},"properties":{"noteIndex":0},"schema":"https://github.com/citation-style-language/schema/raw/master/csl-citation.json"}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Carl Blumstein, Lee Friedman, and Richard Green, “The History of Electricity Restructuring in California,” </w:t>
      </w:r>
      <w:r w:rsidRPr="00FC3C61">
        <w:rPr>
          <w:rFonts w:cs="Times New Roman"/>
          <w:i/>
          <w:noProof/>
          <w:sz w:val="22"/>
          <w:szCs w:val="22"/>
        </w:rPr>
        <w:t>Journal of Industry, Competition and Trade</w:t>
      </w:r>
      <w:r w:rsidRPr="00FC3C61">
        <w:rPr>
          <w:rFonts w:cs="Times New Roman"/>
          <w:noProof/>
          <w:sz w:val="22"/>
          <w:szCs w:val="22"/>
        </w:rPr>
        <w:t xml:space="preserve"> 2, no. 1 (2002): 9–38.</w:t>
      </w:r>
      <w:r w:rsidRPr="00FC3C61">
        <w:rPr>
          <w:rFonts w:cs="Times New Roman"/>
          <w:sz w:val="22"/>
          <w:szCs w:val="22"/>
        </w:rPr>
        <w:fldChar w:fldCharType="end"/>
      </w:r>
    </w:p>
  </w:endnote>
  <w:endnote w:id="3">
    <w:p w14:paraId="5ACEF227" w14:textId="7F42CA5C" w:rsidR="001E600B" w:rsidRPr="00FC3C61" w:rsidRDefault="001E600B">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522483"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uris":["http://www.mendeley.com/documents/?uuid=a94a3908-3dd8-4017-adbe-2cbcc71b4d83"]},{"id":"ITEM-2","itemData":{"author":[{"dropping-particle":"","family":"FERC","given":"","non-dropping-particle":"","parse-names":false,"suffix":""}],"id":"ITEM-2","issue":"PA02-2-000","issued":{"date-parts":[["2003"]]},"title":"Final Report on Price Manipulation In Western Markets","type":"report"},"uris":["http://www.mendeley.com/documents/?uuid=127ee563-edb4-42e5-a1db-b4361bd40bac"]}],"mendeley":{"formattedCitation":"FERC, “Initial Decision,” 119 FERC ¶ 63,013, 2007; FERC, “Final Report on Price Manipulation In Western Markets,” 2003.","plainTextFormattedCitation":"FERC, “Initial Decision,” 119 FERC ¶ 63,013, 2007; FERC, “Final Report on Price Manipulation In Western Markets,” 2003.","previouslyFormattedCitation":"FERC, “Initial Decision,” 119 FERC ¶ 63,013, 2007; FERC, “Final Report on Price Manipulation In Western Markets,” 2003."},"properties":{"noteIndex":0},"schema":"https://github.com/citation-style-language/schema/raw/master/csl-citation.json"}</w:instrText>
      </w:r>
      <w:r w:rsidRPr="00FC3C61">
        <w:rPr>
          <w:rFonts w:cs="Times New Roman"/>
          <w:sz w:val="22"/>
          <w:szCs w:val="22"/>
        </w:rPr>
        <w:fldChar w:fldCharType="separate"/>
      </w:r>
      <w:r w:rsidR="002817AF" w:rsidRPr="00FC3C61">
        <w:rPr>
          <w:rFonts w:cs="Times New Roman"/>
          <w:noProof/>
          <w:sz w:val="22"/>
          <w:szCs w:val="22"/>
        </w:rPr>
        <w:t>FERC, “Initial Decision,” 119 FERC ¶ 63,013, 2007; FERC, “Final Report on Price Manipulation In Western Markets,” 2003.</w:t>
      </w:r>
      <w:r w:rsidRPr="00FC3C61">
        <w:rPr>
          <w:rFonts w:cs="Times New Roman"/>
          <w:sz w:val="22"/>
          <w:szCs w:val="22"/>
        </w:rPr>
        <w:fldChar w:fldCharType="end"/>
      </w:r>
    </w:p>
  </w:endnote>
  <w:endnote w:id="4">
    <w:p w14:paraId="569DC6E8" w14:textId="285E5487" w:rsidR="001E600B" w:rsidRPr="00FC3C61" w:rsidRDefault="001E600B">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2817AF" w:rsidRPr="00FC3C61">
        <w:rPr>
          <w:rFonts w:cs="Times New Roman"/>
          <w:sz w:val="22"/>
          <w:szCs w:val="22"/>
        </w:rPr>
        <w:fldChar w:fldCharType="begin" w:fldLock="1"/>
      </w:r>
      <w:r w:rsidR="002817AF"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decision","type":"report"},"locator":"12","uris":["http://www.mendeley.com/documents/?uuid=a94a3908-3dd8-4017-adbe-2cbcc71b4d83"]}],"mendeley":{"formattedCitation":"FERC, “Initial Decision,” 12.","plainTextFormattedCitation":"FERC, “Initial Decision,” 12.","previouslyFormattedCitation":"FERC, “Initial Decision,” 12."},"properties":{"noteIndex":0},"schema":"https://github.com/citation-style-language/schema/raw/master/csl-citation.json"}</w:instrText>
      </w:r>
      <w:r w:rsidR="002817AF" w:rsidRPr="00FC3C61">
        <w:rPr>
          <w:rFonts w:cs="Times New Roman"/>
          <w:sz w:val="22"/>
          <w:szCs w:val="22"/>
        </w:rPr>
        <w:fldChar w:fldCharType="separate"/>
      </w:r>
      <w:r w:rsidR="002817AF" w:rsidRPr="00FC3C61">
        <w:rPr>
          <w:rFonts w:cs="Times New Roman"/>
          <w:noProof/>
          <w:sz w:val="22"/>
          <w:szCs w:val="22"/>
        </w:rPr>
        <w:t>FERC, “Initial Decision,” 12.</w:t>
      </w:r>
      <w:r w:rsidR="002817AF" w:rsidRPr="00FC3C61">
        <w:rPr>
          <w:rFonts w:cs="Times New Roman"/>
          <w:sz w:val="22"/>
          <w:szCs w:val="22"/>
        </w:rPr>
        <w:fldChar w:fldCharType="end"/>
      </w:r>
    </w:p>
  </w:endnote>
  <w:endnote w:id="5">
    <w:p w14:paraId="1FA3697C" w14:textId="6244E97F" w:rsidR="004A3B24" w:rsidRPr="00FC3C61" w:rsidRDefault="004A3B24" w:rsidP="004A3B24">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8F3AB0" w:rsidRPr="00FC3C61">
        <w:rPr>
          <w:rFonts w:cs="Times New Roman"/>
          <w:sz w:val="22"/>
          <w:szCs w:val="22"/>
        </w:rPr>
        <w:t xml:space="preserve">Plea agreement, </w:t>
      </w:r>
      <w:r w:rsidR="009C2A93" w:rsidRPr="00FC3C61">
        <w:rPr>
          <w:rFonts w:cs="Times New Roman"/>
          <w:sz w:val="22"/>
          <w:szCs w:val="22"/>
        </w:rPr>
        <w:t xml:space="preserve">United States v. </w:t>
      </w:r>
      <w:r w:rsidR="003E555B" w:rsidRPr="00FC3C61">
        <w:rPr>
          <w:rFonts w:cs="Times New Roman"/>
          <w:sz w:val="22"/>
          <w:szCs w:val="22"/>
        </w:rPr>
        <w:t>Timothy Belden</w:t>
      </w:r>
      <w:r w:rsidR="009C2A93" w:rsidRPr="00FC3C61">
        <w:rPr>
          <w:rFonts w:cs="Times New Roman"/>
          <w:sz w:val="22"/>
          <w:szCs w:val="22"/>
        </w:rPr>
        <w:t xml:space="preserve">, </w:t>
      </w:r>
      <w:r w:rsidR="003E555B" w:rsidRPr="00FC3C61">
        <w:rPr>
          <w:rFonts w:cs="Times New Roman"/>
          <w:sz w:val="22"/>
          <w:szCs w:val="22"/>
        </w:rPr>
        <w:t xml:space="preserve">(U.S. Dist. Ct., </w:t>
      </w:r>
      <w:r w:rsidR="009C2A93" w:rsidRPr="00FC3C61">
        <w:rPr>
          <w:rFonts w:cs="Times New Roman"/>
          <w:sz w:val="22"/>
          <w:szCs w:val="22"/>
        </w:rPr>
        <w:t>N.D. Cal. (200</w:t>
      </w:r>
      <w:r w:rsidR="003E555B" w:rsidRPr="00FC3C61">
        <w:rPr>
          <w:rFonts w:cs="Times New Roman"/>
          <w:sz w:val="22"/>
          <w:szCs w:val="22"/>
        </w:rPr>
        <w:t>2</w:t>
      </w:r>
      <w:r w:rsidR="009C2A93" w:rsidRPr="00FC3C61">
        <w:rPr>
          <w:rFonts w:cs="Times New Roman"/>
          <w:sz w:val="22"/>
          <w:szCs w:val="22"/>
        </w:rPr>
        <w:t>)</w:t>
      </w:r>
      <w:r w:rsidR="008F3AB0" w:rsidRPr="00FC3C61">
        <w:rPr>
          <w:rFonts w:cs="Times New Roman"/>
          <w:sz w:val="22"/>
          <w:szCs w:val="22"/>
        </w:rPr>
        <w:t>, 3</w:t>
      </w:r>
      <w:r w:rsidR="009C2A93" w:rsidRPr="00FC3C61">
        <w:rPr>
          <w:rFonts w:cs="Times New Roman"/>
          <w:sz w:val="22"/>
          <w:szCs w:val="22"/>
        </w:rPr>
        <w:t xml:space="preserve">; </w:t>
      </w:r>
      <w:r w:rsidR="008F3AB0" w:rsidRPr="00FC3C61">
        <w:rPr>
          <w:rFonts w:cs="Times New Roman"/>
          <w:sz w:val="22"/>
          <w:szCs w:val="22"/>
        </w:rPr>
        <w:t xml:space="preserve">Plea agreement, </w:t>
      </w:r>
      <w:r w:rsidR="009C2A93" w:rsidRPr="00FC3C61">
        <w:rPr>
          <w:rFonts w:cs="Times New Roman"/>
          <w:sz w:val="22"/>
          <w:szCs w:val="22"/>
        </w:rPr>
        <w:t xml:space="preserve">United States v. Jeffery Richter, </w:t>
      </w:r>
      <w:r w:rsidR="003E555B" w:rsidRPr="00FC3C61">
        <w:rPr>
          <w:rFonts w:cs="Times New Roman"/>
          <w:sz w:val="22"/>
          <w:szCs w:val="22"/>
        </w:rPr>
        <w:t xml:space="preserve">(U.S. Dist. Ct., </w:t>
      </w:r>
      <w:r w:rsidR="009C2A93" w:rsidRPr="00FC3C61">
        <w:rPr>
          <w:rFonts w:cs="Times New Roman"/>
          <w:sz w:val="22"/>
          <w:szCs w:val="22"/>
        </w:rPr>
        <w:t>N.D. Cal. (2003)</w:t>
      </w:r>
      <w:r w:rsidR="003E555B" w:rsidRPr="00FC3C61">
        <w:rPr>
          <w:rFonts w:cs="Times New Roman"/>
          <w:sz w:val="22"/>
          <w:szCs w:val="22"/>
        </w:rPr>
        <w:t xml:space="preserve">; </w:t>
      </w:r>
      <w:r w:rsidR="008F3AB0" w:rsidRPr="00FC3C61">
        <w:rPr>
          <w:rFonts w:cs="Times New Roman"/>
          <w:sz w:val="22"/>
          <w:szCs w:val="22"/>
        </w:rPr>
        <w:t xml:space="preserve">Plea agreement, </w:t>
      </w:r>
      <w:r w:rsidR="003E555B" w:rsidRPr="00FC3C61">
        <w:rPr>
          <w:rFonts w:cs="Times New Roman"/>
          <w:sz w:val="22"/>
          <w:szCs w:val="22"/>
        </w:rPr>
        <w:t>United States v. John Forney, (U.S. Dist. Ct., N.D. Cal. (2005)</w:t>
      </w:r>
      <w:r w:rsidR="008F3AB0" w:rsidRPr="00FC3C61">
        <w:rPr>
          <w:rFonts w:cs="Times New Roman"/>
          <w:sz w:val="22"/>
          <w:szCs w:val="22"/>
        </w:rPr>
        <w:t>.</w:t>
      </w:r>
    </w:p>
  </w:endnote>
  <w:endnote w:id="6">
    <w:p w14:paraId="066EE4D8" w14:textId="27EF6701" w:rsidR="00545C27" w:rsidRPr="00FC3C61" w:rsidRDefault="00545C27" w:rsidP="00545C27">
      <w:pPr>
        <w:pStyle w:val="EndnoteText"/>
        <w:jc w:val="left"/>
        <w:rPr>
          <w:rFonts w:cs="Times New Roman"/>
          <w:noProof/>
          <w:sz w:val="22"/>
          <w:szCs w:val="22"/>
        </w:rPr>
      </w:pPr>
      <w:r w:rsidRPr="00FC3C61">
        <w:rPr>
          <w:rStyle w:val="EndnoteReference"/>
          <w:rFonts w:cs="Times New Roman"/>
          <w:sz w:val="22"/>
          <w:szCs w:val="22"/>
        </w:rPr>
        <w:endnoteRef/>
      </w:r>
      <w:r w:rsidRPr="00FC3C61">
        <w:rPr>
          <w:rFonts w:cs="Times New Roman"/>
          <w:sz w:val="22"/>
          <w:szCs w:val="22"/>
        </w:rPr>
        <w:t xml:space="preserve"> </w:t>
      </w:r>
      <w:r w:rsidR="005157B5" w:rsidRPr="00FC3C61">
        <w:rPr>
          <w:rFonts w:cs="Times New Roman"/>
          <w:sz w:val="22"/>
          <w:szCs w:val="22"/>
        </w:rPr>
        <w:fldChar w:fldCharType="begin" w:fldLock="1"/>
      </w:r>
      <w:r w:rsidR="009F1829" w:rsidRPr="00FC3C61">
        <w:rPr>
          <w:rFonts w:cs="Times New Roman"/>
          <w:sz w:val="22"/>
          <w:szCs w:val="22"/>
        </w:rPr>
        <w:instrText>ADDIN CSL_CITATION {"citationItems":[{"id":"ITEM-1","itemData":{"ISBN":"0363-7425","author":[{"dropping-particle":"","family":"Ashforth","given":"Blake","non-dropping-particle":"","parse-names":false,"suffix":""},{"dropping-particle":"","family":"Gioia","given":"Dennis","non-dropping-particle":"","parse-names":false,"suffix":""},{"dropping-particle":"","family":"Robinson","given":"Sandra","non-dropping-particle":"","parse-names":false,"suffix":""},{"dropping-particle":"","family":"Trevino","given":"Linda","non-dropping-particle":"","parse-names":false,"suffix":""}],"container-title":"Academy of Management Review","id":"ITEM-1","issue":"3","issued":{"date-parts":[["2008"]]},"page":"670-684","title":"Re-viewing organizational corruption","type":"article-journal","volume":"33"},"uris":["http://www.mendeley.com/documents/?uuid=357a7368-dbbd-4042-a3eb-8842c3a6b41e"]},{"id":"ITEM-2","itemData":{"author":[{"dropping-particle":"","family":"Zyglidopoulos","given":"Stelios","non-dropping-particle":"","parse-names":false,"suffix":""},{"dropping-particle":"","family":"Hirsch","given":"Paul","non-dropping-particle":"","parse-names":false,"suffix":""},{"dropping-particle":"","family":"Holan","given":"Pablo Martin","non-dropping-particle":"de","parse-names":false,"suffix":""},{"dropping-particle":"","family":"Phillips","given":"Nelson","non-dropping-particle":"","parse-names":false,"suffix":""}],"container-title":"Journal of Management Inquiry","id":"ITEM-2","issue":"3","issued":{"date-parts":[["2017"]]},"page":"247-253","title":"Expanding research on corporate corruption, management, and organizations","type":"article-journal","volume":"26"},"uris":["http://www.mendeley.com/documents/?uuid=430db7cf-2d82-4839-9556-6745a8cc09d8"]},{"id":"ITEM-3","itemData":{"ISBN":"0363-7425","author":[{"dropping-particle":"","family":"Pinto","given":"Jonathan","non-dropping-particle":"","parse-names":false,"suffix":""},{"dropping-particle":"","family":"Leana","given":"Carrie","non-dropping-particle":"","parse-names":false,"suffix":""},{"dropping-particle":"","family":"Pil","given":"Frits","non-dropping-particle":"","parse-names":false,"suffix":""}],"container-title":"Academy of Management Review","id":"ITEM-3","issue":"3","issued":{"date-parts":[["2008"]]},"page":"685-709","title":"Corrupt organizations or organizations of corrupt individuals? Two types of organization-level corruption","type":"article-journal","volume":"33"},"uris":["http://www.mendeley.com/documents/?uuid=c605d575-7369-42f9-93be-9130be1d3a18"]},{"id":"ITEM-4","itemData":{"ISSN":"0191-3085","abstract":"Organizational wrongdoing consists of behavior perpetrated by organizational officials (i.e., directors, managers, and/or employees) in the course of fulfilling their organizational roles that is judged by social control agents (i.e., prosecutors, regulatory agency officials, judges, journalists, etc.) to be illegal, unethical, or socially irresponsible. Collective organizational wrongdoing involves the sustained coordination of multiple organizational participants. We review the dominant explanation of collective organizational wrongdoing, delve into its two main variants, and provide illustrations of each. We then provide an overview of an alternative explanation of collective wrongdoing, the process model of collective corruption. This sets the stage for our main contribution—a five part extension of the process model of collective corruption. Our investigation proceeds through a series of analyses, each of which begins with an elaboration of existing ideas about collective organizational wrongdoing, proceeds to an extension of these ideas, and concludes with an illustration of the extension. Our illustrations are drawn from case studies that include thick descriptions of organizational wrongdoing, which provide detailed information about the actions, thoughts, and emotions of wrongdoers as they become involved in wrongdoing. We conclude by considering the theoretical and policy implications of the alternative perspective on collective wrongdoing.","author":[{"dropping-particle":"","family":"Palmer","given":"Donald","non-dropping-particle":"","parse-names":false,"suffix":""}],"container-title":"Research in Organizational Behavior","id":"ITEM-4","issued":{"date-parts":[["2008"]]},"page":"107-135","title":"Extending the process model of collective corruption","type":"article-journal","volume":"28"},"uris":["http://www.mendeley.com/documents/?uuid=0e6f1368-aa53-41bd-9886-bf6a3f1a867f"]},{"id":"ITEM-5","itemData":{"abstract":"Given its extremely negative impact, it is not surprising that there is extensive literature focused on understanding and reducing corruption. However, the existing academic work focuses largely on corruption in government. Yet, corporations play a key role in much of the corruption that occurs in society and are important contexts for corruption themselves; they are also very different from governments and, we argue, deserve focused study and the development of a coherent theory of corporate corruption. In this article, we define corporate corruption and argue that management researchers are uniquely positioned to contribute to the development of a theory of corporate corruption and the development of solutions to prevent it. We then examine the current state of research on this important topic and propose a framework for organizing research on corporate corruption into four per-spectives: corporate corruption as rational action, corporate corruption as institutional-ized practice, corporate corruption as cultural norm, and corporate corruption as moral failure. We go on to propose a research agenda for management scholars in some tradi-tional areas of management research to take this important but under-researched topic forward, as well as highlight some of the methodological challenges that management researchers face in conducting research in corporate corruption.","author":[{"dropping-particle":"","family":"Castro","given":"Armando","non-dropping-particle":"","parse-names":false,"suffix":""},{"dropping-particle":"","family":"Phillips","given":"Nelson","non-dropping-particle":"","parse-names":false,"suffix":""},{"dropping-particle":"","family":"Ansari","given":"Shaz","non-dropping-particle":"","parse-names":false,"suffix":""}],"container-title":"Academy of Management Annals","id":"ITEM-5","issue":"2","issued":{"date-parts":[["2020","7"]]},"page":"935-968","publisher":"Academy of Management","title":"Corporate corruption: A review and an agenda for future research","type":"article-journal","volume":"14"},"uris":["http://www.mendeley.com/documents/?uuid=e35b66fe-366c-4889-8681-2ff180b6c1cc"]}],"mendeley":{"formattedCitation":"Blake Ashforth et al., “Re-Viewing Organizational Corruption,” &lt;i&gt;Academy of Management Review&lt;/i&gt; 33, no. 3 (2008): 670–84; Stelios Zyglidopoulos et al., “Expanding Research on Corporate Corruption, Management, and Organizations,” &lt;i&gt;Journal of Management Inquiry&lt;/i&gt; 26, no. 3 (2017): 247–53; Jonathan Pinto, Carrie Leana, and Frits Pil, “Corrupt Organizations or Organizations of Corrupt Individuals? Two Types of Organization-Level Corruption,” &lt;i&gt;Academy of Management Review&lt;/i&gt; 33, no. 3 (2008): 685–709; Donald Palmer, “Extending the Process Model of Collective Corruption,” &lt;i&gt;Research in Organizational Behavior&lt;/i&gt; 28 (2008): 107–35; Armando Castro, Nelson Phillips, and Shaz Ansari, “Corporate Corruption: A Review and an Agenda for Future Research,” &lt;i&gt;Academy of Management Annals&lt;/i&gt; 14, no. 2 (July 2020): 935–68.","plainTextFormattedCitation":"Blake Ashforth et al., “Re-Viewing Organizational Corruption,” Academy of Management Review 33, no. 3 (2008): 670–84; Stelios Zyglidopoulos et al., “Expanding Research on Corporate Corruption, Management, and Organizations,” Journal of Management Inquiry 26, no. 3 (2017): 247–53; Jonathan Pinto, Carrie Leana, and Frits Pil, “Corrupt Organizations or Organizations of Corrupt Individuals? Two Types of Organization-Level Corruption,” Academy of Management Review 33, no. 3 (2008): 685–709; Donald Palmer, “Extending the Process Model of Collective Corruption,” Research in Organizational Behavior 28 (2008): 107–35; Armando Castro, Nelson Phillips, and Shaz Ansari, “Corporate Corruption: A Review and an Agenda for Future Research,” Academy of Management Annals 14, no. 2 (July 2020): 935–68.","previouslyFormattedCitation":"Blake Ashforth et al., “Re-Viewing Organizational Corruption,” &lt;i&gt;Academy of Management Review&lt;/i&gt; 33, no. 3 (2008): 670–84; Stelios Zyglidopoulos et al., “Expanding Research on Corporate Corruption, Management, and Organizations,” &lt;i&gt;Journal of Management Inquiry&lt;/i&gt; 26, no. 3 (2017): 247–53; Jonathan Pinto, Carrie Leana, and Frits Pil, “Corrupt Organizations or Organizations of Corrupt Individuals? Two Types of Organization-Level Corruption,” &lt;i&gt;Academy of Management Review&lt;/i&gt; 33, no. 3 (2008): 685–709; Donald Palmer, “Extending the Process Model of Collective Corruption,” &lt;i&gt;Research in Organizational Behavior&lt;/i&gt; 28 (2008): 107–35; Armando Castro, Nelson Phillips, and Shaz Ansari, “Corporate Corruption: A Review and an Agenda for Future Research,” &lt;i&gt;Academy of Management Annals&lt;/i&gt; 14, no. 2 (July 2020): 935–68."},"properties":{"noteIndex":0},"schema":"https://github.com/citation-style-language/schema/raw/master/csl-citation.json"}</w:instrText>
      </w:r>
      <w:r w:rsidR="005157B5" w:rsidRPr="00FC3C61">
        <w:rPr>
          <w:rFonts w:cs="Times New Roman"/>
          <w:sz w:val="22"/>
          <w:szCs w:val="22"/>
        </w:rPr>
        <w:fldChar w:fldCharType="separate"/>
      </w:r>
      <w:r w:rsidR="007D3317" w:rsidRPr="00FC3C61">
        <w:rPr>
          <w:rFonts w:cs="Times New Roman"/>
          <w:noProof/>
          <w:sz w:val="22"/>
          <w:szCs w:val="22"/>
        </w:rPr>
        <w:t xml:space="preserve">Blake Ashforth et al., “Re-Viewing Organizational Corruption,” </w:t>
      </w:r>
      <w:r w:rsidR="007D3317" w:rsidRPr="00FC3C61">
        <w:rPr>
          <w:rFonts w:cs="Times New Roman"/>
          <w:i/>
          <w:noProof/>
          <w:sz w:val="22"/>
          <w:szCs w:val="22"/>
        </w:rPr>
        <w:t>Academy of Management Review</w:t>
      </w:r>
      <w:r w:rsidR="007D3317" w:rsidRPr="00FC3C61">
        <w:rPr>
          <w:rFonts w:cs="Times New Roman"/>
          <w:noProof/>
          <w:sz w:val="22"/>
          <w:szCs w:val="22"/>
        </w:rPr>
        <w:t xml:space="preserve"> 33, no. 3 (2008): 670–84; Stelios Zyglidopoulos et al., “Expanding Research on Corporate Corruption, Management, and Organizations,” </w:t>
      </w:r>
      <w:r w:rsidR="007D3317" w:rsidRPr="00FC3C61">
        <w:rPr>
          <w:rFonts w:cs="Times New Roman"/>
          <w:i/>
          <w:noProof/>
          <w:sz w:val="22"/>
          <w:szCs w:val="22"/>
        </w:rPr>
        <w:t>Journal of Management Inquiry</w:t>
      </w:r>
      <w:r w:rsidR="007D3317" w:rsidRPr="00FC3C61">
        <w:rPr>
          <w:rFonts w:cs="Times New Roman"/>
          <w:noProof/>
          <w:sz w:val="22"/>
          <w:szCs w:val="22"/>
        </w:rPr>
        <w:t xml:space="preserve"> 26, no. 3 (2017): 247–53; Jonathan Pinto, Carrie Leana, and Frits Pil, “Corrupt Organizations or Organizations of Corrupt Individuals? Two Types of Organization-Level Corruption,” </w:t>
      </w:r>
      <w:r w:rsidR="007D3317" w:rsidRPr="00FC3C61">
        <w:rPr>
          <w:rFonts w:cs="Times New Roman"/>
          <w:i/>
          <w:noProof/>
          <w:sz w:val="22"/>
          <w:szCs w:val="22"/>
        </w:rPr>
        <w:t>Academy of Management Review</w:t>
      </w:r>
      <w:r w:rsidR="007D3317" w:rsidRPr="00FC3C61">
        <w:rPr>
          <w:rFonts w:cs="Times New Roman"/>
          <w:noProof/>
          <w:sz w:val="22"/>
          <w:szCs w:val="22"/>
        </w:rPr>
        <w:t xml:space="preserve"> 33, no. 3 (2008): 685–709; Donald Palmer, “Extending the Process Model of Collective Corruption,” </w:t>
      </w:r>
      <w:r w:rsidR="007D3317" w:rsidRPr="00FC3C61">
        <w:rPr>
          <w:rFonts w:cs="Times New Roman"/>
          <w:i/>
          <w:noProof/>
          <w:sz w:val="22"/>
          <w:szCs w:val="22"/>
        </w:rPr>
        <w:t>Research in Organizational Behavior</w:t>
      </w:r>
      <w:r w:rsidR="007D3317" w:rsidRPr="00FC3C61">
        <w:rPr>
          <w:rFonts w:cs="Times New Roman"/>
          <w:noProof/>
          <w:sz w:val="22"/>
          <w:szCs w:val="22"/>
        </w:rPr>
        <w:t xml:space="preserve"> 28 (2008): 107–35; Armando Castro, Nelson Phillips, and Shaz Ansari, “Corporate Corruption: A Review and an Agenda for Future Research,” </w:t>
      </w:r>
      <w:r w:rsidR="007D3317" w:rsidRPr="00FC3C61">
        <w:rPr>
          <w:rFonts w:cs="Times New Roman"/>
          <w:i/>
          <w:noProof/>
          <w:sz w:val="22"/>
          <w:szCs w:val="22"/>
        </w:rPr>
        <w:t>Academy of Management Annals</w:t>
      </w:r>
      <w:r w:rsidR="007D3317" w:rsidRPr="00FC3C61">
        <w:rPr>
          <w:rFonts w:cs="Times New Roman"/>
          <w:noProof/>
          <w:sz w:val="22"/>
          <w:szCs w:val="22"/>
        </w:rPr>
        <w:t xml:space="preserve"> 14, no. 2 (July 2020): 935–68.</w:t>
      </w:r>
      <w:r w:rsidR="005157B5" w:rsidRPr="00FC3C61">
        <w:rPr>
          <w:rFonts w:cs="Times New Roman"/>
          <w:sz w:val="22"/>
          <w:szCs w:val="22"/>
        </w:rPr>
        <w:fldChar w:fldCharType="end"/>
      </w:r>
    </w:p>
  </w:endnote>
  <w:endnote w:id="7">
    <w:p w14:paraId="2FFEC4F3" w14:textId="65EA8E3D" w:rsidR="00D34596" w:rsidRPr="00FC3C61" w:rsidRDefault="00D34596" w:rsidP="00D34596">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7227D5" w:rsidRPr="00FC3C61">
        <w:rPr>
          <w:rFonts w:cs="Times New Roman"/>
          <w:sz w:val="22"/>
          <w:szCs w:val="22"/>
        </w:rPr>
        <w:t xml:space="preserve">See for instance, </w:t>
      </w:r>
      <w:r w:rsidR="002F3BAD" w:rsidRPr="00FC3C61">
        <w:rPr>
          <w:rFonts w:cs="Times New Roman"/>
          <w:sz w:val="22"/>
          <w:szCs w:val="22"/>
        </w:rPr>
        <w:fldChar w:fldCharType="begin" w:fldLock="1"/>
      </w:r>
      <w:r w:rsidR="0024503A" w:rsidRPr="00FC3C61">
        <w:rPr>
          <w:rFonts w:cs="Times New Roman"/>
          <w:sz w:val="22"/>
          <w:szCs w:val="22"/>
        </w:rPr>
        <w:instrText>ADDIN CSL_CITATION {"citationItems":[{"id":"ITEM-1","itemData":{"ISSN":"0007-6791","author":[{"dropping-particle":"","family":"Berghoff","given":"Hartmut","non-dropping-particle":"","parse-names":false,"suffix":""}],"container-title":"Business History","id":"ITEM-1","issue":"3","issued":{"date-parts":[["2018"]]},"page":"423-445","publisher":"Taylor &amp; Francis","title":"“Organised irresponsibility”? The Siemens corruption scandal of the 1990s and 2000s","type":"article-journal","volume":"60"},"uris":["http://www.mendeley.com/documents/?uuid=b6afe734-1b42-43cb-bdf7-15fda9f7e5cb"]},{"id":"ITEM-2","itemData":{"ISBN":"1056-4926","author":[{"dropping-particle":"","family":"Andersson","given":"Lynne","non-dropping-particle":"","parse-names":false,"suffix":""}],"container-title":"Journal of Management Inquiry","id":"ITEM-2","issue":"4","issued":{"date-parts":[["2017"]]},"page":"406-417","title":"Of great vampire squids and jamming blood funnels: A socially constructed and historically situated perspective on organizational corruption","type":"article-journal","volume":"26"},"uris":["http://www.mendeley.com/documents/?uuid=258edc87-e4bb-49d2-936c-6340675b949a"]},{"id":"ITEM-3","itemData":{"author":[{"dropping-particle":"","family":"Zyglidopoulos","given":"Stelios","non-dropping-particle":"","parse-names":false,"suffix":""}],"container-title":"Journal of Management Inquiry","id":"ITEM-3","issue":"1","issued":{"date-parts":[["2016"]]},"page":"3–10","title":"Toward a theory of second-order corruption","type":"article-journal","volume":"25"},"uris":["http://www.mendeley.com/documents/?uuid=d0850f0f-8ba4-4196-9018-04bc7261bd4e"]},{"id":"ITEM-4","itemData":{"DOI":"10.1177/1056492616675415","ISSN":"15526542","abstract":"The article weaves together concepts and arguments from law, behavioral ethics, and management to explain the spread of systemic wrongdoing at the levels of individuals, companies, and across industries.","author":[{"dropping-particle":"","family":"Nelson","given":"J. S.","non-dropping-particle":"","parse-names":false,"suffix":""}],"container-title":"Journal of Management Inquiry","id":"ITEM-4","issue":"3","issued":{"date-parts":[["2017"]]},"page":"280-286","title":"The Corruption Norm","type":"article-journal","volume":"26"},"uris":["http://www.mendeley.com/documents/?uuid=b679c017-b37f-42b4-a49a-17d8d71c5466"]}],"mendeley":{"formattedCitation":"Hartmut Berghoff, “‘Organised Irresponsibility’? The Siemens Corruption Scandal of the 1990s and 2000s,” &lt;i&gt;Business History&lt;/i&gt; 60, no. 3 (2018): 423–45; Lynne Andersson, “Of Great Vampire Squids and Jamming Blood Funnels: A Socially Constructed and Historically Situated Perspective on Organizational Corruption,” &lt;i&gt;Journal of Management Inquiry&lt;/i&gt; 26, no. 4 (2017): 406–17; Stelios Zyglidopoulos, “Toward a Theory of Second-Order Corruption,” &lt;i&gt;Journal of Management Inquiry&lt;/i&gt; 25, no. 1 (2016): 3–10; J. S. Nelson, “The Corruption Norm,” &lt;i&gt;Journal of Management Inquiry&lt;/i&gt; 26, no. 3 (2017): 280–86, https://doi.org/10.1177/1056492616675415.","plainTextFormattedCitation":"Hartmut Berghoff, “‘Organised Irresponsibility’? The Siemens Corruption Scandal of the 1990s and 2000s,” Business History 60, no. 3 (2018): 423–45; Lynne Andersson, “Of Great Vampire Squids and Jamming Blood Funnels: A Socially Constructed and Historically Situated Perspective on Organizational Corruption,” Journal of Management Inquiry 26, no. 4 (2017): 406–17; Stelios Zyglidopoulos, “Toward a Theory of Second-Order Corruption,” Journal of Management Inquiry 25, no. 1 (2016): 3–10; J. S. Nelson, “The Corruption Norm,” Journal of Management Inquiry 26, no. 3 (2017): 280–86, https://doi.org/10.1177/1056492616675415.","previouslyFormattedCitation":"Hartmut Berghoff, “‘Organised Irresponsibility’? The Siemens Corruption Scandal of the 1990s and 2000s,” &lt;i&gt;Business History&lt;/i&gt; 60, no. 3 (2018): 423–45; Lynne Andersson, “Of Great Vampire Squids and Jamming Blood Funnels: A Socially Constructed and Historically Situated Perspective on Organizational Corruption,” &lt;i&gt;Journal of Management Inquiry&lt;/i&gt; 26, no. 4 (2017): 406–17; Stelios Zyglidopoulos, “Toward a Theory of Second-Order Corruption,” &lt;i&gt;Journal of Management Inquiry&lt;/i&gt; 25, no. 1 (2016): 3–10; J. S. Nelson, “The Corruption Norm,” &lt;i&gt;Journal of Management Inquiry&lt;/i&gt; 26, no. 3 (2017): 280–86, https://doi.org/10.1177/1056492616675415."},"properties":{"noteIndex":0},"schema":"https://github.com/citation-style-language/schema/raw/master/csl-citation.json"}</w:instrText>
      </w:r>
      <w:r w:rsidR="002F3BAD" w:rsidRPr="00FC3C61">
        <w:rPr>
          <w:rFonts w:cs="Times New Roman"/>
          <w:sz w:val="22"/>
          <w:szCs w:val="22"/>
        </w:rPr>
        <w:fldChar w:fldCharType="separate"/>
      </w:r>
      <w:r w:rsidR="007227D5" w:rsidRPr="00FC3C61">
        <w:rPr>
          <w:rFonts w:cs="Times New Roman"/>
          <w:noProof/>
          <w:sz w:val="22"/>
          <w:szCs w:val="22"/>
        </w:rPr>
        <w:t xml:space="preserve">Hartmut Berghoff, “‘Organised Irresponsibility’? The Siemens Corruption Scandal of the 1990s and 2000s,” </w:t>
      </w:r>
      <w:r w:rsidR="007227D5" w:rsidRPr="00FC3C61">
        <w:rPr>
          <w:rFonts w:cs="Times New Roman"/>
          <w:i/>
          <w:noProof/>
          <w:sz w:val="22"/>
          <w:szCs w:val="22"/>
        </w:rPr>
        <w:t>Business History</w:t>
      </w:r>
      <w:r w:rsidR="007227D5" w:rsidRPr="00FC3C61">
        <w:rPr>
          <w:rFonts w:cs="Times New Roman"/>
          <w:noProof/>
          <w:sz w:val="22"/>
          <w:szCs w:val="22"/>
        </w:rPr>
        <w:t xml:space="preserve"> 60, no. 3 (2018): 423–45; Lynne Andersson, “Of Great Vampire Squids and Jamming Blood Funnels: A Socially Constructed and Historically Situated Perspective on Organizational Corruption,” </w:t>
      </w:r>
      <w:r w:rsidR="007227D5" w:rsidRPr="00FC3C61">
        <w:rPr>
          <w:rFonts w:cs="Times New Roman"/>
          <w:i/>
          <w:noProof/>
          <w:sz w:val="22"/>
          <w:szCs w:val="22"/>
        </w:rPr>
        <w:t>Journal of Management Inquiry</w:t>
      </w:r>
      <w:r w:rsidR="007227D5" w:rsidRPr="00FC3C61">
        <w:rPr>
          <w:rFonts w:cs="Times New Roman"/>
          <w:noProof/>
          <w:sz w:val="22"/>
          <w:szCs w:val="22"/>
        </w:rPr>
        <w:t xml:space="preserve"> 26, no. 4 (2017): 406–17; Stelios Zyglidopoulos, “Toward a Theory of Second-Order Corruption,” </w:t>
      </w:r>
      <w:r w:rsidR="007227D5" w:rsidRPr="00FC3C61">
        <w:rPr>
          <w:rFonts w:cs="Times New Roman"/>
          <w:i/>
          <w:noProof/>
          <w:sz w:val="22"/>
          <w:szCs w:val="22"/>
        </w:rPr>
        <w:t>Journal of Management Inquiry</w:t>
      </w:r>
      <w:r w:rsidR="007227D5" w:rsidRPr="00FC3C61">
        <w:rPr>
          <w:rFonts w:cs="Times New Roman"/>
          <w:noProof/>
          <w:sz w:val="22"/>
          <w:szCs w:val="22"/>
        </w:rPr>
        <w:t xml:space="preserve"> 25, no. 1 (2016): 3–10; J. S. Nelson, “The Corruption Norm,” </w:t>
      </w:r>
      <w:r w:rsidR="007227D5" w:rsidRPr="00FC3C61">
        <w:rPr>
          <w:rFonts w:cs="Times New Roman"/>
          <w:i/>
          <w:noProof/>
          <w:sz w:val="22"/>
          <w:szCs w:val="22"/>
        </w:rPr>
        <w:t>Journal of Management Inquiry</w:t>
      </w:r>
      <w:r w:rsidR="007227D5" w:rsidRPr="00FC3C61">
        <w:rPr>
          <w:rFonts w:cs="Times New Roman"/>
          <w:noProof/>
          <w:sz w:val="22"/>
          <w:szCs w:val="22"/>
        </w:rPr>
        <w:t xml:space="preserve"> 26, no. 3 (2017): 280–86, https://doi.org/10.1177/1056492616675415.</w:t>
      </w:r>
      <w:r w:rsidR="002F3BAD" w:rsidRPr="00FC3C61">
        <w:rPr>
          <w:rFonts w:cs="Times New Roman"/>
          <w:sz w:val="22"/>
          <w:szCs w:val="22"/>
        </w:rPr>
        <w:fldChar w:fldCharType="end"/>
      </w:r>
    </w:p>
  </w:endnote>
  <w:endnote w:id="8">
    <w:p w14:paraId="1A044736" w14:textId="5890ED9B" w:rsidR="00053D1F" w:rsidRPr="00FC3C61" w:rsidRDefault="00053D1F">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2F3BAD" w:rsidRPr="00FC3C61">
        <w:rPr>
          <w:rFonts w:cs="Times New Roman"/>
          <w:sz w:val="22"/>
          <w:szCs w:val="22"/>
        </w:rPr>
        <w:fldChar w:fldCharType="begin" w:fldLock="1"/>
      </w:r>
      <w:r w:rsidR="00600D95" w:rsidRPr="00FC3C61">
        <w:rPr>
          <w:rFonts w:cs="Times New Roman"/>
          <w:sz w:val="22"/>
          <w:szCs w:val="22"/>
        </w:rPr>
        <w:instrText>ADDIN CSL_CITATION {"citationItems":[{"id":"ITEM-1","itemData":{"abstract":"Despite the importance of organizational misconduct, still not much is known about coordinated misconduct between firms. In this study, we seek a better understanding of how the profile of the partners involved in cartels affects the longevity of their joint misconduct activities. Drawing upon diversity theory, we leverage a distinction between three types of diversity--variety of age-based experience, separation in uncertainty avoidance, and power disparity--in collective organizational misconduct between firms, and study their respective influence on the longevity of cartels. Our empirical analysis gives support to our main arguments: the longevity of cartels tends to be increased by the level of variety of age-based experience and power disparity between partners but reduced by their level of separation in uncertainty avoidance. Implications for the literature on organizational misconduct are discussed. [ABSTRACT FROM AUTHOR]; Copyright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ertrand","given":"Olivier","non-dropping-particle":"","parse-names":false,"suffix":""},{"dropping-particle":"","family":"Lumineau","given":"Fabrice","non-dropping-particle":"","parse-names":false,"suffix":""}],"container-title":"Academy of Management Journal","id":"ITEM-1","issue":"3","issued":{"date-parts":[["2016"]]},"note":"BERTRAND, OLIVIER 1; Email Address: olivier.bertrand@skema.edu; LUMINEAU, FABRICE 2; Email Address: lumineau@purdue.edu; Affiliations: 1: SKEMA Business School; 2: Purdue University; Issue Info: Jun2016, Vol. 59 Issue 3, p983; Number of Pages: 26p; Document Type: Article","page":"983-1008","title":"Partners in crime: The effects of diversity on the longevity of cartels","type":"article-journal","volume":"59"},"uris":["http://www.mendeley.com/documents/?uuid=70541e95-3c2c-4f3f-91ef-5d24ccd161e1"]}],"mendeley":{"formattedCitation":"Olivier Bertrand and Fabrice Lumineau, “Partners in Crime: The Effects of Diversity on the Longevity of Cartels,” &lt;i&gt;Academy of Management Journal&lt;/i&gt; 59, no. 3 (2016): 983–1008.","plainTextFormattedCitation":"Olivier Bertrand and Fabrice Lumineau, “Partners in Crime: The Effects of Diversity on the Longevity of Cartels,” Academy of Management Journal 59, no. 3 (2016): 983–1008.","previouslyFormattedCitation":"Olivier Bertrand and Fabrice Lumineau, “Partners in Crime: The Effects of Diversity on the Longevity of Cartels,” &lt;i&gt;Academy of Management Journal&lt;/i&gt; 59, no. 3 (2016): 983–1008."},"properties":{"noteIndex":0},"schema":"https://github.com/citation-style-language/schema/raw/master/csl-citation.json"}</w:instrText>
      </w:r>
      <w:r w:rsidR="002F3BAD" w:rsidRPr="00FC3C61">
        <w:rPr>
          <w:rFonts w:cs="Times New Roman"/>
          <w:sz w:val="22"/>
          <w:szCs w:val="22"/>
        </w:rPr>
        <w:fldChar w:fldCharType="separate"/>
      </w:r>
      <w:r w:rsidR="00600D95" w:rsidRPr="00FC3C61">
        <w:rPr>
          <w:rFonts w:cs="Times New Roman"/>
          <w:noProof/>
          <w:sz w:val="22"/>
          <w:szCs w:val="22"/>
        </w:rPr>
        <w:t xml:space="preserve">Olivier Bertrand and Fabrice Lumineau, “Partners in Crime: The Effects of Diversity on the Longevity of Cartels,” </w:t>
      </w:r>
      <w:r w:rsidR="00600D95" w:rsidRPr="00FC3C61">
        <w:rPr>
          <w:rFonts w:cs="Times New Roman"/>
          <w:i/>
          <w:noProof/>
          <w:sz w:val="22"/>
          <w:szCs w:val="22"/>
        </w:rPr>
        <w:t>Academy of Management Journal</w:t>
      </w:r>
      <w:r w:rsidR="00600D95" w:rsidRPr="00FC3C61">
        <w:rPr>
          <w:rFonts w:cs="Times New Roman"/>
          <w:noProof/>
          <w:sz w:val="22"/>
          <w:szCs w:val="22"/>
        </w:rPr>
        <w:t xml:space="preserve"> 59, no. 3 (2016): 983–1008.</w:t>
      </w:r>
      <w:r w:rsidR="002F3BAD" w:rsidRPr="00FC3C61">
        <w:rPr>
          <w:rFonts w:cs="Times New Roman"/>
          <w:sz w:val="22"/>
          <w:szCs w:val="22"/>
        </w:rPr>
        <w:fldChar w:fldCharType="end"/>
      </w:r>
    </w:p>
  </w:endnote>
  <w:endnote w:id="9">
    <w:p w14:paraId="5BD67485" w14:textId="4E709F9C" w:rsidR="00D34596" w:rsidRPr="00FC3C61" w:rsidRDefault="00D34596" w:rsidP="00D34596">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545C27" w:rsidRPr="00FC3C61">
        <w:rPr>
          <w:rFonts w:cs="Times New Roman"/>
          <w:sz w:val="22"/>
          <w:szCs w:val="22"/>
        </w:rPr>
        <w:fldChar w:fldCharType="begin" w:fldLock="1"/>
      </w:r>
      <w:r w:rsidR="009F1829" w:rsidRPr="00FC3C61">
        <w:rPr>
          <w:rFonts w:cs="Times New Roman"/>
          <w:sz w:val="22"/>
          <w:szCs w:val="22"/>
        </w:rPr>
        <w:instrText>ADDIN CSL_CITATION {"citationItems":[{"id":"ITEM-1","itemData":{"abstract":"Organizational corruption imposes a steep cost on society, easily dwarfing that of street crime. We examine how corruption becomes normalized, that is, embedded in the organization such that it is more or less taken for granted and perpetuated. We argue that three mutually reinforcing processes underlie normalization: (1) institutionalization, where an initial corrupt decision or act becomes embedded in structures and processes and thereby routinized; (2) rationalization, where self-serving ideologies develop to justify and perhaps even valorize corruption; and (3) socialization, where naı̈ve newcomers are induced to view corruption as permissible if not desirable. The model helps explain how otherwise morally upright individuals can routinely engage in corruption without experiencing conflict, how corruption can persist despite the turnover of its initial practitioners, how seemingly rational organizations can engage in suicidal corruption and how an emphasis on the individual as evildoer misses the point that systems and individuals are mutually reinforcing.","author":[{"dropping-particle":"","family":"Ashforth","given":"Blake","non-dropping-particle":"","parse-names":false,"suffix":""},{"dropping-particle":"","family":"Anand","given":"Vikas","non-dropping-particle":"","parse-names":false,"suffix":""}],"container-title":"Research in Organizational Behavior","id":"ITEM-1","issued":{"date-parts":[["2003"]]},"page":"1-52","title":"The Normalization of Corruption in Organizations","type":"article-journal","volume":"25"},"uris":["http://www.mendeley.com/documents/?uuid=a6317bb9-2d8c-480e-92af-40ca787c57cd"]},{"id":"ITEM-2","itemData":{"abstract":"Given its extremely negative impact, it is not surprising that there is extensive literature focused on understanding and reducing corruption. However, the existing academic work focuses largely on corruption in government. Yet, corporations play a key role in much of the corruption that occurs in society and are important contexts for corruption themselves; they are also very different from governments and, we argue, deserve focused study and the development of a coherent theory of corporate corruption. In this article, we define corporate corruption and argue that management researchers are uniquely positioned to contribute to the development of a theory of corporate corruption and the development of solutions to prevent it. We then examine the current state of research on this important topic and propose a framework for organizing research on corporate corruption into four per-spectives: corporate corruption as rational action, corporate corruption as institutional-ized practice, corporate corruption as cultural norm, and corporate corruption as moral failure. We go on to propose a research agenda for management scholars in some tradi-tional areas of management research to take this important but under-researched topic forward, as well as highlight some of the methodological challenges that management researchers face in conducting research in corporate corruption.","author":[{"dropping-particle":"","family":"Castro","given":"Armando","non-dropping-particle":"","parse-names":false,"suffix":""},{"dropping-particle":"","family":"Phillips","given":"Nelson","non-dropping-particle":"","parse-names":false,"suffix":""},{"dropping-particle":"","family":"Ansari","given":"Shaz","non-dropping-particle":"","parse-names":false,"suffix":""}],"container-title":"Academy of Management Annals","id":"ITEM-2","issue":"2","issued":{"date-parts":[["2020","7"]]},"page":"935-968","publisher":"Academy of Management","title":"Corporate corruption: A review and an agenda for future research","type":"article-journal","volume":"14"},"uris":["http://www.mendeley.com/documents/?uuid=e35b66fe-366c-4889-8681-2ff180b6c1cc"]},{"id":"ITEM-3","itemData":{"author":[{"dropping-particle":"","family":"Zyglidopoulos","given":"Stelios","non-dropping-particle":"","parse-names":false,"suffix":""},{"dropping-particle":"","family":"Hirsch","given":"Paul","non-dropping-particle":"","parse-names":false,"suffix":""},{"dropping-particle":"","family":"Holan","given":"Pablo Martin","non-dropping-particle":"de","parse-names":false,"suffix":""},{"dropping-particle":"","family":"Phillips","given":"Nelson","non-dropping-particle":"","parse-names":false,"suffix":""}],"container-title":"Journal of Management Inquiry","id":"ITEM-3","issue":"3","issued":{"date-parts":[["2017"]]},"page":"247-253","title":"Expanding research on corporate corruption, management, and organizations","type":"article-journal","volume":"26"},"uris":["http://www.mendeley.com/documents/?uuid=430db7cf-2d82-4839-9556-6745a8cc09d8"]}],"mendeley":{"formattedCitation":"Blake Ashforth and Vikas Anand, “The Normalization of Corruption in Organizations,” &lt;i&gt;Research in Organizational Behavior&lt;/i&gt; 25 (2003): 1–52; Castro, Phillips, and Ansari, “Corporate Corruption: A Review and an Agenda for Future Research”; Zyglidopoulos et al., “Expanding Research on Corporate Corruption, Management, and Organizations.”","plainTextFormattedCitation":"Blake Ashforth and Vikas Anand, “The Normalization of Corruption in Organizations,” Research in Organizational Behavior 25 (2003): 1–52; Castro, Phillips, and Ansari, “Corporate Corruption: A Review and an Agenda for Future Research”; Zyglidopoulos et al., “Expanding Research on Corporate Corruption, Management, and Organizations.”","previouslyFormattedCitation":"Blake Ashforth and Vikas Anand, “The Normalization of Corruption in Organizations,” &lt;i&gt;Research in Organizational Behavior&lt;/i&gt; 25 (2003): 1–52; Castro, Phillips, and Ansari, “Corporate Corruption: A Review and an Agenda for Future Research”; Zyglidopoulos et al., “Expanding Research on Corporate Corruption, Management, and Organizations.”"},"properties":{"noteIndex":0},"schema":"https://github.com/citation-style-language/schema/raw/master/csl-citation.json"}</w:instrText>
      </w:r>
      <w:r w:rsidR="00545C27" w:rsidRPr="00FC3C61">
        <w:rPr>
          <w:rFonts w:cs="Times New Roman"/>
          <w:sz w:val="22"/>
          <w:szCs w:val="22"/>
        </w:rPr>
        <w:fldChar w:fldCharType="separate"/>
      </w:r>
      <w:r w:rsidR="007D3317" w:rsidRPr="00FC3C61">
        <w:rPr>
          <w:rFonts w:cs="Times New Roman"/>
          <w:noProof/>
          <w:sz w:val="22"/>
          <w:szCs w:val="22"/>
        </w:rPr>
        <w:t xml:space="preserve">Blake Ashforth and Vikas Anand, “The Normalization of Corruption in Organizations,” </w:t>
      </w:r>
      <w:r w:rsidR="007D3317" w:rsidRPr="00FC3C61">
        <w:rPr>
          <w:rFonts w:cs="Times New Roman"/>
          <w:i/>
          <w:noProof/>
          <w:sz w:val="22"/>
          <w:szCs w:val="22"/>
        </w:rPr>
        <w:t>Research in Organizational Behavior</w:t>
      </w:r>
      <w:r w:rsidR="007D3317" w:rsidRPr="00FC3C61">
        <w:rPr>
          <w:rFonts w:cs="Times New Roman"/>
          <w:noProof/>
          <w:sz w:val="22"/>
          <w:szCs w:val="22"/>
        </w:rPr>
        <w:t xml:space="preserve"> 25 (2003): 1–52; Castro, Phillips, and Ansari, “Corporate Corruption: A Review and an Agenda for Future Research”; Zyglidopoulos et al., “Expanding Research on Corporate Corruption, Management, and Organizations.”</w:t>
      </w:r>
      <w:r w:rsidR="00545C27" w:rsidRPr="00FC3C61">
        <w:rPr>
          <w:rFonts w:cs="Times New Roman"/>
          <w:sz w:val="22"/>
          <w:szCs w:val="22"/>
        </w:rPr>
        <w:fldChar w:fldCharType="end"/>
      </w:r>
    </w:p>
  </w:endnote>
  <w:endnote w:id="10">
    <w:p w14:paraId="0B1DC250" w14:textId="484EE20C" w:rsidR="0093268D" w:rsidRPr="00FC3C61" w:rsidRDefault="0093268D" w:rsidP="005334B5">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C4302E" w:rsidRPr="00FC3C61">
        <w:rPr>
          <w:rFonts w:cs="Times New Roman"/>
          <w:sz w:val="22"/>
          <w:szCs w:val="22"/>
        </w:rPr>
        <w:fldChar w:fldCharType="begin" w:fldLock="1"/>
      </w:r>
      <w:r w:rsidR="001D67CD" w:rsidRPr="00FC3C61">
        <w:rPr>
          <w:rFonts w:cs="Times New Roman"/>
          <w:sz w:val="22"/>
          <w:szCs w:val="22"/>
        </w:rPr>
        <w:instrText>ADDIN CSL_CITATION {"citationItems":[{"id":"ITEM-1","itemData":{"ISBN":"1941-6520","author":[{"dropping-particle":"","family":"Greve","given":"Henrich","non-dropping-particle":"","parse-names":false,"suffix":""},{"dropping-particle":"","family":"Palmer","given":"Donald","non-dropping-particle":"","parse-names":false,"suffix":""},{"dropping-particle":"","family":"Pozner","given":"Jo‐Ellen","non-dropping-particle":"","parse-names":false,"suffix":""}],"container-title":"The Academy of Management Annals","id":"ITEM-1","issue":"1","issued":{"date-parts":[["2010"]]},"page":"53-107","title":"Organizations gone wild: The causes, processes, and consequences of organizational misconduct","type":"article-journal","volume":"4"},"uris":["http://www.mendeley.com/documents/?uuid=77c7362d-f9c2-4285-846c-237e23219b7e"]}],"mendeley":{"formattedCitation":"Henrich Greve, Donald Palmer, and Jo‐Ellen Pozner, “Organizations Gone Wild: The Causes, Processes, and Consequences of Organizational Misconduct,” &lt;i&gt;The Academy of Management Annals&lt;/i&gt; 4, no. 1 (2010): 53–107.","manualFormatting":"Henrich Greve, Donald Palmer, and Jo‐Ellen Pozner, “Organizations Gone Wild: The Causes, Processes, and Consequences of Organizational Misconduct,” The Academy of Management Annals 4, no. 1 (2010): 53–107","plainTextFormattedCitation":"Henrich Greve, Donald Palmer, and Jo‐Ellen Pozner, “Organizations Gone Wild: The Causes, Processes, and Consequences of Organizational Misconduct,” The Academy of Management Annals 4, no. 1 (2010): 53–107.","previouslyFormattedCitation":"Henrich Greve, Donald Palmer, and Jo‐Ellen Pozner, “Organizations Gone Wild: The Causes, Processes, and Consequences of Organizational Misconduct,” &lt;i&gt;The Academy of Management Annals&lt;/i&gt; 4, no. 1 (2010): 53–107."},"properties":{"noteIndex":0},"schema":"https://github.com/citation-style-language/schema/raw/master/csl-citation.json"}</w:instrText>
      </w:r>
      <w:r w:rsidR="00C4302E" w:rsidRPr="00FC3C61">
        <w:rPr>
          <w:rFonts w:cs="Times New Roman"/>
          <w:sz w:val="22"/>
          <w:szCs w:val="22"/>
        </w:rPr>
        <w:fldChar w:fldCharType="separate"/>
      </w:r>
      <w:r w:rsidR="00C4302E" w:rsidRPr="00FC3C61">
        <w:rPr>
          <w:rFonts w:cs="Times New Roman"/>
          <w:noProof/>
          <w:sz w:val="22"/>
          <w:szCs w:val="22"/>
        </w:rPr>
        <w:t xml:space="preserve">Henrich Greve, Donald Palmer, and Jo‐Ellen Pozner, “Organizations Gone Wild: The Causes, Processes, and Consequences of Organizational Misconduct,” </w:t>
      </w:r>
      <w:r w:rsidR="00C4302E" w:rsidRPr="00FC3C61">
        <w:rPr>
          <w:rFonts w:cs="Times New Roman"/>
          <w:i/>
          <w:noProof/>
          <w:sz w:val="22"/>
          <w:szCs w:val="22"/>
        </w:rPr>
        <w:t>The Academy of Management Annals</w:t>
      </w:r>
      <w:r w:rsidR="00C4302E" w:rsidRPr="00FC3C61">
        <w:rPr>
          <w:rFonts w:cs="Times New Roman"/>
          <w:noProof/>
          <w:sz w:val="22"/>
          <w:szCs w:val="22"/>
        </w:rPr>
        <w:t xml:space="preserve"> 4, no. 1 (2010): 53–107</w:t>
      </w:r>
      <w:r w:rsidR="00C4302E" w:rsidRPr="00FC3C61">
        <w:rPr>
          <w:rFonts w:cs="Times New Roman"/>
          <w:sz w:val="22"/>
          <w:szCs w:val="22"/>
        </w:rPr>
        <w:fldChar w:fldCharType="end"/>
      </w:r>
      <w:r w:rsidR="00C4302E" w:rsidRPr="00FC3C61">
        <w:rPr>
          <w:rFonts w:cs="Times New Roman"/>
          <w:sz w:val="22"/>
          <w:szCs w:val="22"/>
        </w:rPr>
        <w:t xml:space="preserve">; </w:t>
      </w:r>
      <w:r w:rsidR="00C4302E" w:rsidRPr="00FC3C61">
        <w:rPr>
          <w:rFonts w:cs="Times New Roman"/>
          <w:sz w:val="22"/>
          <w:szCs w:val="22"/>
        </w:rPr>
        <w:fldChar w:fldCharType="begin" w:fldLock="1"/>
      </w:r>
      <w:r w:rsidR="001D67CD" w:rsidRPr="00FC3C61">
        <w:rPr>
          <w:rFonts w:cs="Times New Roman"/>
          <w:sz w:val="22"/>
          <w:szCs w:val="22"/>
        </w:rPr>
        <w:instrText>ADDIN CSL_CITATION {"citationItems":[{"id":"ITEM-1","itemData":{"abstract":"Given its extremely negative impact, it is not surprising that there is extensive literature focused on understanding and reducing corruption. However, the existing academic work focuses largely on corruption in government. Yet, corporations play a key role in much of the corruption that occurs in society and are important contexts for corruption themselves; they are also very different from governments and, we argue, deserve focused study and the development of a coherent theory of corporate corruption. In this article, we define corporate corruption and argue that management researchers are uniquely positioned to contribute to the development of a theory of corporate corruption and the development of solutions to prevent it. We then examine the current state of research on this important topic and propose a framework for organizing research on corporate corruption into four per-spectives: corporate corruption as rational action, corporate corruption as institutional-ized practice, corporate corruption as cultural norm, and corporate corruption as moral failure. We go on to propose a research agenda for management scholars in some tradi-tional areas of management research to take this important but under-researched topic forward, as well as highlight some of the methodological challenges that management researchers face in conducting research in corporate corruption.","author":[{"dropping-particle":"","family":"Castro","given":"Armando","non-dropping-particle":"","parse-names":false,"suffix":""},{"dropping-particle":"","family":"Phillips","given":"Nelson","non-dropping-particle":"","parse-names":false,"suffix":""},{"dropping-particle":"","family":"Ansari","given":"Shaz","non-dropping-particle":"","parse-names":false,"suffix":""}],"container-title":"Academy of Management Annals","id":"ITEM-1","issue":"2","issued":{"date-parts":[["2020","7"]]},"page":"935-968","publisher":"Academy of Management","title":"Corporate corruption: A review and an agenda for future research","type":"article-journal","volume":"14"},"uris":["http://www.mendeley.com/documents/?uuid=e35b66fe-366c-4889-8681-2ff180b6c1cc"]}],"mendeley":{"formattedCitation":"Castro, Phillips, and Ansari, “Corporate Corruption: A Review and an Agenda for Future Research.”","plainTextFormattedCitation":"Castro, Phillips, and Ansari, “Corporate Corruption: A Review and an Agenda for Future Research.”","previouslyFormattedCitation":"Castro, Phillips, and Ansari, “Corporate Corruption: A Review and an Agenda for Future Research.”"},"properties":{"noteIndex":0},"schema":"https://github.com/citation-style-language/schema/raw/master/csl-citation.json"}</w:instrText>
      </w:r>
      <w:r w:rsidR="00C4302E" w:rsidRPr="00FC3C61">
        <w:rPr>
          <w:rFonts w:cs="Times New Roman"/>
          <w:sz w:val="22"/>
          <w:szCs w:val="22"/>
        </w:rPr>
        <w:fldChar w:fldCharType="separate"/>
      </w:r>
      <w:r w:rsidR="00C4302E" w:rsidRPr="00FC3C61">
        <w:rPr>
          <w:rFonts w:cs="Times New Roman"/>
          <w:noProof/>
          <w:sz w:val="22"/>
          <w:szCs w:val="22"/>
        </w:rPr>
        <w:t>Castro, Phillips, and Ansari, “Corporate Corruption: A Review and an Agenda for Future Research.”</w:t>
      </w:r>
      <w:r w:rsidR="00C4302E" w:rsidRPr="00FC3C61">
        <w:rPr>
          <w:rFonts w:cs="Times New Roman"/>
          <w:sz w:val="22"/>
          <w:szCs w:val="22"/>
        </w:rPr>
        <w:fldChar w:fldCharType="end"/>
      </w:r>
    </w:p>
  </w:endnote>
  <w:endnote w:id="11">
    <w:p w14:paraId="4D0A5570" w14:textId="5A1D14B9" w:rsidR="00545C27" w:rsidRPr="00FC3C61" w:rsidRDefault="00545C27">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3C3BB0" w:rsidRPr="00FC3C61">
        <w:rPr>
          <w:rFonts w:cs="Times New Roman"/>
          <w:sz w:val="22"/>
          <w:szCs w:val="22"/>
        </w:rPr>
        <w:fldChar w:fldCharType="begin" w:fldLock="1"/>
      </w:r>
      <w:r w:rsidR="007227D5" w:rsidRPr="00FC3C61">
        <w:rPr>
          <w:rFonts w:cs="Times New Roman"/>
          <w:sz w:val="22"/>
          <w:szCs w:val="22"/>
        </w:rPr>
        <w:instrText>ADDIN CSL_CITATION {"citationItems":[{"id":"ITEM-1","itemData":{"author":[{"dropping-particle":"","family":"Driel","given":"Hugo","non-dropping-particle":"van","parse-names":false,"suffix":""}],"container-title":"Business History","id":"ITEM-1","issue":"61","issued":{"date-parts":[["2019"]]},"page":"1259-1299","publisher":"Routledge","title":"Financial fraud, scandals, and regulation: A conceptual framework and literature review","type":"article-journal","volume":"8"},"uris":["http://www.mendeley.com/documents/?uuid=8b83013c-2b61-4e15-8712-9815700e4e23"]}],"mendeley":{"formattedCitation":"Hugo van Driel, “Financial Fraud, Scandals, and Regulation: A Conceptual Framework and Literature Review,” &lt;i&gt;Business History&lt;/i&gt; 8, no. 61 (2019): 1259–99.","plainTextFormattedCitation":"Hugo van Driel, “Financial Fraud, Scandals, and Regulation: A Conceptual Framework and Literature Review,” Business History 8, no. 61 (2019): 1259–99.","previouslyFormattedCitation":"Hugo van Driel, “Financial Fraud, Scandals, and Regulation: A Conceptual Framework and Literature Review,” &lt;i&gt;Business History&lt;/i&gt; 8, no. 61 (2019): 1259–99."},"properties":{"noteIndex":0},"schema":"https://github.com/citation-style-language/schema/raw/master/csl-citation.json"}</w:instrText>
      </w:r>
      <w:r w:rsidR="003C3BB0" w:rsidRPr="00FC3C61">
        <w:rPr>
          <w:rFonts w:cs="Times New Roman"/>
          <w:sz w:val="22"/>
          <w:szCs w:val="22"/>
        </w:rPr>
        <w:fldChar w:fldCharType="separate"/>
      </w:r>
      <w:r w:rsidR="003C3BB0" w:rsidRPr="00FC3C61">
        <w:rPr>
          <w:rFonts w:cs="Times New Roman"/>
          <w:noProof/>
          <w:sz w:val="22"/>
          <w:szCs w:val="22"/>
        </w:rPr>
        <w:t xml:space="preserve">Hugo van Driel, “Financial Fraud, Scandals, and Regulation: A Conceptual Framework and Literature Review,” </w:t>
      </w:r>
      <w:r w:rsidR="003C3BB0" w:rsidRPr="00FC3C61">
        <w:rPr>
          <w:rFonts w:cs="Times New Roman"/>
          <w:i/>
          <w:noProof/>
          <w:sz w:val="22"/>
          <w:szCs w:val="22"/>
        </w:rPr>
        <w:t>Business History</w:t>
      </w:r>
      <w:r w:rsidR="003C3BB0" w:rsidRPr="00FC3C61">
        <w:rPr>
          <w:rFonts w:cs="Times New Roman"/>
          <w:noProof/>
          <w:sz w:val="22"/>
          <w:szCs w:val="22"/>
        </w:rPr>
        <w:t xml:space="preserve"> 8, no. 61 (2019): 1259–99.</w:t>
      </w:r>
      <w:r w:rsidR="003C3BB0" w:rsidRPr="00FC3C61">
        <w:rPr>
          <w:rFonts w:cs="Times New Roman"/>
          <w:sz w:val="22"/>
          <w:szCs w:val="22"/>
        </w:rPr>
        <w:fldChar w:fldCharType="end"/>
      </w:r>
    </w:p>
  </w:endnote>
  <w:endnote w:id="12">
    <w:p w14:paraId="457D7BAB" w14:textId="627E9632" w:rsidR="00600D95" w:rsidRPr="00FC3C61" w:rsidRDefault="00600D95">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3D7833" w:rsidRPr="00FC3C61">
        <w:rPr>
          <w:rFonts w:cs="Times New Roman"/>
          <w:sz w:val="22"/>
          <w:szCs w:val="22"/>
        </w:rPr>
        <w:fldChar w:fldCharType="begin" w:fldLock="1"/>
      </w:r>
      <w:r w:rsidR="002B49F2" w:rsidRPr="00FC3C61">
        <w:rPr>
          <w:rFonts w:cs="Times New Roman"/>
          <w:sz w:val="22"/>
          <w:szCs w:val="22"/>
        </w:rPr>
        <w:instrText>ADDIN CSL_CITATION {"citationItems":[{"id":"ITEM-1","itemData":{"ISBN":"1848447329","author":[{"dropping-particle":"","family":"Fleming","given":"Peter","non-dropping-particle":"","parse-names":false,"suffix":""},{"dropping-particle":"","family":"Zyglidopoulos","given":"Stelios","non-dropping-particle":"","parse-names":false,"suffix":""}],"id":"ITEM-1","issued":{"date-parts":[["2009"]]},"publisher":"Edward Elgar Publishing","title":"Charting corporate corruption: Agency, structure and escalation","type":"book"},"locator":"23-24","uris":["http://www.mendeley.com/documents/?uuid=20a6e8bb-2799-4faf-b919-c11b5a96390c"]},{"id":"ITEM-2","itemData":{"ISBN":"0691183074","author":[{"dropping-particle":"","family":"Balleisen","given":"Edward","non-dropping-particle":"","parse-names":false,"suffix":""}],"id":"ITEM-2","issued":{"date-parts":[["2018"]]},"publisher":"Princeton","title":"Fraud: An American History from Barnum to Madoff","type":"book"},"locator":"357","uris":["http://www.mendeley.com/documents/?uuid=de9554ab-6047-477f-a240-00b14d97d8c8"]},{"id":"ITEM-3","itemData":{"ISBN":"0925-4994","author":[{"dropping-particle":"","family":"Tillman","given":"Robert","non-dropping-particle":"","parse-names":false,"suffix":""}],"container-title":"Crime, Law and Social Change","id":"ITEM-3","issue":"1","issued":{"date-parts":[["2009"]]},"page":"73-86","title":"Making the rules and breaking the rules: the political origins of corporate corruption in the new economy","type":"article-journal","volume":"51"},"uris":["http://www.mendeley.com/documents/?uuid=5ab04fd8-a343-45fc-b7f4-71d7f2e069ed"]},{"id":"ITEM-4","itemData":{"ISBN":"019957359X","author":[{"dropping-particle":"","family":"Palmer","given":"Donald","non-dropping-particle":"","parse-names":false,"suffix":""}],"id":"ITEM-4","issued":{"date-parts":[["2012"]]},"publisher-place":"Oxford","title":"Normal organizational wrongdoing: A critical analysis of theories of misconduct in and by organizations","type":"book"},"locator":"52","uris":["http://www.mendeley.com/documents/?uuid=05f679e4-6eff-47c0-ae8c-408a2823130d"]}],"mendeley":{"formattedCitation":"Peter Fleming and Stelios Zyglidopoulos, &lt;i&gt;Charting Corporate Corruption: Agency, Structure and Escalation&lt;/i&gt; (Edward Elgar Publishing, 2009), 23–24; Edward Balleisen, &lt;i&gt;Fraud: An American History from Barnum to Madoff&lt;/i&gt; (Princeton, 2018), 357; Robert Tillman, “Making the Rules and Breaking the Rules: The Political Origins of Corporate Corruption in the New Economy,” &lt;i&gt;Crime, Law and Social Change&lt;/i&gt; 51, no. 1 (2009): 73–86; Donald Palmer, &lt;i&gt;Normal Organizational Wrongdoing: A Critical Analysis of Theories of Misconduct in and by Organizations&lt;/i&gt; (Oxford, 2012), 52.","plainTextFormattedCitation":"Peter Fleming and Stelios Zyglidopoulos, Charting Corporate Corruption: Agency, Structure and Escalation (Edward Elgar Publishing, 2009), 23–24; Edward Balleisen, Fraud: An American History from Barnum to Madoff (Princeton, 2018), 357; Robert Tillman, “Making the Rules and Breaking the Rules: The Political Origins of Corporate Corruption in the New Economy,” Crime, Law and Social Change 51, no. 1 (2009): 73–86; Donald Palmer, Normal Organizational Wrongdoing: A Critical Analysis of Theories of Misconduct in and by Organizations (Oxford, 2012), 52.","previouslyFormattedCitation":"Peter Fleming and Stelios Zyglidopoulos, &lt;i&gt;Charting Corporate Corruption: Agency, Structure and Escalation&lt;/i&gt; (Edward Elgar Publishing, 2009), 23–24; Edward Balleisen, &lt;i&gt;Fraud: An American History from Barnum to Madoff&lt;/i&gt; (Princeton, 2018), 357; Robert Tillman, “Making the Rules and Breaking the Rules: The Political Origins of Corporate Corruption in the New Economy,” &lt;i&gt;Crime, Law and Social Change&lt;/i&gt; 51, no. 1 (2009): 73–86; Donald Palmer, &lt;i&gt;Normal Organizational Wrongdoing: A Critical Analysis of Theories of Misconduct in and by Organizations&lt;/i&gt; (Oxford, 2012), 52."},"properties":{"noteIndex":0},"schema":"https://github.com/citation-style-language/schema/raw/master/csl-citation.json"}</w:instrText>
      </w:r>
      <w:r w:rsidR="003D7833" w:rsidRPr="00FC3C61">
        <w:rPr>
          <w:rFonts w:cs="Times New Roman"/>
          <w:sz w:val="22"/>
          <w:szCs w:val="22"/>
        </w:rPr>
        <w:fldChar w:fldCharType="separate"/>
      </w:r>
      <w:r w:rsidR="00F83BD4" w:rsidRPr="00FC3C61">
        <w:rPr>
          <w:rFonts w:cs="Times New Roman"/>
          <w:noProof/>
          <w:sz w:val="22"/>
          <w:szCs w:val="22"/>
        </w:rPr>
        <w:t xml:space="preserve">Peter Fleming and Stelios Zyglidopoulos, </w:t>
      </w:r>
      <w:r w:rsidR="00F83BD4" w:rsidRPr="00FC3C61">
        <w:rPr>
          <w:rFonts w:cs="Times New Roman"/>
          <w:i/>
          <w:noProof/>
          <w:sz w:val="22"/>
          <w:szCs w:val="22"/>
        </w:rPr>
        <w:t>Charting Corporate Corruption: Agency, Structure and Escalation</w:t>
      </w:r>
      <w:r w:rsidR="00F83BD4" w:rsidRPr="00FC3C61">
        <w:rPr>
          <w:rFonts w:cs="Times New Roman"/>
          <w:noProof/>
          <w:sz w:val="22"/>
          <w:szCs w:val="22"/>
        </w:rPr>
        <w:t xml:space="preserve"> (</w:t>
      </w:r>
      <w:r w:rsidR="00FC3C61">
        <w:rPr>
          <w:rFonts w:cs="Times New Roman"/>
          <w:noProof/>
          <w:sz w:val="22"/>
          <w:szCs w:val="22"/>
        </w:rPr>
        <w:t>Cheltenham</w:t>
      </w:r>
      <w:r w:rsidR="00F83BD4" w:rsidRPr="00FC3C61">
        <w:rPr>
          <w:rFonts w:cs="Times New Roman"/>
          <w:noProof/>
          <w:sz w:val="22"/>
          <w:szCs w:val="22"/>
        </w:rPr>
        <w:t xml:space="preserve"> 2009), 23–24; Edward Balleisen, </w:t>
      </w:r>
      <w:r w:rsidR="00F83BD4" w:rsidRPr="00FC3C61">
        <w:rPr>
          <w:rFonts w:cs="Times New Roman"/>
          <w:i/>
          <w:noProof/>
          <w:sz w:val="22"/>
          <w:szCs w:val="22"/>
        </w:rPr>
        <w:t>Fraud: An American History from Barnum to Madoff</w:t>
      </w:r>
      <w:r w:rsidR="00F83BD4" w:rsidRPr="00FC3C61">
        <w:rPr>
          <w:rFonts w:cs="Times New Roman"/>
          <w:noProof/>
          <w:sz w:val="22"/>
          <w:szCs w:val="22"/>
        </w:rPr>
        <w:t xml:space="preserve"> (Princeton</w:t>
      </w:r>
      <w:r w:rsidR="00FC3C61">
        <w:rPr>
          <w:rFonts w:cs="Times New Roman"/>
          <w:noProof/>
          <w:sz w:val="22"/>
          <w:szCs w:val="22"/>
        </w:rPr>
        <w:t>,</w:t>
      </w:r>
      <w:r w:rsidR="00F83BD4" w:rsidRPr="00FC3C61">
        <w:rPr>
          <w:rFonts w:cs="Times New Roman"/>
          <w:noProof/>
          <w:sz w:val="22"/>
          <w:szCs w:val="22"/>
        </w:rPr>
        <w:t xml:space="preserve"> 2018), 357; Robert Tillman, “Making the Rules and Breaking the Rules: The Political Origins of Corporate Corruption in the New Economy,” </w:t>
      </w:r>
      <w:r w:rsidR="00F83BD4" w:rsidRPr="00FC3C61">
        <w:rPr>
          <w:rFonts w:cs="Times New Roman"/>
          <w:i/>
          <w:noProof/>
          <w:sz w:val="22"/>
          <w:szCs w:val="22"/>
        </w:rPr>
        <w:t>Crime, Law and Social Change</w:t>
      </w:r>
      <w:r w:rsidR="00F83BD4" w:rsidRPr="00FC3C61">
        <w:rPr>
          <w:rFonts w:cs="Times New Roman"/>
          <w:noProof/>
          <w:sz w:val="22"/>
          <w:szCs w:val="22"/>
        </w:rPr>
        <w:t xml:space="preserve"> 51, no. 1 (2009): 73–86; Donald Palmer, </w:t>
      </w:r>
      <w:r w:rsidR="00F83BD4" w:rsidRPr="00FC3C61">
        <w:rPr>
          <w:rFonts w:cs="Times New Roman"/>
          <w:i/>
          <w:noProof/>
          <w:sz w:val="22"/>
          <w:szCs w:val="22"/>
        </w:rPr>
        <w:t>Normal Organizational Wrongdoing: A Critical Analysis of Theories of Misconduct in and by Organizations</w:t>
      </w:r>
      <w:r w:rsidR="00F83BD4" w:rsidRPr="00FC3C61">
        <w:rPr>
          <w:rFonts w:cs="Times New Roman"/>
          <w:noProof/>
          <w:sz w:val="22"/>
          <w:szCs w:val="22"/>
        </w:rPr>
        <w:t xml:space="preserve"> (Oxford, 2012), 52.</w:t>
      </w:r>
      <w:r w:rsidR="003D7833" w:rsidRPr="00FC3C61">
        <w:rPr>
          <w:rFonts w:cs="Times New Roman"/>
          <w:sz w:val="22"/>
          <w:szCs w:val="22"/>
        </w:rPr>
        <w:fldChar w:fldCharType="end"/>
      </w:r>
      <w:r w:rsidR="0057097A" w:rsidRPr="00FC3C61">
        <w:rPr>
          <w:rFonts w:cs="Times New Roman"/>
          <w:sz w:val="22"/>
          <w:szCs w:val="22"/>
        </w:rPr>
        <w:t xml:space="preserve"> </w:t>
      </w:r>
    </w:p>
  </w:endnote>
  <w:endnote w:id="13">
    <w:p w14:paraId="08F244C7" w14:textId="57131F8A" w:rsidR="0093268D" w:rsidRPr="00FC3C61" w:rsidRDefault="0093268D" w:rsidP="00473125">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{"citationItems":[{"id":"ITEM-1","itemData":{"ISBN":"0674028252","author":[{"dropping-particle":"","family":"Salter","given":"Malcolm","non-dropping-particle":"","parse-names":false,"suffix":""}],"id":"ITEM-1","issued":{"date-parts":[["2008"]]},"publisher":"Harvard University Press","title":"Innovation corrupted: the origins and legacy of Enron's collapse","type":"book"},"uris":["http://www.mendeley.com/documents/?uuid=bbe86e24-bb0d-4d2d-9d50-16ac90a396a8"]}],"mendeley":{"formattedCitation":"Malcolm Salter, &lt;i&gt;Innovation Corrupted: The Origins and Legacy of Enron’s Collapse&lt;/i&gt; (Harvard University Press, 2008).","manualFormatting":"Malcolm Salter, Innovation Corrupted: The Origins and Legacy of Enron’s Collapse (Cambridge, MA, 2008).","plainTextFormattedCitation":"Malcolm Salter, Innovation Corrupted: The Origins and Legacy of Enron’s Collapse (Harvard University Press, 2008).","previouslyFormattedCitation":"Malcolm Salter, &lt;i&gt;Innovation Corrupted: The Origins and Legacy of Enron’s Collapse&lt;/i&gt; (Harvard University Press, 2008)."},"properties":{"noteIndex":0},"schema":"https://github.com/citation-style-language/schema/raw/master/csl-citation.json"}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Malcolm Salter, </w:t>
      </w:r>
      <w:r w:rsidRPr="00FC3C61">
        <w:rPr>
          <w:rFonts w:cs="Times New Roman"/>
          <w:i/>
          <w:noProof/>
          <w:sz w:val="22"/>
          <w:szCs w:val="22"/>
        </w:rPr>
        <w:t>Innovation Corrupted: The Origins and Legacy of Enron’s Collapse</w:t>
      </w:r>
      <w:r w:rsidRPr="00FC3C61">
        <w:rPr>
          <w:rFonts w:cs="Times New Roman"/>
          <w:noProof/>
          <w:sz w:val="22"/>
          <w:szCs w:val="22"/>
        </w:rPr>
        <w:t xml:space="preserve"> (Cambridge, MA, 2008).</w:t>
      </w:r>
      <w:r w:rsidRPr="00FC3C61">
        <w:rPr>
          <w:rFonts w:cs="Times New Roman"/>
          <w:sz w:val="22"/>
          <w:szCs w:val="22"/>
        </w:rPr>
        <w:fldChar w:fldCharType="end"/>
      </w:r>
    </w:p>
  </w:endnote>
  <w:endnote w:id="14">
    <w:p w14:paraId="289670AC" w14:textId="1322A925"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D27F99" w:rsidRPr="00FC3C61">
        <w:rPr>
          <w:rFonts w:cs="Times New Roman"/>
          <w:sz w:val="22"/>
          <w:szCs w:val="22"/>
        </w:rPr>
        <w:instrText>ADDIN CSL_CITATION {"citationItems":[{"id":"ITEM-1","itemData":{"ISBN":"0812295072","author":[{"dropping-particle":"","family":"Benke","given":"Gavin","non-dropping-particle":"","parse-names":false,"suffix":""}],"id":"ITEM-1","issued":{"date-parts":[["2018"]]},"publisher":"University of Pennsylvania Press","publisher-place":"Philadelphia","title":"Risk and Ruin: Enron and the Culture of American Capitalism","type":"book"},"uris":["http://www.mendeley.com/documents/?uuid=02e5add2-6a7a-4853-8749-a577f699cb00"]}],"mendeley":{"formattedCitation":"Gavin Benke, &lt;i&gt;Risk and Ruin: Enron and the Culture of American Capitalism&lt;/i&gt; (Philadelphia: University of Pennsylvania Press, 2018).","manualFormatting":"Gavin Benke, Risk and Ruin: Enron and the Culture of American Capitalism (Philadelphia, 2018): 10.","plainTextFormattedCitation":"Gavin Benke, Risk and Ruin: Enron and the Culture of American Capitalism (Philadelphia: University of Pennsylvania Press, 2018).","previouslyFormattedCitation":"Gavin Benke, &lt;i&gt;Risk and Ruin: Enron and the Culture of American Capitalism&lt;/i&gt; (Philadelphia: University of Pennsylvania Press, 2018)."},"properties":{"noteIndex":0},"schema":"https://github.com/citation-style-language/schema/raw/master/csl-citation.json"}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Gavin Benke, </w:t>
      </w:r>
      <w:r w:rsidRPr="00FC3C61">
        <w:rPr>
          <w:rFonts w:cs="Times New Roman"/>
          <w:i/>
          <w:noProof/>
          <w:sz w:val="22"/>
          <w:szCs w:val="22"/>
        </w:rPr>
        <w:t>Risk and Ruin: Enron and the Culture of American Capitalism</w:t>
      </w:r>
      <w:r w:rsidRPr="00FC3C61">
        <w:rPr>
          <w:rFonts w:cs="Times New Roman"/>
          <w:noProof/>
          <w:sz w:val="22"/>
          <w:szCs w:val="22"/>
        </w:rPr>
        <w:t xml:space="preserve"> (Philadelphia, 2018)</w:t>
      </w:r>
      <w:r w:rsidR="00EF0D79" w:rsidRPr="00FC3C61">
        <w:rPr>
          <w:rFonts w:cs="Times New Roman"/>
          <w:noProof/>
          <w:sz w:val="22"/>
          <w:szCs w:val="22"/>
        </w:rPr>
        <w:t>: 10</w:t>
      </w:r>
      <w:r w:rsidRPr="00FC3C61">
        <w:rPr>
          <w:rFonts w:cs="Times New Roman"/>
          <w:noProof/>
          <w:sz w:val="22"/>
          <w:szCs w:val="22"/>
        </w:rPr>
        <w:t>.</w:t>
      </w:r>
      <w:r w:rsidRPr="00FC3C61">
        <w:rPr>
          <w:rFonts w:cs="Times New Roman"/>
          <w:sz w:val="22"/>
          <w:szCs w:val="22"/>
        </w:rPr>
        <w:fldChar w:fldCharType="end"/>
      </w:r>
      <w:r w:rsidRPr="00FC3C61">
        <w:rPr>
          <w:rFonts w:cs="Times New Roman"/>
          <w:sz w:val="22"/>
          <w:szCs w:val="22"/>
        </w:rPr>
        <w:t xml:space="preserve"> </w:t>
      </w:r>
      <w:r w:rsidR="00702108" w:rsidRPr="00FC3C61">
        <w:rPr>
          <w:rFonts w:cs="Times New Roman"/>
          <w:sz w:val="22"/>
          <w:szCs w:val="22"/>
        </w:rPr>
        <w:t>A</w:t>
      </w:r>
      <w:r w:rsidRPr="00FC3C61">
        <w:rPr>
          <w:rFonts w:cs="Times New Roman"/>
          <w:sz w:val="22"/>
          <w:szCs w:val="22"/>
        </w:rPr>
        <w:t>lso</w:t>
      </w:r>
      <w:r w:rsidR="00702108" w:rsidRPr="00FC3C61">
        <w:rPr>
          <w:rFonts w:cs="Times New Roman"/>
          <w:sz w:val="22"/>
          <w:szCs w:val="22"/>
        </w:rPr>
        <w:t xml:space="preserve"> compare</w:t>
      </w:r>
      <w:r w:rsidRPr="00FC3C61">
        <w:rPr>
          <w:rFonts w:cs="Times New Roman"/>
          <w:sz w:val="22"/>
          <w:szCs w:val="22"/>
        </w:rPr>
        <w:t xml:space="preserve"> </w:t>
      </w:r>
      <w:r w:rsidRPr="00FC3C61">
        <w:rPr>
          <w:rFonts w:cs="Times New Roman"/>
          <w:color w:val="000000" w:themeColor="text1"/>
          <w:sz w:val="22"/>
          <w:szCs w:val="22"/>
        </w:rPr>
        <w:t xml:space="preserve">Robert Bradley’s work, which explores Enron as an agent of political capitalism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{"citationItems":[{"id":"ITEM-1","itemData":{"ISBN":"0470917369","author":[{"dropping-particle":"","family":"Bradley","given":"Robert L","non-dropping-particle":"","parse-names":false,"suffix":""}],"id":"ITEM-1","issued":{"date-parts":[["2011"]]},"publisher":"John Wiley &amp; Sons","publisher-place":"Hoboken, NJ","title":"Edison to Enron: Energy markets and political strategies","type":"book"},"uris":["http://www.mendeley.com/documents/?uuid=cc25c97b-e9d9-4100-8dab-0cb881f8b481"]},{"id":"ITEM-2","itemData":{"ISBN":"098020948X","author":[{"dropping-particle":"","family":"Bradley","given":"Robert","non-dropping-particle":"","parse-names":false,"suffix":""}],"id":"ITEM-2","issued":{"date-parts":[["2014"]]},"publisher":"M &amp; M Scrivener Press","publisher-place":"Salem, MA","title":"Capitalism at work: business, government, and energy","type":"book"},"uris":["http://www.mendeley.com/documents/?uuid=32d568c5-b402-4aeb-8b12-2da05e6c549a"]},{"id":"ITEM-3","itemData":{"ISBN":"1119494206","author":[{"dropping-particle":"","family":"Bradley","given":"Robert","non-dropping-particle":"","parse-names":false,"suffix":""}],"id":"ITEM-3","issued":{"date-parts":[["2018"]]},"publisher":"Wiley-Scrivener","publisher-place":"Hoboken, NJ","title":"Enron Ascending: The Forgotten Years, 1984-1996","type":"book"},"uris":["http://www.mendeley.com/documents/?uuid=2c94cfd9-7f78-40a0-a53c-2b49fa715845"]}],"mendeley":{"formattedCitation":"Robert L Bradley, &lt;i&gt;Edison to Enron: Energy Markets and Political Strategies&lt;/i&gt; (Hoboken, NJ: John Wiley &amp; Sons, 2011); Robert Bradley, &lt;i&gt;Capitalism at Work: Business, Government, and Energy&lt;/i&gt; (Salem, MA: M &amp; M Scrivener Press, 2014); Robert Bradley, &lt;i&gt;Enron Ascending: The Forgotten Years, 1984-1996&lt;/i&gt; (Hoboken, NJ: Wiley-Scrivener, 2018).","manualFormatting":"Robert Bradley, Edison to Enron: Energy Markets and Political Strategies (Hoboken, 2011); Robert Bradley, Capitalism at Work: Business, Government, and Energy (Salem, 2014); Robert Bradley, Enron Ascending: The Forgotten Years, 1984-1996 (Hoboken, 2018).","plainTextFormattedCitation":"Robert L Bradley, Edison to Enron: Energy Markets and Political Strategies (Hoboken, NJ: John Wiley &amp; Sons, 2011); Robert Bradley, Capitalism at Work: Business, Government, and Energy (Salem, MA: M &amp; M Scrivener Press, 2014); Robert Bradley, Enron Ascending: The Forgotten Years, 1984-1996 (Hoboken, NJ: Wiley-Scrivener, 2018).","previouslyFormattedCitation":"Robert L Bradley, &lt;i&gt;Edison to Enron: Energy Markets and Political Strategies&lt;/i&gt; (Hoboken, NJ: John Wiley &amp; Sons, 2011); Robert Bradley, &lt;i&gt;Capitalism at Work: Business, Government, and Energy&lt;/i&gt; (Salem, MA: M &amp; M Scrivener Press, 2014); Robert Bradley, &lt;i&gt;Enron Ascending: The Forgotten Years, 1984-1996&lt;/i&gt; (Hoboken, NJ: Wiley-Scrivener, 2018)."},"properties":{"noteIndex":0},"schema":"https://github.com/citation-style-language/schema/raw/master/csl-citation.json"}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 xml:space="preserve">Robert Bradley, </w:t>
      </w:r>
      <w:r w:rsidRPr="00FC3C61">
        <w:rPr>
          <w:rFonts w:cs="Times New Roman"/>
          <w:i/>
          <w:noProof/>
          <w:color w:val="000000" w:themeColor="text1"/>
          <w:sz w:val="22"/>
          <w:szCs w:val="22"/>
        </w:rPr>
        <w:t>Edison to Enron: Energy Markets and Political Strategies</w:t>
      </w:r>
      <w:r w:rsidRPr="00FC3C61">
        <w:rPr>
          <w:rFonts w:cs="Times New Roman"/>
          <w:noProof/>
          <w:color w:val="000000" w:themeColor="text1"/>
          <w:sz w:val="22"/>
          <w:szCs w:val="22"/>
        </w:rPr>
        <w:t xml:space="preserve"> (Hoboken, 2011); Robert Bradley, </w:t>
      </w:r>
      <w:r w:rsidRPr="00FC3C61">
        <w:rPr>
          <w:rFonts w:cs="Times New Roman"/>
          <w:i/>
          <w:noProof/>
          <w:color w:val="000000" w:themeColor="text1"/>
          <w:sz w:val="22"/>
          <w:szCs w:val="22"/>
        </w:rPr>
        <w:t>Capitalism at Work: Business, Government, and Energy</w:t>
      </w:r>
      <w:r w:rsidRPr="00FC3C61">
        <w:rPr>
          <w:rFonts w:cs="Times New Roman"/>
          <w:noProof/>
          <w:color w:val="000000" w:themeColor="text1"/>
          <w:sz w:val="22"/>
          <w:szCs w:val="22"/>
        </w:rPr>
        <w:t xml:space="preserve"> (Salem, 2014); Robert Bradley, </w:t>
      </w:r>
      <w:r w:rsidRPr="00FC3C61">
        <w:rPr>
          <w:rFonts w:cs="Times New Roman"/>
          <w:i/>
          <w:noProof/>
          <w:color w:val="000000" w:themeColor="text1"/>
          <w:sz w:val="22"/>
          <w:szCs w:val="22"/>
        </w:rPr>
        <w:t>Enron Ascending: The Forgotten Years, 1984-1996</w:t>
      </w:r>
      <w:r w:rsidRPr="00FC3C61">
        <w:rPr>
          <w:rFonts w:cs="Times New Roman"/>
          <w:noProof/>
          <w:color w:val="000000" w:themeColor="text1"/>
          <w:sz w:val="22"/>
          <w:szCs w:val="22"/>
        </w:rPr>
        <w:t xml:space="preserve"> (Hoboken, 2018).</w:t>
      </w:r>
      <w:r w:rsidRPr="00FC3C61">
        <w:rPr>
          <w:rFonts w:cs="Times New Roman"/>
          <w:color w:val="000000" w:themeColor="text1"/>
          <w:sz w:val="22"/>
          <w:szCs w:val="22"/>
        </w:rPr>
        <w:fldChar w:fldCharType="end"/>
      </w:r>
    </w:p>
  </w:endnote>
  <w:endnote w:id="15">
    <w:p w14:paraId="7BAFE10A" w14:textId="044A2797" w:rsidR="0093268D" w:rsidRPr="00FC3C61" w:rsidRDefault="0093268D" w:rsidP="00BF0D98">
      <w:pPr>
        <w:pStyle w:val="NormalWeb"/>
        <w:spacing w:before="0" w:beforeAutospacing="0" w:after="0" w:afterAutospacing="0"/>
        <w:jc w:val="left"/>
        <w:rPr>
          <w:sz w:val="22"/>
          <w:szCs w:val="22"/>
        </w:rPr>
      </w:pPr>
      <w:r w:rsidRPr="00FC3C61">
        <w:rPr>
          <w:rStyle w:val="EndnoteReference"/>
          <w:sz w:val="22"/>
          <w:szCs w:val="22"/>
        </w:rPr>
        <w:endnoteRef/>
      </w:r>
      <w:r w:rsidRPr="00FC3C61">
        <w:rPr>
          <w:sz w:val="22"/>
          <w:szCs w:val="22"/>
        </w:rPr>
        <w:t xml:space="preserve"> </w:t>
      </w:r>
      <w:r w:rsidRPr="00FC3C61">
        <w:rPr>
          <w:sz w:val="22"/>
          <w:szCs w:val="22"/>
        </w:rPr>
        <w:fldChar w:fldCharType="begin" w:fldLock="1"/>
      </w:r>
      <w:r w:rsidRPr="00FC3C61">
        <w:rPr>
          <w:sz w:val="22"/>
          <w:szCs w:val="22"/>
        </w:rPr>
        <w:instrText>ADDIN CSL_CITATION {"citationItems":[{"id":"ITEM-1","itemData":{"ISBN":"0363-7425","author":[{"dropping-particle":"","family":"Maclean","given":"Mairi","non-dropping-particle":"","parse-names":false,"suffix":""},{"dropping-particle":"","family":"Harvey","given":"Charles","non-dropping-particle":"","parse-names":false,"suffix":""},{"dropping-particle":"","family":"Clegg","given":"Stewart","non-dropping-particle":"","parse-names":false,"suffix":""}],"container-title":"Academy of Management Review","id":"ITEM-1","issue":"4","issued":{"date-parts":[["2016"]]},"page":"609-632","title":"Conceptualizing Historical Organization Studies","type":"article-journal","volume":"41"},"uris":["http://www.mendeley.com/documents/?uuid=1c76b873-6e80-4306-949a-d1c5f9efaace"]},{"id":"ITEM-2","itemData":{"author":[{"dropping-particle":"","family":"Maclean","given":"Mairi","non-dropping-particle":"","parse-names":false,"suffix":""},{"dropping-particle":"","family":"Harvey","given":"Charles","non-dropping-particle":"","parse-names":false,"suffix":""},{"dropping-particle":"","family":"Clegg","given":"Stewart","non-dropping-particle":"","parse-names":false,"suffix":""}],"container-title":"Business History Review","edition":"08/15","id":"ITEM-2","issue":"3","issued":{"date-parts":[["2017"]]},"page":"457-481","title":"Organization theory in business and management history: Present status and future prospects","type":"article-journal","volume":"91"},"uris":["http://www.mendeley.com/documents/?uuid=ebf994b2-49c4-4562-9aa3-1209634d4970"]}],"mendeley":{"formattedCitation":"Mairi Maclean, Charles Harvey, and Stewart Clegg, “Conceptualizing Historical Organization Studies,” &lt;i&gt;Academy of Management Review&lt;/i&gt; 41, no. 4 (2016): 609–32; Mairi Maclean, Charles Harvey, and Stewart Clegg, “Organization Theory in Business and Management History: Present Status and Future Prospects,” &lt;i&gt;Business History Review&lt;/i&gt; 91, no. 3 (2017): 457–81.","plainTextFormattedCitation":"Mairi Maclean, Charles Harvey, and Stewart Clegg, “Conceptualizing Historical Organization Studies,” Academy of Management Review 41, no. 4 (2016): 609–32; Mairi Maclean, Charles Harvey, and Stewart Clegg, “Organization Theory in Business and Management History: Present Status and Future Prospects,” Business History Review 91, no. 3 (2017): 457–81.","previouslyFormattedCitation":"Mairi Maclean, Charles Harvey, and Stewart Clegg, “Conceptualizing Historical Organization Studies,” &lt;i&gt;Academy of Management Review&lt;/i&gt; 41, no. 4 (2016): 609–32; Mairi Maclean, Charles Harvey, and Stewart Clegg, “Organization Theory in Business and Management History: Present Status and Future Prospects,” &lt;i&gt;Business History Review&lt;/i&gt; 91, no. 3 (2017): 457–81."},"properties":{"noteIndex":0},"schema":"https://github.com/citation-style-language/schema/raw/master/csl-citation.json"}</w:instrText>
      </w:r>
      <w:r w:rsidRPr="00FC3C61">
        <w:rPr>
          <w:sz w:val="22"/>
          <w:szCs w:val="22"/>
        </w:rPr>
        <w:fldChar w:fldCharType="separate"/>
      </w:r>
      <w:r w:rsidRPr="00FC3C61">
        <w:rPr>
          <w:noProof/>
          <w:sz w:val="22"/>
          <w:szCs w:val="22"/>
        </w:rPr>
        <w:t xml:space="preserve">Mairi Maclean, Charles Harvey, and Stewart Clegg, “Conceptualizing Historical Organization Studies,” </w:t>
      </w:r>
      <w:r w:rsidRPr="00FC3C61">
        <w:rPr>
          <w:i/>
          <w:noProof/>
          <w:sz w:val="22"/>
          <w:szCs w:val="22"/>
        </w:rPr>
        <w:t>Academy of Management Review</w:t>
      </w:r>
      <w:r w:rsidRPr="00FC3C61">
        <w:rPr>
          <w:noProof/>
          <w:sz w:val="22"/>
          <w:szCs w:val="22"/>
        </w:rPr>
        <w:t xml:space="preserve"> 41, no. 4 (2016): 609–32; Mairi Maclean, Charles Harvey, and Stewart Clegg, “Organization Theory in Business and Management History: Present Status and Future Prospects,” </w:t>
      </w:r>
      <w:r w:rsidRPr="00FC3C61">
        <w:rPr>
          <w:i/>
          <w:noProof/>
          <w:sz w:val="22"/>
          <w:szCs w:val="22"/>
        </w:rPr>
        <w:t>Business History Review</w:t>
      </w:r>
      <w:r w:rsidRPr="00FC3C61">
        <w:rPr>
          <w:noProof/>
          <w:sz w:val="22"/>
          <w:szCs w:val="22"/>
        </w:rPr>
        <w:t xml:space="preserve"> 91, no. 3 (2017): 457–81.</w:t>
      </w:r>
      <w:r w:rsidRPr="00FC3C61">
        <w:rPr>
          <w:sz w:val="22"/>
          <w:szCs w:val="22"/>
        </w:rPr>
        <w:fldChar w:fldCharType="end"/>
      </w:r>
    </w:p>
  </w:endnote>
  <w:endnote w:id="16">
    <w:p w14:paraId="632F7042" w14:textId="6E4E27D3" w:rsidR="005D4EC6" w:rsidRPr="001F7A46" w:rsidRDefault="005D4EC6" w:rsidP="001F7A46">
      <w:pPr>
        <w:spacing w:after="0" w:line="240" w:lineRule="auto"/>
        <w:rPr>
          <w:rFonts w:cs="Times New Roman"/>
          <w:sz w:val="22"/>
        </w:rPr>
      </w:pPr>
      <w:r w:rsidRPr="001F7A46">
        <w:rPr>
          <w:rStyle w:val="EndnoteReference"/>
          <w:rFonts w:cs="Times New Roman"/>
          <w:sz w:val="22"/>
        </w:rPr>
        <w:endnoteRef/>
      </w:r>
      <w:r w:rsidRPr="001F7A46">
        <w:rPr>
          <w:rFonts w:cs="Times New Roman"/>
          <w:sz w:val="22"/>
        </w:rPr>
        <w:t xml:space="preserve"> </w:t>
      </w:r>
      <w:r w:rsidR="00D27F99" w:rsidRPr="00FC3C61">
        <w:rPr>
          <w:rFonts w:cs="Times New Roman"/>
          <w:sz w:val="22"/>
        </w:rPr>
        <w:t xml:space="preserve">Following the FERC’s “Final Report”, various market participants, including identified partners of Enron, were ordered by the FERC to ‘show cause’ why their behavior during the crisis period should not be considered </w:t>
      </w:r>
      <w:r w:rsidR="00E62DDF" w:rsidRPr="00FC3C61">
        <w:rPr>
          <w:rFonts w:cs="Times New Roman"/>
          <w:sz w:val="22"/>
        </w:rPr>
        <w:t xml:space="preserve">to </w:t>
      </w:r>
      <w:r w:rsidR="00D27F99" w:rsidRPr="00FC3C61">
        <w:rPr>
          <w:rFonts w:cs="Times New Roman"/>
          <w:sz w:val="22"/>
        </w:rPr>
        <w:t>constitute gaming and/or anomalous market behavior.</w:t>
      </w:r>
      <w:r w:rsidR="00D27F99" w:rsidRPr="001F7A46">
        <w:rPr>
          <w:rFonts w:cs="Times New Roman"/>
          <w:sz w:val="22"/>
        </w:rPr>
        <w:t xml:space="preserve"> Se</w:t>
      </w:r>
      <w:r w:rsidR="00D27F99" w:rsidRPr="00FC3C61">
        <w:rPr>
          <w:rFonts w:cs="Times New Roman"/>
          <w:sz w:val="22"/>
        </w:rPr>
        <w:t xml:space="preserve">e </w:t>
      </w:r>
      <w:r w:rsidR="009572C0" w:rsidRPr="00FC3C61">
        <w:rPr>
          <w:rFonts w:cs="Times New Roman"/>
          <w:sz w:val="22"/>
        </w:rPr>
        <w:fldChar w:fldCharType="begin" w:fldLock="1"/>
      </w:r>
      <w:r w:rsidR="009572C0" w:rsidRPr="00FC3C61">
        <w:rPr>
          <w:rFonts w:cs="Times New Roman"/>
          <w:sz w:val="22"/>
        </w:rPr>
        <w:instrText>ADDIN CSL_CITATION {"citationItems":[{"id":"ITEM-1","itemData":{"author":[{"dropping-particle":"","family":"FERC","given":"","non-dropping-particle":"","parse-names":false,"suffix":""}],"collection-title":"103 FERC ¶ 61,345","id":"ITEM-1","issued":{"date-parts":[["2003"]]},"title":"Order to show cause concerning gaming and/or anomalous market behavior","type":"report"},"uris":["http://www.mendeley.com/documents/?uuid=7346a87d-d695-48db-af71-47c8a0f7a908"]}],"mendeley":{"formattedCitation":"FERC, “Order to Show Cause Concerning Gaming and/or Anomalous Market Behavior,” 103 FERC ¶ 61,345, 2003.","plainTextFormattedCitation":"FERC, “Order to Show Cause Concerning Gaming and/or Anomalous Market Behavior,” 103 FERC ¶ 61,345, 2003.","previouslyFormattedCitation":"FERC, “Order to Show Cause Concerning Gaming and/or Anomalous Market Behavior,” 103 FERC ¶ 61,345, 2003."},"properties":{"noteIndex":0},"schema":"https://github.com/citation-style-language/schema/raw/master/csl-citation.json"}</w:instrText>
      </w:r>
      <w:r w:rsidR="009572C0" w:rsidRPr="00FC3C61">
        <w:rPr>
          <w:rFonts w:cs="Times New Roman"/>
          <w:sz w:val="22"/>
        </w:rPr>
        <w:fldChar w:fldCharType="separate"/>
      </w:r>
      <w:r w:rsidR="009572C0" w:rsidRPr="00FC3C61">
        <w:rPr>
          <w:rFonts w:cs="Times New Roman"/>
          <w:noProof/>
          <w:sz w:val="22"/>
        </w:rPr>
        <w:t>FERC, “Order to Show Cause Concerning Gaming and/or Anomalous Market Behavior,” 103 FERC ¶ 61,345, 2003.</w:t>
      </w:r>
      <w:r w:rsidR="009572C0" w:rsidRPr="00FC3C61">
        <w:rPr>
          <w:rFonts w:cs="Times New Roman"/>
          <w:sz w:val="22"/>
        </w:rPr>
        <w:fldChar w:fldCharType="end"/>
      </w:r>
      <w:r w:rsidR="009572C0" w:rsidRPr="00FC3C61">
        <w:rPr>
          <w:rFonts w:cs="Times New Roman"/>
          <w:sz w:val="22"/>
        </w:rPr>
        <w:fldChar w:fldCharType="begin" w:fldLock="1"/>
      </w:r>
      <w:r w:rsidR="009572C0" w:rsidRPr="00FC3C61">
        <w:rPr>
          <w:rFonts w:cs="Times New Roman"/>
          <w:sz w:val="22"/>
        </w:rPr>
        <w:instrText>ADDIN CSL_CITATION {"citationItems":[{"id":"ITEM-1","itemData":{"author":[{"dropping-particle":"","family":"FERC","given":"","non-dropping-particle":"","parse-names":false,"suffix":""}],"collection-title":"103 FERC ¶ 61,346","id":"ITEM-1","issued":{"date-parts":[["2003"]]},"title":"Order To Show Cause Concerning Gaming And/or Anomalous Market Behavior Through The Use Of Partnerships, Alliances Or Other Arrangements And Directing Submission Of Information","type":"report"},"uris":["http://www.mendeley.com/documents/?uuid=0cfd5134-e680-4a0e-adc8-5ff42f607183"]}],"mendeley":{"formattedCitation":"FERC, “Order To Show Cause Concerning Gaming And/or Anomalous Market Behavior Through The Use Of Partnerships, Alliances Or Other Arrangements And Directing Submission Of Information,” 103 FERC ¶ 61,346, 2003.","plainTextFormattedCitation":"FERC, “Order To Show Cause Concerning Gaming And/or Anomalous Market Behavior Through The Use Of Partnerships, Alliances Or Other Arrangements And Directing Submission Of Information,” 103 FERC ¶ 61,346, 2003.","previouslyFormattedCitation":"FERC, “Order To Show Cause Concerning Gaming And/or Anomalous Market Behavior Through The Use Of Partnerships, Alliances Or Other Arrangements And Directing Submission Of Information,” 103 FERC ¶ 61,346, 2003."},"properties":{"noteIndex":0},"schema":"https://github.com/citation-style-language/schema/raw/master/csl-citation.json"}</w:instrText>
      </w:r>
      <w:r w:rsidR="009572C0" w:rsidRPr="00FC3C61">
        <w:rPr>
          <w:rFonts w:cs="Times New Roman"/>
          <w:sz w:val="22"/>
        </w:rPr>
        <w:fldChar w:fldCharType="separate"/>
      </w:r>
      <w:r w:rsidR="009572C0" w:rsidRPr="00FC3C61">
        <w:rPr>
          <w:rFonts w:cs="Times New Roman"/>
          <w:noProof/>
          <w:sz w:val="22"/>
        </w:rPr>
        <w:t>FERC, “Order To Show Cause Concerning Gaming And/or Anomalous Market Behavior Through The Use Of Partnerships, Alliances Or Other Arrangements And Directing Submission Of Information,” 103 FERC ¶ 61,346, 2003.</w:t>
      </w:r>
      <w:r w:rsidR="009572C0" w:rsidRPr="00FC3C61">
        <w:rPr>
          <w:rFonts w:cs="Times New Roman"/>
          <w:sz w:val="22"/>
        </w:rPr>
        <w:fldChar w:fldCharType="end"/>
      </w:r>
      <w:r w:rsidR="009572C0" w:rsidRPr="00FC3C61">
        <w:rPr>
          <w:rFonts w:cs="Times New Roman"/>
          <w:sz w:val="22"/>
        </w:rPr>
        <w:t xml:space="preserve"> </w:t>
      </w:r>
      <w:r w:rsidR="00D27F99" w:rsidRPr="00FC3C61">
        <w:rPr>
          <w:rFonts w:cs="Times New Roman"/>
          <w:sz w:val="22"/>
        </w:rPr>
        <w:t xml:space="preserve">The FERC individually </w:t>
      </w:r>
      <w:r w:rsidR="00D27F99" w:rsidRPr="001F7A46">
        <w:rPr>
          <w:rFonts w:cs="Times New Roman"/>
          <w:sz w:val="22"/>
        </w:rPr>
        <w:t>agreed</w:t>
      </w:r>
      <w:r w:rsidR="00D27F99" w:rsidRPr="00FC3C61">
        <w:rPr>
          <w:rFonts w:cs="Times New Roman"/>
          <w:sz w:val="22"/>
        </w:rPr>
        <w:t xml:space="preserve"> settlements or filed motions to dismiss relating to all entities. See </w:t>
      </w:r>
      <w:r w:rsidR="00D27F99" w:rsidRPr="00FC3C61">
        <w:rPr>
          <w:rFonts w:cs="Times New Roman"/>
          <w:sz w:val="22"/>
        </w:rPr>
        <w:fldChar w:fldCharType="begin" w:fldLock="1"/>
      </w:r>
      <w:r w:rsidR="009572C0" w:rsidRPr="00FC3C61">
        <w:rPr>
          <w:rFonts w:cs="Times New Roman"/>
          <w:sz w:val="22"/>
        </w:rPr>
        <w:instrText>ADDIN CSL_CITATION {"citationItems":[{"id":"ITEM-1","itemData":{"author":[{"dropping-particle":"","family":"FERC","given":"","non-dropping-particle":"","parse-names":false,"suffix":""}],"collection-title":"119 FERC ¶ 63,013","id":"ITEM-1","issued":{"date-parts":[["2007"]]},"title":"Initial decision","type":"report"},"locator":"4","uris":["http://www.mendeley.com/documents/?uuid=a94a3908-3dd8-4017-adbe-2cbcc71b4d83"]}],"mendeley":{"formattedCitation":"FERC, “Initial Decision,” 4.","plainTextFormattedCitation":"FERC, “Initial Decision,” 4.","previouslyFormattedCitation":"FERC, “Initial Decision,” 4."},"properties":{"noteIndex":0},"schema":"https://github.com/citation-style-language/schema/raw/master/csl-citation.json"}</w:instrText>
      </w:r>
      <w:r w:rsidR="00D27F99" w:rsidRPr="00FC3C61">
        <w:rPr>
          <w:rFonts w:cs="Times New Roman"/>
          <w:sz w:val="22"/>
        </w:rPr>
        <w:fldChar w:fldCharType="separate"/>
      </w:r>
      <w:r w:rsidR="00D27F99" w:rsidRPr="00FC3C61">
        <w:rPr>
          <w:rFonts w:cs="Times New Roman"/>
          <w:noProof/>
          <w:sz w:val="22"/>
        </w:rPr>
        <w:t>FERC, “Initial Decision,” 4.</w:t>
      </w:r>
      <w:r w:rsidR="00D27F99" w:rsidRPr="00FC3C61">
        <w:rPr>
          <w:rFonts w:cs="Times New Roman"/>
          <w:sz w:val="22"/>
        </w:rPr>
        <w:fldChar w:fldCharType="end"/>
      </w:r>
    </w:p>
  </w:endnote>
  <w:endnote w:id="17">
    <w:p w14:paraId="3FA7239D" w14:textId="46871FB7" w:rsidR="0093268D" w:rsidRPr="00FC3C61" w:rsidRDefault="0093268D" w:rsidP="00223554">
      <w:pPr>
        <w:pStyle w:val="EndnoteText"/>
        <w:rPr>
          <w:rFonts w:cs="Times New Roman"/>
          <w:color w:val="000000" w:themeColor="text1"/>
          <w:sz w:val="22"/>
          <w:szCs w:val="22"/>
          <w:highlight w:val="yellow"/>
        </w:rPr>
      </w:pPr>
      <w:r w:rsidRPr="00FC3C61">
        <w:rPr>
          <w:rStyle w:val="EndnoteReference"/>
          <w:rFonts w:cs="Times New Roman"/>
          <w:sz w:val="22"/>
          <w:szCs w:val="22"/>
        </w:rPr>
        <w:endnoteRef/>
      </w:r>
      <w:r w:rsidRPr="00FC3C61">
        <w:rPr>
          <w:rFonts w:cs="Times New Roman"/>
          <w:sz w:val="22"/>
          <w:szCs w:val="22"/>
        </w:rPr>
        <w:t xml:space="preserve"> </w:t>
      </w:r>
      <w:r w:rsidR="009546E3" w:rsidRPr="00FC3C61">
        <w:rPr>
          <w:rFonts w:cs="Times New Roman"/>
          <w:sz w:val="22"/>
          <w:szCs w:val="22"/>
        </w:rPr>
        <w:fldChar w:fldCharType="begin" w:fldLock="1"/>
      </w:r>
      <w:r w:rsidR="009546E3" w:rsidRPr="00FC3C61">
        <w:rPr>
          <w:rFonts w:cs="Times New Roman"/>
          <w:sz w:val="22"/>
          <w:szCs w:val="22"/>
        </w:rPr>
        <w:instrText>ADDIN CSL_CITATION {"citationItems":[{"id":"ITEM-1","itemData":{"author":[{"dropping-particle":"","family":"FERC","given":"","non-dropping-particle":"","parse-names":false,"suffix":""}],"id":"ITEM-1","issue":"PA02-2-000","issued":{"date-parts":[["2003"]]},"title":"Final Report on Price Manipulation In Western Markets","type":"report"},"uris":["http://www.mendeley.com/documents/?uuid=127ee563-edb4-42e5-a1db-b4361bd40bac"]}],"mendeley":{"formattedCitation":"FERC, “Final Report on Price Manipulation In Western Markets.”","manualFormatting":"FERC, “Final Report,”","plainTextFormattedCitation":"FERC, “Final Report on Price Manipulation In Western Markets.”","previouslyFormattedCitation":"FERC, “Final Report on Price Manipulation In Western Markets.”"},"properties":{"noteIndex":0},"schema":"https://github.com/citation-style-language/schema/raw/master/csl-citation.json"}</w:instrText>
      </w:r>
      <w:r w:rsidR="009546E3" w:rsidRPr="00FC3C61">
        <w:rPr>
          <w:rFonts w:cs="Times New Roman"/>
          <w:sz w:val="22"/>
          <w:szCs w:val="22"/>
        </w:rPr>
        <w:fldChar w:fldCharType="separate"/>
      </w:r>
      <w:r w:rsidR="009546E3" w:rsidRPr="00FC3C61">
        <w:rPr>
          <w:rFonts w:cs="Times New Roman"/>
          <w:noProof/>
          <w:sz w:val="22"/>
          <w:szCs w:val="22"/>
        </w:rPr>
        <w:t>FERC, “Final Report,”</w:t>
      </w:r>
      <w:r w:rsidR="009546E3" w:rsidRPr="00FC3C61">
        <w:rPr>
          <w:rFonts w:cs="Times New Roman"/>
          <w:sz w:val="22"/>
          <w:szCs w:val="22"/>
        </w:rPr>
        <w:fldChar w:fldCharType="end"/>
      </w:r>
      <w:r w:rsidR="009546E3" w:rsidRPr="00FC3C61">
        <w:rPr>
          <w:rFonts w:cs="Times New Roman"/>
          <w:sz w:val="22"/>
          <w:szCs w:val="22"/>
        </w:rPr>
        <w:t xml:space="preserve"> VI-</w:t>
      </w:r>
      <w:r w:rsidR="004E74C4" w:rsidRPr="00FC3C61">
        <w:rPr>
          <w:rFonts w:cs="Times New Roman"/>
          <w:sz w:val="22"/>
          <w:szCs w:val="22"/>
        </w:rPr>
        <w:t>37-38</w:t>
      </w:r>
      <w:r w:rsidR="009546E3" w:rsidRPr="00FC3C61">
        <w:rPr>
          <w:rFonts w:cs="Times New Roman"/>
          <w:sz w:val="22"/>
          <w:szCs w:val="22"/>
        </w:rPr>
        <w:t xml:space="preserve">. </w:t>
      </w:r>
      <w:r w:rsidR="009415E4" w:rsidRPr="00FC3C61">
        <w:rPr>
          <w:rFonts w:cs="Times New Roman"/>
          <w:color w:val="000000" w:themeColor="text1"/>
          <w:sz w:val="22"/>
          <w:szCs w:val="22"/>
        </w:rPr>
        <w:t xml:space="preserve">While </w:t>
      </w:r>
      <w:r w:rsidR="002E6E04" w:rsidRPr="00FC3C61">
        <w:rPr>
          <w:rFonts w:cs="Times New Roman"/>
          <w:color w:val="000000" w:themeColor="text1"/>
          <w:sz w:val="22"/>
          <w:szCs w:val="22"/>
        </w:rPr>
        <w:t xml:space="preserve">such </w:t>
      </w:r>
      <w:r w:rsidR="009415E4" w:rsidRPr="00FC3C61">
        <w:rPr>
          <w:rFonts w:cs="Times New Roman"/>
          <w:color w:val="000000" w:themeColor="text1"/>
          <w:sz w:val="22"/>
          <w:szCs w:val="22"/>
        </w:rPr>
        <w:t>market relationships were an explicit part of Enron’s business</w:t>
      </w:r>
      <w:r w:rsidR="002E6E04" w:rsidRPr="00FC3C61">
        <w:rPr>
          <w:rFonts w:cs="Times New Roman"/>
          <w:color w:val="000000" w:themeColor="text1"/>
          <w:sz w:val="22"/>
          <w:szCs w:val="22"/>
        </w:rPr>
        <w:t xml:space="preserve"> and were not fundamentally illicit (as with a price fixing agreement)</w:t>
      </w:r>
      <w:r w:rsidR="009415E4" w:rsidRPr="00FC3C61">
        <w:rPr>
          <w:rFonts w:cs="Times New Roman"/>
          <w:color w:val="000000" w:themeColor="text1"/>
          <w:sz w:val="22"/>
          <w:szCs w:val="22"/>
        </w:rPr>
        <w:t xml:space="preserve">, the failure to declare </w:t>
      </w:r>
      <w:r w:rsidR="009546E3" w:rsidRPr="00FC3C61">
        <w:rPr>
          <w:rFonts w:cs="Times New Roman"/>
          <w:color w:val="000000" w:themeColor="text1"/>
          <w:sz w:val="22"/>
          <w:szCs w:val="22"/>
        </w:rPr>
        <w:t xml:space="preserve">the extent of </w:t>
      </w:r>
      <w:r w:rsidR="009415E4" w:rsidRPr="00FC3C61">
        <w:rPr>
          <w:rFonts w:cs="Times New Roman"/>
          <w:color w:val="000000" w:themeColor="text1"/>
          <w:sz w:val="22"/>
          <w:szCs w:val="22"/>
        </w:rPr>
        <w:t>them contravened the terms of their market-base rate</w:t>
      </w:r>
      <w:r w:rsidR="00164C66" w:rsidRPr="00FC3C61">
        <w:rPr>
          <w:rFonts w:cs="Times New Roman"/>
          <w:color w:val="000000" w:themeColor="text1"/>
          <w:sz w:val="22"/>
          <w:szCs w:val="22"/>
        </w:rPr>
        <w:t xml:space="preserve"> </w:t>
      </w:r>
      <w:r w:rsidR="009415E4" w:rsidRPr="00FC3C61">
        <w:rPr>
          <w:rFonts w:cs="Times New Roman"/>
          <w:color w:val="000000" w:themeColor="text1"/>
          <w:sz w:val="22"/>
          <w:szCs w:val="22"/>
        </w:rPr>
        <w:t xml:space="preserve">authority. </w:t>
      </w:r>
    </w:p>
  </w:endnote>
  <w:endnote w:id="18">
    <w:p w14:paraId="6D21244C" w14:textId="5602B034" w:rsidR="008059CE" w:rsidRPr="00FC3C61" w:rsidRDefault="008059CE">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SN":"0007-6503","author":[{"dropping-particle":"","family":"Yu","given":"Kyoung-Hee","non-dropping-particle":"","parse-names":false,"suffix":""},{"dropping-particle":"","family":"Kang","given":"Su-Dol","non-dropping-particle":"","parse-names":false,"suffix":""},{"dropping-particle":"","family":"Rhodes","given":"Carl","non-dropping-particle":"","parse-names":false,"suffix":""}],"container-title":"Business &amp; Society","id":"ITEM-1","issue":"7","issued":{"date-parts":[["2020"]]},"page":"1377-1409","publisher":"SAGE Publications Sage CA: Los Angeles, CA","title":"The partial organization of networked corruption","type":"article-journal","volume":"59"},"uris":["http://www.mendeley.com/documents/?uuid=9e00ec24-d1fe-418f-8f3b-6ab5dd28c030"]},{"id":"ITEM-2","itemData":{"abstract":"ABSTRACT This study provides an empirically based analysis of corrupt governmental networks. We conducted 45 interviews in Hungary with different organizational actors who were actually participating in corrupt transactions or at least had first-hand experiences of corruption. Given the secret nature of the topic, this article provides a unique insight into the phenomenon. Our findings show that corrupt elite cliques consciously design and coordinate multilevel structures of corrupt networks within and among organizations that involve a large amount of people. We identified the major network elements and their functions in corrupt transactions. The article also provides a typology of corrupt networks. The networks have different structural characteristics based on location of the ?cash cows,? points from where the system is fed, and the actors? positions of power. Our findings are compared with the already existing literature on dark networks, terrorist, and organized crime formations.","author":[{"dropping-particle":"","family":"Jancsics","given":"David","non-dropping-particle":"","parse-names":false,"suffix":""},{"dropping-particle":"","family":"Jávor","given":"István","non-dropping-particle":"","parse-names":false,"suffix":""}],"container-title":"International Public Management Journal","id":"ITEM-2","issue":"1","issued":{"date-parts":[["2012"]]},"page":"62-99","title":"Corrupt Governmental Networks","type":"article-journal","volume":"15"},"uris":["http://www.mendeley.com/documents/?uuid=4e3eec62-cb67-46c6-a6e6-608ed75a81d8"]}],"mendeley":{"formattedCitation":"Kyoung-Hee Yu, Su-Dol Kang, and Carl Rhodes, “The Partial Organization of Networked Corruption,” &lt;i&gt;Business &amp; Society&lt;/i&gt; 59, no. 7 (2020): 1377–1409; David Jancsics and István Jávor, “Corrupt Governmental Networks,” &lt;i&gt;International Public Management Journal&lt;/i&gt; 15, no. 1 (2012): 62–99.","plainTextFormattedCitation":"Kyoung-Hee Yu, Su-Dol Kang, and Carl Rhodes, “The Partial Organization of Networked Corruption,” Business &amp; Society 59, no. 7 (2020): 1377–1409; David Jancsics and István Jávor, “Corrupt Governmental Networks,” International Public Management Journal 15, no. 1 (2012): 62–99.","previouslyFormattedCitation":"Kyoung-Hee Yu, Su-Dol Kang, and Carl Rhodes, “The Partial Organization of Networked Corruption,” &lt;i&gt;Business &amp; Society&lt;/i&gt; 59, no. 7 (2020): 1377–1409; David Jancsics and István Jávor, “Corrupt Governmental Networks,” &lt;i&gt;International Public Management Journal&lt;/i&gt; 15, no. 1 (2012): 62–99."},"properties":{"noteIndex":0},"schema":"https://github.com/citation-style-language/schema/raw/master/csl-citation.json"}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Kyoung-Hee Yu, Su-Dol Kang, and Carl Rhodes, “The Partial Organization of Networked Corruption,” </w:t>
      </w:r>
      <w:r w:rsidRPr="00FC3C61">
        <w:rPr>
          <w:rFonts w:cs="Times New Roman"/>
          <w:i/>
          <w:noProof/>
          <w:sz w:val="22"/>
          <w:szCs w:val="22"/>
        </w:rPr>
        <w:t>Business &amp; Society</w:t>
      </w:r>
      <w:r w:rsidRPr="00FC3C61">
        <w:rPr>
          <w:rFonts w:cs="Times New Roman"/>
          <w:noProof/>
          <w:sz w:val="22"/>
          <w:szCs w:val="22"/>
        </w:rPr>
        <w:t xml:space="preserve"> 59, no. 7 (2020): 1377–1409; David Jancsics and István Jávor, “Corrupt Governmental Networks,” </w:t>
      </w:r>
      <w:r w:rsidRPr="00FC3C61">
        <w:rPr>
          <w:rFonts w:cs="Times New Roman"/>
          <w:i/>
          <w:noProof/>
          <w:sz w:val="22"/>
          <w:szCs w:val="22"/>
        </w:rPr>
        <w:t>International Public Management Journal</w:t>
      </w:r>
      <w:r w:rsidRPr="00FC3C61">
        <w:rPr>
          <w:rFonts w:cs="Times New Roman"/>
          <w:noProof/>
          <w:sz w:val="22"/>
          <w:szCs w:val="22"/>
        </w:rPr>
        <w:t xml:space="preserve"> 15, no. 1 (2012): 62–99.</w:t>
      </w:r>
      <w:r w:rsidRPr="00FC3C61">
        <w:rPr>
          <w:rFonts w:cs="Times New Roman"/>
          <w:sz w:val="22"/>
          <w:szCs w:val="22"/>
        </w:rPr>
        <w:fldChar w:fldCharType="end"/>
      </w:r>
    </w:p>
  </w:endnote>
  <w:endnote w:id="19">
    <w:p w14:paraId="57F56F83" w14:textId="20786F4F"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545C27" w:rsidRPr="00FC3C61">
        <w:rPr>
          <w:rFonts w:cs="Times New Roman"/>
          <w:sz w:val="22"/>
          <w:szCs w:val="22"/>
        </w:rPr>
        <w:fldChar w:fldCharType="begin" w:fldLock="1"/>
      </w:r>
      <w:r w:rsidR="00545C27" w:rsidRPr="00FC3C61">
        <w:rPr>
          <w:rFonts w:cs="Times New Roman"/>
          <w:sz w:val="22"/>
          <w:szCs w:val="22"/>
        </w:rPr>
        <w:instrText>ADDIN CSL_CITATION {"citationItems":[{"id":"ITEM-1","itemData":{"abstract":"Given its extremely negative impact, it is not surprising that there is extensive literature focused on understanding and reducing corruption. However, the existing academic work focuses largely on corruption in government. Yet, corporations play a key role in much of the corruption that occurs in society and are important contexts for corruption themselves; they are also very different from governments and, we argue, deserve focused study and the development of a coherent theory of corporate corruption. In this article, we define corporate corruption and argue that management researchers are uniquely positioned to contribute to the development of a theory of corporate corruption and the development of solutions to prevent it. We then examine the current state of research on this important topic and propose a framework for organizing research on corporate corruption into four per-spectives: corporate corruption as rational action, corporate corruption as institutional-ized practice, corporate corruption as cultural norm, and corporate corruption as moral failure. We go on to propose a research agenda for management scholars in some tradi-tional areas of management research to take this important but under-researched topic forward, as well as highlight some of the methodological challenges that management researchers face in conducting research in corporate corruption.","author":[{"dropping-particle":"","family":"Castro","given":"Armando","non-dropping-particle":"","parse-names":false,"suffix":""},{"dropping-particle":"","family":"Phillips","given":"Nelson","non-dropping-particle":"","parse-names":false,"suffix":""},{"dropping-particle":"","family":"Ansari","given":"Shaz","non-dropping-particle":"","parse-names":false,"suffix":""}],"container-title":"Academy of Management Annals","id":"ITEM-1","issue":"2","issued":{"date-parts":[["2020","7"]]},"page":"935-968","publisher":"Academy of Management","title":"Corporate corruption: A review and an agenda for future research","type":"article-journal","volume":"14"},"uris":["http://www.mendeley.com/documents/?uuid=e35b66fe-366c-4889-8681-2ff180b6c1cc"]}],"mendeley":{"formattedCitation":"Castro, Phillips, and Ansari, “Corporate Corruption: A Review and an Agenda for Future Research.”","plainTextFormattedCitation":"Castro, Phillips, and Ansari, “Corporate Corruption: A Review and an Agenda for Future Research.”","previouslyFormattedCitation":"Castro, Phillips, and Ansari, “Corporate Corruption: A Review and an Agenda for Future Research.”"},"properties":{"noteIndex":0},"schema":"https://github.com/citation-style-language/schema/raw/master/csl-citation.json"}</w:instrText>
      </w:r>
      <w:r w:rsidR="00545C27" w:rsidRPr="00FC3C61">
        <w:rPr>
          <w:rFonts w:cs="Times New Roman"/>
          <w:sz w:val="22"/>
          <w:szCs w:val="22"/>
        </w:rPr>
        <w:fldChar w:fldCharType="separate"/>
      </w:r>
      <w:r w:rsidR="00545C27" w:rsidRPr="00FC3C61">
        <w:rPr>
          <w:rFonts w:cs="Times New Roman"/>
          <w:noProof/>
          <w:sz w:val="22"/>
          <w:szCs w:val="22"/>
        </w:rPr>
        <w:t>Castro, Phillips, and Ansari, “Corporate Corruption: A Review and an Agenda for Future Research.”</w:t>
      </w:r>
      <w:r w:rsidR="00545C27" w:rsidRPr="00FC3C61">
        <w:rPr>
          <w:rFonts w:cs="Times New Roman"/>
          <w:sz w:val="22"/>
          <w:szCs w:val="22"/>
        </w:rPr>
        <w:fldChar w:fldCharType="end"/>
      </w:r>
    </w:p>
  </w:endnote>
  <w:endnote w:id="20">
    <w:p w14:paraId="1DFBF5A1" w14:textId="1C1F6AF1" w:rsidR="0093268D" w:rsidRPr="00FC3C61" w:rsidRDefault="0093268D" w:rsidP="00391820">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D720EE" w:rsidRPr="00FC3C61">
        <w:rPr>
          <w:rFonts w:cs="Times New Roman"/>
          <w:sz w:val="22"/>
          <w:szCs w:val="22"/>
        </w:rPr>
        <w:instrText>ADDIN CSL_CITATION {"citationItems":[{"id":"ITEM-1","itemData":{"author":[{"dropping-particle":"","family":"Nix","given":"Adam","non-dropping-particle":"","parse-names":false,"suffix":""},{"dropping-particle":"","family":"Decker","given":"Stephanie","non-dropping-particle":"","parse-names":false,"suffix":""}],"container-title":"Business History","id":"ITEM-1","issue":"Ahead of print","issued":{"date-parts":[["2021"]]},"note":"doi: 10.1080/00076791.2021.1909572","page":"1-23","publisher":"Routledge","title":"Using digital sources: the future of business history?","type":"article-journal"},"uris":["http://www.mendeley.com/documents/?uuid=00c843e2-1c84-4e7a-b450-8289e50391bb"]},{"id":"ITEM-2","itemData":{"author":[{"dropping-particle":"","family":"Kirsch","given":"David","non-dropping-particle":"","parse-names":false,"suffix":""}],"container-title":"Library trends","id":"ITEM-2","issue":"3","issued":{"date-parts":[["2009"]]},"page":"352-370","title":"The record of business and the future of business history: Establishing a public interest in private business records","type":"article-journal","volume":"57"},"uris":["http://www.mendeley.com/documents/?uuid=27f48d52-5625-434e-bf19-7fe50c1feedd"]},{"id":"ITEM-3","itemData":{"ISBN":"0022-0094","author":[{"dropping-particle":"","family":"Moss","given":"Michael","non-dropping-particle":"","parse-names":false,"suffix":""}],"container-title":"Journal of Contemporary History","id":"ITEM-3","issue":"4","issued":{"date-parts":[["2012"]]},"page":"860-875","title":"Where have all the files gone? Lost in action points every one?","type":"article-journal","volume":"47"},"uris":["http://www.mendeley.com/documents/?uuid=152e2c22-6580-40bd-b0ca-b7db1dfaf835"]}],"mendeley":{"formattedCitation":"Adam Nix and Stephanie Decker, “Using Digital Sources: The Future of Business History?,” &lt;i&gt;Business History&lt;/i&gt;, no. Ahead of print (2021): 1–23; David Kirsch, “The Record of Business and the Future of Business History: Establishing a Public Interest in Private Business Records,” &lt;i&gt;Library Trends&lt;/i&gt; 57, no. 3 (2009): 352–70; Michael Moss, “Where Have All the Files Gone? Lost in Action Points Every One?,” &lt;i&gt;Journal of Contemporary History&lt;/i&gt; 47, no. 4 (2012): 860–75.","plainTextFormattedCitation":"Adam Nix and Stephanie Decker, “Using Digital Sources: The Future of Business History?,” Business History, no. Ahead of print (2021): 1–23; David Kirsch, “The Record of Business and the Future of Business History: Establishing a Public Interest in Private Business Records,” Library Trends 57, no. 3 (2009): 352–70; Michael Moss, “Where Have All the Files Gone? Lost in Action Points Every One?,” Journal of Contemporary History 47, no. 4 (2012): 860–75.","previouslyFormattedCitation":"Adam Nix and Stephanie Decker, “Using Digital Sources: The Future of Business History?,” &lt;i&gt;Business History&lt;/i&gt;, no. Ahead of print (2021): 1–23; David Kirsch, “The Record of Business and the Future of Business History: Establishing a Public Interest in Private Business Records,” &lt;i&gt;Library Trends&lt;/i&gt; 57, no. 3 (2009): 352–70; Michael Moss, “Where Have All the Files Gone? Lost in Action Points Every One?,” &lt;i&gt;Journal of Contemporary History&lt;/i&gt; 47, no. 4 (2012): 860–75."},"properties":{"noteIndex":0},"schema":"https://github.com/citation-style-language/schema/raw/master/csl-citation.json"}</w:instrText>
      </w:r>
      <w:r w:rsidRPr="00FC3C61">
        <w:rPr>
          <w:rFonts w:cs="Times New Roman"/>
          <w:sz w:val="22"/>
          <w:szCs w:val="22"/>
        </w:rPr>
        <w:fldChar w:fldCharType="separate"/>
      </w:r>
      <w:r w:rsidR="00D720EE" w:rsidRPr="00FC3C61">
        <w:rPr>
          <w:rFonts w:cs="Times New Roman"/>
          <w:noProof/>
          <w:sz w:val="22"/>
          <w:szCs w:val="22"/>
        </w:rPr>
        <w:t xml:space="preserve">Adam Nix and Stephanie Decker, “Using Digital Sources: The Future of Business History?,” </w:t>
      </w:r>
      <w:r w:rsidR="00D720EE" w:rsidRPr="00FC3C61">
        <w:rPr>
          <w:rFonts w:cs="Times New Roman"/>
          <w:i/>
          <w:noProof/>
          <w:sz w:val="22"/>
          <w:szCs w:val="22"/>
        </w:rPr>
        <w:t>Business History</w:t>
      </w:r>
      <w:r w:rsidR="00D720EE" w:rsidRPr="00FC3C61">
        <w:rPr>
          <w:rFonts w:cs="Times New Roman"/>
          <w:noProof/>
          <w:sz w:val="22"/>
          <w:szCs w:val="22"/>
        </w:rPr>
        <w:t xml:space="preserve">, no. Ahead of print (2021): 1–23; David Kirsch, “The Record of Business and the Future of Business History: Establishing a Public Interest in Private Business Records,” </w:t>
      </w:r>
      <w:r w:rsidR="00D720EE" w:rsidRPr="00FC3C61">
        <w:rPr>
          <w:rFonts w:cs="Times New Roman"/>
          <w:i/>
          <w:noProof/>
          <w:sz w:val="22"/>
          <w:szCs w:val="22"/>
        </w:rPr>
        <w:t>Library Trends</w:t>
      </w:r>
      <w:r w:rsidR="00D720EE" w:rsidRPr="00FC3C61">
        <w:rPr>
          <w:rFonts w:cs="Times New Roman"/>
          <w:noProof/>
          <w:sz w:val="22"/>
          <w:szCs w:val="22"/>
        </w:rPr>
        <w:t xml:space="preserve"> 57, no. 3 (2009): 352–70; Michael Moss, “Where Have All the Files Gone? Lost in Action Points Every One?,” </w:t>
      </w:r>
      <w:r w:rsidR="00D720EE" w:rsidRPr="00FC3C61">
        <w:rPr>
          <w:rFonts w:cs="Times New Roman"/>
          <w:i/>
          <w:noProof/>
          <w:sz w:val="22"/>
          <w:szCs w:val="22"/>
        </w:rPr>
        <w:t>Journal of Contemporary History</w:t>
      </w:r>
      <w:r w:rsidR="00D720EE" w:rsidRPr="00FC3C61">
        <w:rPr>
          <w:rFonts w:cs="Times New Roman"/>
          <w:noProof/>
          <w:sz w:val="22"/>
          <w:szCs w:val="22"/>
        </w:rPr>
        <w:t xml:space="preserve"> 47, no. 4 (2012): 860–75.</w:t>
      </w:r>
      <w:r w:rsidRPr="00FC3C61">
        <w:rPr>
          <w:rFonts w:cs="Times New Roman"/>
          <w:sz w:val="22"/>
          <w:szCs w:val="22"/>
        </w:rPr>
        <w:fldChar w:fldCharType="end"/>
      </w:r>
    </w:p>
  </w:endnote>
  <w:endnote w:id="21">
    <w:p w14:paraId="660AED77" w14:textId="582F4C21" w:rsidR="0093268D" w:rsidRPr="00FC3C61" w:rsidRDefault="0093268D" w:rsidP="00391820">
      <w:pPr>
        <w:spacing w:after="0" w:line="240" w:lineRule="auto"/>
        <w:rPr>
          <w:rFonts w:eastAsia="Times New Roman" w:cs="Times New Roman"/>
          <w:color w:val="000000" w:themeColor="text1"/>
          <w:sz w:val="22"/>
          <w:lang w:eastAsia="en-GB"/>
        </w:rPr>
      </w:pPr>
      <w:r w:rsidRPr="00FC3C61">
        <w:rPr>
          <w:rStyle w:val="EndnoteReference"/>
          <w:rFonts w:cs="Times New Roman"/>
          <w:sz w:val="22"/>
        </w:rPr>
        <w:endnoteRef/>
      </w:r>
      <w:r w:rsidRPr="00FC3C61">
        <w:rPr>
          <w:rFonts w:cs="Times New Roman"/>
          <w:sz w:val="22"/>
        </w:rPr>
        <w:t xml:space="preserve"> </w:t>
      </w:r>
      <w:r w:rsidR="003F40F7" w:rsidRPr="00FC3C61">
        <w:rPr>
          <w:rFonts w:eastAsia="Times New Roman" w:cs="Times New Roman"/>
          <w:color w:val="000000" w:themeColor="text1"/>
          <w:sz w:val="22"/>
          <w:lang w:eastAsia="en-GB"/>
        </w:rPr>
        <w:fldChar w:fldCharType="begin" w:fldLock="1"/>
      </w:r>
      <w:r w:rsidR="003F40F7" w:rsidRPr="00FC3C61">
        <w:rPr>
          <w:rFonts w:eastAsia="Times New Roman" w:cs="Times New Roman"/>
          <w:color w:val="000000" w:themeColor="text1"/>
          <w:sz w:val="22"/>
          <w:lang w:eastAsia="en-GB"/>
        </w:rPr>
        <w:instrText>ADDIN CSL_CITATION {"citationItems":[{"id":"ITEM-1","itemData":{"author":[{"dropping-particle":"","family":"Nix","given":"Adam","non-dropping-particle":"","parse-names":false,"suffix":""},{"dropping-particle":"","family":"Decker","given":"Stephanie","non-dropping-particle":"","parse-names":false,"suffix":""}],"container-title":"Business History","id":"ITEM-1","issue":"Ahead of print","issued":{"date-parts":[["2021"]]},"note":"doi: 10.1080/00076791.2021.1909572","page":"1-23","publisher":"Routledge","title":"Using digital sources: the future of business history?","type":"article-journal"},"uris":["http://www.mendeley.com/documents/?uuid=00c843e2-1c84-4e7a-b450-8289e50391bb"]}],"mendeley":{"formattedCitation":"Nix and Decker, “Using Digital Sources: The Future of Business History?”","plainTextFormattedCitation":"Nix and Decker, “Using Digital Sources: The Future of Business History?”","previouslyFormattedCitation":"Nix and Decker, “Using Digital Sources: The Future of Business History?”"},"properties":{"noteIndex":0},"schema":"https://github.com/citation-style-language/schema/raw/master/csl-citation.json"}</w:instrText>
      </w:r>
      <w:r w:rsidR="003F40F7" w:rsidRPr="00FC3C61">
        <w:rPr>
          <w:rFonts w:eastAsia="Times New Roman" w:cs="Times New Roman"/>
          <w:color w:val="000000" w:themeColor="text1"/>
          <w:sz w:val="22"/>
          <w:lang w:eastAsia="en-GB"/>
        </w:rPr>
        <w:fldChar w:fldCharType="separate"/>
      </w:r>
      <w:r w:rsidR="003F40F7" w:rsidRPr="00FC3C61">
        <w:rPr>
          <w:rFonts w:eastAsia="Times New Roman" w:cs="Times New Roman"/>
          <w:noProof/>
          <w:color w:val="000000" w:themeColor="text1"/>
          <w:sz w:val="22"/>
          <w:lang w:eastAsia="en-GB"/>
        </w:rPr>
        <w:t>Nix and Decker, “Using Digital Sources: The Future of Business History?”</w:t>
      </w:r>
      <w:r w:rsidR="003F40F7" w:rsidRPr="00FC3C61">
        <w:rPr>
          <w:rFonts w:eastAsia="Times New Roman" w:cs="Times New Roman"/>
          <w:color w:val="000000" w:themeColor="text1"/>
          <w:sz w:val="22"/>
          <w:lang w:eastAsia="en-GB"/>
        </w:rPr>
        <w:fldChar w:fldCharType="end"/>
      </w:r>
      <w:r w:rsidR="003F40F7" w:rsidRPr="00FC3C61">
        <w:rPr>
          <w:rFonts w:eastAsia="Times New Roman" w:cs="Times New Roman"/>
          <w:color w:val="000000" w:themeColor="text1"/>
          <w:sz w:val="22"/>
          <w:lang w:eastAsia="en-GB"/>
        </w:rPr>
        <w:t xml:space="preserve"> </w:t>
      </w:r>
      <w:r w:rsidRPr="00FC3C61">
        <w:rPr>
          <w:rFonts w:eastAsia="Times New Roman" w:cs="Times New Roman"/>
          <w:color w:val="000000" w:themeColor="text1"/>
          <w:sz w:val="22"/>
          <w:lang w:eastAsia="en-GB"/>
        </w:rPr>
        <w:t>Born-digital sources have only ever existed digitally, unlike the digitized versions of analogue records</w:t>
      </w:r>
      <w:r w:rsidR="00670DC4" w:rsidRPr="00FC3C61">
        <w:rPr>
          <w:rFonts w:eastAsia="Times New Roman" w:cs="Times New Roman"/>
          <w:color w:val="000000" w:themeColor="text1"/>
          <w:sz w:val="22"/>
          <w:lang w:eastAsia="en-GB"/>
        </w:rPr>
        <w:t>.</w:t>
      </w:r>
      <w:r w:rsidRPr="00FC3C61">
        <w:rPr>
          <w:rFonts w:eastAsia="Times New Roman" w:cs="Times New Roman"/>
          <w:color w:val="000000" w:themeColor="text1"/>
          <w:sz w:val="22"/>
          <w:lang w:eastAsia="en-GB"/>
        </w:rPr>
        <w:t xml:space="preserve"> </w:t>
      </w:r>
    </w:p>
  </w:endnote>
  <w:endnote w:id="22">
    <w:p w14:paraId="7D81527A" w14:textId="79BDB760" w:rsidR="0093268D" w:rsidRPr="00FC3C61" w:rsidRDefault="0093268D" w:rsidP="00350E84">
      <w:pPr>
        <w:pStyle w:val="EndnoteText"/>
        <w:jc w:val="left"/>
        <w:rPr>
          <w:rFonts w:cs="Times New Roman"/>
          <w:color w:val="FF0000"/>
          <w:sz w:val="22"/>
          <w:szCs w:val="22"/>
        </w:rPr>
      </w:pPr>
      <w:r w:rsidRPr="00FC3C61">
        <w:rPr>
          <w:rStyle w:val="EndnoteReference"/>
          <w:rFonts w:cs="Times New Roman"/>
          <w:color w:val="000000" w:themeColor="text1"/>
          <w:sz w:val="22"/>
          <w:szCs w:val="22"/>
        </w:rPr>
        <w:endnoteRef/>
      </w:r>
      <w:r w:rsidRPr="00FC3C61">
        <w:rPr>
          <w:rFonts w:cs="Times New Roman"/>
          <w:color w:val="000000" w:themeColor="text1"/>
          <w:sz w:val="22"/>
          <w:szCs w:val="22"/>
        </w:rPr>
        <w:t xml:space="preserve"> Over-focusing on corruption within public office “leaves out much of what has historically been deemed corrupt; and it relies upon the superficial clarity of public/private distinction and an unexamined view of what counts as improper use [of authority].”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{"citationItems":[{"id":"ITEM-1","itemData":{"ISBN":"0742534928","author":[{"dropping-particle":"","family":"Heffernan","given":"William C","non-dropping-particle":"","parse-names":false,"suffix":""},{"dropping-particle":"","family":"Kleinig","given":"John","non-dropping-particle":"","parse-names":false,"suffix":""}],"id":"ITEM-1","issued":{"date-parts":[["2004"]]},"publisher":"Rowman &amp; Littlefield","publisher-place":"Lanham, MD","title":"Private and public corruption","type":"book"},"locator":"3","uris":["http://www.mendeley.com/documents/?uuid=db5ebe25-69bb-4b33-9ed5-b78cb8c59a00"]}],"mendeley":{"formattedCitation":"William C Heffernan and John Kleinig, &lt;i&gt;Private and Public Corruption&lt;/i&gt; (Lanham, MD: Rowman &amp; Littlefield, 2004), 3.","manualFormatting":"William Heffernan and John Kleinig, Private and Public Corruption (Lanham, 2004), 3.","plainTextFormattedCitation":"William C Heffernan and John Kleinig, Private and Public Corruption (Lanham, MD: Rowman &amp; Littlefield, 2004), 3.","previouslyFormattedCitation":"William C Heffernan and John Kleinig, &lt;i&gt;Private and Public Corruption&lt;/i&gt; (Lanham, MD: Rowman &amp; Littlefield, 2004), 3."},"properties":{"noteIndex":0},"schema":"https://github.com/citation-style-language/schema/raw/master/csl-citation.json"}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 xml:space="preserve">William Heffernan and John Kleinig, </w:t>
      </w:r>
      <w:r w:rsidRPr="00FC3C61">
        <w:rPr>
          <w:rFonts w:cs="Times New Roman"/>
          <w:i/>
          <w:noProof/>
          <w:color w:val="000000" w:themeColor="text1"/>
          <w:sz w:val="22"/>
          <w:szCs w:val="22"/>
        </w:rPr>
        <w:t>Private and Public Corruption</w:t>
      </w:r>
      <w:r w:rsidRPr="00FC3C61">
        <w:rPr>
          <w:rFonts w:cs="Times New Roman"/>
          <w:noProof/>
          <w:color w:val="000000" w:themeColor="text1"/>
          <w:sz w:val="22"/>
          <w:szCs w:val="22"/>
        </w:rPr>
        <w:t xml:space="preserve"> (Lanham, 2004), 3.</w:t>
      </w:r>
      <w:r w:rsidRPr="00FC3C61">
        <w:rPr>
          <w:rFonts w:cs="Times New Roman"/>
          <w:color w:val="000000" w:themeColor="text1"/>
          <w:sz w:val="22"/>
          <w:szCs w:val="22"/>
        </w:rPr>
        <w:fldChar w:fldCharType="end"/>
      </w:r>
      <w:r w:rsidRPr="00FC3C61">
        <w:rPr>
          <w:rFonts w:cs="Times New Roman"/>
          <w:color w:val="000000" w:themeColor="text1"/>
          <w:sz w:val="22"/>
          <w:szCs w:val="22"/>
        </w:rPr>
        <w:t xml:space="preserve"> </w:t>
      </w:r>
    </w:p>
  </w:endnote>
  <w:endnote w:id="23">
    <w:p w14:paraId="60DB701E" w14:textId="6F6A3417" w:rsidR="0093268D" w:rsidRPr="00FC3C61" w:rsidRDefault="0093268D" w:rsidP="00350E84">
      <w:pPr>
        <w:pStyle w:val="EndnoteText"/>
        <w:jc w:val="left"/>
        <w:rPr>
          <w:rFonts w:cs="Times New Roman"/>
          <w:color w:val="000000" w:themeColor="text1"/>
          <w:sz w:val="22"/>
          <w:szCs w:val="22"/>
        </w:rPr>
      </w:pPr>
      <w:r w:rsidRPr="00FC3C61">
        <w:rPr>
          <w:rStyle w:val="EndnoteReference"/>
          <w:rFonts w:cs="Times New Roman"/>
          <w:color w:val="000000" w:themeColor="text1"/>
          <w:sz w:val="22"/>
          <w:szCs w:val="22"/>
        </w:rPr>
        <w:endnoteRef/>
      </w:r>
      <w:r w:rsidRPr="00FC3C61">
        <w:rPr>
          <w:rFonts w:cs="Times New Roman"/>
          <w:color w:val="000000" w:themeColor="text1"/>
          <w:sz w:val="22"/>
          <w:szCs w:val="22"/>
        </w:rPr>
        <w:t xml:space="preserve"> </w:t>
      </w:r>
      <w:r w:rsidRPr="00FC3C61">
        <w:rPr>
          <w:rFonts w:cs="Times New Roman"/>
          <w:color w:val="000000" w:themeColor="text1"/>
          <w:sz w:val="22"/>
          <w:szCs w:val="22"/>
        </w:rPr>
        <w:fldChar w:fldCharType="begin" w:fldLock="1"/>
      </w:r>
      <w:r w:rsidR="005157B5" w:rsidRPr="00FC3C61">
        <w:rPr>
          <w:rFonts w:cs="Times New Roman"/>
          <w:color w:val="000000" w:themeColor="text1"/>
          <w:sz w:val="22"/>
          <w:szCs w:val="22"/>
        </w:rPr>
        <w:instrText>ADDIN CSL_CITATION {"citationItems":[{"id":"ITEM-1","itemData":{"ISBN":"0363-7425","author":[{"dropping-particle":"","family":"Ashforth","given":"Blake","non-dropping-particle":"","parse-names":false,"suffix":""},{"dropping-particle":"","family":"Gioia","given":"Dennis","non-dropping-particle":"","parse-names":false,"suffix":""},{"dropping-particle":"","family":"Robinson","given":"Sandra","non-dropping-particle":"","parse-names":false,"suffix":""},{"dropping-particle":"","family":"Trevino","given":"Linda","non-dropping-particle":"","parse-names":false,"suffix":""}],"container-title":"Academy of Management Review","id":"ITEM-1","issue":"3","issued":{"date-parts":[["2008"]]},"page":"670-684","title":"Re-viewing organizational corruption","type":"article-journal","volume":"33"},"uris":["http://www.mendeley.com/documents/?uuid=357a7368-dbbd-4042-a3eb-8842c3a6b41e"]}],"mendeley":{"formattedCitation":"Ashforth et al., “Re-Viewing Organizational Corruption.”","plainTextFormattedCitation":"Ashforth et al., “Re-Viewing Organizational Corruption.”","previouslyFormattedCitation":"Ashforth et al., “Re-Viewing Organizational Corruption.”"},"properties":{"noteIndex":0},"schema":"https://github.com/citation-style-language/schema/raw/master/csl-citation.json"}</w:instrText>
      </w:r>
      <w:r w:rsidRPr="00FC3C61">
        <w:rPr>
          <w:rFonts w:cs="Times New Roman"/>
          <w:color w:val="000000" w:themeColor="text1"/>
          <w:sz w:val="22"/>
          <w:szCs w:val="22"/>
        </w:rPr>
        <w:fldChar w:fldCharType="separate"/>
      </w:r>
      <w:r w:rsidR="005157B5" w:rsidRPr="00FC3C61">
        <w:rPr>
          <w:rFonts w:cs="Times New Roman"/>
          <w:noProof/>
          <w:color w:val="000000" w:themeColor="text1"/>
          <w:sz w:val="22"/>
          <w:szCs w:val="22"/>
        </w:rPr>
        <w:t>Ashforth et al., “Re-Viewing Organizational Corruption.”</w:t>
      </w:r>
      <w:r w:rsidRPr="00FC3C61">
        <w:rPr>
          <w:rFonts w:cs="Times New Roman"/>
          <w:color w:val="000000" w:themeColor="text1"/>
          <w:sz w:val="22"/>
          <w:szCs w:val="22"/>
        </w:rPr>
        <w:fldChar w:fldCharType="end"/>
      </w:r>
    </w:p>
  </w:endnote>
  <w:endnote w:id="24">
    <w:p w14:paraId="6A18528C" w14:textId="1435FED0" w:rsidR="0093268D" w:rsidRPr="00FC3C61" w:rsidRDefault="0093268D" w:rsidP="002453A9">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See </w:t>
      </w:r>
      <w:r w:rsidRPr="00FC3C61">
        <w:rPr>
          <w:rFonts w:cs="Times New Roman"/>
          <w:sz w:val="22"/>
          <w:szCs w:val="22"/>
        </w:rPr>
        <w:fldChar w:fldCharType="begin" w:fldLock="1"/>
      </w:r>
      <w:r w:rsidR="00FE740C" w:rsidRPr="00FC3C61">
        <w:rPr>
          <w:rFonts w:cs="Times New Roman"/>
          <w:sz w:val="22"/>
          <w:szCs w:val="22"/>
        </w:rPr>
        <w:instrText>ADDIN CSL_CITATION {"citationItems":[{"id":"ITEM-1","itemData":{"author":[{"dropping-particle":"","family":"Driel","given":"Hugo","non-dropping-particle":"van","parse-names":false,"suffix":""}],"container-title":"Business History","id":"ITEM-1","issue":"61","issued":{"date-parts":[["2019"]]},"page":"1259-1299","publisher":"Routledge","title":"Financial fraud, scandals, and regulation: A conceptual framework and literature review","type":"article-journal","volume":"8"},"uris":["http://www.mendeley.com/documents/?uuid=8b83013c-2b61-4e15-8712-9815700e4e23"]}],"mendeley":{"formattedCitation":"van Driel, “Financial Fraud, Scandals, and Regulation: A Conceptual Framework and Literature Review.”","plainTextFormattedCitation":"van Driel, “Financial Fraud, Scandals, and Regulation: A Conceptual Framework and Literature Review.”","previouslyFormattedCitation":"van Driel, “Financial Fraud, Scandals, and Regulation: A Conceptual Framework and Literature Review.”"},"properties":{"noteIndex":0},"schema":"https://github.com/citation-style-language/schema/raw/master/csl-citation.json"}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van Driel, “Financial Fraud, Scandals, and Regulation: A Conceptual Framework and Literature Review.”</w:t>
      </w:r>
      <w:r w:rsidRPr="00FC3C61">
        <w:rPr>
          <w:rFonts w:cs="Times New Roman"/>
          <w:sz w:val="22"/>
          <w:szCs w:val="22"/>
        </w:rPr>
        <w:fldChar w:fldCharType="end"/>
      </w:r>
      <w:r w:rsidRPr="00FC3C61">
        <w:rPr>
          <w:rFonts w:cs="Times New Roman"/>
          <w:sz w:val="22"/>
          <w:szCs w:val="22"/>
        </w:rPr>
        <w:t xml:space="preserve"> </w:t>
      </w:r>
      <w:r w:rsidRPr="00FC3C61">
        <w:rPr>
          <w:rFonts w:cs="Times New Roman"/>
          <w:sz w:val="22"/>
          <w:szCs w:val="22"/>
        </w:rPr>
        <w:fldChar w:fldCharType="begin" w:fldLock="1"/>
      </w:r>
      <w:r w:rsidR="00F83BD4" w:rsidRPr="00FC3C61">
        <w:rPr>
          <w:rFonts w:cs="Times New Roman"/>
          <w:sz w:val="22"/>
          <w:szCs w:val="22"/>
        </w:rPr>
        <w:instrText>ADDIN CSL_CITATION {"citationItems":[{"id":"ITEM-1","itemData":{"ISBN":"0691183074","author":[{"dropping-particle":"","family":"Balleisen","given":"Edward","non-dropping-particle":"","parse-names":false,"suffix":""}],"id":"ITEM-1","issued":{"date-parts":[["2018"]]},"publisher":"Princeton","title":"Fraud: An American History from Barnum to Madoff","type":"book"},"uris":["http://www.mendeley.com/documents/?uuid=de9554ab-6047-477f-a240-00b14d97d8c8"]}],"mendeley":{"formattedCitation":"Balleisen, &lt;i&gt;Fraud: An American History from Barnum to Madoff&lt;/i&gt;.","manualFormatting":"Balleisen, Fraud, 11-12.","plainTextFormattedCitation":"Balleisen, Fraud: An American History from Barnum to Madoff.","previouslyFormattedCitation":"Balleisen, &lt;i&gt;Fraud: An American History from Barnum to Madoff&lt;/i&gt;."},"properties":{"noteIndex":0},"schema":"https://github.com/citation-style-language/schema/raw/master/csl-citation.json"}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Balleisen, </w:t>
      </w:r>
      <w:r w:rsidRPr="00FC3C61">
        <w:rPr>
          <w:rFonts w:cs="Times New Roman"/>
          <w:i/>
          <w:noProof/>
          <w:sz w:val="22"/>
          <w:szCs w:val="22"/>
        </w:rPr>
        <w:t>Fraud,</w:t>
      </w:r>
      <w:r w:rsidRPr="00FC3C61">
        <w:rPr>
          <w:rFonts w:cs="Times New Roman"/>
          <w:iCs/>
          <w:noProof/>
          <w:sz w:val="22"/>
          <w:szCs w:val="22"/>
        </w:rPr>
        <w:t xml:space="preserve"> 11-12.</w:t>
      </w:r>
      <w:r w:rsidRPr="00FC3C61">
        <w:rPr>
          <w:rFonts w:cs="Times New Roman"/>
          <w:sz w:val="22"/>
          <w:szCs w:val="22"/>
        </w:rPr>
        <w:fldChar w:fldCharType="end"/>
      </w:r>
      <w:r w:rsidR="000F346F" w:rsidRPr="00FC3C61">
        <w:rPr>
          <w:rFonts w:cs="Times New Roman"/>
          <w:sz w:val="22"/>
          <w:szCs w:val="22"/>
        </w:rPr>
        <w:t xml:space="preserve"> Even within these fields, there is a reticence to make hard distinctions between fraud and related (but not necessarily criminal) wrongdoing, particularly as such terms have both colloquial and technical significance.</w:t>
      </w:r>
    </w:p>
  </w:endnote>
  <w:endnote w:id="25">
    <w:p w14:paraId="2801D457" w14:textId="363A1CAC"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0F346F" w:rsidRPr="00FC3C61">
        <w:rPr>
          <w:rFonts w:cs="Times New Roman"/>
          <w:sz w:val="22"/>
          <w:szCs w:val="22"/>
        </w:rPr>
        <w:fldChar w:fldCharType="begin" w:fldLock="1"/>
      </w:r>
      <w:r w:rsidR="000F346F" w:rsidRPr="00FC3C61">
        <w:rPr>
          <w:rFonts w:cs="Times New Roman"/>
          <w:sz w:val="22"/>
          <w:szCs w:val="22"/>
        </w:rPr>
        <w:instrText>ADDIN CSL_CITATION {"citationItems":[{"id":"ITEM-1","itemData":{"ISBN":"0363-7425","author":[{"dropping-particle":"","family":"Pinto","given":"Jonathan","non-dropping-particle":"","parse-names":false,"suffix":""},{"dropping-particle":"","family":"Leana","given":"Carrie","non-dropping-particle":"","parse-names":false,"suffix":""},{"dropping-particle":"","family":"Pil","given":"Frits","non-dropping-particle":"","parse-names":false,"suffix":""}],"container-title":"Academy of Management Review","id":"ITEM-1","issue":"3","issued":{"date-parts":[["2008"]]},"page":"685-709","title":"Corrupt organizations or organizations of corrupt individuals? Two types of organization-level corruption","type":"article-journal","volume":"33"},"uris":["http://www.mendeley.com/documents/?uuid=c605d575-7369-42f9-93be-9130be1d3a18"]}],"mendeley":{"formattedCitation":"Pinto, Leana, and Pil, “Corrupt Organizations or Organizations of Corrupt Individuals? Two Types of Organization-Level Corruption.”","plainTextFormattedCitation":"Pinto, Leana, and Pil, “Corrupt Organizations or Organizations of Corrupt Individuals? Two Types of Organization-Level Corruption.”","previouslyFormattedCitation":"Pinto, Leana, and Pil, “Corrupt Organizations or Organizations of Corrupt Individuals? Two Types of Organization-Level Corruption.”"},"properties":{"noteIndex":0},"schema":"https://github.com/citation-style-language/schema/raw/master/csl-citation.json"}</w:instrText>
      </w:r>
      <w:r w:rsidR="000F346F" w:rsidRPr="00FC3C61">
        <w:rPr>
          <w:rFonts w:cs="Times New Roman"/>
          <w:sz w:val="22"/>
          <w:szCs w:val="22"/>
        </w:rPr>
        <w:fldChar w:fldCharType="separate"/>
      </w:r>
      <w:r w:rsidR="000F346F" w:rsidRPr="00FC3C61">
        <w:rPr>
          <w:rFonts w:cs="Times New Roman"/>
          <w:noProof/>
          <w:sz w:val="22"/>
          <w:szCs w:val="22"/>
        </w:rPr>
        <w:t>Pinto, Leana, and Pil, “Corrupt Organizations or Organizations of Corrupt Individuals? Two Types of Organization-Level Corruption.”</w:t>
      </w:r>
      <w:r w:rsidR="000F346F" w:rsidRPr="00FC3C61">
        <w:rPr>
          <w:rFonts w:cs="Times New Roman"/>
          <w:sz w:val="22"/>
          <w:szCs w:val="22"/>
        </w:rPr>
        <w:fldChar w:fldCharType="end"/>
      </w:r>
      <w:r w:rsidR="000F346F" w:rsidRPr="00FC3C61">
        <w:rPr>
          <w:rFonts w:cs="Times New Roman"/>
          <w:sz w:val="22"/>
          <w:szCs w:val="22"/>
        </w:rPr>
        <w:t xml:space="preserve"> This is not to say that individuals were not benefiting indirectly, for instance, via performance related bonuses.</w:t>
      </w:r>
    </w:p>
  </w:endnote>
  <w:endnote w:id="26">
    <w:p w14:paraId="01CA12C4" w14:textId="29886608" w:rsidR="00D34596" w:rsidRPr="00FC3C61" w:rsidRDefault="00D34596" w:rsidP="00D34596">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F83BD4" w:rsidRPr="00FC3C61">
        <w:rPr>
          <w:rFonts w:cs="Times New Roman"/>
          <w:sz w:val="22"/>
          <w:szCs w:val="22"/>
        </w:rPr>
        <w:instrText>ADDIN CSL_CITATION {"citationItems":[{"id":"ITEM-1","itemData":{"ISBN":"0691183074","author":[{"dropping-particle":"","family":"Balleisen","given":"Edward","non-dropping-particle":"","parse-names":false,"suffix":""}],"id":"ITEM-1","issued":{"date-parts":[["2018"]]},"publisher":"Princeton","title":"Fraud: An American History from Barnum to Madoff","type":"book"},"locator":"362-66","uris":["http://www.mendeley.com/documents/?uuid=de9554ab-6047-477f-a240-00b14d97d8c8"]},{"id":"ITEM-2","itemData":{"author":[{"dropping-particle":"","family":"Lears","given":"Jackson","non-dropping-particle":"","parse-names":false,"suffix":""}],"id":"ITEM-2","issued":{"date-parts":[["2003"]]},"note":"Includes bibliographical references and index.","publisher":"Viking","title":"Something for nothing: Luck in America","type":"book"},"locator":"5, 321-2","uris":["http://www.mendeley.com/documents/?uuid=8b133819-c2a7-4323-ac0f-d69435b3760d"]},{"id":"ITEM-3","itemData":{"abstract":"Until the early nineteenth century, \"risk\" was a specialized term: it was the commodity exchanged in a marine insurance contract. Freaks of Fortune tells the story of how the modern concept of risk emerged in the United States. Born on the high seas, risk migrated inland and became essential to the financial management of an inherently uncertain capitalist future. Focusing on the hopes and anxieties of ordinary people, Jonathan Levy shows how risk developed through the extraordinary growth of new financial institutions-insurance corporations, savings banks, mortgage-backed securities markets, commodities futures markets, and securities markets-while posing inescapable moral questions. For at the heart of risk's rise was a new vision of freedom. To be a free individual, whether an emancipated slave, a plains farmer, or a Wall Street financier, was to take, assume, and manage one's own personal risk. Yet this often meant offloading that same risk onto a series of new financial institutions, which together have only recently acquired the name \"financial services industry.\" Levy traces the fate of a new vision of personal freedom, as it unfolded in the new economic reality created by the American financial system. Amid the nineteenth-century's waning faith in God's providence, Americans increasingly confronted unanticipated challenges to their independence and security in the boom and bust chance-world of capitalism. Freaks of Fortune is one of the first books to excavate the historical origins of our own financialized times and risk-defined lives.","author":[{"dropping-particle":"","family":"Levy","given":"Jonathan","non-dropping-particle":"","parse-names":false,"suffix":""}],"id":"ITEM-3","issued":{"date-parts":[["2012"]]},"note":"Includes bibliographical references and index.","publisher":"Havard","title":"Freaks of Fortune: The Emerging World of Capitalism and Risk in America","type":"book"},"locator":"309-10","uris":["http://www.mendeley.com/documents/?uuid=96466804-55df-468d-8ebb-4fa850362fbd"]}],"mendeley":{"formattedCitation":"Balleisen, &lt;i&gt;Fraud: An American History from Barnum to Madoff&lt;/i&gt;, 362–66; Jackson Lears, &lt;i&gt;Something for Nothing: Luck in America&lt;/i&gt; (Viking, 2003), 5, 321–22; Jonathan Levy, &lt;i&gt;Freaks of Fortune: The Emerging World of Capitalism and Risk in America&lt;/i&gt; (Havard, 2012), 309–10.","plainTextFormattedCitation":"Balleisen, Fraud: An American History from Barnum to Madoff, 362–66; Jackson Lears, Something for Nothing: Luck in America (Viking, 2003), 5, 321–22; Jonathan Levy, Freaks of Fortune: The Emerging World of Capitalism and Risk in America (Havard, 2012), 309–10.","previouslyFormattedCitation":"Balleisen, &lt;i&gt;Fraud: An American History from Barnum to Madoff&lt;/i&gt;, 362–66; Jackson Lears, &lt;i&gt;Something for Nothing: Luck in America&lt;/i&gt; (Viking, 2003), 5, 321–22; Jonathan Levy, &lt;i&gt;Freaks of Fortune: The Emerging World of Capitalism and Risk in America&lt;/i&gt; (Havard, 2012), 309–10."},"properties":{"noteIndex":0},"schema":"https://github.com/citation-style-language/schema/raw/master/csl-citation.json"}</w:instrText>
      </w:r>
      <w:r w:rsidRPr="00FC3C61">
        <w:rPr>
          <w:rFonts w:cs="Times New Roman"/>
          <w:sz w:val="22"/>
          <w:szCs w:val="22"/>
        </w:rPr>
        <w:fldChar w:fldCharType="separate"/>
      </w:r>
      <w:r w:rsidR="00545C27" w:rsidRPr="00FC3C61">
        <w:rPr>
          <w:rFonts w:cs="Times New Roman"/>
          <w:noProof/>
          <w:sz w:val="22"/>
          <w:szCs w:val="22"/>
        </w:rPr>
        <w:t xml:space="preserve">Balleisen, </w:t>
      </w:r>
      <w:r w:rsidR="00545C27" w:rsidRPr="00FC3C61">
        <w:rPr>
          <w:rFonts w:cs="Times New Roman"/>
          <w:i/>
          <w:noProof/>
          <w:sz w:val="22"/>
          <w:szCs w:val="22"/>
        </w:rPr>
        <w:t>Fraud: An American History from Barnum to Madoff</w:t>
      </w:r>
      <w:r w:rsidR="00545C27" w:rsidRPr="00FC3C61">
        <w:rPr>
          <w:rFonts w:cs="Times New Roman"/>
          <w:noProof/>
          <w:sz w:val="22"/>
          <w:szCs w:val="22"/>
        </w:rPr>
        <w:t xml:space="preserve">, 362–66; Jackson Lears, </w:t>
      </w:r>
      <w:r w:rsidR="00545C27" w:rsidRPr="00FC3C61">
        <w:rPr>
          <w:rFonts w:cs="Times New Roman"/>
          <w:i/>
          <w:noProof/>
          <w:sz w:val="22"/>
          <w:szCs w:val="22"/>
        </w:rPr>
        <w:t>Something for Nothing: Luck in America</w:t>
      </w:r>
      <w:r w:rsidR="00545C27" w:rsidRPr="00FC3C61">
        <w:rPr>
          <w:rFonts w:cs="Times New Roman"/>
          <w:noProof/>
          <w:sz w:val="22"/>
          <w:szCs w:val="22"/>
        </w:rPr>
        <w:t xml:space="preserve"> (Viking, 2003), 5, 321–22; Jonathan Levy, </w:t>
      </w:r>
      <w:r w:rsidR="00545C27" w:rsidRPr="00FC3C61">
        <w:rPr>
          <w:rFonts w:cs="Times New Roman"/>
          <w:i/>
          <w:noProof/>
          <w:sz w:val="22"/>
          <w:szCs w:val="22"/>
        </w:rPr>
        <w:t>Freaks of Fortune: The Emerging World of Capitalism and Risk in America</w:t>
      </w:r>
      <w:r w:rsidR="00545C27" w:rsidRPr="00FC3C61">
        <w:rPr>
          <w:rFonts w:cs="Times New Roman"/>
          <w:noProof/>
          <w:sz w:val="22"/>
          <w:szCs w:val="22"/>
        </w:rPr>
        <w:t xml:space="preserve"> (</w:t>
      </w:r>
      <w:r w:rsidR="009872E6">
        <w:rPr>
          <w:rFonts w:cs="Times New Roman"/>
          <w:noProof/>
          <w:sz w:val="22"/>
          <w:szCs w:val="22"/>
        </w:rPr>
        <w:t>Cambridge, MA</w:t>
      </w:r>
      <w:r w:rsidR="00545C27" w:rsidRPr="00FC3C61">
        <w:rPr>
          <w:rFonts w:cs="Times New Roman"/>
          <w:noProof/>
          <w:sz w:val="22"/>
          <w:szCs w:val="22"/>
        </w:rPr>
        <w:t>, 2012), 309–10.</w:t>
      </w:r>
      <w:r w:rsidRPr="00FC3C61">
        <w:rPr>
          <w:rFonts w:cs="Times New Roman"/>
          <w:sz w:val="22"/>
          <w:szCs w:val="22"/>
        </w:rPr>
        <w:fldChar w:fldCharType="end"/>
      </w:r>
    </w:p>
  </w:endnote>
  <w:endnote w:id="27">
    <w:p w14:paraId="403EA36C" w14:textId="2EFA62BF" w:rsidR="00D34596" w:rsidRPr="00FC3C61" w:rsidRDefault="00D34596" w:rsidP="00D34596">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0F346F" w:rsidRPr="00FC3C61">
        <w:rPr>
          <w:rFonts w:cs="Times New Roman"/>
          <w:sz w:val="22"/>
          <w:szCs w:val="22"/>
        </w:rPr>
        <w:t xml:space="preserve">See </w:t>
      </w:r>
      <w:r w:rsidR="000F346F" w:rsidRPr="00FC3C61">
        <w:rPr>
          <w:rFonts w:cs="Times New Roman"/>
          <w:sz w:val="22"/>
          <w:szCs w:val="22"/>
        </w:rPr>
        <w:fldChar w:fldCharType="begin" w:fldLock="1"/>
      </w:r>
      <w:r w:rsidR="000F346F" w:rsidRPr="00FC3C61">
        <w:rPr>
          <w:rFonts w:cs="Times New Roman"/>
          <w:sz w:val="22"/>
          <w:szCs w:val="22"/>
        </w:rPr>
        <w:instrText>ADDIN CSL_CITATION {"citationItems":[{"id":"ITEM-1","itemData":{"author":[{"dropping-particle":"","family":"Driel","given":"Hugo","non-dropping-particle":"van","parse-names":false,"suffix":""}],"container-title":"Business History","id":"ITEM-1","issue":"61","issued":{"date-parts":[["2019"]]},"page":"1259-1299","publisher":"Routledge","title":"Financial fraud, scandals, and regulation: A conceptual framework and literature review","type":"article-journal","volume":"8"},"uris":["http://www.mendeley.com/documents/?uuid=8b83013c-2b61-4e15-8712-9815700e4e23"]}],"mendeley":{"formattedCitation":"van Driel, “Financial Fraud, Scandals, and Regulation: A Conceptual Framework and Literature Review.”","plainTextFormattedCitation":"van Driel, “Financial Fraud, Scandals, and Regulation: A Conceptual Framework and Literature Review.”","previouslyFormattedCitation":"van Driel, “Financial Fraud, Scandals, and Regulation: A Conceptual Framework and Literature Review.”"},"properties":{"noteIndex":0},"schema":"https://github.com/citation-style-language/schema/raw/master/csl-citation.json"}</w:instrText>
      </w:r>
      <w:r w:rsidR="000F346F" w:rsidRPr="00FC3C61">
        <w:rPr>
          <w:rFonts w:cs="Times New Roman"/>
          <w:sz w:val="22"/>
          <w:szCs w:val="22"/>
        </w:rPr>
        <w:fldChar w:fldCharType="separate"/>
      </w:r>
      <w:r w:rsidR="000F346F" w:rsidRPr="00FC3C61">
        <w:rPr>
          <w:rFonts w:cs="Times New Roman"/>
          <w:noProof/>
          <w:sz w:val="22"/>
          <w:szCs w:val="22"/>
        </w:rPr>
        <w:t>van Driel, “Financial Fraud, Scandals, and Regulation: A Conceptual Framework and Literature Review.”</w:t>
      </w:r>
      <w:r w:rsidR="000F346F" w:rsidRPr="00FC3C61">
        <w:rPr>
          <w:rFonts w:cs="Times New Roman"/>
          <w:sz w:val="22"/>
          <w:szCs w:val="22"/>
        </w:rPr>
        <w:fldChar w:fldCharType="end"/>
      </w:r>
    </w:p>
  </w:endnote>
  <w:endnote w:id="28">
    <w:p w14:paraId="3E10453F" w14:textId="77777777" w:rsidR="00D34596" w:rsidRPr="00FC3C61" w:rsidRDefault="00D34596" w:rsidP="00D34596">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{"citationItems":[{"id":"ITEM-1","itemData":{"ISBN":"1587982439","author":[{"dropping-particle":"","family":"McDonald","given":"Forrest","non-dropping-particle":"","parse-names":false,"suffix":""}],"id":"ITEM-1","issued":{"date-parts":[["2004"]]},"publisher":"Beard Books","title":"Insull: the rise and fall of a billionaire utility Tycoon","type":"book"},"uris":["http://www.mendeley.com/documents/?uuid=f66dc3ac-55e9-4af6-ad08-954f49b67d5d"]}],"mendeley":{"formattedCitation":"Forrest McDonald, &lt;i&gt;Insull: The Rise and Fall of a Billionaire Utility Tycoon&lt;/i&gt; (Beard Books, 2004).","plainTextFormattedCitation":"Forrest McDonald, Insull: The Rise and Fall of a Billionaire Utility Tycoon (Beard Books, 2004).","previouslyFormattedCitation":"Forrest McDonald, &lt;i&gt;Insull: The Rise and Fall of a Billionaire Utility Tycoon&lt;/i&gt; (Beard Books, 2004)."},"properties":{"noteIndex":0},"schema":"https://github.com/citation-style-language/schema/raw/master/csl-citation.json"}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Forrest McDonald, </w:t>
      </w:r>
      <w:r w:rsidRPr="00FC3C61">
        <w:rPr>
          <w:rFonts w:cs="Times New Roman"/>
          <w:i/>
          <w:noProof/>
          <w:sz w:val="22"/>
          <w:szCs w:val="22"/>
        </w:rPr>
        <w:t>Insull: The Rise and Fall of a Billionaire Utility Tycoon</w:t>
      </w:r>
      <w:r w:rsidRPr="00FC3C61">
        <w:rPr>
          <w:rFonts w:cs="Times New Roman"/>
          <w:noProof/>
          <w:sz w:val="22"/>
          <w:szCs w:val="22"/>
        </w:rPr>
        <w:t xml:space="preserve"> (Beard Books, 2004).</w:t>
      </w:r>
      <w:r w:rsidRPr="00FC3C61">
        <w:rPr>
          <w:rFonts w:cs="Times New Roman"/>
          <w:sz w:val="22"/>
          <w:szCs w:val="22"/>
        </w:rPr>
        <w:fldChar w:fldCharType="end"/>
      </w:r>
      <w:r w:rsidRPr="00FC3C61">
        <w:rPr>
          <w:rFonts w:cs="Times New Roman"/>
          <w:sz w:val="22"/>
          <w:szCs w:val="22"/>
        </w:rPr>
        <w:t xml:space="preserve"> </w:t>
      </w:r>
      <w:r w:rsidRPr="00FC3C61">
        <w:rPr>
          <w:rFonts w:cs="Times New Roman"/>
          <w:color w:val="000000" w:themeColor="text1"/>
          <w:sz w:val="22"/>
          <w:szCs w:val="22"/>
        </w:rPr>
        <w:t>Initially set up to finance utilities’ asset-heavy operations, these entities and the securities markets that supported them became the basis for complex and opaque ownership structures, often involving multiple layers of holding equity that controlled hundreds of operational utilities.</w:t>
      </w:r>
    </w:p>
  </w:endnote>
  <w:endnote w:id="29">
    <w:p w14:paraId="0F50D01C" w14:textId="198B4770" w:rsidR="00FD554E" w:rsidRPr="00FC3C61" w:rsidRDefault="00FD554E">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{"citationItems":[{"id":"ITEM-1","itemData":{"ISSN":"0007-6791","author":[{"dropping-particle":"","family":"Hausman","given":"William J","non-dropping-particle":"","parse-names":false,"suffix":""}],"container-title":"Business History","id":"ITEM-1","issue":"3","issued":{"date-parts":[["2018"]]},"page":"381-398","publisher":"Taylor &amp; Francis","title":"Howard Hopson’s billion dollar fraud: The rise and fall of associated gas &amp; electric company, 1921–1940","type":"article-journal","volume":"60"},"uris":["http://www.mendeley.com/documents/?uuid=3e7b30e2-9087-4be6-9c20-617f9f046d7c"]}],"mendeley":{"formattedCitation":"William J Hausman, “Howard Hopson’s Billion Dollar Fraud: The Rise and Fall of Associated Gas &amp; Electric Company, 1921–1940,” &lt;i&gt;Business History&lt;/i&gt; 60, no. 3 (2018): 381–98.","plainTextFormattedCitation":"William J Hausman, “Howard Hopson’s Billion Dollar Fraud: The Rise and Fall of Associated Gas &amp; Electric Company, 1921–1940,” Business History 60, no. 3 (2018): 381–98.","previouslyFormattedCitation":"William J Hausman, “Howard Hopson’s Billion Dollar Fraud: The Rise and Fall of Associated Gas &amp; Electric Company, 1921–1940,” &lt;i&gt;Business History&lt;/i&gt; 60, no. 3 (2018): 381–98."},"properties":{"noteIndex":0},"schema":"https://github.com/citation-style-language/schema/raw/master/csl-citation.json"}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William J Hausman, “Howard Hopson’s Billion Dollar Fraud: The Rise and Fall of Associated Gas &amp; Electric Company, 1921–1940,” </w:t>
      </w:r>
      <w:r w:rsidRPr="00FC3C61">
        <w:rPr>
          <w:rFonts w:cs="Times New Roman"/>
          <w:i/>
          <w:noProof/>
          <w:sz w:val="22"/>
          <w:szCs w:val="22"/>
        </w:rPr>
        <w:t>Business History</w:t>
      </w:r>
      <w:r w:rsidRPr="00FC3C61">
        <w:rPr>
          <w:rFonts w:cs="Times New Roman"/>
          <w:noProof/>
          <w:sz w:val="22"/>
          <w:szCs w:val="22"/>
        </w:rPr>
        <w:t xml:space="preserve"> 60, no. 3 (2018): 381–98.</w:t>
      </w:r>
      <w:r w:rsidRPr="00FC3C61">
        <w:rPr>
          <w:rFonts w:cs="Times New Roman"/>
          <w:sz w:val="22"/>
          <w:szCs w:val="22"/>
        </w:rPr>
        <w:fldChar w:fldCharType="end"/>
      </w:r>
    </w:p>
  </w:endnote>
  <w:endnote w:id="30">
    <w:p w14:paraId="2C992C58" w14:textId="34BBB03C" w:rsidR="00321168" w:rsidRPr="00FC3C61" w:rsidRDefault="00321168">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0F346F" w:rsidRPr="00FC3C61">
        <w:rPr>
          <w:rFonts w:cs="Times New Roman"/>
          <w:sz w:val="22"/>
          <w:szCs w:val="22"/>
        </w:rPr>
        <w:fldChar w:fldCharType="begin" w:fldLock="1"/>
      </w:r>
      <w:r w:rsidR="00D720EE" w:rsidRPr="00FC3C61">
        <w:rPr>
          <w:rFonts w:cs="Times New Roman"/>
          <w:sz w:val="22"/>
          <w:szCs w:val="22"/>
        </w:rPr>
        <w:instrText>ADDIN CSL_CITATION {"citationItems":[{"id":"ITEM-1","itemData":{"author":[{"dropping-particle":"","family":"Sutherland","given":"Edwin","non-dropping-particle":"","parse-names":false,"suffix":""}],"edition":"Uncut","id":"ITEM-1","issued":{"date-parts":[["1983"]]},"note":"Includes index.","publisher-place":"New Haven","title":"White collar crime","type":"book"},"uris":["http://www.mendeley.com/documents/?uuid=04fd9c0f-ae53-465a-8674-7523308e7bb8"]}],"mendeley":{"formattedCitation":"Edwin Sutherland, &lt;i&gt;White Collar Crime&lt;/i&gt;, Uncut (New Haven, 1983).","plainTextFormattedCitation":"Edwin Sutherland, White Collar Crime, Uncut (New Haven, 1983).","previouslyFormattedCitation":"Edwin Sutherland, &lt;i&gt;White Collar Crime&lt;/i&gt;, Uncut (New Haven, 1983)."},"properties":{"noteIndex":0},"schema":"https://github.com/citation-style-language/schema/raw/master/csl-citation.json"}</w:instrText>
      </w:r>
      <w:r w:rsidR="000F346F" w:rsidRPr="00FC3C61">
        <w:rPr>
          <w:rFonts w:cs="Times New Roman"/>
          <w:sz w:val="22"/>
          <w:szCs w:val="22"/>
        </w:rPr>
        <w:fldChar w:fldCharType="separate"/>
      </w:r>
      <w:r w:rsidR="000F346F" w:rsidRPr="00FC3C61">
        <w:rPr>
          <w:rFonts w:cs="Times New Roman"/>
          <w:noProof/>
          <w:sz w:val="22"/>
          <w:szCs w:val="22"/>
        </w:rPr>
        <w:t xml:space="preserve">Edwin Sutherland, </w:t>
      </w:r>
      <w:r w:rsidR="000F346F" w:rsidRPr="00FC3C61">
        <w:rPr>
          <w:rFonts w:cs="Times New Roman"/>
          <w:i/>
          <w:noProof/>
          <w:sz w:val="22"/>
          <w:szCs w:val="22"/>
        </w:rPr>
        <w:t>White Collar Crime</w:t>
      </w:r>
      <w:r w:rsidR="000F346F" w:rsidRPr="00FC3C61">
        <w:rPr>
          <w:rFonts w:cs="Times New Roman"/>
          <w:noProof/>
          <w:sz w:val="22"/>
          <w:szCs w:val="22"/>
        </w:rPr>
        <w:t>, Uncut (New Haven, 1983).</w:t>
      </w:r>
      <w:r w:rsidR="000F346F" w:rsidRPr="00FC3C61">
        <w:rPr>
          <w:rFonts w:cs="Times New Roman"/>
          <w:sz w:val="22"/>
          <w:szCs w:val="22"/>
        </w:rPr>
        <w:fldChar w:fldCharType="end"/>
      </w:r>
    </w:p>
  </w:endnote>
  <w:endnote w:id="31">
    <w:p w14:paraId="64A61175" w14:textId="333DDCE5" w:rsidR="00463CC7" w:rsidRPr="00FC3C61" w:rsidRDefault="00463CC7" w:rsidP="00463CC7">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FB35C2" w:rsidRPr="00FC3C61">
        <w:rPr>
          <w:rFonts w:cs="Times New Roman"/>
          <w:sz w:val="22"/>
          <w:szCs w:val="22"/>
        </w:rPr>
        <w:fldChar w:fldCharType="begin" w:fldLock="1"/>
      </w:r>
      <w:r w:rsidR="000F346F" w:rsidRPr="00FC3C61">
        <w:rPr>
          <w:rFonts w:cs="Times New Roman"/>
          <w:sz w:val="22"/>
          <w:szCs w:val="22"/>
        </w:rPr>
        <w:instrText>ADDIN CSL_CITATION {"citationItems":[{"id":"ITEM-1","itemData":{"author":[{"dropping-particle":"","family":"Berghoff","given":"Hartmut","non-dropping-particle":"","parse-names":false,"suffix":""},{"dropping-particle":"","family":"Spiekermann","given":"Uwe","non-dropping-particle":"","parse-names":false,"suffix":""}],"container-title":"Business History","id":"ITEM-1","issue":"3","issued":{"date-parts":[["2018"]]},"page":"289-304","publisher":"Routledge","title":"Shady business: On the history of white-collar crime","type":"article-journal","volume":"60"},"uris":["http://www.mendeley.com/documents/?uuid=57a56bb0-4aae-49b5-b67b-69731f88271f"]},{"id":"ITEM-2","itemData":{"ISBN":"0002-9602","author":[{"dropping-particle":"","family":"Coleman","given":"James William","non-dropping-particle":"","parse-names":false,"suffix":""}],"container-title":"American journal of sociology","id":"ITEM-2","issue":"2","issued":{"date-parts":[["1987"]]},"page":"406-439","title":"Toward an integrated theory of white-collar crime","type":"article-journal","volume":"93"},"uris":["http://www.mendeley.com/documents/?uuid=2fd66a86-e92b-43a7-8358-96903014da85"]}],"mendeley":{"formattedCitation":"Hartmut Berghoff and Uwe Spiekermann, “Shady Business: On the History of White-Collar Crime,” &lt;i&gt;Business History&lt;/i&gt; 60, no. 3 (2018): 289–304; James William Coleman, “Toward an Integrated Theory of White-Collar Crime,” &lt;i&gt;American Journal of Sociology&lt;/i&gt; 93, no. 2 (1987): 406–39.","plainTextFormattedCitation":"Hartmut Berghoff and Uwe Spiekermann, “Shady Business: On the History of White-Collar Crime,” Business History 60, no. 3 (2018): 289–304; James William Coleman, “Toward an Integrated Theory of White-Collar Crime,” American Journal of Sociology 93, no. 2 (1987): 406–39.","previouslyFormattedCitation":"Hartmut Berghoff and Uwe Spiekermann, “Shady Business: On the History of White-Collar Crime,” &lt;i&gt;Business History&lt;/i&gt; 60, no. 3 (2018): 289–304; James William Coleman, “Toward an Integrated Theory of White-Collar Crime,” &lt;i&gt;American Journal of Sociology&lt;/i&gt; 93, no. 2 (1987): 406–39."},"properties":{"noteIndex":0},"schema":"https://github.com/citation-style-language/schema/raw/master/csl-citation.json"}</w:instrText>
      </w:r>
      <w:r w:rsidR="00FB35C2" w:rsidRPr="00FC3C61">
        <w:rPr>
          <w:rFonts w:cs="Times New Roman"/>
          <w:sz w:val="22"/>
          <w:szCs w:val="22"/>
        </w:rPr>
        <w:fldChar w:fldCharType="separate"/>
      </w:r>
      <w:r w:rsidR="000F346F" w:rsidRPr="00FC3C61">
        <w:rPr>
          <w:rFonts w:cs="Times New Roman"/>
          <w:noProof/>
          <w:sz w:val="22"/>
          <w:szCs w:val="22"/>
        </w:rPr>
        <w:t xml:space="preserve">Hartmut Berghoff and Uwe Spiekermann, “Shady Business: On the History of White-Collar Crime,” </w:t>
      </w:r>
      <w:r w:rsidR="000F346F" w:rsidRPr="00FC3C61">
        <w:rPr>
          <w:rFonts w:cs="Times New Roman"/>
          <w:i/>
          <w:noProof/>
          <w:sz w:val="22"/>
          <w:szCs w:val="22"/>
        </w:rPr>
        <w:t>Business History</w:t>
      </w:r>
      <w:r w:rsidR="000F346F" w:rsidRPr="00FC3C61">
        <w:rPr>
          <w:rFonts w:cs="Times New Roman"/>
          <w:noProof/>
          <w:sz w:val="22"/>
          <w:szCs w:val="22"/>
        </w:rPr>
        <w:t xml:space="preserve"> 60, no. 3 (2018): 289–304; James William Coleman, “Toward an Integrated Theory of White-Collar Crime,” </w:t>
      </w:r>
      <w:r w:rsidR="000F346F" w:rsidRPr="00FC3C61">
        <w:rPr>
          <w:rFonts w:cs="Times New Roman"/>
          <w:i/>
          <w:noProof/>
          <w:sz w:val="22"/>
          <w:szCs w:val="22"/>
        </w:rPr>
        <w:t>American Journal of Sociology</w:t>
      </w:r>
      <w:r w:rsidR="000F346F" w:rsidRPr="00FC3C61">
        <w:rPr>
          <w:rFonts w:cs="Times New Roman"/>
          <w:noProof/>
          <w:sz w:val="22"/>
          <w:szCs w:val="22"/>
        </w:rPr>
        <w:t xml:space="preserve"> 93, no. 2 (1987): 406–39.</w:t>
      </w:r>
      <w:r w:rsidR="00FB35C2" w:rsidRPr="00FC3C61">
        <w:rPr>
          <w:rFonts w:cs="Times New Roman"/>
          <w:sz w:val="22"/>
          <w:szCs w:val="22"/>
        </w:rPr>
        <w:fldChar w:fldCharType="end"/>
      </w:r>
    </w:p>
  </w:endnote>
  <w:endnote w:id="32">
    <w:p w14:paraId="7C7C7910" w14:textId="6DC1D035" w:rsidR="00321168" w:rsidRPr="00FC3C61" w:rsidRDefault="00321168">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FD554E" w:rsidRPr="00FC3C61">
        <w:rPr>
          <w:rFonts w:cs="Times New Roman"/>
          <w:sz w:val="22"/>
          <w:szCs w:val="22"/>
        </w:rPr>
        <w:fldChar w:fldCharType="begin" w:fldLock="1"/>
      </w:r>
      <w:r w:rsidR="00D720EE" w:rsidRPr="00FC3C61">
        <w:rPr>
          <w:rFonts w:cs="Times New Roman"/>
          <w:sz w:val="22"/>
          <w:szCs w:val="22"/>
        </w:rPr>
        <w:instrText>ADDIN CSL_CITATION {"citationItems":[{"id":"ITEM-1","itemData":{"ISSN":"0003-1224","author":[{"dropping-particle":"","family":"Shapiro","given":"Susan","non-dropping-particle":"","parse-names":false,"suffix":""}],"container-title":"American sociological review","id":"ITEM-1","issued":{"date-parts":[["1990"]]},"page":"346-365","publisher":"JSTOR","title":"Collaring the crime, not the criminal: Reconsidering the concept of white-collar crime","type":"article-journal"},"uris":["http://www.mendeley.com/documents/?uuid=220e8e8d-de9f-4173-82b0-02a4c9c74921"]}],"mendeley":{"formattedCitation":"Susan Shapiro, “Collaring the Crime, Not the Criminal: Reconsidering the Concept of White-Collar Crime,” &lt;i&gt;American Sociological Review&lt;/i&gt;, 1990, 346–65.","plainTextFormattedCitation":"Susan Shapiro, “Collaring the Crime, Not the Criminal: Reconsidering the Concept of White-Collar Crime,” American Sociological Review, 1990, 346–65.","previouslyFormattedCitation":"Susan Shapiro, “Collaring the Crime, Not the Criminal: Reconsidering the Concept of White-Collar Crime,” &lt;i&gt;American Sociological Review&lt;/i&gt;, 1990, 346–65."},"properties":{"noteIndex":0},"schema":"https://github.com/citation-style-language/schema/raw/master/csl-citation.json"}</w:instrText>
      </w:r>
      <w:r w:rsidR="00FD554E" w:rsidRPr="00FC3C61">
        <w:rPr>
          <w:rFonts w:cs="Times New Roman"/>
          <w:sz w:val="22"/>
          <w:szCs w:val="22"/>
        </w:rPr>
        <w:fldChar w:fldCharType="separate"/>
      </w:r>
      <w:r w:rsidR="00D720EE" w:rsidRPr="00FC3C61">
        <w:rPr>
          <w:rFonts w:cs="Times New Roman"/>
          <w:noProof/>
          <w:sz w:val="22"/>
          <w:szCs w:val="22"/>
        </w:rPr>
        <w:t xml:space="preserve">Susan Shapiro, “Collaring the Crime, Not the Criminal: Reconsidering the Concept of White-Collar Crime,” </w:t>
      </w:r>
      <w:r w:rsidR="00D720EE" w:rsidRPr="00FC3C61">
        <w:rPr>
          <w:rFonts w:cs="Times New Roman"/>
          <w:i/>
          <w:noProof/>
          <w:sz w:val="22"/>
          <w:szCs w:val="22"/>
        </w:rPr>
        <w:t>American Sociological Review</w:t>
      </w:r>
      <w:r w:rsidR="00D720EE" w:rsidRPr="00FC3C61">
        <w:rPr>
          <w:rFonts w:cs="Times New Roman"/>
          <w:noProof/>
          <w:sz w:val="22"/>
          <w:szCs w:val="22"/>
        </w:rPr>
        <w:t>, 1990, 346–65.</w:t>
      </w:r>
      <w:r w:rsidR="00FD554E" w:rsidRPr="00FC3C61">
        <w:rPr>
          <w:rFonts w:cs="Times New Roman"/>
          <w:sz w:val="22"/>
          <w:szCs w:val="22"/>
        </w:rPr>
        <w:fldChar w:fldCharType="end"/>
      </w:r>
    </w:p>
  </w:endnote>
  <w:endnote w:id="33">
    <w:p w14:paraId="739D3034" w14:textId="7653DCF3" w:rsidR="001C5A8B" w:rsidRPr="00FC3C61" w:rsidRDefault="001C5A8B" w:rsidP="001C5A8B">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B71627" w:rsidRPr="00FC3C61">
        <w:rPr>
          <w:rFonts w:cs="Times New Roman"/>
          <w:color w:val="000000" w:themeColor="text1"/>
          <w:sz w:val="22"/>
          <w:szCs w:val="22"/>
        </w:rPr>
        <w:fldChar w:fldCharType="begin" w:fldLock="1"/>
      </w:r>
      <w:r w:rsidR="00B71627" w:rsidRPr="00FC3C61">
        <w:rPr>
          <w:rFonts w:cs="Times New Roman"/>
          <w:color w:val="000000" w:themeColor="text1"/>
          <w:sz w:val="22"/>
          <w:szCs w:val="22"/>
        </w:rPr>
        <w:instrText>ADDIN CSL_CITATION {"citationItems":[{"id":"ITEM-1","itemData":{"author":[{"dropping-particle":"","family":"Brooks","given":"John","non-dropping-particle":"","parse-names":false,"suffix":""}],"container-title":"Business Adventurs","id":"ITEM-1","issued":{"date-parts":[["2019"]]},"page":"227-255","publisher-place":"London","title":"The Impacted Philosphers","type":"chapter"},"uris":["http://www.mendeley.com/documents/?uuid=abb977bd-758d-4c1b-b3ee-f7d3c9249c54"]},{"id":"ITEM-2","itemData":{"ISBN":"0003-1224","author":[{"dropping-particle":"","family":"Baker","given":"Wayne","non-dropping-particle":"","parse-names":false,"suffix":""},{"dropping-particle":"","family":"Faulkner","given":"Robert","non-dropping-particle":"","parse-names":false,"suffix":""}],"container-title":"American Sociological Review","id":"ITEM-2","issue":"6","issued":{"date-parts":[["1993"]]},"page":"837-860","title":"The social organization of conspiracy: Illegal networks in the heavy electrical equipment industry","type":"article-journal","volume":"58"},"uris":["http://www.mendeley.com/documents/?uuid=18193520-9d9c-4c68-b9e9-83505300a39a"]},{"id":"ITEM-3","itemData":{"author":[{"dropping-particle":"","family":"Eichenwald","given":"Kurt","non-dropping-particle":"","parse-names":false,"suffix":""}],"id":"ITEM-3","issued":{"date-parts":[["2000"]]},"publisher-place":"New York, NY","title":"The Informant: A True Story","type":"book"},"uris":["http://www.mendeley.com/documents/?uuid=5c8e98d2-a78b-4e6f-9026-2e06ab542a52"]}],"mendeley":{"formattedCitation":"John Brooks, “The Impacted Philosphers,” in &lt;i&gt;Business Adventurs&lt;/i&gt; (London, 2019), 227–55; Wayne Baker and Robert Faulkner, “The Social Organization of Conspiracy: Illegal Networks in the Heavy Electrical Equipment Industry,” &lt;i&gt;American Sociological Review&lt;/i&gt; 58, no. 6 (1993): 837–60; Kurt Eichenwald, &lt;i&gt;The Informant: A True Story&lt;/i&gt; (New York, NY, 2000).","plainTextFormattedCitation":"John Brooks, “The Impacted Philosphers,” in Business Adventurs (London, 2019), 227–55; Wayne Baker and Robert Faulkner, “The Social Organization of Conspiracy: Illegal Networks in the Heavy Electrical Equipment Industry,” American Sociological Review 58, no. 6 (1993): 837–60; Kurt Eichenwald, The Informant: A True Story (New York, NY, 2000).","previouslyFormattedCitation":"John Brooks, “The Impacted Philosphers,” in &lt;i&gt;Business Adventurs&lt;/i&gt; (London, 2019), 227–55; Wayne Baker and Robert Faulkner, “The Social Organization of Conspiracy: Illegal Networks in the Heavy Electrical Equipment Industry,” &lt;i&gt;American Sociological Review&lt;/i&gt; 58, no. 6 (1993): 837–60; Kurt Eichenwald, &lt;i&gt;The Informant: A True Story&lt;/i&gt; (New York, NY, 2000)."},"properties":{"noteIndex":0},"schema":"https://github.com/citation-style-language/schema/raw/master/csl-citation.json"}</w:instrText>
      </w:r>
      <w:r w:rsidR="00B71627" w:rsidRPr="00FC3C61">
        <w:rPr>
          <w:rFonts w:cs="Times New Roman"/>
          <w:color w:val="000000" w:themeColor="text1"/>
          <w:sz w:val="22"/>
          <w:szCs w:val="22"/>
        </w:rPr>
        <w:fldChar w:fldCharType="separate"/>
      </w:r>
      <w:r w:rsidR="00B71627" w:rsidRPr="00FC3C61">
        <w:rPr>
          <w:rFonts w:cs="Times New Roman"/>
          <w:noProof/>
          <w:color w:val="000000" w:themeColor="text1"/>
          <w:sz w:val="22"/>
          <w:szCs w:val="22"/>
        </w:rPr>
        <w:t xml:space="preserve">John Brooks, “The Impacted Philosphers,” in </w:t>
      </w:r>
      <w:r w:rsidR="00B71627" w:rsidRPr="00FC3C61">
        <w:rPr>
          <w:rFonts w:cs="Times New Roman"/>
          <w:i/>
          <w:noProof/>
          <w:color w:val="000000" w:themeColor="text1"/>
          <w:sz w:val="22"/>
          <w:szCs w:val="22"/>
        </w:rPr>
        <w:t>Business Adventurs</w:t>
      </w:r>
      <w:r w:rsidR="00B71627" w:rsidRPr="00FC3C61">
        <w:rPr>
          <w:rFonts w:cs="Times New Roman"/>
          <w:noProof/>
          <w:color w:val="000000" w:themeColor="text1"/>
          <w:sz w:val="22"/>
          <w:szCs w:val="22"/>
        </w:rPr>
        <w:t xml:space="preserve"> (London, 2019), 227–55; Wayne Baker and Robert Faulkner, “The Social Organization of Conspiracy: Illegal Networks in the Heavy Electrical Equipment Industry,” </w:t>
      </w:r>
      <w:r w:rsidR="00B71627" w:rsidRPr="00FC3C61">
        <w:rPr>
          <w:rFonts w:cs="Times New Roman"/>
          <w:i/>
          <w:noProof/>
          <w:color w:val="000000" w:themeColor="text1"/>
          <w:sz w:val="22"/>
          <w:szCs w:val="22"/>
        </w:rPr>
        <w:t>American Sociological Review</w:t>
      </w:r>
      <w:r w:rsidR="00B71627" w:rsidRPr="00FC3C61">
        <w:rPr>
          <w:rFonts w:cs="Times New Roman"/>
          <w:noProof/>
          <w:color w:val="000000" w:themeColor="text1"/>
          <w:sz w:val="22"/>
          <w:szCs w:val="22"/>
        </w:rPr>
        <w:t xml:space="preserve"> 58, no. 6 (1993): 837–60; Kurt Eichenwald, </w:t>
      </w:r>
      <w:r w:rsidR="00B71627" w:rsidRPr="00FC3C61">
        <w:rPr>
          <w:rFonts w:cs="Times New Roman"/>
          <w:i/>
          <w:noProof/>
          <w:color w:val="000000" w:themeColor="text1"/>
          <w:sz w:val="22"/>
          <w:szCs w:val="22"/>
        </w:rPr>
        <w:t>The Informant: A True Story</w:t>
      </w:r>
      <w:r w:rsidR="00B71627" w:rsidRPr="00FC3C61">
        <w:rPr>
          <w:rFonts w:cs="Times New Roman"/>
          <w:noProof/>
          <w:color w:val="000000" w:themeColor="text1"/>
          <w:sz w:val="22"/>
          <w:szCs w:val="22"/>
        </w:rPr>
        <w:t xml:space="preserve"> (New York, 2000).</w:t>
      </w:r>
      <w:r w:rsidR="00B71627" w:rsidRPr="00FC3C61">
        <w:rPr>
          <w:rFonts w:cs="Times New Roman"/>
          <w:color w:val="000000" w:themeColor="text1"/>
          <w:sz w:val="22"/>
          <w:szCs w:val="22"/>
        </w:rPr>
        <w:fldChar w:fldCharType="end"/>
      </w:r>
      <w:r w:rsidR="00B71627" w:rsidRPr="00FC3C61">
        <w:rPr>
          <w:rFonts w:cs="Times New Roman"/>
          <w:color w:val="000000" w:themeColor="text1"/>
          <w:sz w:val="22"/>
          <w:szCs w:val="22"/>
        </w:rPr>
        <w:t xml:space="preserve"> In addition to General Electric, notable historical examples of price fixing networks include ADM and competitors’ price fixing of the cattle feed additives. </w:t>
      </w:r>
    </w:p>
  </w:endnote>
  <w:endnote w:id="34">
    <w:p w14:paraId="556219F1" w14:textId="6B27A8F3" w:rsidR="0093268D" w:rsidRPr="00FC3C61" w:rsidRDefault="0093268D" w:rsidP="00037E2E">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For instance, </w:t>
      </w:r>
      <w:r w:rsidR="006B11D0" w:rsidRPr="00FC3C61">
        <w:rPr>
          <w:rFonts w:cs="Times New Roman"/>
          <w:sz w:val="22"/>
          <w:szCs w:val="22"/>
        </w:rPr>
        <w:t>organizational</w:t>
      </w:r>
      <w:r w:rsidRPr="00FC3C61">
        <w:rPr>
          <w:rFonts w:cs="Times New Roman"/>
          <w:sz w:val="22"/>
          <w:szCs w:val="22"/>
        </w:rPr>
        <w:t xml:space="preserve"> corruption builds on works such as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Needleman","given":"Martin","non-dropping-particle":"","parse-names":false,"suffix":""},{"dropping-particle":"","family":"Needleman","given":"Carolyn","non-dropping-particle":"","parse-names":false,"suffix":""}],"container-title":"The Sociological Quarterly","id":"ITEM-1","issue":"4","issued":{"date-parts":[["1979"]]},"page":"517-528","title":"Organizational crime: Two models of criminogenesis","type":"article-journal","volume":"20"},"uris":["http://www.mendeley.com/documents/?uuid=2934418d-6c92-4c8d-8e47-79cf0d0b562a"]},{"id":"ITEM-2","itemData":{"author":[{"dropping-particle":"","family":"Vaughan","given":"Diane","non-dropping-particle":"","parse-names":false,"suffix":""}],"container-title":"Annual review of sociology","id":"ITEM-2","issued":{"date-parts":[["1999"]]},"page":"271-305","title":"The dark side of organizations: Mistake, misconduct, and disaster","type":"article-journal","volume":"25"},"uris":["http://www.mendeley.com/documents/?uuid=0564b6f8-797c-4f7c-ab89-645feece52d0"]},{"id":"ITEM-3","itemData":{"abstract":"In attempting to uncover the roots of juvenile delinquency, the social scientist has long since ceased to search for devils in the mind or stigma of the body. It is now largely agreed that delinquent behavior, like most social behavior, is learned and that it is learned in the process of social interaction. The classic statement of this position is found in sociologist E.H. Sutherland's theory of differential association, which asserts that criminal or delinquent behavior involves the learning of (a) techniques of committing crimes and (b) motives, drives, rationalizations, and attitudes favorable to the violation of law. Unfortunately, the specific content of what is learned as opposed to the process by which it is learned has received relatively little attention in either theory or research. Perhaps the single strongest school of thought on the nature of this content has centered on the idea of a delinquent sub-culture. The basic characteristic of the delinquent sub-culture, it is argued, is a system of values that represents an inversion of the values held by respectable, law-abiding society.","author":[{"dropping-particle":"","family":"Sykes","given":"Gresham","non-dropping-particle":"","parse-names":false,"suffix":""},{"dropping-particle":"","family":"Matza","given":"David","non-dropping-particle":"","parse-names":false,"suffix":""}],"container-title":"American Sociological Review","id":"ITEM-3","issue":"6","issued":{"date-parts":[["1957"]]},"note":"Sykes, Gresham M. 1; Matza, David 2; Affiliations: 1 : Princeton University; 2 : Temple University; Source Info: Dec57, Vol. 22 Issue 6, p664; Thesaurus Term: Juvenile delinquency; Thesaurus Term: Neutralization theory; Thesaurus Term: Social sciences; Thesaurus Term: Social interaction; Thesaurus Term: Interpersonal relations; Thesaurus Term: Differential association theory; Number of Pages: 7p; Document Type: Article","page":"664-670","title":"Techniques of neutralization: A theory of delinquency","type":"article-journal","volume":"22"},"uris":["http://www.mendeley.com/documents/?uuid=d84298a4-991f-4586-831d-a07a2339086b"]}],"mendeley":{"formattedCitation":"Martin Needleman and Carolyn Needleman, “Organizational Crime: Two Models of Criminogenesis,” &lt;i&gt;The Sociological Quarterly&lt;/i&gt; 20, no. 4 (1979): 517–28; Diane Vaughan, “The Dark Side of Organizations: Mistake, Misconduct, and Disaster,” &lt;i&gt;Annual Review of Sociology&lt;/i&gt; 25 (1999): 271–305; Gresham Sykes and David Matza, “Techniques of Neutralization: A Theory of Delinquency,” &lt;i&gt;American Sociological Review&lt;/i&gt; 22, no. 6 (1957): 664–70.","plainTextFormattedCitation":"Martin Needleman and Carolyn Needleman, “Organizational Crime: Two Models of Criminogenesis,” The Sociological Quarterly 20, no. 4 (1979): 517–28; Diane Vaughan, “The Dark Side of Organizations: Mistake, Misconduct, and Disaster,” Annual Review of Sociology 25 (1999): 271–305; Gresham Sykes and David Matza, “Techniques of Neutralization: A Theory of Delinquency,” American Sociological Review 22, no. 6 (1957): 664–70.","previouslyFormattedCitation":"Martin Needleman and Carolyn Needleman, “Organizational Crime: Two Models of Criminogenesis,” &lt;i&gt;The Sociological Quarterly&lt;/i&gt; 20, no. 4 (1979): 517–28; Diane Vaughan, “The Dark Side of Organizations: Mistake, Misconduct, and Disaster,” &lt;i&gt;Annual Review of Sociology&lt;/i&gt; 25 (1999): 271–305; Gresham Sykes and David Matza, “Techniques of Neutralization: A Theory of Delinquency,” &lt;i&gt;American Sociological Review&lt;/i&gt; 22, no. 6 (1957): 664–70."},"properties":{"noteIndex":0},"schema":"https://github.com/citation-style-language/schema/raw/master/csl-citation.json"}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Martin Needleman and Carolyn Needleman, “Organizational Crime: Two Models of Criminogenesis,” </w:t>
      </w:r>
      <w:r w:rsidRPr="00FC3C61">
        <w:rPr>
          <w:rFonts w:cs="Times New Roman"/>
          <w:i/>
          <w:noProof/>
          <w:sz w:val="22"/>
          <w:szCs w:val="22"/>
        </w:rPr>
        <w:t>The Sociological Quarterly</w:t>
      </w:r>
      <w:r w:rsidRPr="00FC3C61">
        <w:rPr>
          <w:rFonts w:cs="Times New Roman"/>
          <w:noProof/>
          <w:sz w:val="22"/>
          <w:szCs w:val="22"/>
        </w:rPr>
        <w:t xml:space="preserve"> 20, no. 4 (1979): 517–28; Diane Vaughan, “The Dark Side of Organizations: Mistake, Misconduct, and Disaster,” </w:t>
      </w:r>
      <w:r w:rsidRPr="00FC3C61">
        <w:rPr>
          <w:rFonts w:cs="Times New Roman"/>
          <w:i/>
          <w:noProof/>
          <w:sz w:val="22"/>
          <w:szCs w:val="22"/>
        </w:rPr>
        <w:t>Annual Review of Sociology</w:t>
      </w:r>
      <w:r w:rsidRPr="00FC3C61">
        <w:rPr>
          <w:rFonts w:cs="Times New Roman"/>
          <w:noProof/>
          <w:sz w:val="22"/>
          <w:szCs w:val="22"/>
        </w:rPr>
        <w:t xml:space="preserve"> 25 (1999): 271–305; Gresham Sykes and David Matza, “Techniques of Neutralization: A Theory of Delinquency,” </w:t>
      </w:r>
      <w:r w:rsidRPr="00FC3C61">
        <w:rPr>
          <w:rFonts w:cs="Times New Roman"/>
          <w:i/>
          <w:noProof/>
          <w:sz w:val="22"/>
          <w:szCs w:val="22"/>
        </w:rPr>
        <w:t>American Sociological Review</w:t>
      </w:r>
      <w:r w:rsidRPr="00FC3C61">
        <w:rPr>
          <w:rFonts w:cs="Times New Roman"/>
          <w:noProof/>
          <w:sz w:val="22"/>
          <w:szCs w:val="22"/>
        </w:rPr>
        <w:t xml:space="preserve"> 22, no. 6 (1957): 664–70.</w:t>
      </w:r>
      <w:r w:rsidRPr="00FC3C61">
        <w:rPr>
          <w:rFonts w:cs="Times New Roman"/>
          <w:sz w:val="22"/>
          <w:szCs w:val="22"/>
        </w:rPr>
        <w:fldChar w:fldCharType="end"/>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SN":"1047-7039","author":[{"dropping-particle":"","family":"Umphress","given":"Elizabeth","non-dropping-particle":"","parse-names":false,"suffix":""},{"dropping-particle":"","family":"Bingham","given":"John","non-dropping-particle":"","parse-names":false,"suffix":""}],"container-title":"Organization Science","id":"ITEM-1","issue":"3","issued":{"date-parts":[["2011"]]},"page":"621-640","title":"When employees do bad things for good reasons: Examining unethical pro-organizational behaviors","type":"article-journal","volume":"22"},"uris":["http://www.mendeley.com/documents/?uuid=1e1a9eae-2461-4707-85c3-5015faaf0c1f"]}],"mendeley":{"formattedCitation":"Elizabeth Umphress and John Bingham, “When Employees Do Bad Things for Good Reasons: Examining Unethical pro-Organizational Behaviors,” &lt;i&gt;Organization Science&lt;/i&gt; 22, no. 3 (2011): 621–40, internal-pdf://167.241.111.217/Umphress_Bingham_2011.pdf.","manualFormatting":"Elizabeth Umphress and John Bingham, “When Employees Do Bad Things for Good Reasons: Examining Unethical pro-Organizational Behaviors,” Organization Science 22, no. 3 (2011): 621–40.","plainTextFormattedCitation":"Elizabeth Umphress and John Bingham, “When Employees Do Bad Things for Good Reasons: Examining Unethical pro-Organizational Behaviors,” Organization Science 22, no. 3 (2011): 621–40, internal-pdf://167.241.111.217/Umphress_Bingham_2011.pdf.","previouslyFormattedCitation":"Elizabeth Umphress and John Bingham, “When Employees Do Bad Things for Good Reasons: Examining Unethical pro-Organizational Behaviors,” &lt;i&gt;Organization Science&lt;/i&gt; 22, no. 3 (2011): 621–40, internal-pdf://167.241.111.217/Umphress_Bingham_2011.pdf."},"properties":{"noteIndex":0},"schema":"https://github.com/citation-style-language/schema/raw/master/csl-citation.json"}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Elizabeth Umphress and John Bingham, “When Employees Do Bad Things for Good Reasons: Examining Unethical pro-Organizational Behaviors,” </w:t>
      </w:r>
      <w:r w:rsidRPr="00FC3C61">
        <w:rPr>
          <w:rFonts w:cs="Times New Roman"/>
          <w:i/>
          <w:noProof/>
          <w:sz w:val="22"/>
          <w:szCs w:val="22"/>
        </w:rPr>
        <w:t>Organization Science</w:t>
      </w:r>
      <w:r w:rsidRPr="00FC3C61">
        <w:rPr>
          <w:rFonts w:cs="Times New Roman"/>
          <w:noProof/>
          <w:sz w:val="22"/>
          <w:szCs w:val="22"/>
        </w:rPr>
        <w:t xml:space="preserve"> 22, no. 3 (2011): 621–40.</w:t>
      </w:r>
      <w:r w:rsidRPr="00FC3C61">
        <w:rPr>
          <w:rFonts w:cs="Times New Roman"/>
          <w:sz w:val="22"/>
          <w:szCs w:val="22"/>
        </w:rPr>
        <w:fldChar w:fldCharType="end"/>
      </w:r>
    </w:p>
  </w:endnote>
  <w:endnote w:id="35">
    <w:p w14:paraId="27E7899D" w14:textId="12277CCD" w:rsidR="0033170E" w:rsidRPr="00FC3C61" w:rsidRDefault="0033170E">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Black","given":"William","non-dropping-particle":"","parse-names":false,"suffix":""},{"dropping-particle":"","family":"Calavita","given":"Kitty","non-dropping-particle":"","parse-names":false,"suffix":""},{"dropping-particle":"","family":"Pontell","given":"Henry","non-dropping-particle":"","parse-names":false,"suffix":""}],"container-title":"Law &amp; Policy","id":"ITEM-1","issue":"1","issued":{"date-parts":[["1995"]]},"page":"23-55","title":"The Savings and Loan Debacle of the 1980s: White‐Collar Crime or Risky Business?","type":"article-journal","volume":"17"},"uris":["http://www.mendeley.com/documents/?uuid=c62a2631-4091-44e4-86d8-8d99da6cfc81"]}],"mendeley":{"formattedCitation":"William Black, Kitty Calavita, and Henry Pontell, “The Savings and Loan Debacle of the 1980s: White‐Collar Crime or Risky Business?,” &lt;i&gt;Law &amp; Policy&lt;/i&gt; 17, no. 1 (1995): 23–55.","plainTextFormattedCitation":"William Black, Kitty Calavita, and Henry Pontell, “The Savings and Loan Debacle of the 1980s: White‐Collar Crime or Risky Business?,” Law &amp; Policy 17, no. 1 (1995): 23–55.","previouslyFormattedCitation":"William Black, Kitty Calavita, and Henry Pontell, “The Savings and Loan Debacle of the 1980s: White‐Collar Crime or Risky Business?,” &lt;i&gt;Law &amp; Policy&lt;/i&gt; 17, no. 1 (1995): 23–55."},"properties":{"noteIndex":0},"schema":"https://github.com/citation-style-language/schema/raw/master/csl-citation.json"}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William Black, Kitty Calavita, and Henry Pontell, “The Savings and Loan Debacle of the 1980s: White‐Collar Crime or Risky Business?,” </w:t>
      </w:r>
      <w:r w:rsidRPr="00FC3C61">
        <w:rPr>
          <w:rFonts w:cs="Times New Roman"/>
          <w:i/>
          <w:noProof/>
          <w:sz w:val="22"/>
          <w:szCs w:val="22"/>
        </w:rPr>
        <w:t>Law &amp; Policy</w:t>
      </w:r>
      <w:r w:rsidRPr="00FC3C61">
        <w:rPr>
          <w:rFonts w:cs="Times New Roman"/>
          <w:noProof/>
          <w:sz w:val="22"/>
          <w:szCs w:val="22"/>
        </w:rPr>
        <w:t xml:space="preserve"> 17, no. 1 (1995): 23–55.</w:t>
      </w:r>
      <w:r w:rsidRPr="00FC3C61">
        <w:rPr>
          <w:rFonts w:cs="Times New Roman"/>
          <w:sz w:val="22"/>
          <w:szCs w:val="22"/>
        </w:rPr>
        <w:fldChar w:fldCharType="end"/>
      </w:r>
      <w:r w:rsidRPr="00FC3C61">
        <w:rPr>
          <w:rFonts w:cs="Times New Roman"/>
          <w:sz w:val="22"/>
          <w:szCs w:val="22"/>
        </w:rPr>
        <w:t xml:space="preserve"> </w:t>
      </w:r>
    </w:p>
  </w:endnote>
  <w:endnote w:id="36">
    <w:p w14:paraId="78F5E4C9" w14:textId="3B8009E1" w:rsidR="005F175B" w:rsidRPr="00FC3C61" w:rsidRDefault="005F175B">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194B20" w:rsidRPr="00FC3C61">
        <w:rPr>
          <w:rFonts w:cs="Times New Roman"/>
          <w:sz w:val="22"/>
          <w:szCs w:val="22"/>
        </w:rPr>
        <w:fldChar w:fldCharType="begin" w:fldLock="1"/>
      </w:r>
      <w:r w:rsidR="001D67CD" w:rsidRPr="00FC3C61">
        <w:rPr>
          <w:rFonts w:cs="Times New Roman"/>
          <w:sz w:val="22"/>
          <w:szCs w:val="22"/>
        </w:rPr>
        <w:instrText>ADDIN CSL_CITATION {"citationItems":[{"id":"ITEM-1","itemData":{"ISBN":"0925-4994","author":[{"dropping-particle":"","family":"Tillman","given":"Robert","non-dropping-particle":"","parse-names":false,"suffix":""}],"container-title":"Crime, Law and Social Change","id":"ITEM-1","issue":"1","issued":{"date-parts":[["2009"]]},"page":"73-86","title":"Making the rules and breaking the rules: the political origins of corporate corruption in the new economy","type":"article-journal","volume":"51"},"uris":["http://www.mendeley.com/documents/?uuid=5ab04fd8-a343-45fc-b7f4-71d7f2e069ed"]},{"id":"ITEM-2","itemData":{"ISBN":"0363-7425","author":[{"dropping-particle":"","family":"Ashforth","given":"Blake","non-dropping-particle":"","parse-names":false,"suffix":""},{"dropping-particle":"","family":"Gioia","given":"Dennis","non-dropping-particle":"","parse-names":false,"suffix":""},{"dropping-particle":"","family":"Robinson","given":"Sandra","non-dropping-particle":"","parse-names":false,"suffix":""},{"dropping-particle":"","family":"Trevino","given":"Linda","non-dropping-particle":"","parse-names":false,"suffix":""}],"container-title":"Academy of Management Review","id":"ITEM-2","issue":"3","issued":{"date-parts":[["2008"]]},"page":"670-684","title":"Re-viewing organizational corruption","type":"article-journal","volume":"33"},"uris":["http://www.mendeley.com/documents/?uuid=357a7368-dbbd-4042-a3eb-8842c3a6b41e"]}],"mendeley":{"formattedCitation":"Tillman, “Making the Rules and Breaking the Rules: The Political Origins of Corporate Corruption in the New Economy”; Ashforth et al., “Re-Viewing Organizational Corruption.”","plainTextFormattedCitation":"Tillman, “Making the Rules and Breaking the Rules: The Political Origins of Corporate Corruption in the New Economy”; Ashforth et al., “Re-Viewing Organizational Corruption.”","previouslyFormattedCitation":"Tillman, “Making the Rules and Breaking the Rules: The Political Origins of Corporate Corruption in the New Economy”; Ashforth et al., “Re-Viewing Organizational Corruption.”"},"properties":{"noteIndex":0},"schema":"https://github.com/citation-style-language/schema/raw/master/csl-citation.json"}</w:instrText>
      </w:r>
      <w:r w:rsidR="00194B20" w:rsidRPr="00FC3C61">
        <w:rPr>
          <w:rFonts w:cs="Times New Roman"/>
          <w:sz w:val="22"/>
          <w:szCs w:val="22"/>
        </w:rPr>
        <w:fldChar w:fldCharType="separate"/>
      </w:r>
      <w:r w:rsidR="001D67CD" w:rsidRPr="00FC3C61">
        <w:rPr>
          <w:rFonts w:cs="Times New Roman"/>
          <w:noProof/>
          <w:sz w:val="22"/>
          <w:szCs w:val="22"/>
        </w:rPr>
        <w:t>Tillman, “Making the Rules and Breaking the Rules: The Political Origins of Corporate Corruption in the New Economy”; Ashforth et al., “Re-Viewing Organizational Corruption.”</w:t>
      </w:r>
      <w:r w:rsidR="00194B20" w:rsidRPr="00FC3C61">
        <w:rPr>
          <w:rFonts w:cs="Times New Roman"/>
          <w:sz w:val="22"/>
          <w:szCs w:val="22"/>
        </w:rPr>
        <w:fldChar w:fldCharType="end"/>
      </w:r>
    </w:p>
  </w:endnote>
  <w:endnote w:id="37">
    <w:p w14:paraId="4587015B" w14:textId="455350C9" w:rsidR="0093268D" w:rsidRPr="00FC3C61" w:rsidRDefault="0093268D" w:rsidP="000C794C">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F83BD4" w:rsidRPr="00FC3C61">
        <w:rPr>
          <w:rFonts w:cs="Times New Roman"/>
          <w:sz w:val="22"/>
          <w:szCs w:val="22"/>
        </w:rPr>
        <w:instrText>ADDIN CSL_CITATION {"citationItems":[{"id":"ITEM-1","itemData":{"ISBN":"1503607933","author":[{"dropping-particle":"","family":"Goldfarb","given":"Brent","non-dropping-particle":"","parse-names":false,"suffix":""},{"dropping-particle":"","family":"Kirsch","given":"David","non-dropping-particle":"","parse-names":false,"suffix":""}],"id":"ITEM-1","issued":{"date-parts":[["2019"]]},"publisher":"Stanford University Press","title":"Bubbles and crashes: The boom and bust of technological innovation","type":"book"},"uris":["http://www.mendeley.com/documents/?uuid=2f1cb845-255e-47ea-a2f5-abf9afa70ff6"]},{"id":"ITEM-2","itemData":{"ISBN":"0691183074","author":[{"dropping-particle":"","family":"Balleisen","given":"Edward","non-dropping-particle":"","parse-names":false,"suffix":""}],"id":"ITEM-2","issued":{"date-parts":[["2018"]]},"publisher":"Princeton","title":"Fraud: An American History from Barnum to Madoff","type":"book"},"uris":["http://www.mendeley.com/documents/?uuid=de9554ab-6047-477f-a240-00b14d97d8c8"]},{"id":"ITEM-3","itemData":{"author":[{"dropping-particle":"","family":"Galbraith","given":"John Kenneth","non-dropping-particle":"","parse-names":false,"suffix":""}],"id":"ITEM-3","issued":{"date-parts":[["1955"]]},"publisher-place":"Boston","title":"The Great Crash 1929","type":"book"},"uris":["http://www.mendeley.com/documents/?uuid=865307da-b995-4f7a-903c-b117685af79b"]}],"mendeley":{"formattedCitation":"Brent Goldfarb and David Kirsch, &lt;i&gt;Bubbles and Crashes: The Boom and Bust of Technological Innovation&lt;/i&gt; (Stanford University Press, 2019); Balleisen, &lt;i&gt;Fraud: An American History from Barnum to Madoff&lt;/i&gt;; John Kenneth Galbraith, &lt;i&gt;The Great Crash 1929&lt;/i&gt; (Boston, 1955).","manualFormatting":"Brent Goldfarb and David Kirsch, Bubbles and Crashes: The Boom and Bust of Technological Innovation (Stanford University Press, 2019), 64-67; Balleisen, Fraud, 247-249 John Kenneth Galbraith, The Great Crash 1929 (Boston, 1955), 194-200.","plainTextFormattedCitation":"Brent Goldfarb and David Kirsch, Bubbles and Crashes: The Boom and Bust of Technological Innovation (Stanford University Press, 2019); Balleisen, Fraud: An American History from Barnum to Madoff; John Kenneth Galbraith, The Great Crash 1929 (Boston, 1955).","previouslyFormattedCitation":"Brent Goldfarb and David Kirsch, &lt;i&gt;Bubbles and Crashes: The Boom and Bust of Technological Innovation&lt;/i&gt; (Stanford University Press, 2019); Balleisen, &lt;i&gt;Fraud: An American History from Barnum to Madoff&lt;/i&gt;; John Kenneth Galbraith, &lt;i&gt;The Great Crash 1929&lt;/i&gt; (Boston, 1955)."},"properties":{"noteIndex":0},"schema":"https://github.com/citation-style-language/schema/raw/master/csl-citation.json"}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Brent Goldfarb and David Kirsch, </w:t>
      </w:r>
      <w:r w:rsidRPr="00FC3C61">
        <w:rPr>
          <w:rFonts w:cs="Times New Roman"/>
          <w:i/>
          <w:noProof/>
          <w:sz w:val="22"/>
          <w:szCs w:val="22"/>
        </w:rPr>
        <w:t>Bubbles and Crashes: The Boom and Bust of Technological Innovation</w:t>
      </w:r>
      <w:r w:rsidRPr="00FC3C61">
        <w:rPr>
          <w:rFonts w:cs="Times New Roman"/>
          <w:noProof/>
          <w:sz w:val="22"/>
          <w:szCs w:val="22"/>
        </w:rPr>
        <w:t xml:space="preserve"> (Stanford, 2019), 64-67; Balleisen, </w:t>
      </w:r>
      <w:r w:rsidRPr="00FC3C61">
        <w:rPr>
          <w:rFonts w:cs="Times New Roman"/>
          <w:i/>
          <w:noProof/>
          <w:sz w:val="22"/>
          <w:szCs w:val="22"/>
        </w:rPr>
        <w:t>Fraud</w:t>
      </w:r>
      <w:r w:rsidRPr="00FC3C61">
        <w:rPr>
          <w:rFonts w:cs="Times New Roman"/>
          <w:noProof/>
          <w:sz w:val="22"/>
          <w:szCs w:val="22"/>
        </w:rPr>
        <w:t xml:space="preserve">, 247-249 John Kenneth Galbraith, </w:t>
      </w:r>
      <w:r w:rsidRPr="00FC3C61">
        <w:rPr>
          <w:rFonts w:cs="Times New Roman"/>
          <w:i/>
          <w:noProof/>
          <w:sz w:val="22"/>
          <w:szCs w:val="22"/>
        </w:rPr>
        <w:t>The Great Crash 1929</w:t>
      </w:r>
      <w:r w:rsidRPr="00FC3C61">
        <w:rPr>
          <w:rFonts w:cs="Times New Roman"/>
          <w:noProof/>
          <w:sz w:val="22"/>
          <w:szCs w:val="22"/>
        </w:rPr>
        <w:t xml:space="preserve"> (Boston, 1955), 194-200.</w:t>
      </w:r>
      <w:r w:rsidRPr="00FC3C61">
        <w:rPr>
          <w:rFonts w:cs="Times New Roman"/>
          <w:sz w:val="22"/>
          <w:szCs w:val="22"/>
        </w:rPr>
        <w:fldChar w:fldCharType="end"/>
      </w:r>
    </w:p>
  </w:endnote>
  <w:endnote w:id="38">
    <w:p w14:paraId="60753DC8" w14:textId="16E751DB" w:rsidR="0093268D" w:rsidRPr="00FC3C61" w:rsidRDefault="0093268D">
      <w:pPr>
        <w:pStyle w:val="EndnoteText"/>
        <w:rPr>
          <w:rFonts w:cs="Times New Roman"/>
          <w:color w:val="000000" w:themeColor="text1"/>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fldChar w:fldCharType="begin" w:fldLock="1"/>
      </w:r>
      <w:r w:rsidR="005157B5" w:rsidRPr="00FC3C61">
        <w:rPr>
          <w:rFonts w:cs="Times New Roman"/>
          <w:color w:val="000000" w:themeColor="text1"/>
          <w:sz w:val="22"/>
          <w:szCs w:val="22"/>
        </w:rPr>
        <w:instrText>ADDIN CSL_CITATION {"citationItems":[{"id":"ITEM-1","itemData":{"ISSN":"0191-3085","abstract":"Organizational wrongdoing consists of behavior perpetrated by organizational officials (i.e., directors, managers, and/or employees) in the course of fulfilling their organizational roles that is judged by social control agents (i.e., prosecutors, regulatory agency officials, judges, journalists, etc.) to be illegal, unethical, or socially irresponsible. Collective organizational wrongdoing involves the sustained coordination of multiple organizational participants. We review the dominant explanation of collective organizational wrongdoing, delve into its two main variants, and provide illustrations of each. We then provide an overview of an alternative explanation of collective wrongdoing, the process model of collective corruption. This sets the stage for our main contribution—a five part extension of the process model of collective corruption. Our investigation proceeds through a series of analyses, each of which begins with an elaboration of existing ideas about collective organizational wrongdoing, proceeds to an extension of these ideas, and concludes with an illustration of the extension. Our illustrations are drawn from case studies that include thick descriptions of organizational wrongdoing, which provide detailed information about the actions, thoughts, and emotions of wrongdoers as they become involved in wrongdoing. We conclude by considering the theoretical and policy implications of the alternative perspective on collective wrongdoing.","author":[{"dropping-particle":"","family":"Palmer","given":"Donald","non-dropping-particle":"","parse-names":false,"suffix":""}],"container-title":"Research in Organizational Behavior","id":"ITEM-1","issued":{"date-parts":[["2008"]]},"page":"107-135","title":"Extending the process model of collective corruption","type":"article-journal","volume":"28"},"uris":["http://www.mendeley.com/documents/?uuid=0e6f1368-aa53-41bd-9886-bf6a3f1a867f"]}],"mendeley":{"formattedCitation":"Palmer, “Extending the Process Model of Collective Corruption.”","plainTextFormattedCitation":"Palmer, “Extending the Process Model of Collective Corruption.”","previouslyFormattedCitation":"Palmer, “Extending the Process Model of Collective Corruption.”"},"properties":{"noteIndex":0},"schema":"https://github.com/citation-style-language/schema/raw/master/csl-citation.json"}</w:instrText>
      </w:r>
      <w:r w:rsidRPr="00FC3C61">
        <w:rPr>
          <w:rFonts w:cs="Times New Roman"/>
          <w:color w:val="000000" w:themeColor="text1"/>
          <w:sz w:val="22"/>
          <w:szCs w:val="22"/>
        </w:rPr>
        <w:fldChar w:fldCharType="separate"/>
      </w:r>
      <w:r w:rsidR="005157B5" w:rsidRPr="00FC3C61">
        <w:rPr>
          <w:rFonts w:cs="Times New Roman"/>
          <w:noProof/>
          <w:color w:val="000000" w:themeColor="text1"/>
          <w:sz w:val="22"/>
          <w:szCs w:val="22"/>
        </w:rPr>
        <w:t>Palmer, “Extending the Process Model of Collective Corruption.”</w:t>
      </w:r>
      <w:r w:rsidRPr="00FC3C61">
        <w:rPr>
          <w:rFonts w:cs="Times New Roman"/>
          <w:color w:val="000000" w:themeColor="text1"/>
          <w:sz w:val="22"/>
          <w:szCs w:val="22"/>
        </w:rPr>
        <w:fldChar w:fldCharType="end"/>
      </w:r>
    </w:p>
  </w:endnote>
  <w:endnote w:id="39">
    <w:p w14:paraId="2A9F3315" w14:textId="1DB9A068" w:rsidR="0093268D" w:rsidRPr="00FC3C61" w:rsidRDefault="0093268D" w:rsidP="00724F1A">
      <w:pPr>
        <w:pStyle w:val="EndnoteText"/>
        <w:rPr>
          <w:rFonts w:cs="Times New Roman"/>
          <w:sz w:val="22"/>
          <w:szCs w:val="22"/>
        </w:rPr>
      </w:pPr>
      <w:r w:rsidRPr="00FC3C61">
        <w:rPr>
          <w:rStyle w:val="EndnoteReference"/>
          <w:rFonts w:cs="Times New Roman"/>
          <w:color w:val="000000" w:themeColor="text1"/>
          <w:sz w:val="22"/>
          <w:szCs w:val="22"/>
        </w:rPr>
        <w:endnoteRef/>
      </w:r>
      <w:r w:rsidRPr="00FC3C61">
        <w:rPr>
          <w:rFonts w:cs="Times New Roman"/>
          <w:color w:val="000000" w:themeColor="text1"/>
          <w:sz w:val="22"/>
          <w:szCs w:val="22"/>
        </w:rPr>
        <w:t xml:space="preserv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{"citationItems":[{"id":"ITEM-1","itemData":{"author":[{"dropping-particle":"","family":"Ariely","given":"Dan","non-dropping-particle":"","parse-names":false,"suffix":""}],"id":"ITEM-1","issued":{"date-parts":[["2012"]]},"note":"Includes bibliographical references and index.","publisher":"HarperCollins","publisher-place":"London","title":"The (honest) truth about dishonesty: How we lie to everyone, especially ourselves","type":"book"},"uris":["http://www.mendeley.com/documents/?uuid=4f0dcb38-1149-4bc3-9ddf-0c1f1b41bb47"]},{"id":"ITEM-2","itemData":{"ISSN":"0036-8075","author":[{"dropping-particle":"","family":"Tversky","given":"Amos","non-dropping-particle":"","parse-names":false,"suffix":""},{"dropping-particle":"","family":"Kahneman","given":"Daniel","non-dropping-particle":"","parse-names":false,"suffix":""}],"container-title":"science","id":"ITEM-2","issue":"4481","issued":{"date-parts":[["1981"]]},"page":"453-458","publisher":"American Association for the Advancement of Science","title":"The framing of decisions and the psychology of choice","type":"article-journal","volume":"211"},"uris":["http://www.mendeley.com/documents/?uuid=ef79ce43-bf3a-4e54-9814-2806a39edc38"]},{"id":"ITEM-3","itemData":{"author":[{"dropping-particle":"","family":"MacLean","given":"Tammy","non-dropping-particle":"","parse-names":false,"suffix":""}],"container-title":"Journal of business ethics","id":"ITEM-3","issue":"1-2","issued":{"date-parts":[["2008"]]},"language":"English","page":"3-16","publisher":"Springer Netherlands","title":"Framing and Organizational Misconduct: A Symbolic Interactionist Study","type":"article-journal","volume":"78"},"uris":["http://www.mendeley.com/documents/?uuid=aab90e26-5c3f-4f56-9c39-9c169c259649"]},{"id":"ITEM-4","itemData":{"ISSN":"0022-2437","author":[{"dropping-particle":"","family":"Mazar","given":"Nina","non-dropping-particle":"","parse-names":false,"suffix":""},{"dropping-particle":"","family":"Amir","given":"On","non-dropping-particle":"","parse-names":false,"suffix":""},{"dropping-particle":"","family":"Ariely","given":"Dan","non-dropping-particle":"","parse-names":false,"suffix":""}],"container-title":"Journal of marketing research","id":"ITEM-4","issue":"6","issued":{"date-parts":[["2008"]]},"page":"633-644","title":"The dishonesty of honest people: A theory of self-concept maintenance","type":"article-journal","volume":"45"},"uris":["http://www.mendeley.com/documents/?uuid=31d44ca3-1b3a-486e-a3a1-39ef88bc7ec4"]}],"mendeley":{"formattedCitation":"Dan Ariely, &lt;i&gt;The (Honest) Truth about Dishonesty: How We Lie to Everyone, Especially Ourselves&lt;/i&gt; (London: HarperCollins, 2012); Amos Tversky and Daniel Kahneman, “The Framing of Decisions and the Psychology of Choice,” &lt;i&gt;Science&lt;/i&gt; 211, no. 4481 (1981): 453–58; Tammy MacLean, “Framing and Organizational Misconduct: A Symbolic Interactionist Study,” &lt;i&gt;Journal of Business Ethics&lt;/i&gt; 78, no. 1–2 (2008): 3–16; Nina Mazar, On Amir, and Dan Ariely, “The Dishonesty of Honest People: A Theory of Self-Concept Maintenance,” &lt;i&gt;Journal of Marketing Research&lt;/i&gt; 45, no. 6 (2008): 633–44.","manualFormatting":"Dan Ariely, The (Honest) Truth about Dishonesty: How We Lie to Everyone, Especially Ourselves (London, 2012), 165-172; Amos Tversky and Daniel Kahneman, “The Framing of Decisions and the Psychology of Choice,” Science 211, no. 4481 (1981): 453–58; Tammy MacLean, “Framing and Organizational Misconduct: A Symbolic Interactionist Study,” Journal of Business Ethics 78, no. 1–2 (2008): 3–16; Nina Mazar, On Amir, and Dan Ariely, “The Dishonesty of Honest People: A Theory of Self-Concept Maintenance,” Journal of Marketing Research 45, no. 6 (2008): 633–44.","plainTextFormattedCitation":"Dan Ariely, The (Honest) Truth about Dishonesty: How We Lie to Everyone, Especially Ourselves (London: HarperCollins, 2012); Amos Tversky and Daniel Kahneman, “The Framing of Decisions and the Psychology of Choice,” Science 211, no. 4481 (1981): 453–58; Tammy MacLean, “Framing and Organizational Misconduct: A Symbolic Interactionist Study,” Journal of Business Ethics 78, no. 1–2 (2008): 3–16; Nina Mazar, On Amir, and Dan Ariely, “The Dishonesty of Honest People: A Theory of Self-Concept Maintenance,” Journal of Marketing Research 45, no. 6 (2008): 633–44.","previouslyFormattedCitation":"Dan Ariely, &lt;i&gt;The (Honest) Truth about Dishonesty: How We Lie to Everyone, Especially Ourselves&lt;/i&gt; (London: HarperCollins, 2012); Amos Tversky and Daniel Kahneman, “The Framing of Decisions and the Psychology of Choice,” &lt;i&gt;Science&lt;/i&gt; 211, no. 4481 (1981): 453–58; Tammy MacLean, “Framing and Organizational Misconduct: A Symbolic Interactionist Study,” &lt;i&gt;Journal of Business Ethics&lt;/i&gt; 78, no. 1–2 (2008): 3–16; Nina Mazar, On Amir, and Dan Ariely, “The Dishonesty of Honest People: A Theory of Self-Concept Maintenance,” &lt;i&gt;Journal of Marketing Research&lt;/i&gt; 45, no. 6 (2008): 633–44."},"properties":{"noteIndex":0},"schema":"https://github.com/citation-style-language/schema/raw/master/csl-citation.json"}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 xml:space="preserve">Dan Ariely, </w:t>
      </w:r>
      <w:r w:rsidRPr="00FC3C61">
        <w:rPr>
          <w:rFonts w:cs="Times New Roman"/>
          <w:i/>
          <w:noProof/>
          <w:color w:val="000000" w:themeColor="text1"/>
          <w:sz w:val="22"/>
          <w:szCs w:val="22"/>
        </w:rPr>
        <w:t>The (Honest) Truth about Dishonesty: How We Lie to Everyone, Especially Ourselves</w:t>
      </w:r>
      <w:r w:rsidRPr="00FC3C61">
        <w:rPr>
          <w:rFonts w:cs="Times New Roman"/>
          <w:noProof/>
          <w:color w:val="000000" w:themeColor="text1"/>
          <w:sz w:val="22"/>
          <w:szCs w:val="22"/>
        </w:rPr>
        <w:t xml:space="preserve"> (London, 2012), 165-172; Amos Tversky and Daniel Kahneman, “The Framing of Decisions and the Psychology of Choice,” </w:t>
      </w:r>
      <w:r w:rsidRPr="00FC3C61">
        <w:rPr>
          <w:rFonts w:cs="Times New Roman"/>
          <w:i/>
          <w:noProof/>
          <w:color w:val="000000" w:themeColor="text1"/>
          <w:sz w:val="22"/>
          <w:szCs w:val="22"/>
        </w:rPr>
        <w:t>Science</w:t>
      </w:r>
      <w:r w:rsidRPr="00FC3C61">
        <w:rPr>
          <w:rFonts w:cs="Times New Roman"/>
          <w:noProof/>
          <w:color w:val="000000" w:themeColor="text1"/>
          <w:sz w:val="22"/>
          <w:szCs w:val="22"/>
        </w:rPr>
        <w:t xml:space="preserve"> 211, no. 4481 (1981): 453–58; Tammy MacLean, “Framing and Organizational Misconduct: A Symbolic Interactionist Study,” </w:t>
      </w:r>
      <w:r w:rsidRPr="00FC3C61">
        <w:rPr>
          <w:rFonts w:cs="Times New Roman"/>
          <w:i/>
          <w:noProof/>
          <w:color w:val="000000" w:themeColor="text1"/>
          <w:sz w:val="22"/>
          <w:szCs w:val="22"/>
        </w:rPr>
        <w:t>Journal of Business Ethics</w:t>
      </w:r>
      <w:r w:rsidRPr="00FC3C61">
        <w:rPr>
          <w:rFonts w:cs="Times New Roman"/>
          <w:noProof/>
          <w:color w:val="000000" w:themeColor="text1"/>
          <w:sz w:val="22"/>
          <w:szCs w:val="22"/>
        </w:rPr>
        <w:t xml:space="preserve"> 78, no. 1–2 (2008): 3–16; Nina Mazar, On Amir, and Dan Ariely, “The Dishonesty of Honest People: A Theory of Self-Concept Maintenance,” </w:t>
      </w:r>
      <w:r w:rsidRPr="00FC3C61">
        <w:rPr>
          <w:rFonts w:cs="Times New Roman"/>
          <w:i/>
          <w:noProof/>
          <w:color w:val="000000" w:themeColor="text1"/>
          <w:sz w:val="22"/>
          <w:szCs w:val="22"/>
        </w:rPr>
        <w:t>Journal of Marketing Research</w:t>
      </w:r>
      <w:r w:rsidRPr="00FC3C61">
        <w:rPr>
          <w:rFonts w:cs="Times New Roman"/>
          <w:noProof/>
          <w:color w:val="000000" w:themeColor="text1"/>
          <w:sz w:val="22"/>
          <w:szCs w:val="22"/>
        </w:rPr>
        <w:t xml:space="preserve"> 45, no. 6 (2008): 633–44.</w:t>
      </w:r>
      <w:r w:rsidRPr="00FC3C61">
        <w:rPr>
          <w:rFonts w:cs="Times New Roman"/>
          <w:color w:val="000000" w:themeColor="text1"/>
          <w:sz w:val="22"/>
          <w:szCs w:val="22"/>
        </w:rPr>
        <w:fldChar w:fldCharType="end"/>
      </w:r>
    </w:p>
  </w:endnote>
  <w:endnote w:id="40">
    <w:p w14:paraId="69FCA31B" w14:textId="671E2E98" w:rsidR="0093268D" w:rsidRPr="00FC3C61" w:rsidRDefault="0093268D" w:rsidP="00C11FC5">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t xml:space="preserve">For the involvement of third parties in corrupt networks, see </w:t>
      </w:r>
      <w:r w:rsidRPr="00FC3C61">
        <w:rPr>
          <w:rFonts w:cs="Times New Roman"/>
          <w:color w:val="000000" w:themeColor="text1"/>
          <w:sz w:val="22"/>
          <w:szCs w:val="22"/>
        </w:rPr>
        <w:fldChar w:fldCharType="begin" w:fldLock="1"/>
      </w:r>
      <w:r w:rsidR="00600D95" w:rsidRPr="00FC3C61">
        <w:rPr>
          <w:rFonts w:cs="Times New Roman"/>
          <w:color w:val="000000" w:themeColor="text1"/>
          <w:sz w:val="22"/>
          <w:szCs w:val="22"/>
        </w:rPr>
        <w:instrText>ADDIN CSL_CITATION {"citationItems":[{"id":"ITEM-1","itemData":{"abstract":"Despite the importance of organizational misconduct, still not much is known about coordinated misconduct between firms. In this study, we seek a better understanding of how the profile of the partners involved in cartels affects the longevity of their joint misconduct activities. Drawing upon diversity theory, we leverage a distinction between three types of diversity--variety of age-based experience, separation in uncertainty avoidance, and power disparity--in collective organizational misconduct between firms, and study their respective influence on the longevity of cartels. Our empirical analysis gives support to our main arguments: the longevity of cartels tends to be increased by the level of variety of age-based experience and power disparity between partners but reduced by their level of separation in uncertainty avoidance. Implications for the literature on organizational misconduct are discussed. [ABSTRACT FROM AUTHOR]; Copyright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ertrand","given":"Olivier","non-dropping-particle":"","parse-names":false,"suffix":""},{"dropping-particle":"","family":"Lumineau","given":"Fabrice","non-dropping-particle":"","parse-names":false,"suffix":""}],"container-title":"Academy of Management Journal","id":"ITEM-1","issue":"3","issued":{"date-parts":[["2016"]]},"note":"BERTRAND, OLIVIER 1; Email Address: olivier.bertrand@skema.edu; LUMINEAU, FABRICE 2; Email Address: lumineau@purdue.edu; Affiliations: 1: SKEMA Business School; 2: Purdue University; Issue Info: Jun2016, Vol. 59 Issue 3, p983; Number of Pages: 26p; Document Type: Article","page":"983-1008","title":"Partners in crime: The effects of diversity on the longevity of cartels","type":"article-journal","volume":"59"},"uris":["http://www.mendeley.com/documents/?uuid=70541e95-3c2c-4f3f-91ef-5d24ccd161e1"]},{"id":"ITEM-2","itemData":{"ISBN":"0363-7425","author":[{"dropping-particle":"","family":"Pinto","given":"Jonathan","non-dropping-particle":"","parse-names":false,"suffix":""},{"dropping-particle":"","family":"Leana","given":"Carrie","non-dropping-particle":"","parse-names":false,"suffix":""},{"dropping-particle":"","family":"Pil","given":"Frits","non-dropping-particle":"","parse-names":false,"suffix":""}],"container-title":"Academy of Management Review","id":"ITEM-2","issue":"3","issued":{"date-parts":[["2008"]]},"page":"685-709","title":"Corrupt organizations or organizations of corrupt individuals? Two types of organization-level corruption","type":"article-journal","volume":"33"},"uris":["http://www.mendeley.com/documents/?uuid=c605d575-7369-42f9-93be-9130be1d3a18"]},{"id":"ITEM-3","itemData":{"abstract":"Abstract Despite significant investment in anticorruption instruments in the past decades, confusion about their effectiveness remains. While a growing body of scholarship claims that anticorruption reforms have generally failed, other scholars have shown that particular anticorruption tools may actually work. A likely explanation for these puzzling outcomes is that public administration research holds a mistaken view of corruption, and improperly selected anticorruption strategies often target the wrong type of corruption. To overcome this problem, this article proposes a four-cell typology of corruption, reflecting two critical dimensions along which most corrupt behaviors occur: the resource transfer and the primary beneficiary. Synthesizing recent research developments, this article introduces a new conceptualization of corruption that integrates perspectives from several disciplines. It also offers a series of propositions concerning how each corruption type could be fought. The article concludes with implications for research and practice.","author":[{"dropping-particle":"","family":"Jancsics","given":"David","non-dropping-particle":"","parse-names":false,"suffix":""}],"container-title":"Public Administration Review","id":"ITEM-3","issue":"4","issued":{"date-parts":[["2019"]]},"page":"523-537","title":"Corruption as Resource Transfer: An Interdisciplinary Synthesis","type":"article-journal","volume":"79"},"uris":["http://www.mendeley.com/documents/?uuid=cbfec69c-fa06-43e8-b830-f414b0019fa3"]}],"mendeley":{"formattedCitation":"Bertrand and Lumineau, “Partners in Crime: The Effects of Diversity on the Longevity of Cartels”; Pinto, Leana, and Pil, “Corrupt Organizations or Organizations of Corrupt Individuals? Two Types of Organization-Level Corruption”; David Jancsics, “Corruption as Resource Transfer: An Interdisciplinary Synthesis,” &lt;i&gt;Public Administration Review&lt;/i&gt; 79, no. 4 (2019): 523–37.","manualFormatting":"Olivier Bertrand and Fabrice Lumineau, “Partners in Crime: The Effects of Diversity on the Longevity of Cartels,” Academy of Management Journal 59, no. 3 (2016): 983–1008; Pinto, Leana, and Pil, “Corrupt Organizations”; David Jancsics, “Corruption as Resource Transfer: An Interdisciplinary Synthesis,” Public Administration Review 79, no. 4 (2019): 523–37.","plainTextFormattedCitation":"Bertrand and Lumineau, “Partners in Crime: The Effects of Diversity on the Longevity of Cartels”; Pinto, Leana, and Pil, “Corrupt Organizations or Organizations of Corrupt Individuals? Two Types of Organization-Level Corruption”; David Jancsics, “Corruption as Resource Transfer: An Interdisciplinary Synthesis,” Public Administration Review 79, no. 4 (2019): 523–37.","previouslyFormattedCitation":"Bertrand and Lumineau, “Partners in Crime: The Effects of Diversity on the Longevity of Cartels”; Pinto, Leana, and Pil, “Corrupt Organizations or Organizations of Corrupt Individuals? Two Types of Organization-Level Corruption”; David Jancsics, “Corruption as Resource Transfer: An Interdisciplinary Synthesis,” &lt;i&gt;Public Administration Review&lt;/i&gt; 79, no. 4 (2019): 523–37."},"properties":{"noteIndex":0},"schema":"https://github.com/citation-style-language/schema/raw/master/csl-citation.json"}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 xml:space="preserve">Olivier Bertrand and Fabrice Lumineau, “Partners in Crime: The Effects of Diversity on the Longevity of Cartels,” </w:t>
      </w:r>
      <w:r w:rsidRPr="00FC3C61">
        <w:rPr>
          <w:rFonts w:cs="Times New Roman"/>
          <w:i/>
          <w:noProof/>
          <w:color w:val="000000" w:themeColor="text1"/>
          <w:sz w:val="22"/>
          <w:szCs w:val="22"/>
        </w:rPr>
        <w:t>Academy of Management Journal</w:t>
      </w:r>
      <w:r w:rsidRPr="00FC3C61">
        <w:rPr>
          <w:rFonts w:cs="Times New Roman"/>
          <w:noProof/>
          <w:color w:val="000000" w:themeColor="text1"/>
          <w:sz w:val="22"/>
          <w:szCs w:val="22"/>
        </w:rPr>
        <w:t xml:space="preserve"> 59, no. 3 (2016): 983–1008; Pinto, Leana, and Pil, “Corrupt Organizations”; David Jancsics, “Corruption as Resource Transfer: An Interdisciplinary Synthesis,” </w:t>
      </w:r>
      <w:r w:rsidRPr="00FC3C61">
        <w:rPr>
          <w:rFonts w:cs="Times New Roman"/>
          <w:i/>
          <w:noProof/>
          <w:color w:val="000000" w:themeColor="text1"/>
          <w:sz w:val="22"/>
          <w:szCs w:val="22"/>
        </w:rPr>
        <w:t>Public Administration Review</w:t>
      </w:r>
      <w:r w:rsidRPr="00FC3C61">
        <w:rPr>
          <w:rFonts w:cs="Times New Roman"/>
          <w:noProof/>
          <w:color w:val="000000" w:themeColor="text1"/>
          <w:sz w:val="22"/>
          <w:szCs w:val="22"/>
        </w:rPr>
        <w:t xml:space="preserve"> 79, no. 4 (2019): 523–37.</w:t>
      </w:r>
      <w:r w:rsidRPr="00FC3C61">
        <w:rPr>
          <w:rFonts w:cs="Times New Roman"/>
          <w:color w:val="000000" w:themeColor="text1"/>
          <w:sz w:val="22"/>
          <w:szCs w:val="22"/>
        </w:rPr>
        <w:fldChar w:fldCharType="end"/>
      </w:r>
      <w:r w:rsidRPr="00FC3C61">
        <w:rPr>
          <w:rFonts w:cs="Times New Roman"/>
          <w:color w:val="000000" w:themeColor="text1"/>
          <w:sz w:val="22"/>
          <w:szCs w:val="22"/>
        </w:rPr>
        <w:t xml:space="preserve"> </w:t>
      </w:r>
    </w:p>
  </w:endnote>
  <w:endnote w:id="41">
    <w:p w14:paraId="1C0A3886" w14:textId="46F51F41" w:rsidR="0093268D" w:rsidRPr="00FC3C61" w:rsidRDefault="0093268D" w:rsidP="00C11FC5">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SN":"0023-9216","author":[{"dropping-particle":"","family":"Leonard","given":"William","non-dropping-particle":"","parse-names":false,"suffix":""},{"dropping-particle":"","family":"Weber","given":"Marvin","non-dropping-particle":"","parse-names":false,"suffix":""}],"container-title":"Law and Society Review","id":"ITEM-1","issued":{"date-parts":[["1970"]]},"page":"407-424","publisher":"JSTOR","title":"Automakers and dealers: a study of criminogenic market forces","type":"article-journal"},"uris":["http://www.mendeley.com/documents/?uuid=5a447a8b-53e8-4c95-8a40-da0a895c8b1f"]},{"id":"ITEM-2","itemData":{"ISSN":"0038-0253","author":[{"dropping-particle":"","family":"Farberman","given":"Harvey","non-dropping-particle":"","parse-names":false,"suffix":""}],"container-title":"Sociological Quarterly","id":"ITEM-2","issue":"4","issued":{"date-parts":[["1975"]]},"page":"438-457","publisher":"Wiley Online Library","title":"A criminogenic market structure: The automobile industry","type":"article-journal","volume":"16"},"uris":["http://www.mendeley.com/documents/?uuid=10a6999c-79aa-4b2e-a9e4-3e3f101550b4"]}],"mendeley":{"formattedCitation":"William Leonard and Marvin Weber, “Automakers and Dealers: A Study of Criminogenic Market Forces,” &lt;i&gt;Law and Society Review&lt;/i&gt;, 1970, 407–24; Harvey Farberman, “A Criminogenic Market Structure: The Automobile Industry,” &lt;i&gt;Sociological Quarterly&lt;/i&gt; 16, no. 4 (1975): 438–57.","plainTextFormattedCitation":"William Leonard and Marvin Weber, “Automakers and Dealers: A Study of Criminogenic Market Forces,” Law and Society Review, 1970, 407–24; Harvey Farberman, “A Criminogenic Market Structure: The Automobile Industry,” Sociological Quarterly 16, no. 4 (1975): 438–57.","previouslyFormattedCitation":"William Leonard and Marvin Weber, “Automakers and Dealers: A Study of Criminogenic Market Forces,” &lt;i&gt;Law and Society Review&lt;/i&gt;, 1970, 407–24; Harvey Farberman, “A Criminogenic Market Structure: The Automobile Industry,” &lt;i&gt;Sociological Quarterly&lt;/i&gt; 16, no. 4 (1975): 438–57."},"properties":{"noteIndex":0},"schema":"https://github.com/citation-style-language/schema/raw/master/csl-citation.json"}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William Leonard and Marvin Weber, “Automakers and Dealers: A Study of Criminogenic Market Forces,” </w:t>
      </w:r>
      <w:r w:rsidRPr="00FC3C61">
        <w:rPr>
          <w:rFonts w:cs="Times New Roman"/>
          <w:i/>
          <w:noProof/>
          <w:sz w:val="22"/>
          <w:szCs w:val="22"/>
        </w:rPr>
        <w:t>Law and Society Review</w:t>
      </w:r>
      <w:r w:rsidRPr="00FC3C61">
        <w:rPr>
          <w:rFonts w:cs="Times New Roman"/>
          <w:noProof/>
          <w:sz w:val="22"/>
          <w:szCs w:val="22"/>
        </w:rPr>
        <w:t xml:space="preserve">, 1970, 407–24; Harvey Farberman, “A Criminogenic Market Structure: The Automobile Industry,” </w:t>
      </w:r>
      <w:r w:rsidRPr="00FC3C61">
        <w:rPr>
          <w:rFonts w:cs="Times New Roman"/>
          <w:i/>
          <w:noProof/>
          <w:sz w:val="22"/>
          <w:szCs w:val="22"/>
        </w:rPr>
        <w:t>Sociological Quarterly</w:t>
      </w:r>
      <w:r w:rsidRPr="00FC3C61">
        <w:rPr>
          <w:rFonts w:cs="Times New Roman"/>
          <w:noProof/>
          <w:sz w:val="22"/>
          <w:szCs w:val="22"/>
        </w:rPr>
        <w:t xml:space="preserve"> 16, no. 4 (1975): 438–57.</w:t>
      </w:r>
      <w:r w:rsidRPr="00FC3C61">
        <w:rPr>
          <w:rFonts w:cs="Times New Roman"/>
          <w:sz w:val="22"/>
          <w:szCs w:val="22"/>
        </w:rPr>
        <w:fldChar w:fldCharType="end"/>
      </w:r>
    </w:p>
  </w:endnote>
  <w:endnote w:id="42">
    <w:p w14:paraId="4F272DDE" w14:textId="11CFBA2F" w:rsidR="0093268D" w:rsidRPr="00FC3C61" w:rsidRDefault="0093268D" w:rsidP="00C11FC5">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{"citationItems":[{"id":"ITEM-1","itemData":{"ISBN":"067179227X","author":[{"dropping-particle":"","family":"Stewart","given":"James","non-dropping-particle":"","parse-names":false,"suffix":""}],"id":"ITEM-1","issued":{"date-parts":[["1992"]]},"publisher":"Simon and Schuster","title":"Den of thieves","type":"book"},"uris":["http://www.mendeley.com/documents/?uuid=3188bc1b-a53f-4fdd-9550-b1e62ce26f7b"]}],"mendeley":{"formattedCitation":"James Stewart, &lt;i&gt;Den of Thieves&lt;/i&gt; (Simon and Schuster, 1992).","manualFormatting":"James Stewart, Den of Thieves (New York, 1992).","plainTextFormattedCitation":"James Stewart, Den of Thieves (Simon and Schuster, 1992).","previouslyFormattedCitation":"James Stewart, &lt;i&gt;Den of Thieves&lt;/i&gt; (Simon and Schuster, 1992)."},"properties":{"noteIndex":0},"schema":"https://github.com/citation-style-language/schema/raw/master/csl-citation.json"}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James Stewart, </w:t>
      </w:r>
      <w:r w:rsidRPr="00FC3C61">
        <w:rPr>
          <w:rFonts w:cs="Times New Roman"/>
          <w:i/>
          <w:noProof/>
          <w:sz w:val="22"/>
          <w:szCs w:val="22"/>
        </w:rPr>
        <w:t>Den of Thieves</w:t>
      </w:r>
      <w:r w:rsidRPr="00FC3C61">
        <w:rPr>
          <w:rFonts w:cs="Times New Roman"/>
          <w:noProof/>
          <w:sz w:val="22"/>
          <w:szCs w:val="22"/>
        </w:rPr>
        <w:t xml:space="preserve"> (New York, 1992).</w:t>
      </w:r>
      <w:r w:rsidRPr="00FC3C61">
        <w:rPr>
          <w:rFonts w:cs="Times New Roman"/>
          <w:sz w:val="22"/>
          <w:szCs w:val="22"/>
        </w:rPr>
        <w:fldChar w:fldCharType="end"/>
      </w:r>
    </w:p>
  </w:endnote>
  <w:endnote w:id="43">
    <w:p w14:paraId="2D17788A" w14:textId="47D54540" w:rsidR="0093268D" w:rsidRPr="00FC3C61" w:rsidRDefault="0093268D" w:rsidP="00C11FC5">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{"citationItems":[{"id":"ITEM-1","itemData":{"ISBN":"1501705369","author":[{"dropping-particle":"","family":"Coopersmith","given":"Jonathan","non-dropping-particle":"","parse-names":false,"suffix":""}],"id":"ITEM-1","issued":{"date-parts":[["2016"]]},"publisher":"Cornell University Press","title":"The electrification of Russia, 1880–1926","type":"book"},"uris":["http://www.mendeley.com/documents/?uuid=4294fad1-dab5-4373-9c21-14e659a50afb"]},{"id":"ITEM-2","itemData":{"ISSN":"0021-3624","author":[{"dropping-particle":"","family":"Trebing","given":"Harry M","non-dropping-particle":"","parse-names":false,"suffix":""}],"container-title":"Journal of economic issues","id":"ITEM-2","issue":"1","issued":{"date-parts":[["2004"]]},"page":"1-27","publisher":"Taylor &amp; Francis","title":"Assessing deregulation: The clash between promise and reality","type":"article-journal","volume":"38"},"uris":["http://www.mendeley.com/documents/?uuid=17b6480f-991e-4a28-8f9d-42eb6742b992"]},{"id":"ITEM-3","itemData":{"author":[{"dropping-particle":"ten","family":"Heuvelhof","given":"Ernst","non-dropping-particle":"","parse-names":false,"suffix":""},{"dropping-particle":"de","family":"Jong","given":"Martin","non-dropping-particle":"","parse-names":false,"suffix":""},{"dropping-particle":"","family":"Kars","given":"Mirjam","non-dropping-particle":"","parse-names":false,"suffix":""},{"dropping-particle":"","family":"Stout","given":"Helen","non-dropping-particle":"","parse-names":false,"suffix":""}],"id":"ITEM-3","issued":{"date-parts":[["2009"]]},"publisher":"Edward Elgar","publisher-place":"Cheltenham","title":"Strategic Behaviour in Network Industries A Multidisciplinary Approach","type":"book"},"uris":["http://www.mendeley.com/documents/?uuid=7442eba7-4b43-4a95-90d6-3b2cabf6a13b"]}],"mendeley":{"formattedCitation":"Jonathan Coopersmith, &lt;i&gt;The Electrification of Russia, 1880–1926&lt;/i&gt; (Cornell University Press, 2016); Harry M Trebing, “Assessing Deregulation: The Clash between Promise and Reality,” &lt;i&gt;Journal of Economic Issues&lt;/i&gt; 38, no. 1 (2004): 1–27; Ernst ten Heuvelhof et al., &lt;i&gt;Strategic Behaviour in Network Industries A Multidisciplinary Approach&lt;/i&gt; (Cheltenham: Edward Elgar, 2009).","manualFormatting":"Jonathan Coopersmith, The Electrification of Russia, 1880–1926 (Ithaca, 2016); Harry M Trebing, “Assessing Deregulation: The Clash between Promise and Reality,” Journal of Economic Issues 38, no. 1 (2004): 1–27; Ernst ten Heuvelhof et al., Strategic Behaviour in Network Industries A Multidisciplinary Approach (Cheltenham, 2009).","plainTextFormattedCitation":"Jonathan Coopersmith, The Electrification of Russia, 1880–1926 (Cornell University Press, 2016); Harry M Trebing, “Assessing Deregulation: The Clash between Promise and Reality,” Journal of Economic Issues 38, no. 1 (2004): 1–27; Ernst ten Heuvelhof et al., Strategic Behaviour in Network Industries A Multidisciplinary Approach (Cheltenham: Edward Elgar, 2009).","previouslyFormattedCitation":"Jonathan Coopersmith, &lt;i&gt;The Electrification of Russia, 1880–1926&lt;/i&gt; (Cornell University Press, 2016); Harry M Trebing, “Assessing Deregulation: The Clash between Promise and Reality,” &lt;i&gt;Journal of Economic Issues&lt;/i&gt; 38, no. 1 (2004): 1–27; Ernst ten Heuvelhof et al., &lt;i&gt;Strategic Behaviour in Network Industries A Multidisciplinary Approach&lt;/i&gt; (Cheltenham: Edward Elgar, 2009)."},"properties":{"noteIndex":0},"schema":"https://github.com/citation-style-language/schema/raw/master/csl-citation.json"}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Jonathan Coopersmith, </w:t>
      </w:r>
      <w:r w:rsidRPr="00FC3C61">
        <w:rPr>
          <w:rFonts w:cs="Times New Roman"/>
          <w:i/>
          <w:noProof/>
          <w:sz w:val="22"/>
          <w:szCs w:val="22"/>
        </w:rPr>
        <w:t>The Electrification of Russia, 1880–1926</w:t>
      </w:r>
      <w:r w:rsidRPr="00FC3C61">
        <w:rPr>
          <w:rFonts w:cs="Times New Roman"/>
          <w:noProof/>
          <w:sz w:val="22"/>
          <w:szCs w:val="22"/>
        </w:rPr>
        <w:t xml:space="preserve"> (Ithaca, 2016); Harry M Trebing, “Assessing Deregulation: The Clash between Promise and Reality,” </w:t>
      </w:r>
      <w:r w:rsidRPr="00FC3C61">
        <w:rPr>
          <w:rFonts w:cs="Times New Roman"/>
          <w:i/>
          <w:noProof/>
          <w:sz w:val="22"/>
          <w:szCs w:val="22"/>
        </w:rPr>
        <w:t>Journal of Economic Issues</w:t>
      </w:r>
      <w:r w:rsidRPr="00FC3C61">
        <w:rPr>
          <w:rFonts w:cs="Times New Roman"/>
          <w:noProof/>
          <w:sz w:val="22"/>
          <w:szCs w:val="22"/>
        </w:rPr>
        <w:t xml:space="preserve"> 38, no. 1 (2004): 1–27; Ernst ten Heuvelhof et al., </w:t>
      </w:r>
      <w:r w:rsidRPr="00FC3C61">
        <w:rPr>
          <w:rFonts w:cs="Times New Roman"/>
          <w:i/>
          <w:noProof/>
          <w:sz w:val="22"/>
          <w:szCs w:val="22"/>
        </w:rPr>
        <w:t>Strategic Behaviour in Network Industries A Multidisciplinary Approach</w:t>
      </w:r>
      <w:r w:rsidRPr="00FC3C61">
        <w:rPr>
          <w:rFonts w:cs="Times New Roman"/>
          <w:noProof/>
          <w:sz w:val="22"/>
          <w:szCs w:val="22"/>
        </w:rPr>
        <w:t xml:space="preserve"> (Cheltenham, 2009).</w:t>
      </w:r>
      <w:r w:rsidRPr="00FC3C61">
        <w:rPr>
          <w:rFonts w:cs="Times New Roman"/>
          <w:sz w:val="22"/>
          <w:szCs w:val="22"/>
        </w:rPr>
        <w:fldChar w:fldCharType="end"/>
      </w:r>
    </w:p>
  </w:endnote>
  <w:endnote w:id="44">
    <w:p w14:paraId="2A87CAFB" w14:textId="713F53B0"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8059CE" w:rsidRPr="00FC3C61">
        <w:rPr>
          <w:rFonts w:cs="Times New Roman"/>
          <w:sz w:val="22"/>
          <w:szCs w:val="22"/>
        </w:rPr>
        <w:fldChar w:fldCharType="begin" w:fldLock="1"/>
      </w:r>
      <w:r w:rsidR="008059CE" w:rsidRPr="00FC3C61">
        <w:rPr>
          <w:rFonts w:cs="Times New Roman"/>
          <w:sz w:val="22"/>
          <w:szCs w:val="22"/>
        </w:rPr>
        <w:instrText>ADDIN CSL_CITATION {"citationItems":[{"id":"ITEM-1","itemData":{"abstract":"Given its extremely negative impact, it is not surprising that there is extensive literature focused on understanding and reducing corruption. However, the existing academic work focuses largely on corruption in government. Yet, corporations play a key role in much of the corruption that occurs in society and are important contexts for corruption themselves; they are also very different from governments and, we argue, deserve focused study and the development of a coherent theory of corporate corruption. In this article, we define corporate corruption and argue that management researchers are uniquely positioned to contribute to the development of a theory of corporate corruption and the development of solutions to prevent it. We then examine the current state of research on this important topic and propose a framework for organizing research on corporate corruption into four per-spectives: corporate corruption as rational action, corporate corruption as institutional-ized practice, corporate corruption as cultural norm, and corporate corruption as moral failure. We go on to propose a research agenda for management scholars in some tradi-tional areas of management research to take this important but under-researched topic forward, as well as highlight some of the methodological challenges that management researchers face in conducting research in corporate corruption.","author":[{"dropping-particle":"","family":"Castro","given":"Armando","non-dropping-particle":"","parse-names":false,"suffix":""},{"dropping-particle":"","family":"Phillips","given":"Nelson","non-dropping-particle":"","parse-names":false,"suffix":""},{"dropping-particle":"","family":"Ansari","given":"Shaz","non-dropping-particle":"","parse-names":false,"suffix":""}],"container-title":"Academy of Management Annals","id":"ITEM-1","issue":"2","issued":{"date-parts":[["2020","7"]]},"page":"935-968","publisher":"Academy of Management","title":"Corporate corruption: A review and an agenda for future research","type":"article-journal","volume":"14"},"uris":["http://www.mendeley.com/documents/?uuid=e35b66fe-366c-4889-8681-2ff180b6c1cc"]}],"mendeley":{"formattedCitation":"Castro, Phillips, and Ansari, “Corporate Corruption: A Review and an Agenda for Future Research.”","plainTextFormattedCitation":"Castro, Phillips, and Ansari, “Corporate Corruption: A Review and an Agenda for Future Research.”","previouslyFormattedCitation":"Castro, Phillips, and Ansari, “Corporate Corruption: A Review and an Agenda for Future Research.”"},"properties":{"noteIndex":0},"schema":"https://github.com/citation-style-language/schema/raw/master/csl-citation.json"}</w:instrText>
      </w:r>
      <w:r w:rsidR="008059CE" w:rsidRPr="00FC3C61">
        <w:rPr>
          <w:rFonts w:cs="Times New Roman"/>
          <w:sz w:val="22"/>
          <w:szCs w:val="22"/>
        </w:rPr>
        <w:fldChar w:fldCharType="separate"/>
      </w:r>
      <w:r w:rsidR="008059CE" w:rsidRPr="00FC3C61">
        <w:rPr>
          <w:rFonts w:cs="Times New Roman"/>
          <w:noProof/>
          <w:sz w:val="22"/>
          <w:szCs w:val="22"/>
        </w:rPr>
        <w:t>Castro, Phillips, and Ansari, “Corporate Corruption: A Review and an Agenda for Future Research.”</w:t>
      </w:r>
      <w:r w:rsidR="008059CE" w:rsidRPr="00FC3C61">
        <w:rPr>
          <w:rFonts w:cs="Times New Roman"/>
          <w:sz w:val="22"/>
          <w:szCs w:val="22"/>
        </w:rPr>
        <w:fldChar w:fldCharType="end"/>
      </w:r>
    </w:p>
  </w:endnote>
  <w:endnote w:id="45">
    <w:p w14:paraId="126EE755" w14:textId="6D01455F"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F83BD4" w:rsidRPr="00FC3C61">
        <w:rPr>
          <w:rFonts w:cs="Times New Roman"/>
          <w:sz w:val="22"/>
          <w:szCs w:val="22"/>
        </w:rPr>
        <w:instrText>ADDIN CSL_CITATION {"citationItems":[{"id":"ITEM-1","itemData":{"author":[{"dropping-particle":"","family":"Driel","given":"Hugo","non-dropping-particle":"van","parse-names":false,"suffix":""}],"container-title":"Business History","id":"ITEM-1","issue":"61","issued":{"date-parts":[["2019"]]},"page":"1259-1299","publisher":"Routledge","title":"Financial fraud, scandals, and regulation: A conceptual framework and literature review","type":"article-journal","volume":"8"},"uris":["http://www.mendeley.com/documents/?uuid=8b83013c-2b61-4e15-8712-9815700e4e23"]},{"id":"ITEM-2","itemData":{"ISBN":"0691183074","author":[{"dropping-particle":"","family":"Balleisen","given":"Edward","non-dropping-particle":"","parse-names":false,"suffix":""}],"id":"ITEM-2","issued":{"date-parts":[["2018"]]},"publisher":"Princeton","title":"Fraud: An American History from Barnum to Madoff","type":"book"},"uris":["http://www.mendeley.com/documents/?uuid=de9554ab-6047-477f-a240-00b14d97d8c8"]},{"id":"ITEM-3","itemData":{"ISSN":"0007-6791","author":[{"dropping-particle":"","family":"Taylor","given":"James","non-dropping-particle":"","parse-names":false,"suffix":""}],"container-title":"Business History","id":"ITEM-3","issue":"3","issued":{"date-parts":[["2018"]]},"page":"343-360","publisher":"Taylor &amp; Francis","title":"White-collar crime and the law in nineteenth-century Britain","type":"article-journal","volume":"60"},"uris":["http://www.mendeley.com/documents/?uuid=6a32f31e-e6d6-4f43-9299-4b8ed12c5b2d"]}],"mendeley":{"formattedCitation":"van Driel, “Financial Fraud, Scandals, and Regulation: A Conceptual Framework and Literature Review”; Balleisen, &lt;i&gt;Fraud: An American History from Barnum to Madoff&lt;/i&gt;; James Taylor, “White-Collar Crime and the Law in Nineteenth-Century Britain,” &lt;i&gt;Business History&lt;/i&gt; 60, no. 3 (2018): 343–60.","plainTextFormattedCitation":"van Driel, “Financial Fraud, Scandals, and Regulation: A Conceptual Framework and Literature Review”; Balleisen, Fraud: An American History from Barnum to Madoff; James Taylor, “White-Collar Crime and the Law in Nineteenth-Century Britain,” Business History 60, no. 3 (2018): 343–60.","previouslyFormattedCitation":"van Driel, “Financial Fraud, Scandals, and Regulation: A Conceptual Framework and Literature Review”; Balleisen, &lt;i&gt;Fraud: An American History from Barnum to Madoff&lt;/i&gt;; James Taylor, “White-Collar Crime and the Law in Nineteenth-Century Britain,” &lt;i&gt;Business History&lt;/i&gt; 60, no. 3 (2018): 343–60."},"properties":{"noteIndex":0},"schema":"https://github.com/citation-style-language/schema/raw/master/csl-citation.json"}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van Driel, “Financial Fraud, Scandals, and Regulation: A Conceptual Framework and Literature Review”; Balleisen, </w:t>
      </w:r>
      <w:r w:rsidRPr="00FC3C61">
        <w:rPr>
          <w:rFonts w:cs="Times New Roman"/>
          <w:i/>
          <w:noProof/>
          <w:sz w:val="22"/>
          <w:szCs w:val="22"/>
        </w:rPr>
        <w:t>Fraud: An American History from Barnum to Madoff</w:t>
      </w:r>
      <w:r w:rsidRPr="00FC3C61">
        <w:rPr>
          <w:rFonts w:cs="Times New Roman"/>
          <w:noProof/>
          <w:sz w:val="22"/>
          <w:szCs w:val="22"/>
        </w:rPr>
        <w:t xml:space="preserve">; James Taylor, “White-Collar Crime and the Law in Nineteenth-Century Britain,” </w:t>
      </w:r>
      <w:r w:rsidRPr="00FC3C61">
        <w:rPr>
          <w:rFonts w:cs="Times New Roman"/>
          <w:i/>
          <w:noProof/>
          <w:sz w:val="22"/>
          <w:szCs w:val="22"/>
        </w:rPr>
        <w:t>Business History</w:t>
      </w:r>
      <w:r w:rsidRPr="00FC3C61">
        <w:rPr>
          <w:rFonts w:cs="Times New Roman"/>
          <w:noProof/>
          <w:sz w:val="22"/>
          <w:szCs w:val="22"/>
        </w:rPr>
        <w:t xml:space="preserve"> 60, no. 3 (2018): 343–60.</w:t>
      </w:r>
      <w:r w:rsidRPr="00FC3C61">
        <w:rPr>
          <w:rFonts w:cs="Times New Roman"/>
          <w:sz w:val="22"/>
          <w:szCs w:val="22"/>
        </w:rPr>
        <w:fldChar w:fldCharType="end"/>
      </w:r>
    </w:p>
  </w:endnote>
  <w:endnote w:id="46">
    <w:p w14:paraId="48875188" w14:textId="1DEE0DF1" w:rsidR="0093268D" w:rsidRPr="00FC3C61" w:rsidRDefault="0093268D" w:rsidP="00D93236">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{"citationItems":[{"id":"ITEM-1","itemData":{"author":[{"dropping-particle":"","family":"Evans","given":"Richard","non-dropping-particle":"","parse-names":false,"suffix":""}],"id":"ITEM-1","issued":{"date-parts":[["1999"]]},"publisher":"W. W. Norton &amp; Co.","publisher-place":"New York","title":"In Defense of History","title-short":"In Defense of History","type":"book"},"uris":["http://www.mendeley.com/documents/?uuid=1749d101-473e-4c44-8aa3-8b143223f003"]},{"id":"ITEM-2","itemData":{"author":[{"dropping-particle":"","family":"Gaddis","given":"John Lewis","non-dropping-particle":"","parse-names":false,"suffix":""}],"id":"ITEM-2","issued":{"date-parts":[["2002"]]},"publisher":"Oxford University Press","publisher-place":"Oxford","title":"The landscape of history: how historians map the past","title-short":"The landscape of history: how historians map the p","type":"book"},"uris":["http://www.mendeley.com/documents/?uuid=ab20eef8-338c-4fe3-bb9a-770aae467f7f"]},{"id":"ITEM-3","itemData":{"ISBN":"1350-5084","author":[{"dropping-particle":"","family":"Mills","given":"Albert J","non-dropping-particle":"","parse-names":false,"suffix":""},{"dropping-particle":"","family":"Weatherbee","given":"Terrance G","non-dropping-particle":"","parse-names":false,"suffix":""},{"dropping-particle":"","family":"Durepos","given":"Gabrielle","non-dropping-particle":"","parse-names":false,"suffix":""}],"container-title":"Organization","id":"ITEM-3","issue":"2","issued":{"date-parts":[["2014"]]},"page":"225-243","title":"Reassembling Weber to reveal the-past-as-history in management and organization studies","type":"article-journal","volume":"21"},"uris":["http://www.mendeley.com/documents/?uuid=60b47424-7e9c-433d-bb37-9e240263595b"]}],"mendeley":{"formattedCitation":"Richard Evans, &lt;i&gt;In Defense of History&lt;/i&gt; (New York: W. W. Norton &amp; Co., 1999); John Lewis Gaddis, &lt;i&gt;The Landscape of History: How Historians Map the Past&lt;/i&gt; (Oxford: Oxford University Press, 2002); Albert J Mills, Terrance G Weatherbee, and Gabrielle Durepos, “Reassembling Weber to Reveal The-Past-as-History in Management and Organization Studies,” &lt;i&gt;Organization&lt;/i&gt; 21, no. 2 (2014): 225–43.","plainTextFormattedCitation":"Richard Evans, In Defense of History (New York: W. W. Norton &amp; Co., 1999); John Lewis Gaddis, The Landscape of History: How Historians Map the Past (Oxford: Oxford University Press, 2002); Albert J Mills, Terrance G Weatherbee, and Gabrielle Durepos, “Reassembling Weber to Reveal The-Past-as-History in Management and Organization Studies,” Organization 21, no. 2 (2014): 225–43.","previouslyFormattedCitation":"Richard Evans, &lt;i&gt;In Defense of History&lt;/i&gt; (New York: W. W. Norton &amp; Co., 1999); John Lewis Gaddis, &lt;i&gt;The Landscape of History: How Historians Map the Past&lt;/i&gt; (Oxford: Oxford University Press, 2002); Albert J Mills, Terrance G Weatherbee, and Gabrielle Durepos, “Reassembling Weber to Reveal The-Past-as-History in Management and Organization Studies,” &lt;i&gt;Organization&lt;/i&gt; 21, no. 2 (2014): 225–43."},"properties":{"noteIndex":0},"schema":"https://github.com/citation-style-language/schema/raw/master/csl-citation.json"}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 xml:space="preserve">Richard Evans, </w:t>
      </w:r>
      <w:r w:rsidRPr="00FC3C61">
        <w:rPr>
          <w:rFonts w:cs="Times New Roman"/>
          <w:i/>
          <w:noProof/>
          <w:color w:val="000000" w:themeColor="text1"/>
          <w:sz w:val="22"/>
          <w:szCs w:val="22"/>
        </w:rPr>
        <w:t>In Defense of History</w:t>
      </w:r>
      <w:r w:rsidRPr="00FC3C61">
        <w:rPr>
          <w:rFonts w:cs="Times New Roman"/>
          <w:noProof/>
          <w:color w:val="000000" w:themeColor="text1"/>
          <w:sz w:val="22"/>
          <w:szCs w:val="22"/>
        </w:rPr>
        <w:t xml:space="preserve"> (New York, 1999); John Lewis Gaddis, </w:t>
      </w:r>
      <w:r w:rsidRPr="00FC3C61">
        <w:rPr>
          <w:rFonts w:cs="Times New Roman"/>
          <w:i/>
          <w:noProof/>
          <w:color w:val="000000" w:themeColor="text1"/>
          <w:sz w:val="22"/>
          <w:szCs w:val="22"/>
        </w:rPr>
        <w:t>The Landscape of History: How Historians Map the Past</w:t>
      </w:r>
      <w:r w:rsidRPr="00FC3C61">
        <w:rPr>
          <w:rFonts w:cs="Times New Roman"/>
          <w:noProof/>
          <w:color w:val="000000" w:themeColor="text1"/>
          <w:sz w:val="22"/>
          <w:szCs w:val="22"/>
        </w:rPr>
        <w:t xml:space="preserve"> (Oxford, 2002); Albert Mills, Terrance Weatherbee, and Gabrielle Durepos, “Reassembling Weber to Reveal The-Past-as-History in Management and Organization Studies,” </w:t>
      </w:r>
      <w:r w:rsidRPr="00FC3C61">
        <w:rPr>
          <w:rFonts w:cs="Times New Roman"/>
          <w:i/>
          <w:noProof/>
          <w:color w:val="000000" w:themeColor="text1"/>
          <w:sz w:val="22"/>
          <w:szCs w:val="22"/>
        </w:rPr>
        <w:t>Organization</w:t>
      </w:r>
      <w:r w:rsidRPr="00FC3C61">
        <w:rPr>
          <w:rFonts w:cs="Times New Roman"/>
          <w:noProof/>
          <w:color w:val="000000" w:themeColor="text1"/>
          <w:sz w:val="22"/>
          <w:szCs w:val="22"/>
        </w:rPr>
        <w:t xml:space="preserve"> 21, no. 2 (2014): 225–43.</w:t>
      </w:r>
      <w:r w:rsidRPr="00FC3C61">
        <w:rPr>
          <w:rFonts w:cs="Times New Roman"/>
          <w:color w:val="000000" w:themeColor="text1"/>
          <w:sz w:val="22"/>
          <w:szCs w:val="22"/>
        </w:rPr>
        <w:fldChar w:fldCharType="end"/>
      </w:r>
    </w:p>
  </w:endnote>
  <w:endnote w:id="47">
    <w:p w14:paraId="6F1C59F7" w14:textId="052BBE96"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C376BC" w:rsidRPr="00FC3C61">
        <w:rPr>
          <w:rFonts w:cs="Times New Roman"/>
          <w:sz w:val="22"/>
          <w:szCs w:val="22"/>
        </w:rPr>
        <w:fldChar w:fldCharType="begin" w:fldLock="1"/>
      </w:r>
      <w:r w:rsidR="000C72AB" w:rsidRPr="00FC3C61">
        <w:rPr>
          <w:rFonts w:cs="Times New Roman"/>
          <w:sz w:val="22"/>
          <w:szCs w:val="22"/>
        </w:rPr>
        <w:instrText>ADDIN CSL_CITATION {"citationItems":[{"id":"ITEM-1","itemData":{"ISBN":"019166474X","author":[{"dropping-particle":"","family":"Yates","given":"JoAnne","non-dropping-particle":"","parse-names":false,"suffix":""}],"container-title":"Organizations in Time: History, Theory, Methods","editor":[{"dropping-particle":"","family":"Bucheli","given":"Marcelo","non-dropping-particle":"","parse-names":false,"suffix":""},{"dropping-particle":"","family":"Wadhwani","given":"Daniel","non-dropping-particle":"","parse-names":false,"suffix":""}],"id":"ITEM-1","issued":{"date-parts":[["2014"]]},"page":"265","publisher":"Oxford University Press","publisher-place":"Oxford","title":"Understanding Historical Methods in Organization Studies","type":"chapter"},"locator":"268-270","uris":["http://www.mendeley.com/documents/?uuid=f65bc4eb-146d-4a82-84a9-eead522028bb"]},{"id":"ITEM-2","itemData":{"author":[{"dropping-particle":"","family":"Kirsch","given":"David","non-dropping-particle":"","parse-names":false,"suffix":""}],"container-title":"Library trends","id":"ITEM-2","issue":"3","issued":{"date-parts":[["2009"]]},"page":"352-370","title":"The record of business and the future of business history: Establishing a public interest in private business records","type":"article-journal","volume":"57"},"uris":["http://www.mendeley.com/documents/?uuid=27f48d52-5625-434e-bf19-7fe50c1feedd"]}],"mendeley":{"formattedCitation":"JoAnne Yates, “Understanding Historical Methods in Organization Studies,” in &lt;i&gt;Organizations in Time: History, Theory, Methods&lt;/i&gt;, ed. Marcelo Bucheli and Daniel Wadhwani (Oxford: Oxford University Press, 2014), 268–70; Kirsch, “The Record of Business and the Future of Business History: Establishing a Public Interest in Private Business Records.”","plainTextFormattedCitation":"JoAnne Yates, “Understanding Historical Methods in Organization Studies,” in Organizations in Time: History, Theory, Methods, ed. Marcelo Bucheli and Daniel Wadhwani (Oxford: Oxford University Press, 2014), 268–70; Kirsch, “The Record of Business and the Future of Business History: Establishing a Public Interest in Private Business Records.”","previouslyFormattedCitation":"JoAnne Yates, “Understanding Historical Methods in Organization Studies,” in &lt;i&gt;Organizations in Time: History, Theory, Methods&lt;/i&gt;, ed. Marcelo Bucheli and Daniel Wadhwani (Oxford: Oxford University Press, 2014), 268–70; Kirsch, “The Record of Business and the Future of Business History: Establishing a Public Interest in Private Business Records.”"},"properties":{"noteIndex":0},"schema":"https://github.com/citation-style-language/schema/raw/master/csl-citation.json"}</w:instrText>
      </w:r>
      <w:r w:rsidR="00C376BC" w:rsidRPr="00FC3C61">
        <w:rPr>
          <w:rFonts w:cs="Times New Roman"/>
          <w:sz w:val="22"/>
          <w:szCs w:val="22"/>
        </w:rPr>
        <w:fldChar w:fldCharType="separate"/>
      </w:r>
      <w:r w:rsidR="00C376BC" w:rsidRPr="00FC3C61">
        <w:rPr>
          <w:rFonts w:cs="Times New Roman"/>
          <w:noProof/>
          <w:sz w:val="22"/>
          <w:szCs w:val="22"/>
        </w:rPr>
        <w:t xml:space="preserve">JoAnne Yates, “Understanding Historical Methods in Organization Studies,” in </w:t>
      </w:r>
      <w:r w:rsidR="00C376BC" w:rsidRPr="00FC3C61">
        <w:rPr>
          <w:rFonts w:cs="Times New Roman"/>
          <w:i/>
          <w:noProof/>
          <w:sz w:val="22"/>
          <w:szCs w:val="22"/>
        </w:rPr>
        <w:t>Organizations in Time: History, Theory, Methods</w:t>
      </w:r>
      <w:r w:rsidR="00C376BC" w:rsidRPr="00FC3C61">
        <w:rPr>
          <w:rFonts w:cs="Times New Roman"/>
          <w:noProof/>
          <w:sz w:val="22"/>
          <w:szCs w:val="22"/>
        </w:rPr>
        <w:t>, ed. Marcelo Bucheli and Daniel Wadhwani (Oxford, 2014), 268–70; Kirsch, “The Record of Business and the Future of Business History: Establishing a Public Interest in Private Business Records.”</w:t>
      </w:r>
      <w:r w:rsidR="00C376BC" w:rsidRPr="00FC3C61">
        <w:rPr>
          <w:rFonts w:cs="Times New Roman"/>
          <w:sz w:val="22"/>
          <w:szCs w:val="22"/>
        </w:rPr>
        <w:fldChar w:fldCharType="end"/>
      </w:r>
      <w:r w:rsidR="00C376BC" w:rsidRPr="00FC3C61">
        <w:rPr>
          <w:rFonts w:cs="Times New Roman"/>
          <w:sz w:val="22"/>
          <w:szCs w:val="22"/>
        </w:rPr>
        <w:t xml:space="preserve"> </w:t>
      </w:r>
      <w:r w:rsidRPr="00FC3C61">
        <w:rPr>
          <w:rFonts w:cs="Times New Roman"/>
          <w:color w:val="000000" w:themeColor="text1"/>
          <w:sz w:val="22"/>
          <w:szCs w:val="22"/>
        </w:rPr>
        <w:t>While it is common for legal processes to create accessible historical source material, the amount of information collected and released in relation to Enron is exceptional</w:t>
      </w:r>
      <w:r w:rsidR="00C376BC" w:rsidRPr="00FC3C61">
        <w:rPr>
          <w:rFonts w:cs="Times New Roman"/>
          <w:color w:val="000000" w:themeColor="text1"/>
          <w:sz w:val="22"/>
          <w:szCs w:val="22"/>
        </w:rPr>
        <w:t xml:space="preserve"> </w:t>
      </w:r>
      <w:r w:rsidR="0009116C" w:rsidRPr="00FC3C61">
        <w:rPr>
          <w:rFonts w:cs="Times New Roman"/>
          <w:color w:val="000000" w:themeColor="text1"/>
          <w:sz w:val="22"/>
          <w:szCs w:val="22"/>
        </w:rPr>
        <w:t>for</w:t>
      </w:r>
      <w:r w:rsidR="00C376BC" w:rsidRPr="00FC3C61">
        <w:rPr>
          <w:rFonts w:cs="Times New Roman"/>
          <w:color w:val="000000" w:themeColor="text1"/>
          <w:sz w:val="22"/>
          <w:szCs w:val="22"/>
        </w:rPr>
        <w:t xml:space="preserve"> both</w:t>
      </w:r>
      <w:r w:rsidR="0009116C" w:rsidRPr="00FC3C61">
        <w:rPr>
          <w:rFonts w:cs="Times New Roman"/>
          <w:color w:val="000000" w:themeColor="text1"/>
          <w:sz w:val="22"/>
          <w:szCs w:val="22"/>
        </w:rPr>
        <w:t xml:space="preserve"> its scale and</w:t>
      </w:r>
      <w:r w:rsidR="00C376BC" w:rsidRPr="00FC3C61">
        <w:rPr>
          <w:rFonts w:cs="Times New Roman"/>
          <w:color w:val="000000" w:themeColor="text1"/>
          <w:sz w:val="22"/>
          <w:szCs w:val="22"/>
        </w:rPr>
        <w:t xml:space="preserve"> richness of detail.</w:t>
      </w:r>
      <w:r w:rsidRPr="00FC3C61">
        <w:rPr>
          <w:rFonts w:cs="Times New Roman"/>
          <w:color w:val="000000" w:themeColor="text1"/>
          <w:sz w:val="22"/>
          <w:szCs w:val="22"/>
        </w:rPr>
        <w:t xml:space="preserve"> </w:t>
      </w:r>
    </w:p>
  </w:endnote>
  <w:endnote w:id="48">
    <w:p w14:paraId="0C76BEF1" w14:textId="72BD2684" w:rsidR="00E4706D" w:rsidRPr="00FC3C61" w:rsidRDefault="00E4706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24503A" w:rsidRPr="00FC3C61">
        <w:rPr>
          <w:rFonts w:cs="Times New Roman"/>
          <w:sz w:val="22"/>
          <w:szCs w:val="22"/>
        </w:rPr>
        <w:fldChar w:fldCharType="begin" w:fldLock="1"/>
      </w:r>
      <w:r w:rsidR="00000892" w:rsidRPr="00FC3C61">
        <w:rPr>
          <w:rFonts w:cs="Times New Roman"/>
          <w:sz w:val="22"/>
          <w:szCs w:val="22"/>
        </w:rPr>
        <w:instrText>ADDIN CSL_CITATION {"citationItems":[{"id":"ITEM-1","itemData":{"abstract":"This title deals with various aspects of criminal law, including its relationship to a wide range of disciplines such as philosophy, sociology, and technology. It first considers a range of approaches and methods used in the analysis of criminal law, including economics, feminist studies, critical race theory, criminology, history, and literature. It then traces the origins of modern criminal law to medieval canon law and examines indigenous legal traditions before discussing the collapse of pre-modern criminal justice and the transition to modernity.","author":[{"dropping-particle":"","family":"Buell","given":"Samuel","non-dropping-particle":"","parse-names":false,"suffix":""}],"container-title":"The Oxford handbook of criminal law","edition":"First edit","editor":[{"dropping-particle":"","family":"Dubber","given":"Markus","non-dropping-particle":"","parse-names":false,"suffix":""},{"dropping-particle":"","family":"Hörnle","given":"Tatjana","non-dropping-particle":"","parse-names":false,"suffix":""}],"id":"ITEM-1","issued":{"date-parts":[["2014"]]},"note":"Includes bibliographical references and index.","publisher-place":"Oxford","title":"\"White collar\" crimes","type":"chapter"},"locator":"844","uris":["http://www.mendeley.com/documents/?uuid=01018339-1c31-4045-a2a2-8426694ab56e"]}],"mendeley":{"formattedCitation":"Samuel Buell, “‘White Collar’ Crimes,” in &lt;i&gt;The Oxford Handbook of Criminal Law&lt;/i&gt;, ed. Markus Dubber and Tatjana Hörnle, First edit (Oxford, 2014), 844.","plainTextFormattedCitation":"Samuel Buell, “‘White Collar’ Crimes,” in The Oxford Handbook of Criminal Law, ed. Markus Dubber and Tatjana Hörnle, First edit (Oxford, 2014), 844.","previouslyFormattedCitation":"Samuel Buell, “‘White Collar’ Crimes,” in &lt;i&gt;The Oxford Handbook of Criminal Law&lt;/i&gt;, ed. Markus Dubber and Tatjana Hörnle, First edit (Oxford, 2014), 844."},"properties":{"noteIndex":0},"schema":"https://github.com/citation-style-language/schema/raw/master/csl-citation.json"}</w:instrText>
      </w:r>
      <w:r w:rsidR="0024503A" w:rsidRPr="00FC3C61">
        <w:rPr>
          <w:rFonts w:cs="Times New Roman"/>
          <w:sz w:val="22"/>
          <w:szCs w:val="22"/>
        </w:rPr>
        <w:fldChar w:fldCharType="separate"/>
      </w:r>
      <w:r w:rsidR="00000892" w:rsidRPr="00FC3C61">
        <w:rPr>
          <w:rFonts w:cs="Times New Roman"/>
          <w:noProof/>
          <w:sz w:val="22"/>
          <w:szCs w:val="22"/>
        </w:rPr>
        <w:t xml:space="preserve">Samuel Buell, “‘White Collar’ Crimes,” in </w:t>
      </w:r>
      <w:r w:rsidR="00000892" w:rsidRPr="00FC3C61">
        <w:rPr>
          <w:rFonts w:cs="Times New Roman"/>
          <w:i/>
          <w:noProof/>
          <w:sz w:val="22"/>
          <w:szCs w:val="22"/>
        </w:rPr>
        <w:t>The Oxford Handbook of Criminal Law</w:t>
      </w:r>
      <w:r w:rsidR="00000892" w:rsidRPr="00FC3C61">
        <w:rPr>
          <w:rFonts w:cs="Times New Roman"/>
          <w:noProof/>
          <w:sz w:val="22"/>
          <w:szCs w:val="22"/>
        </w:rPr>
        <w:t>, ed. Markus Dubber and Tatjana Hörnle, First edit (Oxford, 2014), 844.</w:t>
      </w:r>
      <w:r w:rsidR="0024503A" w:rsidRPr="00FC3C61">
        <w:rPr>
          <w:rFonts w:cs="Times New Roman"/>
          <w:sz w:val="22"/>
          <w:szCs w:val="22"/>
        </w:rPr>
        <w:fldChar w:fldCharType="end"/>
      </w:r>
    </w:p>
  </w:endnote>
  <w:endnote w:id="49">
    <w:p w14:paraId="097A9F62" w14:textId="224C26CA" w:rsidR="00E4706D" w:rsidRPr="00FC3C61" w:rsidRDefault="00E4706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194B20" w:rsidRPr="00FC3C61">
        <w:rPr>
          <w:rFonts w:cs="Times New Roman"/>
          <w:sz w:val="22"/>
          <w:szCs w:val="22"/>
        </w:rPr>
        <w:fldChar w:fldCharType="begin" w:fldLock="1"/>
      </w:r>
      <w:r w:rsidR="00D720EE" w:rsidRPr="00FC3C61">
        <w:rPr>
          <w:rFonts w:cs="Times New Roman"/>
          <w:sz w:val="22"/>
          <w:szCs w:val="22"/>
        </w:rPr>
        <w:instrText>ADDIN CSL_CITATION {"citationItems":[{"id":"ITEM-1","itemData":{"author":[{"dropping-particle":"","family":"Jaillant","given":"Lise","non-dropping-particle":"","parse-names":false,"suffix":""}],"container-title":"Archives and Manuscripts","id":"ITEM-1","issue":"3","issued":{"date-parts":[["2019"]]},"note":"doi: 10.1080/01576895.2019.1640555","page":"285-304","publisher":"Routledge","title":"After the digital revolution: working with emails and born-digital records in literary and publishers’ archives","type":"article-journal","volume":"47"},"uris":["http://www.mendeley.com/documents/?uuid=dcf79341-da12-4701-96d3-22b3e06c62b8"]}],"mendeley":{"formattedCitation":"Lise Jaillant, “After the Digital Revolution: Working with Emails and Born-Digital Records in Literary and Publishers’ Archives,” &lt;i&gt;Archives and Manuscripts&lt;/i&gt; 47, no. 3 (2019): 285–304.","plainTextFormattedCitation":"Lise Jaillant, “After the Digital Revolution: Working with Emails and Born-Digital Records in Literary and Publishers’ Archives,” Archives and Manuscripts 47, no. 3 (2019): 285–304.","previouslyFormattedCitation":"Lise Jaillant, “After the Digital Revolution: Working with Emails and Born-Digital Records in Literary and Publishers’ Archives,” &lt;i&gt;Archives and Manuscripts&lt;/i&gt; 47, no. 3 (2019): 285–304."},"properties":{"noteIndex":0},"schema":"https://github.com/citation-style-language/schema/raw/master/csl-citation.json"}</w:instrText>
      </w:r>
      <w:r w:rsidR="00194B20" w:rsidRPr="00FC3C61">
        <w:rPr>
          <w:rFonts w:cs="Times New Roman"/>
          <w:sz w:val="22"/>
          <w:szCs w:val="22"/>
        </w:rPr>
        <w:fldChar w:fldCharType="separate"/>
      </w:r>
      <w:r w:rsidR="00D720EE" w:rsidRPr="00FC3C61">
        <w:rPr>
          <w:rFonts w:cs="Times New Roman"/>
          <w:noProof/>
          <w:sz w:val="22"/>
          <w:szCs w:val="22"/>
        </w:rPr>
        <w:t xml:space="preserve">Lise Jaillant, “After the Digital Revolution: Working with Emails and Born-Digital Records in Literary and Publishers’ Archives,” </w:t>
      </w:r>
      <w:r w:rsidR="00D720EE" w:rsidRPr="00FC3C61">
        <w:rPr>
          <w:rFonts w:cs="Times New Roman"/>
          <w:i/>
          <w:noProof/>
          <w:sz w:val="22"/>
          <w:szCs w:val="22"/>
        </w:rPr>
        <w:t>Archives and Manuscripts</w:t>
      </w:r>
      <w:r w:rsidR="00D720EE" w:rsidRPr="00FC3C61">
        <w:rPr>
          <w:rFonts w:cs="Times New Roman"/>
          <w:noProof/>
          <w:sz w:val="22"/>
          <w:szCs w:val="22"/>
        </w:rPr>
        <w:t xml:space="preserve"> 47, no. 3 (2019): 285–304.</w:t>
      </w:r>
      <w:r w:rsidR="00194B20" w:rsidRPr="00FC3C61">
        <w:rPr>
          <w:rFonts w:cs="Times New Roman"/>
          <w:sz w:val="22"/>
          <w:szCs w:val="22"/>
        </w:rPr>
        <w:fldChar w:fldCharType="end"/>
      </w:r>
    </w:p>
  </w:endnote>
  <w:endnote w:id="50">
    <w:p w14:paraId="7EC23091" w14:textId="5B0D829D" w:rsidR="0093268D" w:rsidRPr="00FC3C61" w:rsidRDefault="0093268D" w:rsidP="004B7457">
      <w:pPr>
        <w:pStyle w:val="EndnoteText"/>
        <w:jc w:val="left"/>
        <w:rPr>
          <w:rFonts w:cs="Times New Roman"/>
          <w:color w:val="000000" w:themeColor="text1"/>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t>https://www.ferc.gov/ferc-online/elibrary.</w:t>
      </w:r>
    </w:p>
  </w:endnote>
  <w:endnote w:id="51">
    <w:p w14:paraId="359A7587" w14:textId="5489739D" w:rsidR="0093268D" w:rsidRPr="00FC3C61" w:rsidRDefault="0093268D" w:rsidP="00350E84">
      <w:pPr>
        <w:pStyle w:val="EndnoteText"/>
        <w:jc w:val="left"/>
        <w:rPr>
          <w:rFonts w:cs="Times New Roman"/>
          <w:color w:val="FF0000"/>
          <w:sz w:val="22"/>
          <w:szCs w:val="22"/>
        </w:rPr>
      </w:pPr>
      <w:r w:rsidRPr="00FC3C61">
        <w:rPr>
          <w:rStyle w:val="EndnoteReference"/>
          <w:rFonts w:cs="Times New Roman"/>
          <w:sz w:val="22"/>
          <w:szCs w:val="22"/>
        </w:rPr>
        <w:endnoteRef/>
      </w:r>
      <w:r w:rsidRPr="00FC3C61">
        <w:rPr>
          <w:rFonts w:cs="Times New Roman"/>
          <w:sz w:val="22"/>
          <w:szCs w:val="22"/>
        </w:rPr>
        <w:t xml:space="preserve"> </w:t>
      </w:r>
      <w:r w:rsidR="00D720EE" w:rsidRPr="00FC3C61">
        <w:rPr>
          <w:rFonts w:cs="Times New Roman"/>
          <w:color w:val="000000" w:themeColor="text1"/>
          <w:sz w:val="22"/>
          <w:szCs w:val="22"/>
        </w:rPr>
        <w:fldChar w:fldCharType="begin" w:fldLock="1"/>
      </w:r>
      <w:r w:rsidR="00D720EE" w:rsidRPr="00FC3C61">
        <w:rPr>
          <w:rFonts w:cs="Times New Roman"/>
          <w:color w:val="000000" w:themeColor="text1"/>
          <w:sz w:val="22"/>
          <w:szCs w:val="22"/>
        </w:rPr>
        <w:instrText>ADDIN CSL_CITATION {"citationItems":[{"id":"ITEM-1","itemData":{"author":[{"dropping-particle":"","family":"Pechman","given":"Carl","non-dropping-particle":"","parse-names":false,"suffix":""}],"collection-title":"EL03-180, SNO-160","id":"ITEM-1","issued":{"date-parts":[["2007"]]},"title":"Supplemental testimony of Carl Pechman, Ph.D. On behalf of Public Utility District no. 1 of Snohomish County, Washington","type":"report"},"uris":["http://www.mendeley.com/documents/?uuid=3a67a983-57a1-4a1f-b90c-35257bedd9aa"]}],"mendeley":{"formattedCitation":"Carl Pechman, “Supplemental Testimony of Carl Pechman, Ph.D. On Behalf of Public Utility District No. 1 of Snohomish County, Washington,” EL03-180, SNO-160, 2007.","plainTextFormattedCitation":"Carl Pechman, “Supplemental Testimony of Carl Pechman, Ph.D. On Behalf of Public Utility District No. 1 of Snohomish County, Washington,” EL03-180, SNO-160, 2007.","previouslyFormattedCitation":"Carl Pechman, “Supplemental Testimony of Carl Pechman, Ph.D. On Behalf of Public Utility District No. 1 of Snohomish County, Washington,” EL03-180, SNO-160, 2007."},"properties":{"noteIndex":0},"schema":"https://github.com/citation-style-language/schema/raw/master/csl-citation.json"}</w:instrText>
      </w:r>
      <w:r w:rsidR="00D720EE" w:rsidRPr="00FC3C61">
        <w:rPr>
          <w:rFonts w:cs="Times New Roman"/>
          <w:color w:val="000000" w:themeColor="text1"/>
          <w:sz w:val="22"/>
          <w:szCs w:val="22"/>
        </w:rPr>
        <w:fldChar w:fldCharType="separate"/>
      </w:r>
      <w:r w:rsidR="00D720EE" w:rsidRPr="00FC3C61">
        <w:rPr>
          <w:rFonts w:cs="Times New Roman"/>
          <w:noProof/>
          <w:color w:val="000000" w:themeColor="text1"/>
          <w:sz w:val="22"/>
          <w:szCs w:val="22"/>
        </w:rPr>
        <w:t>Carl Pechman, “Supplemental Testimony of Carl Pechman, Ph.D. On Behalf of Public Utility District No. 1 of Snohomish County, Washington,” EL03-180, SNO-160, 2007.</w:t>
      </w:r>
      <w:r w:rsidR="00D720EE" w:rsidRPr="00FC3C61">
        <w:rPr>
          <w:rFonts w:cs="Times New Roman"/>
          <w:color w:val="000000" w:themeColor="text1"/>
          <w:sz w:val="22"/>
          <w:szCs w:val="22"/>
        </w:rPr>
        <w:fldChar w:fldCharType="end"/>
      </w:r>
      <w:r w:rsidR="00D720EE" w:rsidRPr="00FC3C61">
        <w:rPr>
          <w:rFonts w:cs="Times New Roman"/>
          <w:color w:val="FF0000"/>
          <w:sz w:val="22"/>
          <w:szCs w:val="22"/>
        </w:rPr>
        <w:t xml:space="preserve"> </w:t>
      </w:r>
      <w:r w:rsidRPr="00FC3C61">
        <w:rPr>
          <w:rFonts w:cs="Times New Roman"/>
          <w:color w:val="000000" w:themeColor="text1"/>
          <w:sz w:val="22"/>
          <w:szCs w:val="22"/>
        </w:rPr>
        <w:t xml:space="preserve">The transcription process was overseen by an economist specializing in the energy industry, screening over 1000 hours of recordings and identifying calls relevant the inquiry. Due to its irrelevance as case evidence, some personal </w:t>
      </w:r>
      <w:r w:rsidRPr="00FC3C61">
        <w:rPr>
          <w:rFonts w:cs="Times New Roman"/>
          <w:noProof/>
          <w:color w:val="000000" w:themeColor="text1"/>
          <w:sz w:val="22"/>
          <w:szCs w:val="22"/>
        </w:rPr>
        <w:t>dialogue</w:t>
      </w:r>
      <w:r w:rsidRPr="00FC3C61">
        <w:rPr>
          <w:rFonts w:cs="Times New Roman"/>
          <w:color w:val="000000" w:themeColor="text1"/>
          <w:sz w:val="22"/>
          <w:szCs w:val="22"/>
        </w:rPr>
        <w:t xml:space="preserve"> (e.g., family members and home telephone numbers) was redacted before publication.</w:t>
      </w:r>
    </w:p>
  </w:endnote>
  <w:endnote w:id="52">
    <w:p w14:paraId="28A11AB6" w14:textId="0FE60DDE"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Many more were appraised as audio files, but the cost of transcription (payable by the claimant) was such that they only transcribe those essential in making their case.</w:t>
      </w:r>
    </w:p>
  </w:endnote>
  <w:endnote w:id="53">
    <w:p w14:paraId="019B90A4" w14:textId="48ADFF50"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On archival sampling, see </w:t>
      </w:r>
      <w:r w:rsidRPr="00FC3C61">
        <w:rPr>
          <w:rFonts w:cs="Times New Roman"/>
          <w:sz w:val="22"/>
          <w:szCs w:val="22"/>
        </w:rPr>
        <w:fldChar w:fldCharType="begin" w:fldLock="1"/>
      </w:r>
      <w:r w:rsidRPr="00FC3C61">
        <w:rPr>
          <w:rFonts w:cs="Times New Roman"/>
          <w:sz w:val="22"/>
          <w:szCs w:val="22"/>
        </w:rPr>
        <w:instrText>ADDIN CSL_CITATION {"citationItems":[{"id":"ITEM-1","itemData":{"ISBN":"1744-9359","author":[{"dropping-particle":"","family":"Decker","given":"Stephanie","non-dropping-particle":"","parse-names":false,"suffix":""}],"container-title":"Management &amp; Organizational History","id":"ITEM-1","issue":"2","issued":{"date-parts":[["2013"]]},"page":"155-173","title":"The silence of the archives: Business history, post-colonialism and archival ethnography","type":"article-journal","volume":"8"},"uris":["http://www.mendeley.com/documents/?uuid=b04d88d6-1fcb-43a8-b739-6f60b1f781c0"]}],"mendeley":{"formattedCitation":"Stephanie Decker, “The Silence of the Archives: Business History, Post-Colonialism and Archival Ethnography,” &lt;i&gt;Management &amp; Organizational History&lt;/i&gt; 8, no. 2 (2013): 155–73.","plainTextFormattedCitation":"Stephanie Decker, “The Silence of the Archives: Business History, Post-Colonialism and Archival Ethnography,” Management &amp; Organizational History 8, no. 2 (2013): 155–73.","previouslyFormattedCitation":"Stephanie Decker, “The Silence of the Archives: Business History, Post-Colonialism and Archival Ethnography,” &lt;i&gt;Management &amp; Organizational History&lt;/i&gt; 8, no. 2 (2013): 155–73."},"properties":{"noteIndex":0},"schema":"https://github.com/citation-style-language/schema/raw/master/csl-citation.json"}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Stephanie Decker, “The Silence of the Archives: Business History, Post-Colonialism and Archival Ethnography,” </w:t>
      </w:r>
      <w:r w:rsidRPr="00FC3C61">
        <w:rPr>
          <w:rFonts w:cs="Times New Roman"/>
          <w:i/>
          <w:noProof/>
          <w:sz w:val="22"/>
          <w:szCs w:val="22"/>
        </w:rPr>
        <w:t>Management &amp; Organizational History</w:t>
      </w:r>
      <w:r w:rsidRPr="00FC3C61">
        <w:rPr>
          <w:rFonts w:cs="Times New Roman"/>
          <w:noProof/>
          <w:sz w:val="22"/>
          <w:szCs w:val="22"/>
        </w:rPr>
        <w:t xml:space="preserve"> 8, no. 2 (2013): 155–73.</w:t>
      </w:r>
      <w:r w:rsidRPr="00FC3C61">
        <w:rPr>
          <w:rFonts w:cs="Times New Roman"/>
          <w:sz w:val="22"/>
          <w:szCs w:val="22"/>
        </w:rPr>
        <w:fldChar w:fldCharType="end"/>
      </w:r>
    </w:p>
  </w:endnote>
  <w:endnote w:id="54">
    <w:p w14:paraId="257E2180" w14:textId="645F1DE4" w:rsidR="00A81317" w:rsidRPr="00FC3C61" w:rsidRDefault="00A81317">
      <w:pPr>
        <w:pStyle w:val="EndnoteText"/>
        <w:rPr>
          <w:rFonts w:cs="Times New Roman"/>
          <w:color w:val="00B0F0"/>
          <w:sz w:val="22"/>
          <w:szCs w:val="22"/>
        </w:rPr>
      </w:pPr>
      <w:r w:rsidRPr="00FC3C61">
        <w:rPr>
          <w:rStyle w:val="EndnoteReference"/>
          <w:rFonts w:cs="Times New Roman"/>
          <w:color w:val="000000" w:themeColor="text1"/>
          <w:sz w:val="22"/>
          <w:szCs w:val="22"/>
        </w:rPr>
        <w:endnoteRef/>
      </w:r>
      <w:r w:rsidRPr="00FC3C61">
        <w:rPr>
          <w:rFonts w:cs="Times New Roman"/>
          <w:color w:val="000000" w:themeColor="text1"/>
          <w:sz w:val="22"/>
          <w:szCs w:val="22"/>
        </w:rPr>
        <w:t xml:space="preserve"> </w:t>
      </w:r>
      <w:r w:rsidR="00B41063" w:rsidRPr="00FC3C61">
        <w:rPr>
          <w:rFonts w:cs="Times New Roman"/>
          <w:color w:val="000000" w:themeColor="text1"/>
          <w:sz w:val="22"/>
          <w:szCs w:val="22"/>
        </w:rPr>
        <w:t xml:space="preserve">FERC, “Order directing the release of information” 102 FERC ¶ 61,311 (2003). </w:t>
      </w:r>
      <w:r w:rsidRPr="00FC3C61">
        <w:rPr>
          <w:rFonts w:cs="Times New Roman"/>
          <w:color w:val="000000" w:themeColor="text1"/>
          <w:sz w:val="22"/>
          <w:szCs w:val="22"/>
        </w:rPr>
        <w:t xml:space="preserve">This data has previously been used within various fields, including history (e.g., </w:t>
      </w:r>
      <w:r w:rsidRPr="00FC3C61">
        <w:rPr>
          <w:rFonts w:cs="Times New Roman"/>
          <w:i/>
          <w:iCs/>
          <w:color w:val="000000" w:themeColor="text1"/>
          <w:sz w:val="22"/>
          <w:szCs w:val="22"/>
        </w:rPr>
        <w:t>Benke</w:t>
      </w:r>
      <w:r w:rsidRPr="00FC3C61">
        <w:rPr>
          <w:rFonts w:cs="Times New Roman"/>
          <w:color w:val="000000" w:themeColor="text1"/>
          <w:sz w:val="22"/>
          <w:szCs w:val="22"/>
        </w:rPr>
        <w:t xml:space="preserve">), management research (e.g.,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{"citationItems":[{"id":"ITEM-1","itemData":{"ISBN":"1047-7039","author":[{"dropping-particle":"","family":"Aven","given":"Brandy","non-dropping-particle":"","parse-names":false,"suffix":""}],"container-title":"Organization Science","id":"ITEM-1","issue":"4","issued":{"date-parts":[["2015"]]},"page":"980-996","title":"The Paradox of Corrupt Networks: An Analysis of Organizational Crime at Enron","type":"article-journal","volume":"26"},"uris":["http://www.mendeley.com/documents/?uuid=05fa6f68-6940-4e61-8a43-3ae64db5d343"]}],"mendeley":{"formattedCitation":"Brandy Aven, “The Paradox of Corrupt Networks: An Analysis of Organizational Crime at Enron,” &lt;i&gt;Organization Science&lt;/i&gt; 26, no. 4 (2015): 980–96.","plainTextFormattedCitation":"Brandy Aven, “The Paradox of Corrupt Networks: An Analysis of Organizational Crime at Enron,” Organization Science 26, no. 4 (2015): 980–96.","previouslyFormattedCitation":"Brandy Aven, “The Paradox of Corrupt Networks: An Analysis of Organizational Crime at Enron,” &lt;i&gt;Organization Science&lt;/i&gt; 26, no. 4 (2015): 980–96."},"properties":{"noteIndex":0},"schema":"https://github.com/citation-style-language/schema/raw/master/csl-citation.json"}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 xml:space="preserve">Brandy Aven, “The Paradox of Corrupt Networks: An Analysis of Organizational Crime at Enron,” </w:t>
      </w:r>
      <w:r w:rsidRPr="00FC3C61">
        <w:rPr>
          <w:rFonts w:cs="Times New Roman"/>
          <w:i/>
          <w:noProof/>
          <w:color w:val="000000" w:themeColor="text1"/>
          <w:sz w:val="22"/>
          <w:szCs w:val="22"/>
        </w:rPr>
        <w:t>Organization Science</w:t>
      </w:r>
      <w:r w:rsidRPr="00FC3C61">
        <w:rPr>
          <w:rFonts w:cs="Times New Roman"/>
          <w:noProof/>
          <w:color w:val="000000" w:themeColor="text1"/>
          <w:sz w:val="22"/>
          <w:szCs w:val="22"/>
        </w:rPr>
        <w:t xml:space="preserve"> 26, no. 4 (2015): 980–96.</w:t>
      </w:r>
      <w:r w:rsidRPr="00FC3C61">
        <w:rPr>
          <w:rFonts w:cs="Times New Roman"/>
          <w:color w:val="000000" w:themeColor="text1"/>
          <w:sz w:val="22"/>
          <w:szCs w:val="22"/>
        </w:rPr>
        <w:fldChar w:fldCharType="end"/>
      </w:r>
      <w:r w:rsidRPr="00FC3C61">
        <w:rPr>
          <w:rFonts w:cs="Times New Roman"/>
          <w:color w:val="000000" w:themeColor="text1"/>
          <w:sz w:val="22"/>
          <w:szCs w:val="22"/>
        </w:rPr>
        <w:t xml:space="preserve">), and </w:t>
      </w:r>
      <w:r w:rsidR="00522483" w:rsidRPr="00FC3C61">
        <w:rPr>
          <w:rFonts w:cs="Times New Roman"/>
          <w:color w:val="000000" w:themeColor="text1"/>
          <w:sz w:val="22"/>
          <w:szCs w:val="22"/>
        </w:rPr>
        <w:t>linguistics (e.g.,</w:t>
      </w:r>
      <w:r w:rsidRPr="00FC3C61">
        <w:rPr>
          <w:rFonts w:cs="Times New Roman"/>
          <w:color w:val="000000" w:themeColor="text1"/>
          <w:sz w:val="22"/>
          <w:szCs w:val="22"/>
        </w:rPr>
        <w:t xml:space="preserve"> </w:t>
      </w:r>
      <w:r w:rsidR="00522483" w:rsidRPr="00FC3C61">
        <w:rPr>
          <w:rFonts w:cs="Times New Roman"/>
          <w:color w:val="000000" w:themeColor="text1"/>
          <w:sz w:val="22"/>
          <w:szCs w:val="22"/>
        </w:rPr>
        <w:fldChar w:fldCharType="begin" w:fldLock="1"/>
      </w:r>
      <w:r w:rsidR="003D7833" w:rsidRPr="00FC3C61">
        <w:rPr>
          <w:rFonts w:cs="Times New Roman"/>
          <w:color w:val="000000" w:themeColor="text1"/>
          <w:sz w:val="22"/>
          <w:szCs w:val="22"/>
        </w:rPr>
        <w:instrText>ADDIN CSL_CITATION {"citationItems":[{"id":"ITEM-1","itemData":{"ISSN":"1748-8885","author":[{"dropping-particle":"","family":"Wright","given":"David","non-dropping-particle":"","parse-names":false,"suffix":""}],"container-title":"International Journal of Speech, Language &amp; the Law","id":"ITEM-1","issue":"1","issued":{"date-parts":[["2013"]]},"title":"Stylistic variation within genre conventions in the Enron email corpus: developing a textsensitive methodology for authorship research.","type":"article-journal","volume":"20"},"uris":["http://www.mendeley.com/documents/?uuid=289d56d6-e1b3-434a-8045-dc785e5cda97"]}],"mendeley":{"formattedCitation":"David Wright, “Stylistic Variation within Genre Conventions in the Enron Email Corpus: Developing a Textsensitive Methodology for Authorship Research.,” &lt;i&gt;International Journal of Speech, Language &amp; the Law&lt;/i&gt; 20, no. 1 (2013).","plainTextFormattedCitation":"David Wright, “Stylistic Variation within Genre Conventions in the Enron Email Corpus: Developing a Textsensitive Methodology for Authorship Research.,” International Journal of Speech, Language &amp; the Law 20, no. 1 (2013).","previouslyFormattedCitation":"David Wright, “Stylistic Variation within Genre Conventions in the Enron Email Corpus: Developing a Textsensitive Methodology for Authorship Research.,” &lt;i&gt;International Journal of Speech, Language &amp; the Law&lt;/i&gt; 20, no. 1 (2013)."},"properties":{"noteIndex":0},"schema":"https://github.com/citation-style-language/schema/raw/master/csl-citation.json"}</w:instrText>
      </w:r>
      <w:r w:rsidR="00522483" w:rsidRPr="00FC3C61">
        <w:rPr>
          <w:rFonts w:cs="Times New Roman"/>
          <w:color w:val="000000" w:themeColor="text1"/>
          <w:sz w:val="22"/>
          <w:szCs w:val="22"/>
        </w:rPr>
        <w:fldChar w:fldCharType="separate"/>
      </w:r>
      <w:r w:rsidR="00522483" w:rsidRPr="00FC3C61">
        <w:rPr>
          <w:rFonts w:cs="Times New Roman"/>
          <w:noProof/>
          <w:color w:val="000000" w:themeColor="text1"/>
          <w:sz w:val="22"/>
          <w:szCs w:val="22"/>
        </w:rPr>
        <w:t xml:space="preserve">David Wright, “Stylistic Variation within Genre Conventions in the Enron Email Corpus: Developing a Textsensitive Methodology for Authorship Research.,” </w:t>
      </w:r>
      <w:r w:rsidR="00522483" w:rsidRPr="00FC3C61">
        <w:rPr>
          <w:rFonts w:cs="Times New Roman"/>
          <w:i/>
          <w:noProof/>
          <w:color w:val="000000" w:themeColor="text1"/>
          <w:sz w:val="22"/>
          <w:szCs w:val="22"/>
        </w:rPr>
        <w:t>International Journal of Speech, Language &amp; the Law</w:t>
      </w:r>
      <w:r w:rsidR="00522483" w:rsidRPr="00FC3C61">
        <w:rPr>
          <w:rFonts w:cs="Times New Roman"/>
          <w:noProof/>
          <w:color w:val="000000" w:themeColor="text1"/>
          <w:sz w:val="22"/>
          <w:szCs w:val="22"/>
        </w:rPr>
        <w:t xml:space="preserve"> 20, no. 1 (2013).</w:t>
      </w:r>
      <w:r w:rsidR="00522483" w:rsidRPr="00FC3C61">
        <w:rPr>
          <w:rFonts w:cs="Times New Roman"/>
          <w:color w:val="000000" w:themeColor="text1"/>
          <w:sz w:val="22"/>
          <w:szCs w:val="22"/>
        </w:rPr>
        <w:fldChar w:fldCharType="end"/>
      </w:r>
      <w:r w:rsidRPr="00FC3C61">
        <w:rPr>
          <w:rFonts w:cs="Times New Roman"/>
          <w:color w:val="000000" w:themeColor="text1"/>
          <w:sz w:val="22"/>
          <w:szCs w:val="22"/>
        </w:rPr>
        <w:t xml:space="preserve"> While originally available via the FERC, this data is now </w:t>
      </w:r>
      <w:r w:rsidR="00B41063" w:rsidRPr="00FC3C61">
        <w:rPr>
          <w:rFonts w:cs="Times New Roman"/>
          <w:color w:val="000000" w:themeColor="text1"/>
          <w:sz w:val="22"/>
          <w:szCs w:val="22"/>
        </w:rPr>
        <w:t xml:space="preserve">publicly </w:t>
      </w:r>
      <w:r w:rsidRPr="00FC3C61">
        <w:rPr>
          <w:rFonts w:cs="Times New Roman"/>
          <w:color w:val="000000" w:themeColor="text1"/>
          <w:sz w:val="22"/>
          <w:szCs w:val="22"/>
        </w:rPr>
        <w:t xml:space="preserve">hosted by </w:t>
      </w:r>
      <w:r w:rsidRPr="00FC3C61">
        <w:rPr>
          <w:rFonts w:cs="Times New Roman"/>
          <w:color w:val="000000" w:themeColor="text1"/>
          <w:sz w:val="22"/>
          <w:szCs w:val="22"/>
          <w:shd w:val="clear" w:color="auto" w:fill="FFFFFF"/>
        </w:rPr>
        <w:t xml:space="preserve">Carnegie Mellon University </w:t>
      </w:r>
      <w:r w:rsidRPr="00FC3C61">
        <w:rPr>
          <w:rFonts w:cs="Times New Roman"/>
          <w:color w:val="000000" w:themeColor="text1"/>
          <w:sz w:val="22"/>
          <w:szCs w:val="22"/>
        </w:rPr>
        <w:t xml:space="preserve">as part of the CALO Project: </w:t>
      </w:r>
      <w:hyperlink r:id="rId1" w:history="1">
        <w:r w:rsidRPr="00FC3C61">
          <w:rPr>
            <w:rStyle w:val="Hyperlink"/>
            <w:rFonts w:cs="Times New Roman"/>
            <w:color w:val="000000" w:themeColor="text1"/>
            <w:sz w:val="22"/>
            <w:szCs w:val="22"/>
          </w:rPr>
          <w:t>https://www.cs.cmu.edu/~enron/</w:t>
        </w:r>
      </w:hyperlink>
      <w:r w:rsidRPr="00FC3C61">
        <w:rPr>
          <w:rFonts w:cs="Times New Roman"/>
          <w:color w:val="000000" w:themeColor="text1"/>
          <w:sz w:val="22"/>
          <w:szCs w:val="22"/>
        </w:rPr>
        <w:t xml:space="preserve">. </w:t>
      </w:r>
    </w:p>
  </w:endnote>
  <w:endnote w:id="55">
    <w:p w14:paraId="133509FE" w14:textId="368B7AD3" w:rsidR="0093268D" w:rsidRPr="00FC3C61" w:rsidRDefault="0093268D" w:rsidP="00391820">
      <w:pPr>
        <w:spacing w:after="0" w:line="240" w:lineRule="auto"/>
        <w:jc w:val="left"/>
        <w:rPr>
          <w:rFonts w:cs="Times New Roman"/>
          <w:color w:val="000000" w:themeColor="text1"/>
          <w:sz w:val="22"/>
        </w:rPr>
      </w:pPr>
      <w:r w:rsidRPr="00FC3C61">
        <w:rPr>
          <w:rStyle w:val="EndnoteReference"/>
          <w:rFonts w:cs="Times New Roman"/>
          <w:color w:val="000000" w:themeColor="text1"/>
          <w:sz w:val="22"/>
        </w:rPr>
        <w:endnoteRef/>
      </w:r>
      <w:r w:rsidRPr="00FC3C61">
        <w:rPr>
          <w:rFonts w:cs="Times New Roman"/>
          <w:color w:val="000000" w:themeColor="text1"/>
          <w:sz w:val="22"/>
        </w:rPr>
        <w:t xml:space="preserve"> To isolate a manageable and relevant set of sources, we only included West Power Trading employees, reducing the accounts from 150 to 18. The emails from these accounts </w:t>
      </w:r>
      <w:r w:rsidRPr="00FC3C61">
        <w:rPr>
          <w:rFonts w:cs="Times New Roman"/>
          <w:noProof/>
          <w:color w:val="000000" w:themeColor="text1"/>
          <w:sz w:val="22"/>
        </w:rPr>
        <w:t>were</w:t>
      </w:r>
      <w:r w:rsidRPr="00FC3C61">
        <w:rPr>
          <w:rFonts w:cs="Times New Roman"/>
          <w:color w:val="000000" w:themeColor="text1"/>
          <w:sz w:val="22"/>
        </w:rPr>
        <w:t xml:space="preserve"> then limited to just those of the ‘</w:t>
      </w:r>
      <w:r w:rsidRPr="00FC3C61">
        <w:rPr>
          <w:rFonts w:cs="Times New Roman"/>
          <w:noProof/>
          <w:color w:val="000000" w:themeColor="text1"/>
          <w:sz w:val="22"/>
        </w:rPr>
        <w:t>sent email</w:t>
      </w:r>
      <w:r w:rsidRPr="00FC3C61">
        <w:rPr>
          <w:rFonts w:cs="Times New Roman"/>
          <w:color w:val="000000" w:themeColor="text1"/>
          <w:sz w:val="22"/>
        </w:rPr>
        <w:t xml:space="preserve">’ folders. With sent mail, the communication was significant enough to warrant the original actor’s attention, as opposed to the passive holding of emails in an inbox folder. This process reduced the corpus to 4,091 individual items, which were then manually analyzed. </w:t>
      </w:r>
    </w:p>
  </w:endnote>
  <w:endnote w:id="56">
    <w:p w14:paraId="37BEFB14" w14:textId="04D00EDD" w:rsidR="0093268D" w:rsidRPr="00FC3C61" w:rsidRDefault="0093268D" w:rsidP="003D62D4">
      <w:pPr>
        <w:pStyle w:val="EndnoteText"/>
        <w:rPr>
          <w:rFonts w:cs="Times New Roman"/>
          <w:sz w:val="22"/>
          <w:szCs w:val="22"/>
        </w:rPr>
      </w:pPr>
      <w:r w:rsidRPr="00FC3C61">
        <w:rPr>
          <w:rStyle w:val="EndnoteReference"/>
          <w:rFonts w:cs="Times New Roman"/>
          <w:color w:val="000000" w:themeColor="text1"/>
          <w:sz w:val="22"/>
          <w:szCs w:val="22"/>
        </w:rPr>
        <w:endnoteRef/>
      </w:r>
      <w:r w:rsidRPr="00FC3C61">
        <w:rPr>
          <w:rFonts w:cs="Times New Roman"/>
          <w:color w:val="000000" w:themeColor="text1"/>
          <w:sz w:val="22"/>
          <w:szCs w:val="22"/>
        </w:rPr>
        <w:t xml:space="preserve"> </w:t>
      </w:r>
      <w:r w:rsidR="003F40F7" w:rsidRPr="00FC3C61">
        <w:rPr>
          <w:rFonts w:cs="Times New Roman"/>
          <w:color w:val="000000" w:themeColor="text1"/>
          <w:sz w:val="22"/>
          <w:szCs w:val="22"/>
        </w:rPr>
        <w:fldChar w:fldCharType="begin" w:fldLock="1"/>
      </w:r>
      <w:r w:rsidR="004200F5" w:rsidRPr="00FC3C61">
        <w:rPr>
          <w:rFonts w:cs="Times New Roman"/>
          <w:color w:val="000000" w:themeColor="text1"/>
          <w:sz w:val="22"/>
          <w:szCs w:val="22"/>
        </w:rPr>
        <w:instrText>ADDIN CSL_CITATION {"citationItems":[{"id":"ITEM-1","itemData":{"author":[{"dropping-particle":"","family":"FERC","given":"","non-dropping-particle":"","parse-names":false,"suffix":""}],"id":"ITEM-1","issue":"PA02-2-000","issued":{"date-parts":[["2003"]]},"title":"Final Report on Price Manipulation In Western Markets","type":"report"},"uris":["http://www.mendeley.com/documents/?uuid=127ee563-edb4-42e5-a1db-b4361bd40bac"]}],"mendeley":{"formattedCitation":"FERC, “Final Report on Price Manipulation In Western Markets.”","manualFormatting":"FERC, “Final Report.”","plainTextFormattedCitation":"FERC, “Final Report on Price Manipulation In Western Markets.”","previouslyFormattedCitation":"FERC, “Final Report on Price Manipulation In Western Markets.”"},"properties":{"noteIndex":0},"schema":"https://github.com/citation-style-language/schema/raw/master/csl-citation.json"}</w:instrText>
      </w:r>
      <w:r w:rsidR="003F40F7" w:rsidRPr="00FC3C61">
        <w:rPr>
          <w:rFonts w:cs="Times New Roman"/>
          <w:color w:val="000000" w:themeColor="text1"/>
          <w:sz w:val="22"/>
          <w:szCs w:val="22"/>
        </w:rPr>
        <w:fldChar w:fldCharType="separate"/>
      </w:r>
      <w:r w:rsidR="003F40F7" w:rsidRPr="00FC3C61">
        <w:rPr>
          <w:rFonts w:cs="Times New Roman"/>
          <w:noProof/>
          <w:color w:val="000000" w:themeColor="text1"/>
          <w:sz w:val="22"/>
          <w:szCs w:val="22"/>
        </w:rPr>
        <w:t>FERC, “Final Report.”</w:t>
      </w:r>
      <w:r w:rsidR="003F40F7" w:rsidRPr="00FC3C61">
        <w:rPr>
          <w:rFonts w:cs="Times New Roman"/>
          <w:color w:val="000000" w:themeColor="text1"/>
          <w:sz w:val="22"/>
          <w:szCs w:val="22"/>
        </w:rPr>
        <w:fldChar w:fldCharType="end"/>
      </w:r>
      <w:r w:rsidR="003F40F7" w:rsidRPr="00FC3C61">
        <w:rPr>
          <w:rFonts w:cs="Times New Roman"/>
          <w:color w:val="000000" w:themeColor="text1"/>
          <w:sz w:val="22"/>
          <w:szCs w:val="22"/>
        </w:rPr>
        <w:t xml:space="preserve"> </w:t>
      </w:r>
      <w:r w:rsidRPr="00FC3C61">
        <w:rPr>
          <w:rFonts w:cs="Times New Roman"/>
          <w:color w:val="000000" w:themeColor="text1"/>
          <w:sz w:val="22"/>
          <w:szCs w:val="22"/>
        </w:rPr>
        <w:t xml:space="preserve">In fact, it was later, lesser-known legal challenges that proved the most valuable. For instance, Washington-based, Snohomish Public Utility District, sought to remove themselves from costly forward energy contracts made with Enron at the </w:t>
      </w:r>
      <w:r w:rsidR="00E73FEC" w:rsidRPr="00FC3C61">
        <w:rPr>
          <w:rFonts w:cs="Times New Roman"/>
          <w:color w:val="000000" w:themeColor="text1"/>
          <w:sz w:val="22"/>
          <w:szCs w:val="22"/>
        </w:rPr>
        <w:t>height</w:t>
      </w:r>
      <w:r w:rsidRPr="00FC3C61">
        <w:rPr>
          <w:rFonts w:cs="Times New Roman"/>
          <w:color w:val="000000" w:themeColor="text1"/>
          <w:sz w:val="22"/>
          <w:szCs w:val="22"/>
        </w:rPr>
        <w:t xml:space="preserve"> of the crisis, and it was through these proceedings (rather that the official investigation) that the most illuminating details were found. Like many, Snohomish’s case ultimately ended in settlement; however, the FERC’s 2007 </w:t>
      </w:r>
      <w:r w:rsidR="003F40F7" w:rsidRPr="00FC3C61">
        <w:rPr>
          <w:rFonts w:cs="Times New Roman"/>
          <w:color w:val="000000" w:themeColor="text1"/>
          <w:sz w:val="22"/>
          <w:szCs w:val="22"/>
        </w:rPr>
        <w:t>“I</w:t>
      </w:r>
      <w:r w:rsidRPr="00FC3C61">
        <w:rPr>
          <w:rFonts w:cs="Times New Roman"/>
          <w:color w:val="000000" w:themeColor="text1"/>
          <w:sz w:val="22"/>
          <w:szCs w:val="22"/>
        </w:rPr>
        <w:t xml:space="preserve">nitial </w:t>
      </w:r>
      <w:r w:rsidR="003F40F7" w:rsidRPr="00FC3C61">
        <w:rPr>
          <w:rFonts w:cs="Times New Roman"/>
          <w:color w:val="000000" w:themeColor="text1"/>
          <w:sz w:val="22"/>
          <w:szCs w:val="22"/>
        </w:rPr>
        <w:t>D</w:t>
      </w:r>
      <w:r w:rsidRPr="00FC3C61">
        <w:rPr>
          <w:rFonts w:cs="Times New Roman"/>
          <w:color w:val="000000" w:themeColor="text1"/>
          <w:sz w:val="22"/>
          <w:szCs w:val="22"/>
        </w:rPr>
        <w:t>ecision</w:t>
      </w:r>
      <w:r w:rsidR="003F40F7" w:rsidRPr="00FC3C61">
        <w:rPr>
          <w:rFonts w:cs="Times New Roman"/>
          <w:color w:val="000000" w:themeColor="text1"/>
          <w:sz w:val="22"/>
          <w:szCs w:val="22"/>
        </w:rPr>
        <w:t>”</w:t>
      </w:r>
      <w:r w:rsidRPr="00FC3C61">
        <w:rPr>
          <w:rFonts w:cs="Times New Roman"/>
          <w:color w:val="000000" w:themeColor="text1"/>
          <w:sz w:val="22"/>
          <w:szCs w:val="22"/>
        </w:rPr>
        <w:t xml:space="preserve"> on the case found extensively in their favor, upholding, and extending the judgements made against Enron in the earlier 2003 report.</w:t>
      </w:r>
    </w:p>
  </w:endnote>
  <w:endnote w:id="57">
    <w:p w14:paraId="7A32AD0C" w14:textId="58976337"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{"citationItems":[{"id":"ITEM-1","itemData":{"author":[{"dropping-particle":"","family":"Enron","given":"","non-dropping-particle":"","parse-names":false,"suffix":""}],"id":"ITEM-1","issued":{"date-parts":[["1986"]]},"publisher":"PR Newswire","title":"HNG/InterNorth, at the corporation's annual meeting today, approved changing the corporation's name to Enron Corp.","type":"article"},"uris":["http://www.mendeley.com/documents/?uuid=52a7f2e5-ebf5-4116-85ee-99b32b9225a7"]},{"id":"ITEM-2","itemData":{"author":[{"dropping-particle":"","family":"HNG/InterNorth","given":"","non-dropping-particle":"","parse-names":false,"suffix":""}],"id":"ITEM-2","issued":{"date-parts":[["1986"]]},"publisher":"PR Newswire","title":"HNG/InterNorth announced today that it will propose to its stockholders that the name of the corporation be changed to Enron Corp., rather than Enteron Corp., which was previously announced.","type":"article"},"uris":["http://www.mendeley.com/documents/?uuid=3bfd6c8b-8711-4ea8-8a6c-0ec13edfcb9b"]}],"mendeley":{"formattedCitation":"Enron, “HNG/InterNorth, at the Corporation’s Annual Meeting Today, Approved Changing the Corporation’s Name to Enron Corp.” (PR Newswire, 1986), https://www.nexis.com; HNG/InterNorth, “HNG/InterNorth Announced Today That It Will Propose to Its Stockholders That the Name of the Corporation Be Changed to Enron Corp., Rather than Enteron Corp., Which Was Previously Announced.” (PR Newswire, 1986), https://www.nexis.com.","plainTextFormattedCitation":"Enron, “HNG/InterNorth, at the Corporation’s Annual Meeting Today, Approved Changing the Corporation’s Name to Enron Corp.” (PR Newswire, 1986), https://www.nexis.com; HNG/InterNorth, “HNG/InterNorth Announced Today That It Will Propose to Its Stockholders That the Name of the Corporation Be Changed to Enron Corp., Rather than Enteron Corp., Which Was Previously Announced.” (PR Newswire, 1986), https://www.nexis.com.","previouslyFormattedCitation":"Enron, “HNG/InterNorth, at the Corporation’s Annual Meeting Today, Approved Changing the Corporation’s Name to Enron Corp.” (PR Newswire, 1986), https://www.nexis.com; HNG/InterNorth, “HNG/InterNorth Announced Today That It Will Propose to Its Stockholders That the Name of the Corporation Be Changed to Enron Corp., Rather than Enteron Corp., Which Was Previously Announced.” (PR Newswire, 1986),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Enron, “HNG/InterNorth, at the Corporation’s Annual Meeting Today, Approved Changing the Corporation’s Name to Enron Corp.” (PR Newswire, 1986), https://www.nexis.com; HNG/InterNorth, “HNG/InterNorth Announced Today That It Will Propose to Its Stockholders That the Name of the Corporation Be Changed to Enron Corp., Rather than Enteron Corp., Which Was Previously Announced.” (PR Newswire, 1986), https://www.nexis.com.</w:t>
      </w:r>
      <w:r w:rsidRPr="00FC3C61">
        <w:rPr>
          <w:rFonts w:cs="Times New Roman"/>
          <w:sz w:val="22"/>
          <w:szCs w:val="22"/>
        </w:rPr>
        <w:fldChar w:fldCharType="end"/>
      </w:r>
      <w:r w:rsidRPr="00FC3C61">
        <w:rPr>
          <w:rFonts w:cs="Times New Roman"/>
          <w:sz w:val="22"/>
          <w:szCs w:val="22"/>
        </w:rPr>
        <w:t xml:space="preserve"> </w:t>
      </w:r>
    </w:p>
  </w:endnote>
  <w:endnote w:id="58">
    <w:p w14:paraId="29D803F2" w14:textId="07AEC85B"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Enron’s particular interpretation and rhetorical use of free market capitalism suited the company’s aggressively profit-driven</w:t>
      </w:r>
      <w:r w:rsidR="00E62DDF" w:rsidRPr="00FC3C61">
        <w:rPr>
          <w:rFonts w:cs="Times New Roman"/>
          <w:sz w:val="22"/>
          <w:szCs w:val="22"/>
        </w:rPr>
        <w:t xml:space="preserve"> focus</w:t>
      </w:r>
      <w:r w:rsidRPr="00FC3C61">
        <w:rPr>
          <w:rFonts w:cs="Times New Roman"/>
          <w:sz w:val="22"/>
          <w:szCs w:val="22"/>
        </w:rPr>
        <w:t xml:space="preserve">. Indeed, as a public relations tool, the </w:t>
      </w:r>
      <w:r w:rsidR="006B11D0" w:rsidRPr="00FC3C61">
        <w:rPr>
          <w:rFonts w:cs="Times New Roman"/>
          <w:sz w:val="22"/>
          <w:szCs w:val="22"/>
        </w:rPr>
        <w:t>free-market</w:t>
      </w:r>
      <w:r w:rsidRPr="00FC3C61">
        <w:rPr>
          <w:rFonts w:cs="Times New Roman"/>
          <w:sz w:val="22"/>
          <w:szCs w:val="22"/>
        </w:rPr>
        <w:t xml:space="preserve"> justification was strategically advantageous to the business and formed a core element of its political and a public identity throughout its existence. See </w:t>
      </w:r>
      <w:r w:rsidRPr="00FC3C61">
        <w:rPr>
          <w:rFonts w:cs="Times New Roman"/>
          <w:sz w:val="22"/>
          <w:szCs w:val="22"/>
        </w:rPr>
        <w:fldChar w:fldCharType="begin" w:fldLock="1"/>
      </w:r>
      <w:r w:rsidRPr="00FC3C61">
        <w:rPr>
          <w:rFonts w:cs="Times New Roman"/>
          <w:sz w:val="22"/>
          <w:szCs w:val="22"/>
        </w:rPr>
        <w:instrText>ADDIN CSL_CITATION {"citationItems":[{"id":"ITEM-1","itemData":{"ISBN":"0812295072","author":[{"dropping-particle":"","family":"Benke","given":"Gavin","non-dropping-particle":"","parse-names":false,"suffix":""}],"id":"ITEM-1","issued":{"date-parts":[["2018"]]},"publisher":"University of Pennsylvania Press","publisher-place":"Philadelphia","title":"Risk and Ruin: Enron and the Culture of American Capitalism","type":"book"},"locator":"90-91","uris":["http://www.mendeley.com/documents/?uuid=02e5add2-6a7a-4853-8749-a577f699cb00"]}],"mendeley":{"formattedCitation":"Benke, &lt;i&gt;Risk and Ruin: Enron and the Culture of American Capitalism&lt;/i&gt;, 90–91.","manualFormatting":"Benke, Risk and Ruin, 90–91.","plainTextFormattedCitation":"Benke, Risk and Ruin: Enron and the Culture of American Capitalism, 90–91.","previouslyFormattedCitation":"Benke, &lt;i&gt;Risk and Ruin: Enron and the Culture of American Capitalism&lt;/i&gt;, 90–91."},"properties":{"noteIndex":0},"schema":"https://github.com/citation-style-language/schema/raw/master/csl-citation.json"}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Benke, </w:t>
      </w:r>
      <w:r w:rsidRPr="00FC3C61">
        <w:rPr>
          <w:rFonts w:cs="Times New Roman"/>
          <w:i/>
          <w:noProof/>
          <w:sz w:val="22"/>
          <w:szCs w:val="22"/>
        </w:rPr>
        <w:t>Risk and Ruin</w:t>
      </w:r>
      <w:r w:rsidRPr="00FC3C61">
        <w:rPr>
          <w:rFonts w:cs="Times New Roman"/>
          <w:noProof/>
          <w:sz w:val="22"/>
          <w:szCs w:val="22"/>
        </w:rPr>
        <w:t>, 90–91.</w:t>
      </w:r>
      <w:r w:rsidRPr="00FC3C61">
        <w:rPr>
          <w:rFonts w:cs="Times New Roman"/>
          <w:sz w:val="22"/>
          <w:szCs w:val="22"/>
        </w:rPr>
        <w:fldChar w:fldCharType="end"/>
      </w:r>
      <w:r w:rsidRPr="00FC3C61">
        <w:rPr>
          <w:rFonts w:cs="Times New Roman"/>
          <w:sz w:val="22"/>
          <w:szCs w:val="22"/>
        </w:rPr>
        <w:t xml:space="preserve"> </w:t>
      </w:r>
    </w:p>
  </w:endnote>
  <w:endnote w:id="59">
    <w:p w14:paraId="0525AF88" w14:textId="1639D951"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{"citationItems":[{"id":"ITEM-1","itemData":{"author":[{"dropping-particle":"","family":"Skilling","given":"Jeffery","non-dropping-particle":"","parse-names":false,"suffix":""}],"container-title":"Public Utiliies Fortnightly","id":"ITEM-1","issued":{"date-parts":[["1991"]]},"title":"Promoting Price Stability Through Supply Portfolios","type":"article-newspaper"},"uris":["http://www.mendeley.com/documents/?uuid=c1f2f1fa-d28c-454c-a8cb-f6c261257bf9"]}],"mendeley":{"formattedCitation":"Jeffery Skilling, “Promoting Price Stability Through Supply Portfolios,” &lt;i&gt;Public Utiliies Fortnightly&lt;/i&gt;, 1991, https://www.nexis.com.","plainTextFormattedCitation":"Jeffery Skilling, “Promoting Price Stability Through Supply Portfolios,” Public Utiliies Fortnightly, 1991, https://www.nexis.com.","previouslyFormattedCitation":"Jeffery Skilling, “Promoting Price Stability Through Supply Portfolios,” &lt;i&gt;Public Utiliies Fortnightly&lt;/i&gt;, 1991,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Jeffery Skilling, “Promoting Price Stability Through Supply Portfolios,” </w:t>
      </w:r>
      <w:r w:rsidRPr="00FC3C61">
        <w:rPr>
          <w:rFonts w:cs="Times New Roman"/>
          <w:i/>
          <w:noProof/>
          <w:sz w:val="22"/>
          <w:szCs w:val="22"/>
        </w:rPr>
        <w:t>Public Utiliies Fortnightly</w:t>
      </w:r>
      <w:r w:rsidRPr="00FC3C61">
        <w:rPr>
          <w:rFonts w:cs="Times New Roman"/>
          <w:noProof/>
          <w:sz w:val="22"/>
          <w:szCs w:val="22"/>
        </w:rPr>
        <w:t>, 1991, https://www.nexis.com.</w:t>
      </w:r>
      <w:r w:rsidRPr="00FC3C61">
        <w:rPr>
          <w:rFonts w:cs="Times New Roman"/>
          <w:sz w:val="22"/>
          <w:szCs w:val="22"/>
        </w:rPr>
        <w:fldChar w:fldCharType="end"/>
      </w:r>
      <w:r w:rsidRPr="00FC3C61">
        <w:rPr>
          <w:rFonts w:cs="Times New Roman"/>
          <w:sz w:val="22"/>
          <w:szCs w:val="22"/>
        </w:rPr>
        <w:t xml:space="preserve"> </w:t>
      </w:r>
    </w:p>
  </w:endnote>
  <w:endnote w:id="60">
    <w:p w14:paraId="1A02D1FB" w14:textId="2C252FCC"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{"citationItems":[{"id":"ITEM-1","itemData":{"ISBN":"0674028252","author":[{"dropping-particle":"","family":"Salter","given":"Malcolm","non-dropping-particle":"","parse-names":false,"suffix":""}],"id":"ITEM-1","issued":{"date-parts":[["2008"]]},"publisher":"Harvard University Press","title":"Innovation corrupted: the origins and legacy of Enron's collapse","type":"book"},"uris":["http://www.mendeley.com/documents/?uuid=bbe86e24-bb0d-4d2d-9d50-16ac90a396a8"]}],"mendeley":{"formattedCitation":"Salter, &lt;i&gt;Innovation Corrupted: The Origins and Legacy of Enron’s Collapse&lt;/i&gt;.","manualFormatting":"Salter, Innovation Corrupted, 23-25.","plainTextFormattedCitation":"Salter, Innovation Corrupted: The Origins and Legacy of Enron’s Collapse.","previouslyFormattedCitation":"Salter, &lt;i&gt;Innovation Corrupted: The Origins and Legacy of Enron’s Collapse&lt;/i&gt;."},"properties":{"noteIndex":0},"schema":"https://github.com/citation-style-language/schema/raw/master/csl-citation.json"}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Salter, </w:t>
      </w:r>
      <w:r w:rsidRPr="00FC3C61">
        <w:rPr>
          <w:rFonts w:cs="Times New Roman"/>
          <w:i/>
          <w:noProof/>
          <w:sz w:val="22"/>
          <w:szCs w:val="22"/>
        </w:rPr>
        <w:t xml:space="preserve">Innovation Corrupted, </w:t>
      </w:r>
      <w:r w:rsidRPr="00FC3C61">
        <w:rPr>
          <w:rFonts w:cs="Times New Roman"/>
          <w:iCs/>
          <w:noProof/>
          <w:sz w:val="22"/>
          <w:szCs w:val="22"/>
        </w:rPr>
        <w:t>23-25.</w:t>
      </w:r>
      <w:r w:rsidRPr="00FC3C61">
        <w:rPr>
          <w:rFonts w:cs="Times New Roman"/>
          <w:sz w:val="22"/>
          <w:szCs w:val="22"/>
        </w:rPr>
        <w:fldChar w:fldCharType="end"/>
      </w:r>
    </w:p>
  </w:endnote>
  <w:endnote w:id="61">
    <w:p w14:paraId="11CBA5CA" w14:textId="7666EF2C"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{"citationItems":[{"id":"ITEM-1","itemData":{"author":[{"dropping-particle":"","family":"Enron","given":"","non-dropping-particle":"","parse-names":false,"suffix":""}],"id":"ITEM-1","issued":{"date-parts":[["1990"]]},"publisher":"Southwest Newswire","publisher-place":"Houston","title":"Enron Finance Corp. names Jeffrey Skilling Chairman &amp; CEO","type":"article"},"uris":["http://www.mendeley.com/documents/?uuid=aba9c212-1dc8-4359-acb8-14f0700317b3"]}],"mendeley":{"formattedCitation":"Enron, “Enron Finance Corp. Names Jeffrey Skilling Chairman &amp; CEO” (Houston: Southwest Newswire, 1990), https://www.nexis.com.","manualFormatting":"Enron, “Enron Finance Corp. Names Jeffrey Skilling Chairman &amp; CEO” (Southwest Newswire, 1990), https://www.nexis.com.","plainTextFormattedCitation":"Enron, “Enron Finance Corp. Names Jeffrey Skilling Chairman &amp; CEO” (Houston: Southwest Newswire, 1990), https://www.nexis.com.","previouslyFormattedCitation":"Enron, “Enron Finance Corp. Names Jeffrey Skilling Chairman &amp; CEO” (Houston: Southwest Newswire, 1990),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Enron, “Enron Finance Corp. Names Jeffrey Skilling Chairman &amp; CEO” (Southwest Newswire, 1990), https://www.nexis.com.</w:t>
      </w:r>
      <w:r w:rsidRPr="00FC3C61">
        <w:rPr>
          <w:rFonts w:cs="Times New Roman"/>
          <w:sz w:val="22"/>
          <w:szCs w:val="22"/>
        </w:rPr>
        <w:fldChar w:fldCharType="end"/>
      </w:r>
      <w:r w:rsidRPr="00FC3C61">
        <w:rPr>
          <w:rFonts w:cs="Times New Roman"/>
          <w:sz w:val="22"/>
          <w:szCs w:val="22"/>
        </w:rPr>
        <w:t xml:space="preserve"> </w:t>
      </w:r>
    </w:p>
  </w:endnote>
  <w:endnote w:id="62">
    <w:p w14:paraId="4CA3DE65" w14:textId="14D384D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{"citationItems":[{"id":"ITEM-1","itemData":{"ISBN":"0024-6301","author":[{"dropping-particle":"","family":"Chatterjee","given":"Sayan","non-dropping-particle":"","parse-names":false,"suffix":""}],"container-title":"Long Range Planning","id":"ITEM-1","issue":"2","issued":{"date-parts":[["2003"]]},"page":"133-149","title":"Enron’s incremental descent into bankruptcy: A strategic and organisational analysis","type":"article-journal","volume":"36"},"uris":["http://www.mendeley.com/documents/?uuid=20864f8f-b66a-4a59-8280-dc3074f98220"]}],"mendeley":{"formattedCitation":"Sayan Chatterjee, “Enron’s Incremental Descent into Bankruptcy: A Strategic and Organisational Analysis,” &lt;i&gt;Long Range Planning&lt;/i&gt; 36, no. 2 (2003): 133–49.","plainTextFormattedCitation":"Sayan Chatterjee, “Enron’s Incremental Descent into Bankruptcy: A Strategic and Organisational Analysis,” Long Range Planning 36, no. 2 (2003): 133–49.","previouslyFormattedCitation":"Sayan Chatterjee, “Enron’s Incremental Descent into Bankruptcy: A Strategic and Organisational Analysis,” &lt;i&gt;Long Range Planning&lt;/i&gt; 36, no. 2 (2003): 133–49."},"properties":{"noteIndex":0},"schema":"https://github.com/citation-style-language/schema/raw/master/csl-citation.json"}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Sayan Chatterjee, “Enron’s Incremental Descent into Bankruptcy: A Strategic and Organisational Analysis,” </w:t>
      </w:r>
      <w:r w:rsidRPr="00FC3C61">
        <w:rPr>
          <w:rFonts w:cs="Times New Roman"/>
          <w:i/>
          <w:noProof/>
          <w:sz w:val="22"/>
          <w:szCs w:val="22"/>
        </w:rPr>
        <w:t>Long Range Planning</w:t>
      </w:r>
      <w:r w:rsidRPr="00FC3C61">
        <w:rPr>
          <w:rFonts w:cs="Times New Roman"/>
          <w:noProof/>
          <w:sz w:val="22"/>
          <w:szCs w:val="22"/>
        </w:rPr>
        <w:t xml:space="preserve"> 36, no. 2 (2003): 133–49.</w:t>
      </w:r>
      <w:r w:rsidRPr="00FC3C61">
        <w:rPr>
          <w:rFonts w:cs="Times New Roman"/>
          <w:sz w:val="22"/>
          <w:szCs w:val="22"/>
        </w:rPr>
        <w:fldChar w:fldCharType="end"/>
      </w:r>
      <w:r w:rsidRPr="00FC3C61">
        <w:rPr>
          <w:rFonts w:cs="Times New Roman"/>
          <w:sz w:val="22"/>
          <w:szCs w:val="22"/>
        </w:rPr>
        <w:t xml:space="preserve"> </w:t>
      </w:r>
    </w:p>
  </w:endnote>
  <w:endnote w:id="63">
    <w:p w14:paraId="4597A261" w14:textId="7B0200BD"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{"citationItems":[{"id":"ITEM-1","itemData":{"ISBN":"0812295072","author":[{"dropping-particle":"","family":"Benke","given":"Gavin","non-dropping-particle":"","parse-names":false,"suffix":""}],"id":"ITEM-1","issued":{"date-parts":[["2018"]]},"publisher":"University of Pennsylvania Press","publisher-place":"Philadelphia","title":"Risk and Ruin: Enron and the Culture of American Capitalism","type":"book"},"locator":"61","uris":["http://www.mendeley.com/documents/?uuid=02e5add2-6a7a-4853-8749-a577f699cb00"]}],"mendeley":{"formattedCitation":"Benke, &lt;i&gt;Risk and Ruin: Enron and the Culture of American Capitalism&lt;/i&gt;, 61.","manualFormatting":"Benke, Risk and Ruin, 61.","plainTextFormattedCitation":"Benke, Risk and Ruin: Enron and the Culture of American Capitalism, 61.","previouslyFormattedCitation":"Benke, &lt;i&gt;Risk and Ruin: Enron and the Culture of American Capitalism&lt;/i&gt;, 61."},"properties":{"noteIndex":0},"schema":"https://github.com/citation-style-language/schema/raw/master/csl-citation.json"}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Benke, </w:t>
      </w:r>
      <w:r w:rsidRPr="00FC3C61">
        <w:rPr>
          <w:rFonts w:cs="Times New Roman"/>
          <w:i/>
          <w:noProof/>
          <w:sz w:val="22"/>
          <w:szCs w:val="22"/>
        </w:rPr>
        <w:t>Risk and Ruin</w:t>
      </w:r>
      <w:r w:rsidRPr="00FC3C61">
        <w:rPr>
          <w:rFonts w:cs="Times New Roman"/>
          <w:noProof/>
          <w:sz w:val="22"/>
          <w:szCs w:val="22"/>
        </w:rPr>
        <w:t>, 61.</w:t>
      </w:r>
      <w:r w:rsidRPr="00FC3C61">
        <w:rPr>
          <w:rFonts w:cs="Times New Roman"/>
          <w:sz w:val="22"/>
          <w:szCs w:val="22"/>
        </w:rPr>
        <w:fldChar w:fldCharType="end"/>
      </w:r>
      <w:r w:rsidRPr="00FC3C61">
        <w:rPr>
          <w:rFonts w:cs="Times New Roman"/>
          <w:sz w:val="22"/>
          <w:szCs w:val="22"/>
        </w:rPr>
        <w:t xml:space="preserve"> </w:t>
      </w:r>
    </w:p>
  </w:endnote>
  <w:endnote w:id="64">
    <w:p w14:paraId="653D4D56" w14:textId="16E34321"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{"citationItems":[{"id":"ITEM-1","itemData":{"ISBN":"0786710934","author":[{"dropping-particle":"","family":"Cruver","given":"Brian","non-dropping-particle":"","parse-names":false,"suffix":""}],"id":"ITEM-1","issued":{"date-parts":[["2002"]]},"publisher":"Arrow Books","publisher-place":"London","title":"Anatomy of greed: The unshredded truth from an Enron insider","type":"book"},"locator":"4","uris":["http://www.mendeley.com/documents/?uuid=71c7ab29-91a7-4396-84d9-8f8933401d9c"]}],"mendeley":{"formattedCitation":"Brian Cruver, &lt;i&gt;Anatomy of Greed: The Unshredded Truth from an Enron Insider&lt;/i&gt; (London: Arrow Books, 2002), 4.","manualFormatting":"Brian Cruver, Anatomy of Greed: The Unshredded Truth from an Enron Insider (London, 2002), 4.","plainTextFormattedCitation":"Brian Cruver, Anatomy of Greed: The Unshredded Truth from an Enron Insider (London: Arrow Books, 2002), 4.","previouslyFormattedCitation":"Brian Cruver, &lt;i&gt;Anatomy of Greed: The Unshredded Truth from an Enron Insider&lt;/i&gt; (London: Arrow Books, 2002), 4."},"properties":{"noteIndex":0},"schema":"https://github.com/citation-style-language/schema/raw/master/csl-citation.json"}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Brian Cruver, </w:t>
      </w:r>
      <w:r w:rsidRPr="00FC3C61">
        <w:rPr>
          <w:rFonts w:cs="Times New Roman"/>
          <w:i/>
          <w:noProof/>
          <w:sz w:val="22"/>
          <w:szCs w:val="22"/>
        </w:rPr>
        <w:t>Anatomy of Greed: The Unshredded Truth from an Enron Insider</w:t>
      </w:r>
      <w:r w:rsidRPr="00FC3C61">
        <w:rPr>
          <w:rFonts w:cs="Times New Roman"/>
          <w:noProof/>
          <w:sz w:val="22"/>
          <w:szCs w:val="22"/>
        </w:rPr>
        <w:t xml:space="preserve"> (London, 2002), 4.</w:t>
      </w:r>
      <w:r w:rsidRPr="00FC3C61">
        <w:rPr>
          <w:rFonts w:cs="Times New Roman"/>
          <w:sz w:val="22"/>
          <w:szCs w:val="22"/>
        </w:rPr>
        <w:fldChar w:fldCharType="end"/>
      </w:r>
      <w:r w:rsidRPr="00FC3C61">
        <w:rPr>
          <w:rFonts w:cs="Times New Roman"/>
          <w:sz w:val="22"/>
          <w:szCs w:val="22"/>
        </w:rPr>
        <w:t xml:space="preserve"> </w:t>
      </w:r>
    </w:p>
  </w:endnote>
  <w:endnote w:id="65">
    <w:p w14:paraId="7BCCBDDF" w14:textId="1E8449EA"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{"citationItems":[{"id":"ITEM-1","itemData":{"ISBN":"0470917369","author":[{"dropping-particle":"","family":"Bradley","given":"Robert L","non-dropping-particle":"","parse-names":false,"suffix":""}],"id":"ITEM-1","issued":{"date-parts":[["2011"]]},"publisher":"John Wiley &amp; Sons","publisher-place":"Hoboken, NJ","title":"Edison to Enron: Energy markets and political strategies","type":"book"},"locator":"20","uris":["http://www.mendeley.com/documents/?uuid=cc25c97b-e9d9-4100-8dab-0cb881f8b481"]}],"mendeley":{"formattedCitation":"Bradley, &lt;i&gt;Edison to Enron: Energy Markets and Political Strategies&lt;/i&gt;, 20.","manualFormatting":"Bradley, Edison to Enron, 20.","plainTextFormattedCitation":"Bradley, Edison to Enron: Energy Markets and Political Strategies, 20.","previouslyFormattedCitation":"Bradley, &lt;i&gt;Edison to Enron: Energy Markets and Political Strategies&lt;/i&gt;, 20."},"properties":{"noteIndex":0},"schema":"https://github.com/citation-style-language/schema/raw/master/csl-citation.json"}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Bradley, </w:t>
      </w:r>
      <w:r w:rsidRPr="00FC3C61">
        <w:rPr>
          <w:rFonts w:cs="Times New Roman"/>
          <w:i/>
          <w:noProof/>
          <w:sz w:val="22"/>
          <w:szCs w:val="22"/>
        </w:rPr>
        <w:t>Edison to Enron</w:t>
      </w:r>
      <w:r w:rsidRPr="00FC3C61">
        <w:rPr>
          <w:rFonts w:cs="Times New Roman"/>
          <w:noProof/>
          <w:sz w:val="22"/>
          <w:szCs w:val="22"/>
        </w:rPr>
        <w:t>, 20.</w:t>
      </w:r>
      <w:r w:rsidRPr="00FC3C61">
        <w:rPr>
          <w:rFonts w:cs="Times New Roman"/>
          <w:sz w:val="22"/>
          <w:szCs w:val="22"/>
        </w:rPr>
        <w:fldChar w:fldCharType="end"/>
      </w:r>
      <w:r w:rsidRPr="00FC3C61">
        <w:rPr>
          <w:rFonts w:cs="Times New Roman"/>
          <w:sz w:val="22"/>
          <w:szCs w:val="22"/>
        </w:rPr>
        <w:t xml:space="preserve"> </w:t>
      </w:r>
    </w:p>
  </w:endnote>
  <w:endnote w:id="66">
    <w:p w14:paraId="789D07D9" w14:textId="7C66024A"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194B20" w:rsidRPr="00FC3C61">
        <w:rPr>
          <w:rFonts w:cs="Times New Roman"/>
          <w:sz w:val="22"/>
          <w:szCs w:val="22"/>
        </w:rPr>
        <w:instrText>ADDIN CSL_CITATION {"citationItems":[{"id":"ITEM-1","itemData":{"ISBN":"0925-4994","author":[{"dropping-particle":"","family":"Tillman","given":"Robert","non-dropping-particle":"","parse-names":false,"suffix":""}],"container-title":"Crime, Law and Social Change","id":"ITEM-1","issue":"1","issued":{"date-parts":[["2009"]]},"page":"73-86","title":"Making the rules and breaking the rules: the political origins of corporate corruption in the new economy","type":"article-journal","volume":"51"},"uris":["http://www.mendeley.com/documents/?uuid=5ab04fd8-a343-45fc-b7f4-71d7f2e069ed"]}],"mendeley":{"formattedCitation":"Tillman, “Making the Rules and Breaking the Rules: The Political Origins of Corporate Corruption in the New Economy.”","plainTextFormattedCitation":"Tillman, “Making the Rules and Breaking the Rules: The Political Origins of Corporate Corruption in the New Economy.”","previouslyFormattedCitation":"Tillman, “Making the Rules and Breaking the Rules: The Political Origins of Corporate Corruption in the New Economy.”"},"properties":{"noteIndex":0},"schema":"https://github.com/citation-style-language/schema/raw/master/csl-citation.json"}</w:instrText>
      </w:r>
      <w:r w:rsidRPr="00FC3C61">
        <w:rPr>
          <w:rFonts w:cs="Times New Roman"/>
          <w:sz w:val="22"/>
          <w:szCs w:val="22"/>
        </w:rPr>
        <w:fldChar w:fldCharType="separate"/>
      </w:r>
      <w:r w:rsidR="00194B20" w:rsidRPr="00FC3C61">
        <w:rPr>
          <w:rFonts w:cs="Times New Roman"/>
          <w:noProof/>
          <w:sz w:val="22"/>
          <w:szCs w:val="22"/>
        </w:rPr>
        <w:t>Tillman, “Making the Rules and Breaking the Rules: The Political Origins of Corporate Corruption in the New Economy.”</w:t>
      </w:r>
      <w:r w:rsidRPr="00FC3C61">
        <w:rPr>
          <w:rFonts w:cs="Times New Roman"/>
          <w:sz w:val="22"/>
          <w:szCs w:val="22"/>
        </w:rPr>
        <w:fldChar w:fldCharType="end"/>
      </w:r>
      <w:r w:rsidRPr="00FC3C61">
        <w:rPr>
          <w:rFonts w:cs="Times New Roman"/>
          <w:sz w:val="22"/>
          <w:szCs w:val="22"/>
        </w:rPr>
        <w:t xml:space="preserve"> </w:t>
      </w:r>
    </w:p>
  </w:endnote>
  <w:endnote w:id="67">
    <w:p w14:paraId="3B430924" w14:textId="60105C5F"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4A2E72" w:rsidRPr="00FC3C61">
        <w:rPr>
          <w:rFonts w:cs="Times New Roman"/>
          <w:sz w:val="22"/>
          <w:szCs w:val="22"/>
        </w:rPr>
        <w:instrText>ADDIN CSL_CITATION {"citationItems":[{"id":"ITEM-1","itemData":{"ISBN":"1566-1679","author":[{"dropping-particle":"","family":"Blumstein","given":"Carl","non-dropping-particle":"","parse-names":false,"suffix":""},{"dropping-particle":"","family":"Friedman","given":"Lee","non-dropping-particle":"","parse-names":false,"suffix":""},{"dropping-particle":"","family":"Green","given":"Richard","non-dropping-particle":"","parse-names":false,"suffix":""}],"container-title":"Journal of Industry, Competition and Trade","id":"ITEM-1","issue":"1","issued":{"date-parts":[["2002"]]},"page":"9-38","title":"The history of electricity restructuring in California","type":"article-journal","volume":"2"},"uris":["http://www.mendeley.com/documents/?uuid=2606f3dd-2a66-434a-8cb7-dc4fdb262341"]}],"mendeley":{"formattedCitation":"Blumstein, Friedman, and Green, “The History of Electricity Restructuring in California.”","plainTextFormattedCitation":"Blumstein, Friedman, and Green, “The History of Electricity Restructuring in California.”","previouslyFormattedCitation":"Blumstein, Friedman, and Green, “The History of Electricity Restructuring in California.”"},"properties":{"noteIndex":0},"schema":"https://github.com/citation-style-language/schema/raw/master/csl-citation.json"}</w:instrText>
      </w:r>
      <w:r w:rsidRPr="00FC3C61">
        <w:rPr>
          <w:rFonts w:cs="Times New Roman"/>
          <w:sz w:val="22"/>
          <w:szCs w:val="22"/>
        </w:rPr>
        <w:fldChar w:fldCharType="separate"/>
      </w:r>
      <w:r w:rsidR="008059CE" w:rsidRPr="00FC3C61">
        <w:rPr>
          <w:rFonts w:cs="Times New Roman"/>
          <w:noProof/>
          <w:sz w:val="22"/>
          <w:szCs w:val="22"/>
        </w:rPr>
        <w:t>Blumstein, Friedman, and Green, “The History of Electricity Restructuring in California.”</w:t>
      </w:r>
      <w:r w:rsidRPr="00FC3C61">
        <w:rPr>
          <w:rFonts w:cs="Times New Roman"/>
          <w:sz w:val="22"/>
          <w:szCs w:val="22"/>
        </w:rPr>
        <w:fldChar w:fldCharType="end"/>
      </w:r>
      <w:r w:rsidRPr="00FC3C61">
        <w:rPr>
          <w:rFonts w:cs="Times New Roman"/>
          <w:sz w:val="22"/>
          <w:szCs w:val="22"/>
        </w:rPr>
        <w:t xml:space="preserve"> </w:t>
      </w:r>
    </w:p>
  </w:endnote>
  <w:endnote w:id="68">
    <w:p w14:paraId="0C5D23A8" w14:textId="77777777" w:rsidR="0093268D" w:rsidRPr="00FC3C61" w:rsidRDefault="0093268D" w:rsidP="00A57E4B">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In addition to energy produced internally, a limited number of bilateral transactions were also made for generation. See </w:t>
      </w:r>
      <w:r w:rsidRPr="00FC3C61">
        <w:rPr>
          <w:rFonts w:cs="Times New Roman"/>
          <w:sz w:val="22"/>
          <w:szCs w:val="22"/>
        </w:rPr>
        <w:fldChar w:fldCharType="begin" w:fldLock="1"/>
      </w:r>
      <w:r w:rsidRPr="00FC3C61">
        <w:rPr>
          <w:rFonts w:cs="Times New Roman"/>
          <w:sz w:val="22"/>
          <w:szCs w:val="22"/>
        </w:rPr>
        <w:instrText>ADDIN CSL_CITATION {"citationItems":[{"id":"ITEM-1","itemData":{"ISBN":"0001-8368","author":[{"dropping-particle":"","family":"Bhagwat","given":"Ashutosh","non-dropping-particle":"","parse-names":false,"suffix":""}],"container-title":"Administrative Law Review","id":"ITEM-1","issued":{"date-parts":[["2003"]]},"page":"95-125","title":"Institutions and long term planning: Lessons from the California electricity crisis","type":"article-journal"},"uris":["http://www.mendeley.com/documents/?uuid=905de1ac-6c78-44ac-a30a-48b2aa38bbc6"]}],"mendeley":{"formattedCitation":"Ashutosh Bhagwat, “Institutions and Long Term Planning: Lessons from the California Electricity Crisis,” &lt;i&gt;Administrative Law Review&lt;/i&gt;, 2003, 95–125.","plainTextFormattedCitation":"Ashutosh Bhagwat, “Institutions and Long Term Planning: Lessons from the California Electricity Crisis,” Administrative Law Review, 2003, 95–125.","previouslyFormattedCitation":"Ashutosh Bhagwat, “Institutions and Long Term Planning: Lessons from the California Electricity Crisis,” &lt;i&gt;Administrative Law Review&lt;/i&gt;, 2003, 95–125."},"properties":{"noteIndex":0},"schema":"https://github.com/citation-style-language/schema/raw/master/csl-citation.json"}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Ashutosh Bhagwat, “Institutions and Long Term Planning: Lessons from the California Electricity Crisis,” </w:t>
      </w:r>
      <w:r w:rsidRPr="00FC3C61">
        <w:rPr>
          <w:rFonts w:cs="Times New Roman"/>
          <w:i/>
          <w:noProof/>
          <w:sz w:val="22"/>
          <w:szCs w:val="22"/>
        </w:rPr>
        <w:t>Administrative Law Review</w:t>
      </w:r>
      <w:r w:rsidRPr="00FC3C61">
        <w:rPr>
          <w:rFonts w:cs="Times New Roman"/>
          <w:noProof/>
          <w:sz w:val="22"/>
          <w:szCs w:val="22"/>
        </w:rPr>
        <w:t>, 2003, 95–125.</w:t>
      </w:r>
      <w:r w:rsidRPr="00FC3C61">
        <w:rPr>
          <w:rFonts w:cs="Times New Roman"/>
          <w:sz w:val="22"/>
          <w:szCs w:val="22"/>
        </w:rPr>
        <w:fldChar w:fldCharType="end"/>
      </w:r>
      <w:r w:rsidRPr="00FC3C61">
        <w:rPr>
          <w:rFonts w:cs="Times New Roman"/>
          <w:sz w:val="22"/>
          <w:szCs w:val="22"/>
        </w:rPr>
        <w:t xml:space="preserve"> </w:t>
      </w:r>
    </w:p>
  </w:endnote>
  <w:endnote w:id="69">
    <w:p w14:paraId="6C2DA391" w14:textId="22EBC041" w:rsidR="0093268D" w:rsidRPr="00FC3C61" w:rsidRDefault="0093268D" w:rsidP="00A57E4B">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r>
      <w:r w:rsidRPr="00FC3C61">
        <w:rPr>
          <w:rFonts w:cs="Times New Roman"/>
          <w:sz w:val="22"/>
          <w:szCs w:val="22"/>
        </w:rPr>
        <w:instrText xml:space="preserve"> ADDIN EN.CITE &lt;EndNote&gt;&lt;Cite&gt;&lt;Author&gt;Schewe&lt;/Author&gt;&lt;Year&gt;2007&lt;/Year&gt;&lt;RecNum&gt;1087&lt;/RecNum&gt;&lt;Pages&gt;173&lt;/Pages&gt;&lt;DisplayText&gt;Phillip F Schewe, &lt;style face="italic"&gt;The grid: A journey through the heart of our electrified world&lt;/style&gt; (Washington D.C., 2007), 173.&lt;/DisplayText&gt;&lt;record&gt;&lt;rec-number&gt;1087&lt;/rec-number&gt;&lt;foreign-keys&gt;&lt;key app="EN" db-id="0varzz2d1f5azce225tvef57r0wdptzrvfwt" timestamp="1514978674"&gt;1087&lt;/key&gt;&lt;/foreign-keys&gt;&lt;ref-type name="Book"&gt;6&lt;/ref-type&gt;&lt;contributors&gt;&lt;authors&gt;&lt;author&gt;Schewe, Phillip F&lt;/author&gt;&lt;/authors&gt;&lt;/contributors&gt;&lt;titles&gt;&lt;title&gt;The grid: A journey through the heart of our electrified world&lt;/title&gt;&lt;short-title&gt;The grid&lt;/short-title&gt;&lt;/titles&gt;&lt;dates&gt;&lt;year&gt;2007&lt;/year&gt;&lt;/dates&gt;&lt;pub-location&gt;Washington D.C.&lt;/pub-location&gt;&lt;publisher&gt;National Academies Press&lt;/publisher&gt;&lt;isbn&gt;030910260X&lt;/isbn&gt;&lt;urls&gt;&lt;/urls&gt;&lt;/record&gt;&lt;/Cite&gt;&lt;/EndNote&gt;</w:instrText>
      </w:r>
      <w:r w:rsidRPr="00FC3C61">
        <w:rPr>
          <w:rFonts w:cs="Times New Roman"/>
          <w:sz w:val="22"/>
          <w:szCs w:val="22"/>
        </w:rPr>
        <w:fldChar w:fldCharType="separate"/>
      </w:r>
      <w:r w:rsidRPr="00FC3C61">
        <w:rPr>
          <w:rFonts w:cs="Times New Roman"/>
          <w:noProof/>
          <w:sz w:val="22"/>
          <w:szCs w:val="22"/>
        </w:rPr>
        <w:t xml:space="preserve">Phillip Schewe, </w:t>
      </w:r>
      <w:r w:rsidRPr="00FC3C61">
        <w:rPr>
          <w:rFonts w:cs="Times New Roman"/>
          <w:i/>
          <w:noProof/>
          <w:sz w:val="22"/>
          <w:szCs w:val="22"/>
        </w:rPr>
        <w:t>The grid: A journey through the heart of our electrified world</w:t>
      </w:r>
      <w:r w:rsidRPr="00FC3C61">
        <w:rPr>
          <w:rFonts w:cs="Times New Roman"/>
          <w:noProof/>
          <w:sz w:val="22"/>
          <w:szCs w:val="22"/>
        </w:rPr>
        <w:t xml:space="preserve"> (Washington D.C., 2007), 173.</w:t>
      </w:r>
      <w:r w:rsidRPr="00FC3C61">
        <w:rPr>
          <w:rFonts w:cs="Times New Roman"/>
          <w:sz w:val="22"/>
          <w:szCs w:val="22"/>
        </w:rPr>
        <w:fldChar w:fldCharType="end"/>
      </w:r>
    </w:p>
  </w:endnote>
  <w:endnote w:id="70">
    <w:p w14:paraId="2BC27BA7" w14:textId="38F71D81"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The Public Utility Regulatory Policies Act required utilities to buy energy from registered independent generators (known as “Qualify Facilities”), a policy that California’s Public Utilities Commission were particularly stringent in applying.</w:t>
      </w:r>
    </w:p>
  </w:endnote>
  <w:endnote w:id="71">
    <w:p w14:paraId="0D1D0D27" w14:textId="65B9FE2E" w:rsidR="0093268D" w:rsidRPr="00FC3C61" w:rsidRDefault="0093268D" w:rsidP="003F103A">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1566-1679","author":[{"dropping-particle":"","family":"Blumstein","given":"Carl","non-dropping-particle":"","parse-names":false,"suffix":""},{"dropping-particle":"","family":"Friedman","given":"Lee","non-dropping-particle":"","parse-names":false,"suffix":""},{"dropping-particle":"","family":"Green","given":"Richard","non-dropping-particle":"","parse-names":false,"suffix":""}],"container-title":"Journal of Industry, Competition and Trade","id":"ITEM-1","issue":"1","issued":{"date-parts":[["2002"]]},"page":"9-38","title":"The history of electricity restructuring in California","type":"article-journal","volume":"2"},"uris":["http://www.mendeley.com/documents/?uuid=2606f3dd-2a66-434a-8cb7-dc4fdb262341"]}],"mendeley":{"formattedCitation":"Blumstein, Friedman, and Green, “The History of Electricity Restructuring in California.”","plainTextFormattedCitation":"Blumstein, Friedman, and Green, “The History of Electricity Restructuring in California.”","previouslyFormattedCitation":"Blumstein, Friedman, and Green, “The History of Electricity Restructuring in California.”"},"properties":{"noteIndex":0},"schema":"https://github.com/citation-style-language/schema/raw/master/csl-citation.json"}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Blumstein, Friedman, and Green, “The History of Electricity Restructuring in California.”</w:t>
      </w:r>
      <w:r w:rsidRPr="00FC3C61">
        <w:rPr>
          <w:rFonts w:cs="Times New Roman"/>
          <w:sz w:val="22"/>
          <w:szCs w:val="22"/>
        </w:rPr>
        <w:fldChar w:fldCharType="end"/>
      </w:r>
      <w:r w:rsidRPr="00FC3C61">
        <w:rPr>
          <w:rFonts w:cs="Times New Roman"/>
          <w:sz w:val="22"/>
          <w:szCs w:val="22"/>
        </w:rPr>
        <w:t xml:space="preserve"> </w:t>
      </w:r>
    </w:p>
  </w:endnote>
  <w:endnote w:id="72">
    <w:p w14:paraId="719C5974" w14:textId="07072BF0"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The UK pool system itself encountered problems, with market power abuse contributing to higher prices, and steps were taken to introduce bilateral markets. See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{"citationItems":[{"id":"ITEM-1","itemData":{"author":[{"dropping-particle":"","family":"Green","given":"Richard","non-dropping-particle":"","parse-names":false,"suffix":""}],"container-title":"Energy Policy","id":"ITEM-1","issue":"9","issued":{"date-parts":[["1999"]]},"page":"515-525","publisher":"Elsevier","title":"Draining the Pool: the reform of electricity trading in England and Wales","type":"article-journal","volume":"27"},"uris":["http://www.mendeley.com/documents/?uuid=6426785a-bac5-469a-88d3-17d2efcb291a"]}],"mendeley":{"formattedCitation":"Richard Green, “Draining the Pool: The Reform of Electricity Trading in England and Wales,” &lt;i&gt;Energy Policy&lt;/i&gt; 27, no. 9 (1999): 515–25.","plainTextFormattedCitation":"Richard Green, “Draining the Pool: The Reform of Electricity Trading in England and Wales,” Energy Policy 27, no. 9 (1999): 515–25.","previouslyFormattedCitation":"Richard Green, “Draining the Pool: The Reform of Electricity Trading in England and Wales,” &lt;i&gt;Energy Policy&lt;/i&gt; 27, no. 9 (1999): 515–25."},"properties":{"noteIndex":0},"schema":"https://github.com/citation-style-language/schema/raw/master/csl-citation.json"}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Richard Green, “Draining the Pool: The Reform of Electricity Trading in England and Wales,” </w:t>
      </w:r>
      <w:r w:rsidRPr="00FC3C61">
        <w:rPr>
          <w:rFonts w:cs="Times New Roman"/>
          <w:i/>
          <w:noProof/>
          <w:sz w:val="22"/>
          <w:szCs w:val="22"/>
        </w:rPr>
        <w:t>Energy Policy</w:t>
      </w:r>
      <w:r w:rsidRPr="00FC3C61">
        <w:rPr>
          <w:rFonts w:cs="Times New Roman"/>
          <w:noProof/>
          <w:sz w:val="22"/>
          <w:szCs w:val="22"/>
        </w:rPr>
        <w:t xml:space="preserve"> 27, no. 9 (1999): 515–25.</w:t>
      </w:r>
      <w:r w:rsidRPr="00FC3C61">
        <w:rPr>
          <w:rFonts w:cs="Times New Roman"/>
          <w:sz w:val="22"/>
          <w:szCs w:val="22"/>
        </w:rPr>
        <w:fldChar w:fldCharType="end"/>
      </w:r>
      <w:r w:rsidRPr="00FC3C61">
        <w:rPr>
          <w:rFonts w:cs="Times New Roman"/>
          <w:sz w:val="22"/>
          <w:szCs w:val="22"/>
        </w:rPr>
        <w:t xml:space="preserve">  </w:t>
      </w:r>
    </w:p>
  </w:endnote>
  <w:endnote w:id="73">
    <w:p w14:paraId="00051DE6" w14:textId="42A081ED"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222222"/>
          <w:sz w:val="22"/>
          <w:szCs w:val="22"/>
          <w:shd w:val="clear" w:color="auto" w:fill="FFFFFF"/>
        </w:rPr>
        <w:t xml:space="preserve">The Electric Utility Industry Restructuring Act, AB 1890, (1996); </w:t>
      </w:r>
      <w:r w:rsidRPr="00FC3C61">
        <w:rPr>
          <w:rFonts w:cs="Times New Roman"/>
          <w:sz w:val="22"/>
          <w:szCs w:val="22"/>
        </w:rPr>
        <w:fldChar w:fldCharType="begin" w:fldLock="1"/>
      </w:r>
      <w:r w:rsidRPr="00FC3C61">
        <w:rPr>
          <w:rFonts w:cs="Times New Roman"/>
          <w:sz w:val="22"/>
          <w:szCs w:val="22"/>
        </w:rPr>
        <w:instrText>ADDIN CSL_CITATION {"citationItems":[{"id":"ITEM-1","itemData":{"edition":"California","id":"ITEM-1","issued":{"date-parts":[["1996"]]},"title":"The Electric Utility Industry Restructuring Act","type":"bill"},"uris":["http://www.mendeley.com/documents/?uuid=d101dfcd-628e-4625-bf26-e293524bac77"]},{"id":"ITEM-2","itemData":{"author":[{"dropping-particle":"","family":"Richard","given":"Dan","non-dropping-particle":"","parse-names":false,"suffix":""},{"dropping-particle":"","family":"Lavinson","given":"Melissa","non-dropping-particle":"","parse-names":false,"suffix":""}],"container-title":"Public Utilities Fortnightly","id":"ITEM-2","issued":{"date-parts":[["1996"]]},"title":"Something for Everyone: The Politics of California's New Law on Electric Restructuring","type":"article-newspaper"},"uris":["http://www.mendeley.com/documents/?uuid=60a2cff4-3ebb-4ef6-ab08-87dfedf5d2c6"]}],"mendeley":{"formattedCitation":"“The Electric Utility Industry Restructuring Act” (1996), internal-pdf://74.109.34.182/1.bib; Dan Richard and Melissa Lavinson, “Something for Everyone: The Politics of California’s New Law on Electric Restructuring,” &lt;i&gt;Public Utilities Fortnightly&lt;/i&gt;, 1996, https://www.nexis.com.","manualFormatting":" Dan Richard and Melissa Lavinson, “Something for Everyone: The Politics of California’s New Law on Electric Restructuring,” Public Utilities Fortnightly, 1996, https://www.nexis.com.","plainTextFormattedCitation":"“The Electric Utility Industry Restructuring Act” (1996), internal-pdf://74.109.34.182/1.bib; Dan Richard and Melissa Lavinson, “Something for Everyone: The Politics of California’s New Law on Electric Restructuring,” Public Utilities Fortnightly, 1996, https://www.nexis.com.","previouslyFormattedCitation":"“The Electric Utility Industry Restructuring Act” (1996), internal-pdf://74.109.34.182/1.bib; Dan Richard and Melissa Lavinson, “Something for Everyone: The Politics of California’s New Law on Electric Restructuring,” &lt;i&gt;Public Utilities Fortnightly&lt;/i&gt;, 1996,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 Dan Richard and Melissa Lavinson, “Something for Everyone: The Politics of California’s New Law on Electric Restructuring,” </w:t>
      </w:r>
      <w:r w:rsidRPr="00FC3C61">
        <w:rPr>
          <w:rFonts w:cs="Times New Roman"/>
          <w:i/>
          <w:noProof/>
          <w:sz w:val="22"/>
          <w:szCs w:val="22"/>
        </w:rPr>
        <w:t>Public Utilities Fortnightly</w:t>
      </w:r>
      <w:r w:rsidRPr="00FC3C61">
        <w:rPr>
          <w:rFonts w:cs="Times New Roman"/>
          <w:noProof/>
          <w:sz w:val="22"/>
          <w:szCs w:val="22"/>
        </w:rPr>
        <w:t>, 1996, https://www.nexis.com.</w:t>
      </w:r>
      <w:r w:rsidRPr="00FC3C61">
        <w:rPr>
          <w:rFonts w:cs="Times New Roman"/>
          <w:sz w:val="22"/>
          <w:szCs w:val="22"/>
        </w:rPr>
        <w:fldChar w:fldCharType="end"/>
      </w:r>
      <w:r w:rsidRPr="00FC3C61">
        <w:rPr>
          <w:rFonts w:cs="Times New Roman"/>
          <w:sz w:val="22"/>
          <w:szCs w:val="22"/>
        </w:rPr>
        <w:t xml:space="preserve"> </w:t>
      </w:r>
    </w:p>
  </w:endnote>
  <w:endnote w:id="74">
    <w:p w14:paraId="526819C9" w14:textId="78FDA4C7" w:rsidR="0093268D" w:rsidRPr="00FC3C61" w:rsidRDefault="0093268D" w:rsidP="000166CB">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C376BC" w:rsidRPr="00FC3C61">
        <w:rPr>
          <w:rFonts w:cs="Times New Roman"/>
          <w:sz w:val="22"/>
          <w:szCs w:val="22"/>
        </w:rPr>
        <w:instrText>ADDIN CSL_CITATION {"citationItems":[{"id":"ITEM-1","itemData":{"author":[{"dropping-particle":"","family":"Eisner","given":"Marc","non-dropping-particle":"","parse-names":false,"suffix":""},{"dropping-particle":"","family":"Worsham","given":"Jeffrey","non-dropping-particle":"","parse-names":false,"suffix":""},{"dropping-particle":"","family":"Ringquist","given":"Evan","non-dropping-particle":"","parse-names":false,"suffix":""}],"edition":"2nd","id":"ITEM-1","issued":{"date-parts":[["2006"]]},"publisher-place":"Boulder, CO","title":"Contemporary regulatory policy","type":"book"},"uris":["http://www.mendeley.com/documents/?uuid=ae270646-b707-4b01-b50e-bc1c9ce51534"]}],"mendeley":{"formattedCitation":"Marc Eisner, Jeffrey Worsham, and Evan Ringquist, &lt;i&gt;Contemporary Regulatory Policy&lt;/i&gt;, 2nd ed. (Boulder, CO, 2006).","manualFormatting":"Marc Allen Eisner, Jeffrey Worsham, and Evan Ringquist, Contemporary Regulatory Policy, 2nd ed. (Boulder, 2006), 15-16.","plainTextFormattedCitation":"Marc Eisner, Jeffrey Worsham, and Evan Ringquist, Contemporary Regulatory Policy, 2nd ed. (Boulder, CO, 2006).","previouslyFormattedCitation":"Marc Eisner, Jeffrey Worsham, and Evan Ringquist, &lt;i&gt;Contemporary Regulatory Policy&lt;/i&gt;, 2nd ed. (Boulder, CO, 2006)."},"properties":{"noteIndex":0},"schema":"https://github.com/citation-style-language/schema/raw/master/csl-citation.json"}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Marc Allen Eisner, Jeffrey Worsham, and Evan Ringquist, </w:t>
      </w:r>
      <w:r w:rsidRPr="00FC3C61">
        <w:rPr>
          <w:rFonts w:cs="Times New Roman"/>
          <w:i/>
          <w:noProof/>
          <w:sz w:val="22"/>
          <w:szCs w:val="22"/>
        </w:rPr>
        <w:t>Contemporary Regulatory Policy</w:t>
      </w:r>
      <w:r w:rsidRPr="00FC3C61">
        <w:rPr>
          <w:rFonts w:cs="Times New Roman"/>
          <w:noProof/>
          <w:sz w:val="22"/>
          <w:szCs w:val="22"/>
        </w:rPr>
        <w:t>, 2nd ed. (Boulder, 2006), 15-16.</w:t>
      </w:r>
      <w:r w:rsidRPr="00FC3C61">
        <w:rPr>
          <w:rFonts w:cs="Times New Roman"/>
          <w:sz w:val="22"/>
          <w:szCs w:val="22"/>
        </w:rPr>
        <w:fldChar w:fldCharType="end"/>
      </w:r>
      <w:r w:rsidRPr="00FC3C61">
        <w:rPr>
          <w:rFonts w:cs="Times New Roman"/>
          <w:sz w:val="22"/>
          <w:szCs w:val="22"/>
        </w:rPr>
        <w:t xml:space="preserve"> As </w:t>
      </w:r>
      <w:r w:rsidR="00D720EE" w:rsidRPr="00FC3C61">
        <w:rPr>
          <w:rFonts w:cs="Times New Roman"/>
          <w:sz w:val="22"/>
          <w:szCs w:val="22"/>
        </w:rPr>
        <w:t>Eisner</w:t>
      </w:r>
      <w:r w:rsidRPr="00FC3C61">
        <w:rPr>
          <w:rFonts w:cs="Times New Roman"/>
          <w:sz w:val="22"/>
          <w:szCs w:val="22"/>
        </w:rPr>
        <w:t xml:space="preserve"> note, deregulation need not be a complete removal of regulation, rather</w:t>
      </w:r>
      <w:r w:rsidR="00D720EE" w:rsidRPr="00FC3C61">
        <w:rPr>
          <w:rFonts w:cs="Times New Roman"/>
          <w:sz w:val="22"/>
          <w:szCs w:val="22"/>
        </w:rPr>
        <w:t>, it normally</w:t>
      </w:r>
      <w:r w:rsidRPr="00FC3C61">
        <w:rPr>
          <w:rFonts w:cs="Times New Roman"/>
          <w:sz w:val="22"/>
          <w:szCs w:val="22"/>
        </w:rPr>
        <w:t xml:space="preserve"> represent</w:t>
      </w:r>
      <w:r w:rsidR="00D720EE" w:rsidRPr="00FC3C61">
        <w:rPr>
          <w:rFonts w:cs="Times New Roman"/>
          <w:sz w:val="22"/>
          <w:szCs w:val="22"/>
        </w:rPr>
        <w:t>s</w:t>
      </w:r>
      <w:r w:rsidRPr="00FC3C61">
        <w:rPr>
          <w:rFonts w:cs="Times New Roman"/>
          <w:sz w:val="22"/>
          <w:szCs w:val="22"/>
        </w:rPr>
        <w:t xml:space="preserve"> the replacement of one regulatory tool with a less intrusive alternative. </w:t>
      </w:r>
    </w:p>
  </w:endnote>
  <w:endnote w:id="75">
    <w:p w14:paraId="69B33CE1" w14:textId="53B5913B"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Even so, it was assumed that rates would remain above wholesale prices, thus allow utilities to recover any economical disadvantages of the reforms (</w:t>
      </w:r>
      <w:r w:rsidR="00D720EE" w:rsidRPr="00FC3C61">
        <w:rPr>
          <w:rFonts w:cs="Times New Roman"/>
          <w:sz w:val="22"/>
          <w:szCs w:val="22"/>
        </w:rPr>
        <w:t xml:space="preserve">i.e., </w:t>
      </w:r>
      <w:r w:rsidRPr="00FC3C61">
        <w:rPr>
          <w:rFonts w:cs="Times New Roman"/>
          <w:sz w:val="22"/>
          <w:szCs w:val="22"/>
        </w:rPr>
        <w:t xml:space="preserve">stranded costs) through the difference. </w:t>
      </w:r>
    </w:p>
  </w:endnote>
  <w:endnote w:id="76">
    <w:p w14:paraId="5F58C03E" w14:textId="4BFB1A46"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{"citationItems":[{"id":"ITEM-1","itemData":{"ISBN":"0262029502","author":[{"dropping-particle":"","family":"Lambert","given":"Jeremiah D","non-dropping-particle":"","parse-names":false,"suffix":""}],"id":"ITEM-1","issued":{"date-parts":[["2015"]]},"publisher":"MIT Press","publisher-place":"Cambridge, MA","title":"The Power Brokers: The Struggle to Shape and Control the Electric Power Industry","type":"book"},"locator":"181-182","uris":["http://www.mendeley.com/documents/?uuid=11014193-b8f9-48b3-b21f-cf50a2fe542e"]}],"mendeley":{"formattedCitation":"Jeremiah D Lambert, &lt;i&gt;The Power Brokers: The Struggle to Shape and Control the Electric Power Industry&lt;/i&gt; (Cambridge, MA: MIT Press, 2015), 181–82.","manualFormatting":"Jeremiah Lambert, The Power Brokers: The Struggle to Shape and Control the Electric Power Industry (Cambridge, MA, 2015), 181–82.","plainTextFormattedCitation":"Jeremiah D Lambert, The Power Brokers: The Struggle to Shape and Control the Electric Power Industry (Cambridge, MA: MIT Press, 2015), 181–82.","previouslyFormattedCitation":"Jeremiah D Lambert, &lt;i&gt;The Power Brokers: The Struggle to Shape and Control the Electric Power Industry&lt;/i&gt; (Cambridge, MA: MIT Press, 2015), 181–82."},"properties":{"noteIndex":0},"schema":"https://github.com/citation-style-language/schema/raw/master/csl-citation.json"}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Jeremiah Lambert, </w:t>
      </w:r>
      <w:r w:rsidRPr="00FC3C61">
        <w:rPr>
          <w:rFonts w:cs="Times New Roman"/>
          <w:i/>
          <w:noProof/>
          <w:sz w:val="22"/>
          <w:szCs w:val="22"/>
        </w:rPr>
        <w:t>The Power Brokers: The Struggle to Shape and Control the Electric Power Industry</w:t>
      </w:r>
      <w:r w:rsidRPr="00FC3C61">
        <w:rPr>
          <w:rFonts w:cs="Times New Roman"/>
          <w:noProof/>
          <w:sz w:val="22"/>
          <w:szCs w:val="22"/>
        </w:rPr>
        <w:t xml:space="preserve"> (Cambridge, MA, 2015), 181–82.</w:t>
      </w:r>
      <w:r w:rsidRPr="00FC3C61">
        <w:rPr>
          <w:rFonts w:cs="Times New Roman"/>
          <w:sz w:val="22"/>
          <w:szCs w:val="22"/>
        </w:rPr>
        <w:fldChar w:fldCharType="end"/>
      </w:r>
      <w:r w:rsidRPr="00FC3C61">
        <w:rPr>
          <w:rFonts w:cs="Times New Roman"/>
          <w:sz w:val="22"/>
          <w:szCs w:val="22"/>
        </w:rPr>
        <w:t xml:space="preserve"> </w:t>
      </w:r>
    </w:p>
  </w:endnote>
  <w:endnote w:id="77">
    <w:p w14:paraId="6AD3F37F" w14:textId="2FFB91BC"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{"citationItems":[{"id":"ITEM-1","itemData":{"author":[{"dropping-particle":"","family":"Holden","given":"Benjamin","non-dropping-particle":"","parse-names":false,"suffix":""}],"container-title":"The Wall Street Journal","id":"ITEM-1","issued":{"date-parts":[["1996"]]},"title":"Enron to Acquire Portland General","type":"article-newspaper"},"uris":["http://www.mendeley.com/documents/?uuid=e48a396e-da95-4b35-bb73-7f4d87858be3"]},{"id":"ITEM-2","itemData":{"author":[{"dropping-particle":"","family":"Portland-General/Enron","given":"","non-dropping-particle":"","parse-names":false,"suffix":""}],"id":"ITEM-2","issued":{"date-parts":[["1997"]]},"publisher":"Business Wire","title":"Enron closes merger with Portland General","type":"article"},"uris":["http://www.mendeley.com/documents/?uuid=1119e7c5-ae76-4c09-92ad-a1f6f5863671"]}],"mendeley":{"formattedCitation":"Benjamin Holden, “Enron to Acquire Portland General,” &lt;i&gt;The Wall Street Journal&lt;/i&gt;, 1996, https://www.wsj.com/articles/SB837990920552923500; Portland-General/Enron, “Enron Closes Merger with Portland General” (Business Wire, 1997), https://www.nexis.com.","plainTextFormattedCitation":"Benjamin Holden, “Enron to Acquire Portland General,” The Wall Street Journal, 1996, https://www.wsj.com/articles/SB837990920552923500; Portland-General/Enron, “Enron Closes Merger with Portland General” (Business Wire, 1997), https://www.nexis.com.","previouslyFormattedCitation":"Benjamin Holden, “Enron to Acquire Portland General,” &lt;i&gt;The Wall Street Journal&lt;/i&gt;, 1996, https://www.wsj.com/articles/SB837990920552923500; Portland-General/Enron, “Enron Closes Merger with Portland General” (Business Wire, 1997),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Benjamin Holden, “Enron to Acquire Portland General,” </w:t>
      </w:r>
      <w:r w:rsidRPr="00FC3C61">
        <w:rPr>
          <w:rFonts w:cs="Times New Roman"/>
          <w:i/>
          <w:noProof/>
          <w:sz w:val="22"/>
          <w:szCs w:val="22"/>
        </w:rPr>
        <w:t>The Wall Street Journal</w:t>
      </w:r>
      <w:r w:rsidRPr="00FC3C61">
        <w:rPr>
          <w:rFonts w:cs="Times New Roman"/>
          <w:noProof/>
          <w:sz w:val="22"/>
          <w:szCs w:val="22"/>
        </w:rPr>
        <w:t>, 1996, https://www.wsj.com/articles/SB837990920552923500; Portland-General/Enron, “Enron Closes Merger with Portland General” (Business Wire, 1997), https://www.nexis.com.</w:t>
      </w:r>
      <w:r w:rsidRPr="00FC3C61">
        <w:rPr>
          <w:rFonts w:cs="Times New Roman"/>
          <w:sz w:val="22"/>
          <w:szCs w:val="22"/>
        </w:rPr>
        <w:fldChar w:fldCharType="end"/>
      </w:r>
      <w:r w:rsidRPr="00FC3C61">
        <w:rPr>
          <w:rFonts w:cs="Times New Roman"/>
          <w:sz w:val="22"/>
          <w:szCs w:val="22"/>
        </w:rPr>
        <w:t xml:space="preserve"> </w:t>
      </w:r>
    </w:p>
  </w:endnote>
  <w:endnote w:id="78">
    <w:p w14:paraId="5DD1D8F5" w14:textId="0881291F"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216264" w:rsidRPr="00FC3C61">
        <w:rPr>
          <w:rFonts w:cs="Times New Roman"/>
          <w:sz w:val="22"/>
          <w:szCs w:val="22"/>
        </w:rPr>
        <w:fldChar w:fldCharType="begin" w:fldLock="1"/>
      </w:r>
      <w:r w:rsidR="00216264" w:rsidRPr="00FC3C61">
        <w:rPr>
          <w:rFonts w:cs="Times New Roman"/>
          <w:sz w:val="22"/>
          <w:szCs w:val="22"/>
        </w:rPr>
        <w:instrText>ADDIN CSL_CITATION {"citationItems":[{"id":"ITEM-1","itemData":{"ISBN":"0812295072","author":[{"dropping-particle":"","family":"Benke","given":"Gavin","non-dropping-particle":"","parse-names":false,"suffix":""}],"id":"ITEM-1","issued":{"date-parts":[["2018"]]},"publisher":"University of Pennsylvania Press","publisher-place":"Philadelphia","title":"Risk and Ruin: Enron and the Culture of American Capitalism","type":"book"},"locator":"82","uris":["http://www.mendeley.com/documents/?uuid=02e5add2-6a7a-4853-8749-a577f699cb00"]}],"mendeley":{"formattedCitation":"Benke, &lt;i&gt;Risk and Ruin: Enron and the Culture of American Capitalism&lt;/i&gt;, 82.","manualFormatting":"Benke, Risk and Ruin, 82.","plainTextFormattedCitation":"Benke, Risk and Ruin: Enron and the Culture of American Capitalism, 82.","previouslyFormattedCitation":"Benke, &lt;i&gt;Risk and Ruin: Enron and the Culture of American Capitalism&lt;/i&gt;, 82."},"properties":{"noteIndex":0},"schema":"https://github.com/citation-style-language/schema/raw/master/csl-citation.json"}</w:instrText>
      </w:r>
      <w:r w:rsidR="00216264" w:rsidRPr="00FC3C61">
        <w:rPr>
          <w:rFonts w:cs="Times New Roman"/>
          <w:sz w:val="22"/>
          <w:szCs w:val="22"/>
        </w:rPr>
        <w:fldChar w:fldCharType="separate"/>
      </w:r>
      <w:r w:rsidR="00216264" w:rsidRPr="00FC3C61">
        <w:rPr>
          <w:rFonts w:cs="Times New Roman"/>
          <w:noProof/>
          <w:sz w:val="22"/>
          <w:szCs w:val="22"/>
        </w:rPr>
        <w:t xml:space="preserve">Benke, </w:t>
      </w:r>
      <w:r w:rsidR="00216264" w:rsidRPr="00FC3C61">
        <w:rPr>
          <w:rFonts w:cs="Times New Roman"/>
          <w:i/>
          <w:noProof/>
          <w:sz w:val="22"/>
          <w:szCs w:val="22"/>
        </w:rPr>
        <w:t>Risk and Ruin</w:t>
      </w:r>
      <w:r w:rsidR="00216264" w:rsidRPr="00FC3C61">
        <w:rPr>
          <w:rFonts w:cs="Times New Roman"/>
          <w:noProof/>
          <w:sz w:val="22"/>
          <w:szCs w:val="22"/>
        </w:rPr>
        <w:t>, 82.</w:t>
      </w:r>
      <w:r w:rsidR="00216264" w:rsidRPr="00FC3C61">
        <w:rPr>
          <w:rFonts w:cs="Times New Roman"/>
          <w:sz w:val="22"/>
          <w:szCs w:val="22"/>
        </w:rPr>
        <w:fldChar w:fldCharType="end"/>
      </w:r>
      <w:r w:rsidR="00216264"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{"citationItems":[{"id":"ITEM-1","itemData":{"ISBN":"0262029502","author":[{"dropping-particle":"","family":"Lambert","given":"Jeremiah D","non-dropping-particle":"","parse-names":false,"suffix":""}],"id":"ITEM-1","issued":{"date-parts":[["2015"]]},"publisher":"MIT Press","publisher-place":"Cambridge, MA","title":"The Power Brokers: The Struggle to Shape and Control the Electric Power Industry","type":"book"},"locator":"186","uris":["http://www.mendeley.com/documents/?uuid=11014193-b8f9-48b3-b21f-cf50a2fe542e"]}],"mendeley":{"formattedCitation":"Lambert, &lt;i&gt;The Power Brokers: The Struggle to Shape and Control the Electric Power Industry&lt;/i&gt;, 186.","manualFormatting":"Lambert, The Power Brokers, 186.","plainTextFormattedCitation":"Lambert, The Power Brokers: The Struggle to Shape and Control the Electric Power Industry, 186.","previouslyFormattedCitation":"Lambert, &lt;i&gt;The Power Brokers: The Struggle to Shape and Control the Electric Power Industry&lt;/i&gt;, 186."},"properties":{"noteIndex":0},"schema":"https://github.com/citation-style-language/schema/raw/master/csl-citation.json"}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Lambert, </w:t>
      </w:r>
      <w:r w:rsidRPr="00FC3C61">
        <w:rPr>
          <w:rFonts w:cs="Times New Roman"/>
          <w:i/>
          <w:noProof/>
          <w:sz w:val="22"/>
          <w:szCs w:val="22"/>
        </w:rPr>
        <w:t>The Power Brokers</w:t>
      </w:r>
      <w:r w:rsidRPr="00FC3C61">
        <w:rPr>
          <w:rFonts w:cs="Times New Roman"/>
          <w:noProof/>
          <w:sz w:val="22"/>
          <w:szCs w:val="22"/>
        </w:rPr>
        <w:t>, 186.</w:t>
      </w:r>
      <w:r w:rsidRPr="00FC3C61">
        <w:rPr>
          <w:rFonts w:cs="Times New Roman"/>
          <w:sz w:val="22"/>
          <w:szCs w:val="22"/>
        </w:rPr>
        <w:fldChar w:fldCharType="end"/>
      </w:r>
      <w:r w:rsidRPr="00FC3C61">
        <w:rPr>
          <w:rFonts w:cs="Times New Roman"/>
          <w:sz w:val="22"/>
          <w:szCs w:val="22"/>
        </w:rPr>
        <w:t xml:space="preserve"> </w:t>
      </w:r>
    </w:p>
  </w:endnote>
  <w:endnote w:id="79">
    <w:p w14:paraId="567D0805" w14:textId="52E8A2A7"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{"citationItems":[{"id":"ITEM-1","itemData":{"author":[{"dropping-particle":"","family":"Crowley","given":"Patrick","non-dropping-particle":"","parse-names":false,"suffix":""}],"collection-title":"EL03-180, S-84","id":"ITEM-1","issued":{"date-parts":[["2005"]]},"title":"Initial Audio Tape Testimony of Patrick R. Crowley","type":"report"},"uris":["http://www.mendeley.com/documents/?uuid=85cdd077-00ee-4d3d-91b0-8a8ca538b2e0"]},{"id":"ITEM-2","itemData":{"ISBN":"SNO-247","author":[{"dropping-particle":"","family":"Pechman","given":"Carl","non-dropping-particle":"","parse-names":false,"suffix":""}],"editor":[{"dropping-particle":"","family":"FERC","given":"","non-dropping-particle":"","parse-names":false,"suffix":""}],"id":"ITEM-2","issued":{"date-parts":[["2005"]]},"title":"Supplemental testimony of Carl Pechman, Ph.D. On behalf of Public Utility District no. 1 of Snohomish County, Washington","type":"article"},"uris":["http://www.mendeley.com/documents/?uuid=c22f3edb-c375-440d-b014-4b9b98e150ed"]}],"mendeley":{"formattedCitation":"Patrick Crowley, “Initial Audio Tape Testimony of Patrick R. Crowley,” EL03-180, S-84, 2005; Carl Pechman, “Supplemental Testimony of Carl Pechman, Ph.D. On Behalf of Public Utility District No. 1 of Snohomish County, Washington,” ed. FERC, 2005, https://elibrary.ferc.gov.","plainTextFormattedCitation":"Patrick Crowley, “Initial Audio Tape Testimony of Patrick R. Crowley,” EL03-180, S-84, 2005; Carl Pechman, “Supplemental Testimony of Carl Pechman, Ph.D. On Behalf of Public Utility District No. 1 of Snohomish County, Washington,” ed. FERC, 2005, https://elibrary.ferc.gov.","previouslyFormattedCitation":"Patrick Crowley, “Initial Audio Tape Testimony of Patrick R. Crowley,” EL03-180, S-84, 2005; Carl Pechman, “Supplemental Testimony of Carl Pechman, Ph.D. On Behalf of Public Utility District No. 1 of Snohomish County, Washington,” ed. FERC, 2005, https://elibrary.ferc.gov."},"properties":{"noteIndex":0},"schema":"https://github.com/citation-style-language/schema/raw/master/csl-citation.json"}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Patrick Crowley, “Initial Audio Tape Testimony of Patrick R. Crowley,” EL03-180, S-84, 2005; Carl Pechman, “Supplemental Testimony of Carl Pechman, Ph.D. On Behalf of Public Utility District No. 1 of Snohomish County, Washington,” ed. FERC, 2005, https://elibrary.ferc.gov.</w:t>
      </w:r>
      <w:r w:rsidRPr="00FC3C61">
        <w:rPr>
          <w:rFonts w:cs="Times New Roman"/>
          <w:sz w:val="22"/>
          <w:szCs w:val="22"/>
        </w:rPr>
        <w:fldChar w:fldCharType="end"/>
      </w:r>
    </w:p>
  </w:endnote>
  <w:endnote w:id="80">
    <w:p w14:paraId="7812CB03" w14:textId="75DDECEF" w:rsidR="00DE347E" w:rsidRPr="00FC3C61" w:rsidRDefault="00DE347E" w:rsidP="00DE347E">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{"citationItems":[{"id":"ITEM-1","itemData":{"ISBN":"1848449453","author":[{"dropping-particle":"","family":"Bruijne","given":"Mark","non-dropping-particle":"de","parse-names":false,"suffix":""}],"container-title":"Strategic behaviour in network industries: a multidisciplinary approach","editor":[{"dropping-particle":"","family":"Heuvelhof","given":"Ernst","non-dropping-particle":"ten","parse-names":false,"suffix":""},{"dropping-particle":"","family":"Jong","given":"Martin","non-dropping-particle":"de","parse-names":false,"suffix":""},{"dropping-particle":"","family":"Kars","given":"Mirjam","non-dropping-particle":"","parse-names":false,"suffix":""},{"dropping-particle":"","family":"Stout","given":"Helen","non-dropping-particle":"","parse-names":false,"suffix":""}],"id":"ITEM-1","issued":{"date-parts":[["2009"]]},"publisher":"Edward Elgar Publishing","publisher-place":"Cheltenham, UK","title":"Enron","type":"chapter"},"locator":"100-1","uris":["http://www.mendeley.com/documents/?uuid=3ff6ce30-ad87-4079-86ee-f2e51bb777fc"]},{"id":"ITEM-2","itemData":{"author":[{"dropping-particle":"","family":"McWilliams","given":"Gary","non-dropping-particle":"","parse-names":false,"suffix":""}],"container-title":"Business Week","id":"ITEM-2","issued":{"date-parts":[["1997"]]},"title":"The Quiet Mam Who's Jolting Utilities","type":"article-newspaper"},"uris":["http://www.mendeley.com/documents/?uuid=7b0c9256-6c4a-4dc1-86f1-840e0b49a3d4"]},{"id":"ITEM-3","itemData":{"author":[{"dropping-particle":"","family":"McLean","given":"Bethany","non-dropping-particle":"","parse-names":false,"suffix":""},{"dropping-particle":"","family":"Elkind","given":"Peter","non-dropping-particle":"","parse-names":false,"suffix":""}],"container-title":"The Smartest Guys in the Room: The Amazing Rise and Scandalous Fall of Enron","id":"ITEM-3","issued":{"date-parts":[["2003"]]},"page":"264-283","publisher":"Portfolio","publisher-place":"New York","title":"Gaming California","type":"chapter"},"locator":"267-68","uris":["http://www.mendeley.com/documents/?uuid=eb4b9f6c-1076-4b77-877e-defb67295c40"]}],"mendeley":{"formattedCitation":"Mark de Bruijne, “Enron,” in &lt;i&gt;Strategic Behaviour in Network Industries: A Multidisciplinary Approach&lt;/i&gt;, ed. Ernst ten Heuvelhof et al. (Cheltenham, UK: Edward Elgar Publishing, 2009), 100–101; Gary McWilliams, “The Quiet Mam Who’s Jolting Utilities,” &lt;i&gt;Business Week&lt;/i&gt;, 1997, https://www.bloomberg.com/news/articles/1997-06-08/the-quiet-man-whos-jolting-utilities; Bethany McLean and Peter Elkind, “Gaming California,” in &lt;i&gt;The Smartest Guys in the Room: The Amazing Rise and Scandalous Fall of Enron&lt;/i&gt; (New York: Portfolio, 2003), 267–68.","plainTextFormattedCitation":"Mark de Bruijne, “Enron,” in Strategic Behaviour in Network Industries: A Multidisciplinary Approach, ed. Ernst ten Heuvelhof et al. (Cheltenham, UK: Edward Elgar Publishing, 2009), 100–101; Gary McWilliams, “The Quiet Mam Who’s Jolting Utilities,” Business Week, 1997, https://www.bloomberg.com/news/articles/1997-06-08/the-quiet-man-whos-jolting-utilities; Bethany McLean and Peter Elkind, “Gaming California,” in The Smartest Guys in the Room: The Amazing Rise and Scandalous Fall of Enron (New York: Portfolio, 2003), 267–68."},"properties":{"noteIndex":0},"schema":"https://github.com/citation-style-language/schema/raw/master/csl-citation.json"}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Mark de Bruijne, “Enron,” in </w:t>
      </w:r>
      <w:r w:rsidRPr="00FC3C61">
        <w:rPr>
          <w:rFonts w:cs="Times New Roman"/>
          <w:i/>
          <w:noProof/>
          <w:sz w:val="22"/>
          <w:szCs w:val="22"/>
        </w:rPr>
        <w:t>Strategic Behaviour in Network Industries: A Multidisciplinary Approach</w:t>
      </w:r>
      <w:r w:rsidRPr="00FC3C61">
        <w:rPr>
          <w:rFonts w:cs="Times New Roman"/>
          <w:noProof/>
          <w:sz w:val="22"/>
          <w:szCs w:val="22"/>
        </w:rPr>
        <w:t>, ed. Ernst ten Heuvelhof et al. (Cheltenham, 2009), 100–101; Gary McWilliams, “The Quiet Ma</w:t>
      </w:r>
      <w:r w:rsidR="00E62DDF" w:rsidRPr="00FC3C61">
        <w:rPr>
          <w:rFonts w:cs="Times New Roman"/>
          <w:noProof/>
          <w:sz w:val="22"/>
          <w:szCs w:val="22"/>
        </w:rPr>
        <w:t>n</w:t>
      </w:r>
      <w:r w:rsidRPr="00FC3C61">
        <w:rPr>
          <w:rFonts w:cs="Times New Roman"/>
          <w:noProof/>
          <w:sz w:val="22"/>
          <w:szCs w:val="22"/>
        </w:rPr>
        <w:t xml:space="preserve"> Who’s Jolting Utilities,” </w:t>
      </w:r>
      <w:r w:rsidRPr="00FC3C61">
        <w:rPr>
          <w:rFonts w:cs="Times New Roman"/>
          <w:i/>
          <w:noProof/>
          <w:sz w:val="22"/>
          <w:szCs w:val="22"/>
        </w:rPr>
        <w:t>Business Week</w:t>
      </w:r>
      <w:r w:rsidRPr="00FC3C61">
        <w:rPr>
          <w:rFonts w:cs="Times New Roman"/>
          <w:noProof/>
          <w:sz w:val="22"/>
          <w:szCs w:val="22"/>
        </w:rPr>
        <w:t xml:space="preserve">, 1997, https://www.bloomberg.com/news/articles/1997-06-08/the-quiet-man-whos-jolting-utilities; Bethany McLean and Peter Elkind, “Gaming California,” in </w:t>
      </w:r>
      <w:r w:rsidRPr="00FC3C61">
        <w:rPr>
          <w:rFonts w:cs="Times New Roman"/>
          <w:i/>
          <w:noProof/>
          <w:sz w:val="22"/>
          <w:szCs w:val="22"/>
        </w:rPr>
        <w:t>The Smartest Guys in the Room: The Amazing Rise and Scandalous Fall of Enron</w:t>
      </w:r>
      <w:r w:rsidRPr="00FC3C61">
        <w:rPr>
          <w:rFonts w:cs="Times New Roman"/>
          <w:noProof/>
          <w:sz w:val="22"/>
          <w:szCs w:val="22"/>
        </w:rPr>
        <w:t xml:space="preserve"> (New York: Portfolio, 2003), 267–68.</w:t>
      </w:r>
      <w:r w:rsidRPr="00FC3C61">
        <w:rPr>
          <w:rFonts w:cs="Times New Roman"/>
          <w:sz w:val="22"/>
          <w:szCs w:val="22"/>
        </w:rPr>
        <w:fldChar w:fldCharType="end"/>
      </w:r>
    </w:p>
  </w:endnote>
  <w:endnote w:id="81">
    <w:p w14:paraId="74343BEC" w14:textId="77777777" w:rsidR="00DE347E" w:rsidRPr="001F7A46" w:rsidRDefault="00DE347E" w:rsidP="00DE347E">
      <w:pPr>
        <w:pStyle w:val="EndnoteText"/>
        <w:rPr>
          <w:rFonts w:cs="Times New Roman"/>
          <w:sz w:val="22"/>
          <w:szCs w:val="22"/>
        </w:rPr>
      </w:pPr>
      <w:r w:rsidRPr="001F7A46">
        <w:rPr>
          <w:rStyle w:val="EndnoteReference"/>
          <w:rFonts w:cs="Times New Roman"/>
          <w:sz w:val="22"/>
          <w:szCs w:val="22"/>
        </w:rPr>
        <w:endnoteRef/>
      </w:r>
      <w:r w:rsidRPr="001F7A46">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{"citationItems":[{"id":"ITEM-1","itemData":{"author":[{"dropping-particle":"","family":"McCullough","given":"Robert","non-dropping-particle":"","parse-names":false,"suffix":""}],"collection-title":"EL03-180, SNO-710","id":"ITEM-1","issued":{"date-parts":[["2007"]]},"title":"Summary of Supplemental Testimony of Robert F. McCullough on behalf of Public Utility District No 1 of Snohomish County, Washington.","type":"report"},"uris":["http://www.mendeley.com/documents/?uuid=e6539cd8-f942-4ccb-9429-7d4d767db284"]}],"mendeley":{"formattedCitation":"Robert McCullough, “Summary of Supplemental Testimony of Robert F. McCullough on Behalf of Public Utility District No 1 of Snohomish County, Washington.,” EL03-180, SNO-710, 2007.","manualFormatting":"Robert McCullough, “Summary of Supplemental Testimony of Robert F. McCullough on Behalf of Public Utility District No 1 of Snohomish County, Washington.,” EL03-180, SNO-710, 2007, 14-5; Belden \"Plea Agreement\".","plainTextFormattedCitation":"Robert McCullough, “Summary of Supplemental Testimony of Robert F. McCullough on Behalf of Public Utility District No 1 of Snohomish County, Washington.,” EL03-180, SNO-710, 2007.","previouslyFormattedCitation":"Robert McCullough, “Summary of Supplemental Testimony of Robert F. McCullough on Behalf of Public Utility District No 1 of Snohomish County, Washington.,” EL03-180, SNO-710, 2007."},"properties":{"noteIndex":0},"schema":"https://github.com/citation-style-language/schema/raw/master/csl-citation.json"}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Robert McCullough, “Summary of Supplemental Testimony of Robert F. McCullough on Behalf of Public Utility District No 1 of Snohomish County, Washington.,” EL03-180, SNO-710, 2007, 14-5; Belden "Plea Agreement".</w:t>
      </w:r>
      <w:r w:rsidRPr="00FC3C61">
        <w:rPr>
          <w:rFonts w:cs="Times New Roman"/>
          <w:sz w:val="22"/>
          <w:szCs w:val="22"/>
        </w:rPr>
        <w:fldChar w:fldCharType="end"/>
      </w:r>
    </w:p>
  </w:endnote>
  <w:endnote w:id="82">
    <w:p w14:paraId="090E2DFC" w14:textId="26E6791B"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George Backus, Email to Hannon, Rice and Kean re </w:t>
      </w:r>
      <w:r w:rsidR="00E62DDF" w:rsidRPr="00FC3C61">
        <w:rPr>
          <w:rFonts w:cs="Times New Roman"/>
          <w:noProof/>
          <w:sz w:val="22"/>
          <w:szCs w:val="22"/>
        </w:rPr>
        <w:t>“</w:t>
      </w:r>
      <w:r w:rsidRPr="00FC3C61">
        <w:rPr>
          <w:rFonts w:cs="Times New Roman"/>
          <w:noProof/>
          <w:sz w:val="22"/>
          <w:szCs w:val="22"/>
        </w:rPr>
        <w:t>ISO Found on of the $1B loop-holes</w:t>
      </w:r>
      <w:r w:rsidR="00E62DDF" w:rsidRPr="00FC3C61">
        <w:rPr>
          <w:rFonts w:cs="Times New Roman"/>
          <w:noProof/>
          <w:sz w:val="22"/>
          <w:szCs w:val="22"/>
        </w:rPr>
        <w:t>”</w:t>
      </w:r>
      <w:r w:rsidRPr="00FC3C61">
        <w:rPr>
          <w:rFonts w:cs="Times New Roman"/>
          <w:noProof/>
          <w:sz w:val="22"/>
          <w:szCs w:val="22"/>
        </w:rPr>
        <w:t>, 7</w:t>
      </w:r>
      <w:r w:rsidRPr="001F7A46">
        <w:rPr>
          <w:rFonts w:cs="Times New Roman"/>
          <w:noProof/>
          <w:sz w:val="22"/>
          <w:szCs w:val="22"/>
          <w:vertAlign w:val="superscript"/>
        </w:rPr>
        <w:t>th</w:t>
      </w:r>
      <w:r w:rsidRPr="00FC3C61">
        <w:rPr>
          <w:rFonts w:cs="Times New Roman"/>
          <w:noProof/>
          <w:sz w:val="22"/>
          <w:szCs w:val="22"/>
        </w:rPr>
        <w:t xml:space="preserve"> November 1997, EL03-180, SNO-713, FERC.</w:t>
      </w:r>
    </w:p>
  </w:endnote>
  <w:endnote w:id="83">
    <w:p w14:paraId="0006E502" w14:textId="6EB5D61B"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{"citationItems":[{"id":"ITEM-1","itemData":{"author":[{"dropping-particle":"","family":"Kamp","given":"Jon","non-dropping-particle":"","parse-names":false,"suffix":""}],"container-title":"Wall Street Journal","id":"ITEM-1","issued":{"date-parts":[["2002"]]},"publisher-place":"New York","title":"Perot Systems' Denials Fall Flat In Probe of California Energy Crisis","type":"article-newspaper"},"uris":["http://www.mendeley.com/documents/?uuid=ef148565-0b44-49af-9d36-a724a232eb82"]}],"mendeley":{"formattedCitation":"Jon Kamp, “Perot Systems’ Denials Fall Flat In Probe of California Energy Crisis,” &lt;i&gt;Wall Street Journal&lt;/i&gt;, 2002, https://www.wsj.com/articles/SB102347466174656760.","plainTextFormattedCitation":"Jon Kamp, “Perot Systems’ Denials Fall Flat In Probe of California Energy Crisis,” Wall Street Journal, 2002, https://www.wsj.com/articles/SB102347466174656760.","previouslyFormattedCitation":"Jon Kamp, “Perot Systems’ Denials Fall Flat In Probe of California Energy Crisis,” &lt;i&gt;Wall Street Journal&lt;/i&gt;, 2002, https://www.wsj.com/articles/SB102347466174656760."},"properties":{"noteIndex":0},"schema":"https://github.com/citation-style-language/schema/raw/master/csl-citation.json"}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Jon Kamp, “Perot Systems’ Denials Fall Flat In Probe of California Energy Crisis,” </w:t>
      </w:r>
      <w:r w:rsidRPr="00FC3C61">
        <w:rPr>
          <w:rFonts w:cs="Times New Roman"/>
          <w:i/>
          <w:noProof/>
          <w:sz w:val="22"/>
          <w:szCs w:val="22"/>
        </w:rPr>
        <w:t>Wall Street Journal</w:t>
      </w:r>
      <w:r w:rsidRPr="00FC3C61">
        <w:rPr>
          <w:rFonts w:cs="Times New Roman"/>
          <w:noProof/>
          <w:sz w:val="22"/>
          <w:szCs w:val="22"/>
        </w:rPr>
        <w:t>, 2002, https://www.wsj.com/articles/SB102347466174656760.</w:t>
      </w:r>
      <w:r w:rsidRPr="00FC3C61">
        <w:rPr>
          <w:rFonts w:cs="Times New Roman"/>
          <w:sz w:val="22"/>
          <w:szCs w:val="22"/>
        </w:rPr>
        <w:fldChar w:fldCharType="end"/>
      </w:r>
      <w:r w:rsidRPr="00FC3C61">
        <w:rPr>
          <w:rFonts w:cs="Times New Roman"/>
          <w:sz w:val="22"/>
          <w:szCs w:val="22"/>
        </w:rPr>
        <w:t xml:space="preserve"> </w:t>
      </w:r>
    </w:p>
  </w:endnote>
  <w:endnote w:id="84">
    <w:p w14:paraId="238C23A4" w14:textId="510AB4D7"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George Backus, Letter to Jonathan Jacobs, Manager of Market Evalution at Pacific Gas and Electric, 21</w:t>
      </w:r>
      <w:r w:rsidRPr="001F7A46">
        <w:rPr>
          <w:rFonts w:cs="Times New Roman"/>
          <w:noProof/>
          <w:sz w:val="22"/>
          <w:szCs w:val="22"/>
          <w:vertAlign w:val="superscript"/>
        </w:rPr>
        <w:t>st</w:t>
      </w:r>
      <w:r w:rsidRPr="00FC3C61">
        <w:rPr>
          <w:rFonts w:cs="Times New Roman"/>
          <w:noProof/>
          <w:sz w:val="22"/>
          <w:szCs w:val="22"/>
        </w:rPr>
        <w:t xml:space="preserve"> July 1997, EL03-180, SNO-80, FERC.</w:t>
      </w:r>
    </w:p>
  </w:endnote>
  <w:endnote w:id="85">
    <w:p w14:paraId="524020F9" w14:textId="69FB9636"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Jeffrey Tranen, Letter to Ronald Nash re </w:t>
      </w:r>
      <w:r w:rsidR="00E62DDF" w:rsidRPr="00FC3C61">
        <w:rPr>
          <w:rFonts w:cs="Times New Roman"/>
          <w:noProof/>
          <w:sz w:val="22"/>
          <w:szCs w:val="22"/>
        </w:rPr>
        <w:t>“</w:t>
      </w:r>
      <w:r w:rsidRPr="00FC3C61">
        <w:rPr>
          <w:rFonts w:cs="Times New Roman"/>
          <w:noProof/>
          <w:sz w:val="22"/>
          <w:szCs w:val="22"/>
        </w:rPr>
        <w:t>ISO Alliance and Perot Systems Corporation Conflicts of Interest</w:t>
      </w:r>
      <w:r w:rsidR="00E62DDF" w:rsidRPr="00FC3C61">
        <w:rPr>
          <w:rFonts w:cs="Times New Roman"/>
          <w:noProof/>
          <w:sz w:val="22"/>
          <w:szCs w:val="22"/>
        </w:rPr>
        <w:t>”</w:t>
      </w:r>
      <w:r w:rsidRPr="00FC3C61">
        <w:rPr>
          <w:rFonts w:cs="Times New Roman"/>
          <w:noProof/>
          <w:sz w:val="22"/>
          <w:szCs w:val="22"/>
        </w:rPr>
        <w:t>, 22</w:t>
      </w:r>
      <w:r w:rsidRPr="001F7A46">
        <w:rPr>
          <w:rFonts w:cs="Times New Roman"/>
          <w:noProof/>
          <w:sz w:val="22"/>
          <w:szCs w:val="22"/>
          <w:vertAlign w:val="superscript"/>
        </w:rPr>
        <w:t>nd</w:t>
      </w:r>
      <w:r w:rsidRPr="00FC3C61">
        <w:rPr>
          <w:rFonts w:cs="Times New Roman"/>
          <w:noProof/>
          <w:sz w:val="22"/>
          <w:szCs w:val="22"/>
        </w:rPr>
        <w:t xml:space="preserve"> October 1997, EL03-180, SNO-81, FERC.</w:t>
      </w:r>
    </w:p>
  </w:endnote>
  <w:endnote w:id="86">
    <w:p w14:paraId="013DC222" w14:textId="6C8FE41F"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George Backus et al., Presentation re </w:t>
      </w:r>
      <w:r w:rsidR="00E62DDF" w:rsidRPr="00FC3C61">
        <w:rPr>
          <w:rFonts w:cs="Times New Roman"/>
          <w:noProof/>
          <w:sz w:val="22"/>
          <w:szCs w:val="22"/>
        </w:rPr>
        <w:t>“</w:t>
      </w:r>
      <w:r w:rsidRPr="00FC3C61">
        <w:rPr>
          <w:rFonts w:cs="Times New Roman"/>
          <w:noProof/>
          <w:sz w:val="22"/>
          <w:szCs w:val="22"/>
        </w:rPr>
        <w:t>Profit Maximization Under UK and US Deregulation</w:t>
      </w:r>
      <w:r w:rsidR="00E62DDF" w:rsidRPr="00FC3C61">
        <w:rPr>
          <w:rFonts w:cs="Times New Roman"/>
          <w:noProof/>
          <w:sz w:val="22"/>
          <w:szCs w:val="22"/>
        </w:rPr>
        <w:t>”</w:t>
      </w:r>
      <w:r w:rsidRPr="00FC3C61">
        <w:rPr>
          <w:rFonts w:cs="Times New Roman"/>
          <w:noProof/>
          <w:sz w:val="22"/>
          <w:szCs w:val="22"/>
        </w:rPr>
        <w:t>, 13</w:t>
      </w:r>
      <w:r w:rsidRPr="001F7A46">
        <w:rPr>
          <w:rFonts w:cs="Times New Roman"/>
          <w:noProof/>
          <w:sz w:val="22"/>
          <w:szCs w:val="22"/>
          <w:vertAlign w:val="superscript"/>
        </w:rPr>
        <w:t>th</w:t>
      </w:r>
      <w:r w:rsidRPr="00FC3C61">
        <w:rPr>
          <w:rFonts w:cs="Times New Roman"/>
          <w:noProof/>
          <w:sz w:val="22"/>
          <w:szCs w:val="22"/>
        </w:rPr>
        <w:t xml:space="preserve"> Janurary 1998, EL03-180, SNO-84, FERC.</w:t>
      </w:r>
    </w:p>
  </w:endnote>
  <w:endnote w:id="87">
    <w:p w14:paraId="394D4561" w14:textId="19F16026"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33170E" w:rsidRPr="00FC3C61">
        <w:rPr>
          <w:rFonts w:cs="Times New Roman"/>
          <w:sz w:val="22"/>
          <w:szCs w:val="22"/>
        </w:rPr>
        <w:instrText>ADDIN CSL_CITATION {"citationItems":[{"id":"ITEM-1","itemData":{"author":[{"dropping-particle":"","family":"CAISO","given":"","non-dropping-particle":"","parse-names":false,"suffix":""}],"collection-title":"EL03-180, SNO-127","id":"ITEM-1","issued":{"date-parts":[["2000"]]},"title":"ISO Market Monitoring and Information Protocol","type":"report"},"uris":["http://www.mendeley.com/documents/?uuid=51535c1e-7aee-43d2-ac49-d6ad564c3f45"]}],"mendeley":{"formattedCitation":"CAISO, “ISO Market Monitoring and Information Protocol.”","plainTextFormattedCitation":"CAISO, “ISO Market Monitoring and Information Protocol.”","previouslyFormattedCitation":"CAISO, “ISO Market Monitoring and Information Protocol.”"},"properties":{"noteIndex":0},"schema":"https://github.com/citation-style-language/schema/raw/master/csl-citation.json"}</w:instrText>
      </w:r>
      <w:r w:rsidRPr="00FC3C61">
        <w:rPr>
          <w:rFonts w:cs="Times New Roman"/>
          <w:sz w:val="22"/>
          <w:szCs w:val="22"/>
        </w:rPr>
        <w:fldChar w:fldCharType="separate"/>
      </w:r>
      <w:r w:rsidR="0033170E" w:rsidRPr="00FC3C61">
        <w:rPr>
          <w:rFonts w:cs="Times New Roman"/>
          <w:noProof/>
          <w:sz w:val="22"/>
          <w:szCs w:val="22"/>
        </w:rPr>
        <w:t>CAISO, “ISO Market Monitoring and Information Protocol.”</w:t>
      </w:r>
      <w:r w:rsidRPr="00FC3C61">
        <w:rPr>
          <w:rFonts w:cs="Times New Roman"/>
          <w:sz w:val="22"/>
          <w:szCs w:val="22"/>
        </w:rPr>
        <w:fldChar w:fldCharType="end"/>
      </w:r>
      <w:r w:rsidRPr="00FC3C61">
        <w:rPr>
          <w:rFonts w:cs="Times New Roman"/>
          <w:sz w:val="22"/>
          <w:szCs w:val="22"/>
        </w:rPr>
        <w:t xml:space="preserve"> </w:t>
      </w:r>
    </w:p>
  </w:endnote>
  <w:endnote w:id="88">
    <w:p w14:paraId="646B6876" w14:textId="0F45C5AA"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Tim Belden, </w:t>
      </w:r>
      <w:r w:rsidR="00E62DDF" w:rsidRPr="00FC3C61">
        <w:rPr>
          <w:rFonts w:cs="Times New Roman"/>
          <w:noProof/>
          <w:sz w:val="22"/>
          <w:szCs w:val="22"/>
        </w:rPr>
        <w:t>“</w:t>
      </w:r>
      <w:r w:rsidRPr="00FC3C61">
        <w:rPr>
          <w:rFonts w:cs="Times New Roman"/>
          <w:noProof/>
          <w:sz w:val="22"/>
          <w:szCs w:val="22"/>
        </w:rPr>
        <w:t xml:space="preserve">Handwriten notes on document </w:t>
      </w:r>
      <w:r w:rsidR="00E62DDF" w:rsidRPr="00FC3C61">
        <w:rPr>
          <w:rFonts w:cs="Times New Roman"/>
          <w:noProof/>
          <w:sz w:val="22"/>
          <w:szCs w:val="22"/>
        </w:rPr>
        <w:t>‘</w:t>
      </w:r>
      <w:r w:rsidRPr="00FC3C61">
        <w:rPr>
          <w:rFonts w:cs="Times New Roman"/>
          <w:noProof/>
          <w:sz w:val="22"/>
          <w:szCs w:val="22"/>
        </w:rPr>
        <w:t>Zonal Market Clearing Prices: A Tutorial</w:t>
      </w:r>
      <w:r w:rsidR="00E62DDF" w:rsidRPr="00FC3C61">
        <w:rPr>
          <w:rFonts w:cs="Times New Roman"/>
          <w:noProof/>
          <w:sz w:val="22"/>
          <w:szCs w:val="22"/>
        </w:rPr>
        <w:t>’</w:t>
      </w:r>
      <w:r w:rsidRPr="00FC3C61">
        <w:rPr>
          <w:rFonts w:cs="Times New Roman"/>
          <w:noProof/>
          <w:sz w:val="22"/>
          <w:szCs w:val="22"/>
        </w:rPr>
        <w:t>,</w:t>
      </w:r>
      <w:r w:rsidR="00E62DDF" w:rsidRPr="00FC3C61">
        <w:rPr>
          <w:rFonts w:cs="Times New Roman"/>
          <w:noProof/>
          <w:sz w:val="22"/>
          <w:szCs w:val="22"/>
        </w:rPr>
        <w:t>”</w:t>
      </w:r>
      <w:r w:rsidRPr="00FC3C61">
        <w:rPr>
          <w:rFonts w:cs="Times New Roman"/>
          <w:noProof/>
          <w:sz w:val="22"/>
          <w:szCs w:val="22"/>
        </w:rPr>
        <w:t xml:space="preserve"> 1998, EL03-180, SNO-87, FERC.</w:t>
      </w:r>
    </w:p>
  </w:endnote>
  <w:endnote w:id="89">
    <w:p w14:paraId="07937473" w14:textId="215E8CFE"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Ed Smith, Letter to Rich Davis re </w:t>
      </w:r>
      <w:r w:rsidR="00E62DDF" w:rsidRPr="00FC3C61">
        <w:rPr>
          <w:rFonts w:cs="Times New Roman"/>
          <w:noProof/>
          <w:sz w:val="22"/>
          <w:szCs w:val="22"/>
        </w:rPr>
        <w:t>“</w:t>
      </w:r>
      <w:r w:rsidRPr="00FC3C61">
        <w:rPr>
          <w:rFonts w:cs="Times New Roman"/>
          <w:noProof/>
          <w:sz w:val="22"/>
          <w:szCs w:val="22"/>
        </w:rPr>
        <w:t>Real-Time Market Modeling Optimization</w:t>
      </w:r>
      <w:r w:rsidR="00E62DDF" w:rsidRPr="00FC3C61">
        <w:rPr>
          <w:rFonts w:cs="Times New Roman"/>
          <w:noProof/>
          <w:sz w:val="22"/>
          <w:szCs w:val="22"/>
        </w:rPr>
        <w:t>”</w:t>
      </w:r>
      <w:r w:rsidRPr="00FC3C61">
        <w:rPr>
          <w:rFonts w:cs="Times New Roman"/>
          <w:noProof/>
          <w:sz w:val="22"/>
          <w:szCs w:val="22"/>
        </w:rPr>
        <w:t>, 4</w:t>
      </w:r>
      <w:r w:rsidRPr="001F7A46">
        <w:rPr>
          <w:rFonts w:cs="Times New Roman"/>
          <w:noProof/>
          <w:sz w:val="22"/>
          <w:szCs w:val="22"/>
          <w:vertAlign w:val="superscript"/>
        </w:rPr>
        <w:t>th</w:t>
      </w:r>
      <w:r w:rsidRPr="00FC3C61">
        <w:rPr>
          <w:rFonts w:cs="Times New Roman"/>
          <w:noProof/>
          <w:sz w:val="22"/>
          <w:szCs w:val="22"/>
        </w:rPr>
        <w:t xml:space="preserve"> August 1998, EL03-180, SNO-86, FERC.</w:t>
      </w:r>
    </w:p>
  </w:endnote>
  <w:endnote w:id="90">
    <w:p w14:paraId="3EE723BD" w14:textId="7C3DF93D"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Tim Belden, </w:t>
      </w:r>
      <w:r w:rsidR="006A5466" w:rsidRPr="00FC3C61">
        <w:rPr>
          <w:rFonts w:cs="Times New Roman"/>
          <w:noProof/>
          <w:sz w:val="22"/>
          <w:szCs w:val="22"/>
        </w:rPr>
        <w:t>Email</w:t>
      </w:r>
      <w:r w:rsidRPr="00FC3C61">
        <w:rPr>
          <w:rFonts w:cs="Times New Roman"/>
          <w:noProof/>
          <w:sz w:val="22"/>
          <w:szCs w:val="22"/>
        </w:rPr>
        <w:t xml:space="preserve"> to Phillip Allan, 30</w:t>
      </w:r>
      <w:r w:rsidRPr="001F7A46">
        <w:rPr>
          <w:rFonts w:cs="Times New Roman"/>
          <w:noProof/>
          <w:sz w:val="22"/>
          <w:szCs w:val="22"/>
          <w:vertAlign w:val="superscript"/>
        </w:rPr>
        <w:t>th</w:t>
      </w:r>
      <w:r w:rsidRPr="00FC3C61">
        <w:rPr>
          <w:rFonts w:cs="Times New Roman"/>
          <w:noProof/>
          <w:sz w:val="22"/>
          <w:szCs w:val="22"/>
        </w:rPr>
        <w:t xml:space="preserve"> June 1998, EL03-180, SNO-795, FERC.</w:t>
      </w:r>
    </w:p>
  </w:endnote>
  <w:endnote w:id="91">
    <w:p w14:paraId="4452D9D5" w14:textId="4E0CECC7"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Enron West Power Trading, </w:t>
      </w:r>
      <w:r w:rsidR="00E62DDF" w:rsidRPr="00FC3C61">
        <w:rPr>
          <w:rFonts w:cs="Times New Roman"/>
          <w:noProof/>
          <w:sz w:val="22"/>
          <w:szCs w:val="22"/>
        </w:rPr>
        <w:t>“</w:t>
      </w:r>
      <w:r w:rsidRPr="00FC3C61">
        <w:rPr>
          <w:rFonts w:cs="Times New Roman"/>
          <w:noProof/>
          <w:sz w:val="22"/>
          <w:szCs w:val="22"/>
        </w:rPr>
        <w:t>California PX/ ISO Schedule,</w:t>
      </w:r>
      <w:r w:rsidR="00E62DDF" w:rsidRPr="00FC3C61">
        <w:rPr>
          <w:rFonts w:cs="Times New Roman"/>
          <w:noProof/>
          <w:sz w:val="22"/>
          <w:szCs w:val="22"/>
        </w:rPr>
        <w:t>”</w:t>
      </w:r>
      <w:r w:rsidRPr="00FC3C61">
        <w:rPr>
          <w:rFonts w:cs="Times New Roman"/>
          <w:noProof/>
          <w:sz w:val="22"/>
          <w:szCs w:val="22"/>
        </w:rPr>
        <w:t xml:space="preserve"> 6</w:t>
      </w:r>
      <w:r w:rsidRPr="001F7A46">
        <w:rPr>
          <w:rFonts w:cs="Times New Roman"/>
          <w:noProof/>
          <w:sz w:val="22"/>
          <w:szCs w:val="22"/>
          <w:vertAlign w:val="superscript"/>
        </w:rPr>
        <w:t>th</w:t>
      </w:r>
      <w:r w:rsidRPr="00FC3C61">
        <w:rPr>
          <w:rFonts w:cs="Times New Roman"/>
          <w:noProof/>
          <w:sz w:val="22"/>
          <w:szCs w:val="22"/>
        </w:rPr>
        <w:t xml:space="preserve"> May 1998, EL03-180, SNO-717, 3, FERC.</w:t>
      </w:r>
    </w:p>
  </w:endnote>
  <w:endnote w:id="92">
    <w:p w14:paraId="53E2D457" w14:textId="2AE478A9"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A more general precedents for gaming within Enron had already been established through small scale initiatives such as </w:t>
      </w:r>
      <w:r w:rsidRPr="00FC3C61">
        <w:rPr>
          <w:rFonts w:cs="Times New Roman"/>
          <w:i/>
          <w:iCs/>
          <w:sz w:val="22"/>
          <w:szCs w:val="22"/>
        </w:rPr>
        <w:t>Project Stanley</w:t>
      </w:r>
      <w:r w:rsidRPr="00FC3C61">
        <w:rPr>
          <w:rFonts w:cs="Times New Roman"/>
          <w:sz w:val="22"/>
          <w:szCs w:val="22"/>
        </w:rPr>
        <w:t xml:space="preserve">, a manipulation strategy that involved Enron and other parties within the Canadian energy market. </w:t>
      </w:r>
      <w:r w:rsidR="00E62DDF" w:rsidRPr="00FC3C61">
        <w:rPr>
          <w:rFonts w:cs="Times New Roman"/>
          <w:sz w:val="22"/>
          <w:szCs w:val="22"/>
        </w:rPr>
        <w:t>S</w:t>
      </w:r>
      <w:r w:rsidRPr="00FC3C61">
        <w:rPr>
          <w:rFonts w:cs="Times New Roman"/>
          <w:sz w:val="22"/>
          <w:szCs w:val="22"/>
        </w:rPr>
        <w:t xml:space="preserve">ee </w:t>
      </w:r>
      <w:r w:rsidRPr="00FC3C61">
        <w:rPr>
          <w:rFonts w:cs="Times New Roman"/>
          <w:sz w:val="22"/>
          <w:szCs w:val="22"/>
        </w:rPr>
        <w:fldChar w:fldCharType="begin" w:fldLock="1"/>
      </w:r>
      <w:r w:rsidR="00057941"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decision","type":"report"},"uris":["http://www.mendeley.com/documents/?uuid=a94a3908-3dd8-4017-adbe-2cbcc71b4d83"]}],"mendeley":{"formattedCitation":"FERC, “Initial Decision.”","manualFormatting":"FERC, “Initial Decision,” 119 FERC ¶ 63,013, 2007, 34.","plainTextFormattedCitation":"FERC, “Initial Decision.”","previouslyFormattedCitation":"FERC, “Initial Decision.”"},"properties":{"noteIndex":0},"schema":"https://github.com/citation-style-language/schema/raw/master/csl-citation.json"}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“Initial Decision,” 119 FERC ¶ 63,013, 2007, 34.</w:t>
      </w:r>
      <w:r w:rsidRPr="00FC3C61">
        <w:rPr>
          <w:rFonts w:cs="Times New Roman"/>
          <w:sz w:val="22"/>
          <w:szCs w:val="22"/>
        </w:rPr>
        <w:fldChar w:fldCharType="end"/>
      </w:r>
    </w:p>
  </w:endnote>
  <w:endnote w:id="93">
    <w:p w14:paraId="397BA7DB" w14:textId="3152FA31"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Quoted in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{"citationItems":[{"id":"ITEM-1","itemData":{"author":[{"dropping-particle":"","family":"Market Compliance Unit","given":"","non-dropping-particle":"","parse-names":false,"suffix":""}],"collection-title":"EL03-180, SNO-89","id":"ITEM-1","issued":{"date-parts":[["1999"]]},"title":"Report on compliance unit investigation of market events for [redacted]","type":"report"},"locator":"13","uris":["http://www.mendeley.com/documents/?uuid=dd725bd4-7cbc-43c9-87ec-2dff9ec549d1"]}],"mendeley":{"formattedCitation":"Market Compliance Unit, “Report on Compliance Unit Investigation of Market Events for [Redacted],” EL03-180, SNO-89, 1999, 13.","manualFormatting":"Market Compliance Unit, “Report on Compliance Unit Investigation of Market Events for [Redacted],” California Power Exchange, EL03-180, SNO-89, 1999, 13.","plainTextFormattedCitation":"Market Compliance Unit, “Report on Compliance Unit Investigation of Market Events for [Redacted],” EL03-180, SNO-89, 1999, 13.","previouslyFormattedCitation":"Market Compliance Unit, “Report on Compliance Unit Investigation of Market Events for [Redacted],” EL03-180, SNO-89, 1999, 13."},"properties":{"noteIndex":0},"schema":"https://github.com/citation-style-language/schema/raw/master/csl-citation.json"}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Market Compliance Unit, “Report on Compliance Unit Investigation of Market Events for [Redacted],” California Power Exchange, EL03-180, SNO-89, 1999, 13.</w:t>
      </w:r>
      <w:r w:rsidRPr="00FC3C61">
        <w:rPr>
          <w:rFonts w:cs="Times New Roman"/>
          <w:sz w:val="22"/>
          <w:szCs w:val="22"/>
        </w:rPr>
        <w:fldChar w:fldCharType="end"/>
      </w:r>
      <w:r w:rsidRPr="00FC3C61">
        <w:rPr>
          <w:rFonts w:cs="Times New Roman"/>
          <w:sz w:val="22"/>
          <w:szCs w:val="22"/>
        </w:rPr>
        <w:t xml:space="preserve"> </w:t>
      </w:r>
    </w:p>
  </w:endnote>
  <w:endnote w:id="94">
    <w:p w14:paraId="469342F1" w14:textId="4599D72C"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{"citationItems":[{"id":"ITEM-1","itemData":{"author":[{"dropping-particle":"","family":"McCullough","given":"Robert","non-dropping-particle":"","parse-names":false,"suffix":""}],"collection-title":"EL03-180, SNO-58","id":"ITEM-1","issued":{"date-parts":[["2007"]]},"title":"Prepared Direct Testimony of Robert F. McCullough on behalf of Public Utility District No 1 of Snohomish County, Washington.","type":"report"},"locator":"56","uris":["http://www.mendeley.com/documents/?uuid=1634062f-c754-4d51-a6f2-f23f9a6ebca1"]}],"mendeley":{"formattedCitation":"Robert McCullough, “Prepared Direct Testimony of Robert F. McCullough on Behalf of Public Utility District No 1 of Snohomish County, Washington.,” EL03-180, SNO-58, 2007, 56.","plainTextFormattedCitation":"Robert McCullough, “Prepared Direct Testimony of Robert F. McCullough on Behalf of Public Utility District No 1 of Snohomish County, Washington.,” EL03-180, SNO-58, 2007, 56.","previouslyFormattedCitation":"Robert McCullough, “Prepared Direct Testimony of Robert F. McCullough on Behalf of Public Utility District No 1 of Snohomish County, Washington.,” EL03-180, SNO-58, 2007, 56."},"properties":{"noteIndex":0},"schema":"https://github.com/citation-style-language/schema/raw/master/csl-citation.json"}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Robert McCullough, “Prepared Direct Testimony of Robert F. McCullough on Behalf of Public Utility District No 1 of Snohomish County, Washington.,” EL03-180, SNO-58, 2007, 56.</w:t>
      </w:r>
      <w:r w:rsidRPr="00FC3C61">
        <w:rPr>
          <w:rFonts w:cs="Times New Roman"/>
          <w:sz w:val="22"/>
          <w:szCs w:val="22"/>
        </w:rPr>
        <w:fldChar w:fldCharType="end"/>
      </w:r>
      <w:r w:rsidRPr="00FC3C61">
        <w:rPr>
          <w:rFonts w:cs="Times New Roman"/>
          <w:sz w:val="22"/>
          <w:szCs w:val="22"/>
        </w:rPr>
        <w:t xml:space="preserve"> </w:t>
      </w:r>
    </w:p>
  </w:endnote>
  <w:endnote w:id="95">
    <w:p w14:paraId="39B6D775" w14:textId="3B017859" w:rsidR="003505E9" w:rsidRPr="001F7A46" w:rsidRDefault="003505E9">
      <w:pPr>
        <w:pStyle w:val="EndnoteText"/>
        <w:rPr>
          <w:rFonts w:cs="Times New Roman"/>
          <w:sz w:val="22"/>
          <w:szCs w:val="22"/>
        </w:rPr>
      </w:pPr>
      <w:r w:rsidRPr="001F7A46">
        <w:rPr>
          <w:rStyle w:val="EndnoteReference"/>
          <w:rFonts w:cs="Times New Roman"/>
          <w:sz w:val="22"/>
          <w:szCs w:val="22"/>
        </w:rPr>
        <w:endnoteRef/>
      </w:r>
      <w:r w:rsidRPr="001F7A46">
        <w:rPr>
          <w:rFonts w:cs="Times New Roman"/>
          <w:sz w:val="22"/>
          <w:szCs w:val="22"/>
        </w:rPr>
        <w:t xml:space="preserve"> </w:t>
      </w:r>
      <w:r w:rsidR="0092410E" w:rsidRPr="00FC3C61">
        <w:rPr>
          <w:rFonts w:cs="Times New Roman"/>
          <w:sz w:val="22"/>
          <w:szCs w:val="22"/>
        </w:rPr>
        <w:fldChar w:fldCharType="begin" w:fldLock="1"/>
      </w:r>
      <w:r w:rsidR="00352BA0" w:rsidRPr="00FC3C61">
        <w:rPr>
          <w:rFonts w:cs="Times New Roman"/>
          <w:sz w:val="22"/>
          <w:szCs w:val="22"/>
        </w:rPr>
        <w:instrText>ADDIN CSL_CITATION {"citationItems":[{"id":"ITEM-1","itemData":{"author":[{"dropping-particle":"","family":"McCullough","given":"Robert","non-dropping-particle":"","parse-names":false,"suffix":""}],"collection-title":"EL03-180, SNO-58","id":"ITEM-1","issued":{"date-parts":[["2007"]]},"title":"Prepared Direct Testimony of Robert F. McCullough on behalf of Public Utility District No 1 of Snohomish County, Washington.","type":"report"},"locator":"52","uris":["http://www.mendeley.com/documents/?uuid=1634062f-c754-4d51-a6f2-f23f9a6ebca1"]}],"mendeley":{"formattedCitation":"McCullough, 52.","manualFormatting":"McCullough, “Direct Testimony” 52-4.","plainTextFormattedCitation":"McCullough, 52.","previouslyFormattedCitation":"McCullough, 52."},"properties":{"noteIndex":0},"schema":"https://github.com/citation-style-language/schema/raw/master/csl-citation.json"}</w:instrText>
      </w:r>
      <w:r w:rsidR="0092410E" w:rsidRPr="00FC3C61">
        <w:rPr>
          <w:rFonts w:cs="Times New Roman"/>
          <w:sz w:val="22"/>
          <w:szCs w:val="22"/>
        </w:rPr>
        <w:fldChar w:fldCharType="separate"/>
      </w:r>
      <w:r w:rsidR="0092410E" w:rsidRPr="00FC3C61">
        <w:rPr>
          <w:rFonts w:cs="Times New Roman"/>
          <w:noProof/>
          <w:sz w:val="22"/>
          <w:szCs w:val="22"/>
        </w:rPr>
        <w:t>McCullough, “Direct Testimony” 52-4.</w:t>
      </w:r>
      <w:r w:rsidR="0092410E" w:rsidRPr="00FC3C61">
        <w:rPr>
          <w:rFonts w:cs="Times New Roman"/>
          <w:sz w:val="22"/>
          <w:szCs w:val="22"/>
        </w:rPr>
        <w:fldChar w:fldCharType="end"/>
      </w:r>
    </w:p>
  </w:endnote>
  <w:endnote w:id="96">
    <w:p w14:paraId="534471BC" w14:textId="06B88DC6" w:rsidR="0057097A" w:rsidRPr="00FC3C61" w:rsidRDefault="0057097A" w:rsidP="0057097A">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{"citationItems":[{"id":"ITEM-1","itemData":{"author":[{"dropping-particle":"","family":"McCullough","given":"Robert","non-dropping-particle":"","parse-names":false,"suffix":""}],"collection-title":"EL03-180, SNO-710","id":"ITEM-1","issued":{"date-parts":[["2007"]]},"title":"Summary of Supplemental Testimony of Robert F. McCullough on behalf of Public Utility District No 1 of Snohomish County, Washington.","type":"report"},"uris":["http://www.mendeley.com/documents/?uuid=e6539cd8-f942-4ccb-9429-7d4d767db284"]}],"mendeley":{"formattedCitation":"McCullough, “Summary of Supplemental Testimony of Robert F. McCullough on Behalf of Public Utility District No 1 of Snohomish County, Washington.”","plainTextFormattedCitation":"McCullough, “Summary of Supplemental Testimony of Robert F. McCullough on Behalf of Public Utility District No 1 of Snohomish County, Washington.”","previouslyFormattedCitation":"McCullough, “Summary of Supplemental Testimony of Robert F. McCullough on Behalf of Public Utility District No 1 of Snohomish County, Washington.”"},"properties":{"noteIndex":0},"schema":"https://github.com/citation-style-language/schema/raw/master/csl-citation.json"}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McCullough, “Summary of Supplemental Testimony of Robert F. McCullough on Behalf of Public Utility District No 1 of Snohomish County, Washington.”</w:t>
      </w:r>
      <w:r w:rsidRPr="00FC3C61">
        <w:rPr>
          <w:rFonts w:cs="Times New Roman"/>
          <w:sz w:val="22"/>
          <w:szCs w:val="22"/>
        </w:rPr>
        <w:fldChar w:fldCharType="end"/>
      </w:r>
      <w:r w:rsidR="00994621" w:rsidRPr="001F7A46">
        <w:rPr>
          <w:rFonts w:cs="Times New Roman"/>
          <w:sz w:val="22"/>
          <w:szCs w:val="22"/>
        </w:rPr>
        <w:t xml:space="preserve"> 22.</w:t>
      </w:r>
      <w:r w:rsidRPr="001F7A46">
        <w:rPr>
          <w:rFonts w:cs="Times New Roman"/>
          <w:sz w:val="22"/>
          <w:szCs w:val="22"/>
        </w:rPr>
        <w:t xml:space="preserve"> </w:t>
      </w:r>
      <w:r w:rsidRPr="001F7A46">
        <w:rPr>
          <w:rFonts w:cs="Times New Roman"/>
          <w:sz w:val="22"/>
          <w:szCs w:val="22"/>
        </w:rPr>
        <w:fldChar w:fldCharType="begin" w:fldLock="1"/>
      </w:r>
      <w:r w:rsidRPr="001F7A46">
        <w:rPr>
          <w:rFonts w:cs="Times New Roman"/>
          <w:sz w:val="22"/>
          <w:szCs w:val="22"/>
        </w:rPr>
        <w:instrText>ADDIN CSL_CITATION {"citationItems":[{"id":"ITEM-1","itemData":{"author":[{"dropping-particle":"","family":"McCullough","given":"Robert","non-dropping-particle":"","parse-names":false,"suffix":""}],"collection-title":"EL03-180, SNO-58","id":"ITEM-1","issued":{"date-parts":[["2007"]]},"title":"Prepared Direct Testimony of Robert F. McCullough on behalf of Public Utility District No 1 of Snohomish County, Washington.","type":"report"},"locator":"52","uris":["http://www.mendeley.com/documents/?uuid=1634062f-c754-4d51-a6f2-f23f9a6ebca1"]}],"mendeley":{"formattedCitation":"McCullough, “Prepared Direct Testimony of Robert F. McCullough on Behalf of Public Utility District No 1 of Snohomish County, Washington.,” 52.","manualFormatting":"McCullough, “Direct Testimony” 52.","plainTextFormattedCitation":"McCullough, “Prepared Direct Testimony of Robert F. McCullough on Behalf of Public Utility District No 1 of Snohomish County, Washington.,” 52.","previouslyFormattedCitation":"McCullough, “Prepared Direct Testimony of Robert F. McCullough on Behalf of Public Utility District No 1 of Snohomish County, Washington.,” 52."},"properties":{"noteIndex":0},"schema":"https://github.com/citation-style-language/schema/raw/master/csl-citation.json"}</w:instrText>
      </w:r>
      <w:r w:rsidRPr="001F7A46">
        <w:rPr>
          <w:rFonts w:cs="Times New Roman"/>
          <w:sz w:val="22"/>
          <w:szCs w:val="22"/>
        </w:rPr>
        <w:fldChar w:fldCharType="separate"/>
      </w:r>
      <w:r w:rsidRPr="001F7A46">
        <w:rPr>
          <w:rFonts w:cs="Times New Roman"/>
          <w:noProof/>
          <w:sz w:val="22"/>
          <w:szCs w:val="22"/>
        </w:rPr>
        <w:t>McCullough, “Direct Testimony” 5</w:t>
      </w:r>
      <w:r w:rsidR="00994621" w:rsidRPr="001F7A46">
        <w:rPr>
          <w:rFonts w:cs="Times New Roman"/>
          <w:noProof/>
          <w:sz w:val="22"/>
          <w:szCs w:val="22"/>
        </w:rPr>
        <w:t>6-7</w:t>
      </w:r>
      <w:r w:rsidRPr="001F7A46">
        <w:rPr>
          <w:rFonts w:cs="Times New Roman"/>
          <w:noProof/>
          <w:sz w:val="22"/>
          <w:szCs w:val="22"/>
        </w:rPr>
        <w:t>.</w:t>
      </w:r>
      <w:r w:rsidRPr="001F7A46">
        <w:rPr>
          <w:rFonts w:cs="Times New Roman"/>
          <w:sz w:val="22"/>
          <w:szCs w:val="22"/>
        </w:rPr>
        <w:fldChar w:fldCharType="end"/>
      </w:r>
    </w:p>
  </w:endnote>
  <w:endnote w:id="97">
    <w:p w14:paraId="13B48A41" w14:textId="50D11FF4" w:rsidR="0037226F" w:rsidRPr="00FC3C61" w:rsidRDefault="0037226F">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Market Compliance Unit, “Report on Compliance Unit Investigation of Market Events for [Redacted]” </w:t>
      </w:r>
      <w:r w:rsidR="00A66FA0" w:rsidRPr="00FC3C61">
        <w:rPr>
          <w:rFonts w:cs="Times New Roman"/>
          <w:noProof/>
          <w:sz w:val="22"/>
          <w:szCs w:val="22"/>
        </w:rPr>
        <w:t xml:space="preserve">EL03-180, SNO-89, 1999. </w:t>
      </w:r>
      <w:r w:rsidRPr="00FC3C61">
        <w:rPr>
          <w:rFonts w:cs="Times New Roman"/>
          <w:noProof/>
          <w:sz w:val="22"/>
          <w:szCs w:val="22"/>
        </w:rPr>
        <w:t>6.</w:t>
      </w:r>
    </w:p>
  </w:endnote>
  <w:endnote w:id="98">
    <w:p w14:paraId="21A2DE4C" w14:textId="427D955B" w:rsidR="0093268D" w:rsidRPr="00FC3C61" w:rsidRDefault="0093268D" w:rsidP="004D5534">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t xml:space="preserve">See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{"citationItems":[{"id":"ITEM-1","itemData":{"author":[{"dropping-particle":"","family":"Hain","given":"Mary","non-dropping-particle":"","parse-names":false,"suffix":""}],"id":"ITEM-1","issue":"EL03-180, SNO-715","issued":{"date-parts":[["0"]]},"title":"Draft Fact Summary","type":"article"},"uris":["http://www.mendeley.com/documents/?uuid=aacff350-49fe-444a-8cff-279f7ba50469"]}],"mendeley":{"formattedCitation":"Mary Hain, “Draft Fact Summary,” n.d.","plainTextFormattedCitation":"Mary Hain, “Draft Fact Summary,” n.d.","previouslyFormattedCitation":"Mary Hain, “Draft Fact Summary,” n.d."},"properties":{"noteIndex":0},"schema":"https://github.com/citation-style-language/schema/raw/master/csl-citation.json"}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Mary Hain, “Draft Fact Summary,” n.d.</w:t>
      </w:r>
      <w:r w:rsidRPr="00FC3C61">
        <w:rPr>
          <w:rFonts w:cs="Times New Roman"/>
          <w:color w:val="000000" w:themeColor="text1"/>
          <w:sz w:val="22"/>
          <w:szCs w:val="22"/>
        </w:rPr>
        <w:fldChar w:fldCharType="end"/>
      </w:r>
      <w:r w:rsidRPr="00FC3C61">
        <w:rPr>
          <w:rFonts w:cs="Times New Roman"/>
          <w:color w:val="000000" w:themeColor="text1"/>
          <w:sz w:val="22"/>
          <w:szCs w:val="22"/>
        </w:rPr>
        <w:t xml:space="preserve">, EL03-180, SNO-715, FERC. In fact, the PX were ultimately made aware of the previous event but noted the lack of effect on prices and Enron’s explanation that it was done to correct an earlier bedding error. </w:t>
      </w:r>
    </w:p>
  </w:endnote>
  <w:endnote w:id="99">
    <w:p w14:paraId="70A5EA35" w14:textId="1375618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fldChar w:fldCharType="begin" w:fldLock="1"/>
      </w:r>
      <w:r w:rsidR="003D7833" w:rsidRPr="00FC3C61">
        <w:rPr>
          <w:rFonts w:cs="Times New Roman"/>
          <w:sz w:val="22"/>
          <w:szCs w:val="22"/>
        </w:rPr>
        <w:instrText>ADDIN CSL_CITATION {"citationItems":[{"id":"ITEM-1","itemData":{"author":[{"dropping-particle":"","family":"Market Compliance Unit","given":"","non-dropping-particle":"","parse-names":false,"suffix":""}],"collection-title":"EL03-180, SNO-89","id":"ITEM-1","issued":{"date-parts":[["1999"]]},"title":"Report on compliance unit investigation of market events for [redacted]","type":"report"},"uris":["http://www.mendeley.com/documents/?uuid=dd725bd4-7cbc-43c9-87ec-2dff9ec549d1"]},{"id":"ITEM-2","itemData":{"author":[{"dropping-particle":"","family":"O'Neill","given":"Patrick","non-dropping-particle":"","parse-names":false,"suffix":""},{"dropping-particle":"","family":"Cocke","given":"Stan","non-dropping-particle":"","parse-names":false,"suffix":""}],"container-title":"Energy Market Report","id":"ITEM-2","issued":{"date-parts":[["1999"]]},"title":"Manipulation?","type":"article-journal","volume":"5"},"uris":["http://www.mendeley.com/documents/?uuid=d66907e9-6015-427b-b5ab-ea582106753d"]}],"mendeley":{"formattedCitation":"Market Compliance Unit, “Report on Compliance Unit Investigation of Market Events for [Redacted]”; Patrick O’Neill and Stan Cocke, “Manipulation?,” &lt;i&gt;Energy Market Report&lt;/i&gt; 5 (1999).","manualFormatting":"Market Compliance Unit, “Report\" 6.; Patrick O’Neill and Stan Cocke, “Manipulation?,” Energy Market Report 5 (1999).","plainTextFormattedCitation":"Market Compliance Unit, “Report on Compliance Unit Investigation of Market Events for [Redacted]”; Patrick O’Neill and Stan Cocke, “Manipulation?,” Energy Market Report 5 (1999).","previouslyFormattedCitation":"Market Compliance Unit, “Report on Compliance Unit Investigation of Market Events for [Redacted]”; Patrick O’Neill and Stan Cocke, “Manipulation?,” &lt;i&gt;Energy Market Report&lt;/i&gt; 5 (1999)."},"properties":{"noteIndex":0},"schema":"https://github.com/citation-style-language/schema/raw/master/csl-citation.json"}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Market Compliance Unit, “Report</w:t>
      </w:r>
      <w:r w:rsidR="0037226F" w:rsidRPr="00FC3C61">
        <w:rPr>
          <w:rFonts w:cs="Times New Roman"/>
          <w:noProof/>
          <w:sz w:val="22"/>
          <w:szCs w:val="22"/>
        </w:rPr>
        <w:t>"</w:t>
      </w:r>
      <w:r w:rsidR="00467C51" w:rsidRPr="00FC3C61">
        <w:rPr>
          <w:rFonts w:cs="Times New Roman"/>
          <w:noProof/>
          <w:sz w:val="22"/>
          <w:szCs w:val="22"/>
        </w:rPr>
        <w:t xml:space="preserve"> 6.</w:t>
      </w:r>
      <w:r w:rsidRPr="00FC3C61">
        <w:rPr>
          <w:rFonts w:cs="Times New Roman"/>
          <w:noProof/>
          <w:sz w:val="22"/>
          <w:szCs w:val="22"/>
        </w:rPr>
        <w:t xml:space="preserve">; Patrick O’Neill and Stan Cocke, “Manipulation?,” </w:t>
      </w:r>
      <w:r w:rsidRPr="00FC3C61">
        <w:rPr>
          <w:rFonts w:cs="Times New Roman"/>
          <w:i/>
          <w:noProof/>
          <w:sz w:val="22"/>
          <w:szCs w:val="22"/>
        </w:rPr>
        <w:t>Energy Market Report</w:t>
      </w:r>
      <w:r w:rsidRPr="00FC3C61">
        <w:rPr>
          <w:rFonts w:cs="Times New Roman"/>
          <w:noProof/>
          <w:sz w:val="22"/>
          <w:szCs w:val="22"/>
        </w:rPr>
        <w:t xml:space="preserve"> 5 (1999).</w:t>
      </w:r>
      <w:r w:rsidRPr="00FC3C61">
        <w:rPr>
          <w:rFonts w:cs="Times New Roman"/>
          <w:sz w:val="22"/>
          <w:szCs w:val="22"/>
        </w:rPr>
        <w:fldChar w:fldCharType="end"/>
      </w:r>
      <w:r w:rsidRPr="00FC3C61">
        <w:rPr>
          <w:rFonts w:cs="Times New Roman"/>
          <w:sz w:val="22"/>
          <w:szCs w:val="22"/>
        </w:rPr>
        <w:t xml:space="preserve"> </w:t>
      </w:r>
    </w:p>
  </w:endnote>
  <w:endnote w:id="100">
    <w:p w14:paraId="26D00C02" w14:textId="76058FBB"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{"citationItems":[{"id":"ITEM-1","itemData":{"author":[{"dropping-particle":"","family":"Coffin","given":"Steven","non-dropping-particle":"","parse-names":false,"suffix":""}],"id":"ITEM-1","issued":{"date-parts":[["2003"]]},"publisher":"Federal Bureau of Investigation.","title":"Crimical Complaint report to US District Court (Northern District of California) re John Forney","type":"article"},"uris":["http://www.mendeley.com/documents/?uuid=1eefdb23-00db-4103-b7ac-ff33b62399c9"]}],"mendeley":{"formattedCitation":"Steven Coffin, “Crimical Complaint Report to US District Court (Northern District of California) Re John Forney” (Federal Bureau of Investigation., 2003), http://www.mresearch.com/pdfs/386.pdf.","manualFormatting":"Steven Coffin, Crimical Complaint report to US District Court (Northern District of California) re United States of America v John Forney, 30th May, 2003, Federal Bureau of Investigation.","plainTextFormattedCitation":"Steven Coffin, “Crimical Complaint Report to US District Court (Northern District of California) Re John Forney” (Federal Bureau of Investigation., 2003), http://www.mresearch.com/pdfs/386.pdf.","previouslyFormattedCitation":"Steven Coffin, “Crimical Complaint Report to US District Court (Northern District of California) Re John Forney” (Federal Bureau of Investigation., 2003), http://www.mresearch.com/pdfs/386.pdf."},"properties":{"noteIndex":0},"schema":"https://github.com/citation-style-language/schema/raw/master/csl-citation.json"}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Steven Coffin, Crimical Complaint report to US District Court (Northern District of California) re United States of America v John Forney, 30</w:t>
      </w:r>
      <w:r w:rsidRPr="00FC3C61">
        <w:rPr>
          <w:rFonts w:cs="Times New Roman"/>
          <w:noProof/>
          <w:sz w:val="22"/>
          <w:szCs w:val="22"/>
          <w:vertAlign w:val="superscript"/>
        </w:rPr>
        <w:t>th</w:t>
      </w:r>
      <w:r w:rsidRPr="00FC3C61">
        <w:rPr>
          <w:rFonts w:cs="Times New Roman"/>
          <w:noProof/>
          <w:sz w:val="22"/>
          <w:szCs w:val="22"/>
        </w:rPr>
        <w:t xml:space="preserve"> May, 2003, Federal Bureau of Investigation.</w:t>
      </w:r>
      <w:r w:rsidRPr="00FC3C61">
        <w:rPr>
          <w:rFonts w:cs="Times New Roman"/>
          <w:sz w:val="22"/>
          <w:szCs w:val="22"/>
        </w:rPr>
        <w:fldChar w:fldCharType="end"/>
      </w:r>
      <w:r w:rsidRPr="00FC3C61">
        <w:rPr>
          <w:rFonts w:cs="Times New Roman"/>
          <w:sz w:val="22"/>
          <w:szCs w:val="22"/>
        </w:rPr>
        <w:t xml:space="preserve"> </w:t>
      </w:r>
    </w:p>
  </w:endnote>
  <w:endnote w:id="101">
    <w:p w14:paraId="16696100" w14:textId="70EE7415"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1D67CD" w:rsidRPr="00FC3C61">
        <w:rPr>
          <w:rFonts w:cs="Times New Roman"/>
          <w:sz w:val="22"/>
          <w:szCs w:val="22"/>
        </w:rPr>
        <w:instrText>ADDIN CSL_CITATION {"citationItems":[{"id":"ITEM-1","itemData":{"author":[{"dropping-particle":"","family":"Belden","given":"Tim","non-dropping-particle":"","parse-names":false,"suffix":""}],"edition":"Transcript","id":"ITEM-1","issued":{"date-parts":[["2000"]]},"title":"Transcript of telephone conversation with John Lavorato","type":"article"},"uris":["http://www.mendeley.com/documents/?uuid=03aef30e-c75d-4f21-b2d9-00181dae0aa0"]},{"id":"ITEM-2","itemData":{"author":[{"dropping-particle":"","family":"McCullough","given":"Robert","non-dropping-particle":"","parse-names":false,"suffix":""}],"collection-title":"EL03-180, SNO-710","id":"ITEM-2","issued":{"date-parts":[["2007"]]},"title":"Summary of Supplemental Testimony of Robert F. McCullough on behalf of Public Utility District No 1 of Snohomish County, Washington.","type":"report"},"locator":"196-197","uris":["http://www.mendeley.com/documents/?uuid=e6539cd8-f942-4ccb-9429-7d4d767db284"]}],"mendeley":{"formattedCitation":"Tim Belden, “Transcript of Telephone Conversation with John Lavorato,” 2000; McCullough, “Summary of Supplemental Testimony of Robert F. McCullough on Behalf of Public Utility District No 1 of Snohomish County, Washington.,” 196–97.","manualFormatting":"Tim Belden, Transcript of Telephone Conversation with John Lavorato, 4th August 2000, EL03-180, SNO-221, FERC; McCullough, “Supplemental Testimony” 196–97.","plainTextFormattedCitation":"Tim Belden, “Transcript of Telephone Conversation with John Lavorato,” 2000; McCullough, “Summary of Supplemental Testimony of Robert F. McCullough on Behalf of Public Utility District No 1 of Snohomish County, Washington.,” 196–97.","previouslyFormattedCitation":"Tim Belden, “Transcript of Telephone Conversation with John Lavorato,” 2000; McCullough, “Summary of Supplemental Testimony of Robert F. McCullough on Behalf of Public Utility District No 1 of Snohomish County, Washington.,” 196–97."},"properties":{"noteIndex":0},"schema":"https://github.com/citation-style-language/schema/raw/master/csl-citation.json"}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Tim Belden, Transcript of Telephone Conversation with John Lavorato, 4</w:t>
      </w:r>
      <w:r w:rsidRPr="001F7A46">
        <w:rPr>
          <w:rFonts w:cs="Times New Roman"/>
          <w:noProof/>
          <w:sz w:val="22"/>
          <w:szCs w:val="22"/>
          <w:vertAlign w:val="superscript"/>
        </w:rPr>
        <w:t>th</w:t>
      </w:r>
      <w:r w:rsidRPr="00FC3C61">
        <w:rPr>
          <w:rFonts w:cs="Times New Roman"/>
          <w:noProof/>
          <w:sz w:val="22"/>
          <w:szCs w:val="22"/>
        </w:rPr>
        <w:t xml:space="preserve"> August 2000, EL03-180, SNO-221, FERC; McCullough, “Supplemental Testimony” 196–97.</w:t>
      </w:r>
      <w:r w:rsidRPr="00FC3C61">
        <w:rPr>
          <w:rFonts w:cs="Times New Roman"/>
          <w:sz w:val="22"/>
          <w:szCs w:val="22"/>
        </w:rPr>
        <w:fldChar w:fldCharType="end"/>
      </w:r>
      <w:r w:rsidRPr="00FC3C61">
        <w:rPr>
          <w:rFonts w:cs="Times New Roman"/>
          <w:sz w:val="22"/>
          <w:szCs w:val="22"/>
        </w:rPr>
        <w:t xml:space="preserve"> </w:t>
      </w:r>
    </w:p>
  </w:endnote>
  <w:endnote w:id="102">
    <w:p w14:paraId="63BB0049" w14:textId="7AA0D7FD"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r>
      <w:r w:rsidRPr="00FC3C61">
        <w:rPr>
          <w:rFonts w:cs="Times New Roman"/>
          <w:sz w:val="22"/>
          <w:szCs w:val="22"/>
        </w:rPr>
        <w:instrText xml:space="preserve"> ADDIN EN.CITE &lt;EndNote&gt;&lt;Cite&gt;&lt;Author&gt;Yoder&lt;/Author&gt;&lt;Year&gt;2000&lt;/Year&gt;&lt;RecNum&gt;1210&lt;/RecNum&gt;&lt;DisplayText&gt;Christian Yoder and Stephen Hall, Memorandum to Richard Sanders re &amp;quot;Trading Strategies in the California Wholesale Power Markets/ISO Sanctions&amp;quot;, 6th December 2000, SNO-20, FERC e-library.&lt;/DisplayText&gt;&lt;record&gt;&lt;rec-number&gt;1210&lt;/rec-number&gt;&lt;foreign-keys&gt;&lt;key app="EN" db-id="0varzz2d1f5azce225tvef57r0wdptzrvfwt" timestamp="1533632766"&gt;1210&lt;/key&gt;&lt;/foreign-keys&gt;&lt;ref-type name="Personal Communication"&gt;26&lt;/ref-type&gt;&lt;contributors&gt;&lt;authors&gt;&lt;author&gt;Yoder, Christian&lt;/author&gt;&lt;author&gt;Hall, Stephen&lt;/author&gt;&lt;/authors&gt;&lt;/contributors&gt;&lt;titles&gt;&lt;/titles&gt;&lt;number&gt;SNO-20&lt;/number&gt;&lt;edition&gt;Memorandum to Richard Sanders re &amp;quot;Trading Strategies in the California Wholesale Power Markets/ISO Sanctions&amp;quot;&lt;/edition&gt;&lt;dates&gt;&lt;year&gt;2000&lt;/year&gt;&lt;pub-dates&gt;&lt;date&gt;6th December&lt;/date&gt;&lt;/pub-dates&gt;&lt;/dates&gt;&lt;urls&gt;&lt;/urls&gt;&lt;remote-database-name&gt;FERC e-library&lt;/remote-database-name&gt;&lt;/record&gt;&lt;/Cite&gt;&lt;/EndNote&gt;</w:instrText>
      </w:r>
      <w:r w:rsidRPr="00FC3C61">
        <w:rPr>
          <w:rFonts w:cs="Times New Roman"/>
          <w:sz w:val="22"/>
          <w:szCs w:val="22"/>
        </w:rPr>
        <w:fldChar w:fldCharType="separate"/>
      </w:r>
      <w:r w:rsidRPr="00FC3C61">
        <w:rPr>
          <w:rFonts w:cs="Times New Roman"/>
          <w:noProof/>
          <w:sz w:val="22"/>
          <w:szCs w:val="22"/>
        </w:rPr>
        <w:t>Christian Yoder and Stephen Hall, Memorandum to Richard Sanders re "Trading Strategies in the California Wholesale Power Markets/ISO Sanctions", 6</w:t>
      </w:r>
      <w:r w:rsidRPr="001F7A46">
        <w:rPr>
          <w:rFonts w:cs="Times New Roman"/>
          <w:noProof/>
          <w:sz w:val="22"/>
          <w:szCs w:val="22"/>
          <w:vertAlign w:val="superscript"/>
        </w:rPr>
        <w:t>th</w:t>
      </w:r>
      <w:r w:rsidRPr="00FC3C61">
        <w:rPr>
          <w:rFonts w:cs="Times New Roman"/>
          <w:noProof/>
          <w:sz w:val="22"/>
          <w:szCs w:val="22"/>
        </w:rPr>
        <w:t xml:space="preserve"> December 2000, EL03-180, SNO-20, FERC</w:t>
      </w:r>
      <w:r w:rsidRPr="00FC3C61">
        <w:rPr>
          <w:rFonts w:cs="Times New Roman"/>
          <w:sz w:val="22"/>
          <w:szCs w:val="22"/>
        </w:rPr>
        <w:fldChar w:fldCharType="end"/>
      </w:r>
      <w:r w:rsidRPr="00FC3C61">
        <w:rPr>
          <w:rFonts w:cs="Times New Roman"/>
          <w:sz w:val="22"/>
          <w:szCs w:val="22"/>
        </w:rPr>
        <w:t xml:space="preserve">; </w:t>
      </w:r>
      <w:r w:rsidRPr="00FC3C61">
        <w:rPr>
          <w:rFonts w:cs="Times New Roman"/>
          <w:sz w:val="22"/>
          <w:szCs w:val="22"/>
        </w:rPr>
        <w:fldChar w:fldCharType="begin" w:fldLock="1"/>
      </w:r>
      <w:r w:rsidR="00B871ED" w:rsidRPr="00FC3C61">
        <w:rPr>
          <w:rFonts w:cs="Times New Roman"/>
          <w:sz w:val="22"/>
          <w:szCs w:val="22"/>
        </w:rPr>
        <w:instrText>ADDIN CSL_CITATION {"citationItems":[{"id":"ITEM-1","itemData":{"ISBN":"1848449453","author":[{"dropping-particle":"","family":"Bruijne","given":"Mark","non-dropping-particle":"de","parse-names":false,"suffix":""}],"container-title":"Strategic behaviour in network industries: a multidisciplinary approach","editor":[{"dropping-particle":"","family":"Heuvelhof","given":"Ernst","non-dropping-particle":"ten","parse-names":false,"suffix":""},{"dropping-particle":"","family":"Jong","given":"Martin","non-dropping-particle":"de","parse-names":false,"suffix":""},{"dropping-particle":"","family":"Kars","given":"Mirjam","non-dropping-particle":"","parse-names":false,"suffix":""},{"dropping-particle":"","family":"Stout","given":"Helen","non-dropping-particle":"","parse-names":false,"suffix":""}],"id":"ITEM-1","issued":{"date-parts":[["2009"]]},"publisher":"Edward Elgar Publishing","publisher-place":"Cheltenham, UK","title":"Enron","type":"chapter"},"uris":["http://www.mendeley.com/documents/?uuid=3ff6ce30-ad87-4079-86ee-f2e51bb777fc"]}],"mendeley":{"formattedCitation":"de Bruijne, “Enron.”","manualFormatting":"Mark de Bruijne, “Enron,” in Strategic Behaviour in Network Industries: A Multidisciplinary Approach, ed. Ernst ten Heuvelhof et al. (Cheltenham, 2009).","plainTextFormattedCitation":"de Bruijne, “Enron.”","previouslyFormattedCitation":"de Bruijne, “Enron.”"},"properties":{"noteIndex":0},"schema":"https://github.com/citation-style-language/schema/raw/master/csl-citation.json"}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de Bruijne, “Enron”</w:t>
      </w:r>
      <w:r w:rsidRPr="00FC3C61">
        <w:rPr>
          <w:rFonts w:cs="Times New Roman"/>
          <w:sz w:val="22"/>
          <w:szCs w:val="22"/>
        </w:rPr>
        <w:fldChar w:fldCharType="end"/>
      </w:r>
    </w:p>
  </w:endnote>
  <w:endnote w:id="103">
    <w:p w14:paraId="1806CEB5" w14:textId="587D1A9C"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r>
      <w:r w:rsidRPr="00FC3C61">
        <w:rPr>
          <w:rFonts w:cs="Times New Roman"/>
          <w:sz w:val="22"/>
          <w:szCs w:val="22"/>
        </w:rPr>
        <w:instrText xml:space="preserve"> ADDIN EN.CITE &lt;EndNote&gt;&lt;Cite&gt;&lt;Author&gt;McKinney&lt;/Author&gt;&lt;Year&gt;1999&lt;/Year&gt;&lt;RecNum&gt;1206&lt;/RecNum&gt;&lt;DisplayText&gt;Scott McKinney, Personal review document &amp;quot;Accomplishments 1999&amp;quot; and &amp;quot;Goals for Y2K&amp;quot;, 1999, SNO-797, FERC e-library.&lt;/DisplayText&gt;&lt;record&gt;&lt;rec-number&gt;1206&lt;/rec-number&gt;&lt;foreign-keys&gt;&lt;key app="EN" db-id="0varzz2d1f5azce225tvef57r0wdptzrvfwt" timestamp="1533565825"&gt;1206&lt;/key&gt;&lt;/foreign-keys&gt;&lt;ref-type name="Personal Communication"&gt;26&lt;/ref-type&gt;&lt;contributors&gt;&lt;authors&gt;&lt;author&gt;McKinney, Scott&lt;/author&gt;&lt;/authors&gt;&lt;/contributors&gt;&lt;titles&gt;&lt;/titles&gt;&lt;number&gt;SNO-797&lt;/number&gt;&lt;edition&gt;Personal review document &amp;quot;Accomplishments 1999&amp;quot; and &amp;quot;Goals for Y2K&amp;quot;&lt;/edition&gt;&lt;dates&gt;&lt;year&gt;1999&lt;/year&gt;&lt;/dates&gt;&lt;urls&gt;&lt;/urls&gt;&lt;remote-database-name&gt;FERC e-library&lt;/remote-database-name&gt;&lt;/record&gt;&lt;/Cite&gt;&lt;/EndNote&gt;</w:instrText>
      </w:r>
      <w:r w:rsidRPr="00FC3C61">
        <w:rPr>
          <w:rFonts w:cs="Times New Roman"/>
          <w:sz w:val="22"/>
          <w:szCs w:val="22"/>
        </w:rPr>
        <w:fldChar w:fldCharType="separate"/>
      </w:r>
      <w:r w:rsidRPr="00FC3C61">
        <w:rPr>
          <w:rFonts w:cs="Times New Roman"/>
          <w:noProof/>
          <w:sz w:val="22"/>
          <w:szCs w:val="22"/>
        </w:rPr>
        <w:t>Scott McKinney, Personal review document "Accomplishments 1999" and "Goals for Y2K", 1999, EL03-180, SNO-797, FERC.</w:t>
      </w:r>
      <w:r w:rsidRPr="00FC3C61">
        <w:rPr>
          <w:rFonts w:cs="Times New Roman"/>
          <w:sz w:val="22"/>
          <w:szCs w:val="22"/>
        </w:rPr>
        <w:fldChar w:fldCharType="end"/>
      </w:r>
    </w:p>
  </w:endnote>
  <w:endnote w:id="104">
    <w:p w14:paraId="747608CC" w14:textId="60E45AA5"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9572C0" w:rsidRPr="00FC3C61">
        <w:rPr>
          <w:rFonts w:cs="Times New Roman"/>
          <w:sz w:val="22"/>
          <w:szCs w:val="22"/>
        </w:rPr>
        <w:t xml:space="preserve"> </w:t>
      </w:r>
      <w:r w:rsidR="009572C0" w:rsidRPr="00FC3C61">
        <w:rPr>
          <w:rFonts w:cs="Times New Roman"/>
          <w:sz w:val="22"/>
          <w:szCs w:val="22"/>
        </w:rPr>
        <w:fldChar w:fldCharType="begin" w:fldLock="1"/>
      </w:r>
      <w:r w:rsidR="00BB7BEA" w:rsidRPr="00FC3C61">
        <w:rPr>
          <w:rFonts w:cs="Times New Roman"/>
          <w:sz w:val="22"/>
          <w:szCs w:val="22"/>
        </w:rPr>
        <w:instrText>ADDIN CSL_CITATION {"citationItems":[{"id":"ITEM-1","itemData":{"author":[{"dropping-particle":"","family":"FERC","given":"","non-dropping-particle":"","parse-names":false,"suffix":""}],"collection-title":"103 FERC ¶ 61,345","id":"ITEM-1","issued":{"date-parts":[["2003"]]},"title":"Order to show cause concerning gaming and/or anomalous market behavior","type":"report"},"uris":["http://www.mendeley.com/documents/?uuid=7346a87d-d695-48db-af71-47c8a0f7a908"]}],"mendeley":{"formattedCitation":"FERC, “Order to Show Cause Concerning Gaming and/or Anomalous Market Behavior.”","plainTextFormattedCitation":"FERC, “Order to Show Cause Concerning Gaming and/or Anomalous Market Behavior.”","previouslyFormattedCitation":"FERC, “Order to Show Cause Concerning Gaming and/or Anomalous Market Behavior.”"},"properties":{"noteIndex":0},"schema":"https://github.com/citation-style-language/schema/raw/master/csl-citation.json"}</w:instrText>
      </w:r>
      <w:r w:rsidR="009572C0" w:rsidRPr="00FC3C61">
        <w:rPr>
          <w:rFonts w:cs="Times New Roman"/>
          <w:sz w:val="22"/>
          <w:szCs w:val="22"/>
        </w:rPr>
        <w:fldChar w:fldCharType="separate"/>
      </w:r>
      <w:r w:rsidR="009572C0" w:rsidRPr="00FC3C61">
        <w:rPr>
          <w:rFonts w:cs="Times New Roman"/>
          <w:noProof/>
          <w:sz w:val="22"/>
          <w:szCs w:val="22"/>
        </w:rPr>
        <w:t>FERC, “Order to Show Cause Concerning Gaming and/or Anomalous Market Behavior.”</w:t>
      </w:r>
      <w:r w:rsidR="009572C0" w:rsidRPr="00FC3C61">
        <w:rPr>
          <w:rFonts w:cs="Times New Roman"/>
          <w:sz w:val="22"/>
          <w:szCs w:val="22"/>
        </w:rPr>
        <w:fldChar w:fldCharType="end"/>
      </w:r>
    </w:p>
  </w:endnote>
  <w:endnote w:id="105">
    <w:p w14:paraId="1B8E07FE" w14:textId="613F1CB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0F6D44" w:rsidRPr="00FC3C61">
        <w:rPr>
          <w:rFonts w:cs="Times New Roman"/>
          <w:sz w:val="22"/>
          <w:szCs w:val="22"/>
        </w:rPr>
        <w:fldChar w:fldCharType="begin" w:fldLock="1"/>
      </w:r>
      <w:r w:rsidR="00D27F99" w:rsidRPr="00FC3C61">
        <w:rPr>
          <w:rFonts w:cs="Times New Roman"/>
          <w:sz w:val="22"/>
          <w:szCs w:val="22"/>
        </w:rPr>
        <w:instrText>ADDIN CSL_CITATION {"citationItems":[{"id":"ITEM-1","itemData":{"author":[{"dropping-particle":"","family":"Pechman","given":"Carl","non-dropping-particle":"","parse-names":false,"suffix":""}],"collection-title":"EL03-180, SNO-160","id":"ITEM-1","issued":{"date-parts":[["2007"]]},"title":"Supplemental testimony of Carl Pechman, Ph.D. On behalf of Public Utility District no. 1 of Snohomish County, Washington","type":"report"},"uris":["http://www.mendeley.com/documents/?uuid=3a67a983-57a1-4a1f-b90c-35257bedd9aa"]}],"mendeley":{"formattedCitation":"Pechman, “Supplemental Testimony of Carl Pechman, Ph.D. On Behalf of Public Utility District No. 1 of Snohomish County, Washington,” 2007.","manualFormatting":"Pechman, “Supplemental Testimony of Carl Pechman, Ph.D. On Behalf of Public Utility District No. 1 of Snohomish County, Washington,” EL03-180, SNO-247, 2007, 111.","plainTextFormattedCitation":"Pechman, “Supplemental Testimony of Carl Pechman, Ph.D. On Behalf of Public Utility District No. 1 of Snohomish County, Washington,” 2007.","previouslyFormattedCitation":"Pechman, “Supplemental Testimony of Carl Pechman, Ph.D. On Behalf of Public Utility District No. 1 of Snohomish County, Washington,” 2007."},"properties":{"noteIndex":0},"schema":"https://github.com/citation-style-language/schema/raw/master/csl-citation.json"}</w:instrText>
      </w:r>
      <w:r w:rsidR="000F6D44" w:rsidRPr="00FC3C61">
        <w:rPr>
          <w:rFonts w:cs="Times New Roman"/>
          <w:sz w:val="22"/>
          <w:szCs w:val="22"/>
        </w:rPr>
        <w:fldChar w:fldCharType="separate"/>
      </w:r>
      <w:r w:rsidR="000F6D44" w:rsidRPr="00FC3C61">
        <w:rPr>
          <w:rFonts w:cs="Times New Roman"/>
          <w:noProof/>
          <w:sz w:val="22"/>
          <w:szCs w:val="22"/>
        </w:rPr>
        <w:t>Pechman, “Supplemental Testimony of Carl Pechman, Ph.D. On Behalf of Public Utility District No. 1 of Snohomish County, Washington,” EL03-180, SNO-247, 2007, 111.</w:t>
      </w:r>
      <w:r w:rsidR="000F6D44" w:rsidRPr="00FC3C61">
        <w:rPr>
          <w:rFonts w:cs="Times New Roman"/>
          <w:sz w:val="22"/>
          <w:szCs w:val="22"/>
        </w:rPr>
        <w:fldChar w:fldCharType="end"/>
      </w:r>
      <w:r w:rsidR="000F6D44" w:rsidRPr="00FC3C61">
        <w:rPr>
          <w:rFonts w:cs="Times New Roman"/>
          <w:sz w:val="22"/>
          <w:szCs w:val="22"/>
        </w:rPr>
        <w:t xml:space="preserve"> </w:t>
      </w:r>
      <w:r w:rsidR="006A1565" w:rsidRPr="00FC3C61">
        <w:rPr>
          <w:rFonts w:cs="Times New Roman"/>
          <w:sz w:val="22"/>
          <w:szCs w:val="22"/>
        </w:rPr>
        <w:t>While nonetheless still a breach of market rule</w:t>
      </w:r>
      <w:r w:rsidR="00C0128C" w:rsidRPr="00FC3C61">
        <w:rPr>
          <w:rFonts w:cs="Times New Roman"/>
          <w:sz w:val="22"/>
          <w:szCs w:val="22"/>
        </w:rPr>
        <w:t>s</w:t>
      </w:r>
      <w:r w:rsidR="006A1565" w:rsidRPr="00FC3C61">
        <w:rPr>
          <w:rFonts w:cs="Times New Roman"/>
          <w:sz w:val="22"/>
          <w:szCs w:val="22"/>
        </w:rPr>
        <w:t>, t</w:t>
      </w:r>
      <w:r w:rsidR="00323F48" w:rsidRPr="00FC3C61">
        <w:rPr>
          <w:rFonts w:cs="Times New Roman"/>
          <w:sz w:val="22"/>
          <w:szCs w:val="22"/>
        </w:rPr>
        <w:t>here is an argument that this particular game was used</w:t>
      </w:r>
      <w:r w:rsidR="00974B0C" w:rsidRPr="00FC3C61">
        <w:rPr>
          <w:rFonts w:cs="Times New Roman"/>
          <w:sz w:val="22"/>
          <w:szCs w:val="22"/>
        </w:rPr>
        <w:t xml:space="preserve"> in part</w:t>
      </w:r>
      <w:r w:rsidR="00323F48" w:rsidRPr="00FC3C61">
        <w:rPr>
          <w:rFonts w:cs="Times New Roman"/>
          <w:sz w:val="22"/>
          <w:szCs w:val="22"/>
        </w:rPr>
        <w:t xml:space="preserve"> </w:t>
      </w:r>
      <w:r w:rsidR="00974B0C" w:rsidRPr="00FC3C61">
        <w:rPr>
          <w:rFonts w:cs="Times New Roman"/>
          <w:sz w:val="22"/>
          <w:szCs w:val="22"/>
        </w:rPr>
        <w:t>because utilities</w:t>
      </w:r>
      <w:r w:rsidR="00323F48" w:rsidRPr="00FC3C61">
        <w:rPr>
          <w:rFonts w:cs="Times New Roman"/>
          <w:sz w:val="22"/>
          <w:szCs w:val="22"/>
        </w:rPr>
        <w:t xml:space="preserve"> were under-scheduling their demand </w:t>
      </w:r>
      <w:r w:rsidR="00974B0C" w:rsidRPr="00FC3C61">
        <w:rPr>
          <w:rFonts w:cs="Times New Roman"/>
          <w:sz w:val="22"/>
          <w:szCs w:val="22"/>
        </w:rPr>
        <w:t xml:space="preserve">on the other side of the market, </w:t>
      </w:r>
      <w:r w:rsidR="00323F48" w:rsidRPr="00FC3C61">
        <w:rPr>
          <w:rFonts w:cs="Times New Roman"/>
          <w:sz w:val="22"/>
          <w:szCs w:val="22"/>
        </w:rPr>
        <w:t xml:space="preserve">in the hope of buying cheaper real-time electricity. See </w:t>
      </w:r>
      <w:r w:rsidR="00323F48" w:rsidRPr="00FC3C61">
        <w:rPr>
          <w:rFonts w:cs="Times New Roman"/>
          <w:sz w:val="22"/>
          <w:szCs w:val="22"/>
        </w:rPr>
        <w:fldChar w:fldCharType="begin" w:fldLock="1"/>
      </w:r>
      <w:r w:rsidR="000F6D44" w:rsidRPr="00FC3C61">
        <w:rPr>
          <w:rFonts w:cs="Times New Roman"/>
          <w:sz w:val="22"/>
          <w:szCs w:val="22"/>
        </w:rPr>
        <w:instrText>ADDIN CSL_CITATION {"citationItems":[{"id":"ITEM-1","itemData":{"ISBN":"1848449453","author":[{"dropping-particle":"","family":"Bruijne","given":"Mark","non-dropping-particle":"de","parse-names":false,"suffix":""}],"container-title":"Strategic behaviour in network industries: a multidisciplinary approach","editor":[{"dropping-particle":"","family":"Heuvelhof","given":"Ernst","non-dropping-particle":"ten","parse-names":false,"suffix":""},{"dropping-particle":"","family":"Jong","given":"Martin","non-dropping-particle":"de","parse-names":false,"suffix":""},{"dropping-particle":"","family":"Kars","given":"Mirjam","non-dropping-particle":"","parse-names":false,"suffix":""},{"dropping-particle":"","family":"Stout","given":"Helen","non-dropping-particle":"","parse-names":false,"suffix":""}],"id":"ITEM-1","issued":{"date-parts":[["2009"]]},"publisher":"Edward Elgar Publishing","publisher-place":"Cheltenham, UK","title":"Enron","type":"chapter"},"locator":"88-89","uris":["http://www.mendeley.com/documents/?uuid=3ff6ce30-ad87-4079-86ee-f2e51bb777fc"]}],"mendeley":{"formattedCitation":"de Bruijne, “Enron,” 88–89.","plainTextFormattedCitation":"de Bruijne, “Enron,” 88–89.","previouslyFormattedCitation":"de Bruijne, “Enron,” 88–89."},"properties":{"noteIndex":0},"schema":"https://github.com/citation-style-language/schema/raw/master/csl-citation.json"}</w:instrText>
      </w:r>
      <w:r w:rsidR="00323F48" w:rsidRPr="00FC3C61">
        <w:rPr>
          <w:rFonts w:cs="Times New Roman"/>
          <w:sz w:val="22"/>
          <w:szCs w:val="22"/>
        </w:rPr>
        <w:fldChar w:fldCharType="separate"/>
      </w:r>
      <w:r w:rsidR="00323F48" w:rsidRPr="00FC3C61">
        <w:rPr>
          <w:rFonts w:cs="Times New Roman"/>
          <w:noProof/>
          <w:sz w:val="22"/>
          <w:szCs w:val="22"/>
        </w:rPr>
        <w:t>de Bruijne, “Enron,” 88–89.</w:t>
      </w:r>
      <w:r w:rsidR="00323F48" w:rsidRPr="00FC3C61">
        <w:rPr>
          <w:rFonts w:cs="Times New Roman"/>
          <w:sz w:val="22"/>
          <w:szCs w:val="22"/>
        </w:rPr>
        <w:fldChar w:fldCharType="end"/>
      </w:r>
    </w:p>
  </w:endnote>
  <w:endnote w:id="106">
    <w:p w14:paraId="542D8027" w14:textId="3376494E" w:rsidR="00CE1F11" w:rsidRPr="00FC3C61" w:rsidRDefault="00CE1F11">
      <w:pPr>
        <w:pStyle w:val="EndnoteText"/>
        <w:rPr>
          <w:rFonts w:cs="Times New Roman"/>
          <w:sz w:val="22"/>
          <w:szCs w:val="22"/>
        </w:rPr>
      </w:pPr>
      <w:r w:rsidRPr="00FC3C61">
        <w:rPr>
          <w:rStyle w:val="EndnoteReference"/>
          <w:rFonts w:cs="Times New Roman"/>
          <w:sz w:val="22"/>
          <w:szCs w:val="22"/>
        </w:rPr>
        <w:endnoteRef/>
      </w:r>
      <w:r w:rsidR="00323F48" w:rsidRPr="00FC3C61">
        <w:rPr>
          <w:rFonts w:cs="Times New Roman"/>
          <w:sz w:val="22"/>
          <w:szCs w:val="22"/>
        </w:rPr>
        <w:t xml:space="preserve"> </w:t>
      </w:r>
      <w:r w:rsidR="00E57A2B" w:rsidRPr="00FC3C61">
        <w:rPr>
          <w:rFonts w:cs="Times New Roman"/>
          <w:sz w:val="22"/>
          <w:szCs w:val="22"/>
        </w:rPr>
        <w:fldChar w:fldCharType="begin"/>
      </w:r>
      <w:r w:rsidR="00E57A2B" w:rsidRPr="00FC3C61">
        <w:rPr>
          <w:rFonts w:cs="Times New Roman"/>
          <w:sz w:val="22"/>
          <w:szCs w:val="22"/>
        </w:rPr>
        <w:instrText xml:space="preserve"> ADDIN EN.CITE &lt;EndNote&gt;&lt;Cite&gt;&lt;Author&gt;Cousholi&lt;/Author&gt;&lt;Year&gt;2001&lt;/Year&gt;&lt;RecNum&gt;1263&lt;/RecNum&gt;&lt;DisplayText&gt;Monika  Cousholi, Transcript of telephone conversation with Geir Solberg, 19th January 2001, EL03-180, SNO-477, FERC.&lt;/DisplayText&gt;&lt;record&gt;&lt;rec-number&gt;1263&lt;/rec-number&gt;&lt;foreign-keys&gt;&lt;key app="EN" db-id="0varzz2d1f5azce225tvef57r0wdptzrvfwt" timestamp="1534435705"&gt;1263&lt;/key&gt;&lt;/foreign-keys&gt;&lt;ref-type name="Personal Communication"&gt;26&lt;/ref-type&gt;&lt;contributors&gt;&lt;authors&gt;&lt;author&gt;Cousholi, Monika &lt;/author&gt;&lt;/authors&gt;&lt;secondary-authors&gt;&lt;author&gt;Solberg, Geir&lt;/author&gt;&lt;/secondary-authors&gt;&lt;/contributors&gt;&lt;titles&gt;&lt;/titles&gt;&lt;number&gt;EL03-180&lt;/number&gt;&lt;edition&gt;Transcript of telephone conversation with Geir Solberg&lt;/edition&gt;&lt;dates&gt;&lt;year&gt;2001&lt;/year&gt;&lt;pub-dates&gt;&lt;date&gt;19th January&lt;/date&gt;&lt;/pub-dates&gt;&lt;/dates&gt;&lt;accession-num&gt;SNO-477&lt;/accession-num&gt;&lt;urls&gt;&lt;/urls&gt;&lt;remote-database-name&gt;FERC&lt;/remote-database-name&gt;&lt;/record&gt;&lt;/Cite&gt;&lt;/EndNote&gt;</w:instrText>
      </w:r>
      <w:r w:rsidR="00E57A2B" w:rsidRPr="00FC3C61">
        <w:rPr>
          <w:rFonts w:cs="Times New Roman"/>
          <w:sz w:val="22"/>
          <w:szCs w:val="22"/>
        </w:rPr>
        <w:fldChar w:fldCharType="separate"/>
      </w:r>
      <w:r w:rsidR="00E57A2B" w:rsidRPr="00FC3C61">
        <w:rPr>
          <w:rFonts w:cs="Times New Roman"/>
          <w:noProof/>
          <w:sz w:val="22"/>
          <w:szCs w:val="22"/>
        </w:rPr>
        <w:t>Brian</w:t>
      </w:r>
      <w:r w:rsidR="003A1B34" w:rsidRPr="00FC3C61">
        <w:rPr>
          <w:rFonts w:cs="Times New Roman"/>
          <w:noProof/>
          <w:sz w:val="22"/>
          <w:szCs w:val="22"/>
        </w:rPr>
        <w:t xml:space="preserve"> (Enron)</w:t>
      </w:r>
      <w:r w:rsidR="00E57A2B" w:rsidRPr="00FC3C61">
        <w:rPr>
          <w:rFonts w:cs="Times New Roman"/>
          <w:noProof/>
          <w:sz w:val="22"/>
          <w:szCs w:val="22"/>
        </w:rPr>
        <w:t xml:space="preserve">, Transcript of telephone conversation with </w:t>
      </w:r>
      <w:r w:rsidR="00C0128C" w:rsidRPr="00FC3C61">
        <w:rPr>
          <w:rFonts w:cs="Times New Roman"/>
          <w:noProof/>
          <w:sz w:val="22"/>
          <w:szCs w:val="22"/>
        </w:rPr>
        <w:t>"</w:t>
      </w:r>
      <w:r w:rsidR="00E57A2B" w:rsidRPr="00FC3C61">
        <w:rPr>
          <w:rFonts w:cs="Times New Roman"/>
          <w:noProof/>
          <w:sz w:val="22"/>
          <w:szCs w:val="22"/>
        </w:rPr>
        <w:t>Steve</w:t>
      </w:r>
      <w:r w:rsidR="00C0128C" w:rsidRPr="00FC3C61">
        <w:rPr>
          <w:rFonts w:cs="Times New Roman"/>
          <w:noProof/>
          <w:sz w:val="22"/>
          <w:szCs w:val="22"/>
        </w:rPr>
        <w:t>"</w:t>
      </w:r>
      <w:r w:rsidR="00E57A2B" w:rsidRPr="00FC3C61">
        <w:rPr>
          <w:rFonts w:cs="Times New Roman"/>
          <w:noProof/>
          <w:sz w:val="22"/>
          <w:szCs w:val="22"/>
        </w:rPr>
        <w:t>, 4</w:t>
      </w:r>
      <w:r w:rsidR="00E57A2B" w:rsidRPr="001F7A46">
        <w:rPr>
          <w:rFonts w:cs="Times New Roman"/>
          <w:noProof/>
          <w:sz w:val="22"/>
          <w:szCs w:val="22"/>
          <w:vertAlign w:val="superscript"/>
        </w:rPr>
        <w:t>th</w:t>
      </w:r>
      <w:r w:rsidR="00E57A2B" w:rsidRPr="00FC3C61">
        <w:rPr>
          <w:rFonts w:cs="Times New Roman"/>
          <w:noProof/>
          <w:sz w:val="22"/>
          <w:szCs w:val="22"/>
        </w:rPr>
        <w:t xml:space="preserve"> August 200, EL03-180, SNO-165, FERC.</w:t>
      </w:r>
      <w:r w:rsidR="00E57A2B" w:rsidRPr="00FC3C61">
        <w:rPr>
          <w:rFonts w:cs="Times New Roman"/>
          <w:sz w:val="22"/>
          <w:szCs w:val="22"/>
        </w:rPr>
        <w:fldChar w:fldCharType="end"/>
      </w:r>
      <w:r w:rsidR="000F6D44" w:rsidRPr="00FC3C61">
        <w:rPr>
          <w:rFonts w:cs="Times New Roman"/>
          <w:sz w:val="22"/>
          <w:szCs w:val="22"/>
        </w:rPr>
        <w:t xml:space="preserve"> </w:t>
      </w:r>
      <w:r w:rsidR="000F6D44" w:rsidRPr="00FC3C61">
        <w:rPr>
          <w:rFonts w:cs="Times New Roman"/>
          <w:sz w:val="22"/>
          <w:szCs w:val="22"/>
        </w:rPr>
        <w:fldChar w:fldCharType="begin" w:fldLock="1"/>
      </w:r>
      <w:r w:rsidR="000F6D44" w:rsidRPr="00FC3C61">
        <w:rPr>
          <w:rFonts w:cs="Times New Roman"/>
          <w:sz w:val="22"/>
          <w:szCs w:val="22"/>
        </w:rPr>
        <w:instrText>ADDIN CSL_CITATION {"citationItems":[{"id":"ITEM-1","itemData":{"author":[{"dropping-particle":"","family":"Snohomish","given":"","non-dropping-particle":"","parse-names":false,"suffix":""}],"collection-title":"EL03-180","id":"ITEM-1","issued":{"date-parts":[["2007"]]},"title":"Initial brief of Public Utility District No. 1 of Snohomish County, Washington","type":"report"},"locator":"51-52","uris":["http://www.mendeley.com/documents/?uuid=55daac0b-3c81-4a99-baa1-c27c58053b70"]}],"mendeley":{"formattedCitation":"Snohomish, “Initial Brief of Public Utility District No. 1 of Snohomish County, Washington,” EL03-180, 2007, 51–52.","manualFormatting":"Snohomish, “Initial Brief of Public Utility District No. 1 of Snohomish County, Washington,” EL03-180, 2007, 35.","plainTextFormattedCitation":"Snohomish, “Initial Brief of Public Utility District No. 1 of Snohomish County, Washington,” EL03-180, 2007, 51–52.","previouslyFormattedCitation":"Snohomish, “Initial Brief of Public Utility District No. 1 of Snohomish County, Washington,” EL03-180, 2007, 51–52."},"properties":{"noteIndex":0},"schema":"https://github.com/citation-style-language/schema/raw/master/csl-citation.json"}</w:instrText>
      </w:r>
      <w:r w:rsidR="000F6D44" w:rsidRPr="00FC3C61">
        <w:rPr>
          <w:rFonts w:cs="Times New Roman"/>
          <w:sz w:val="22"/>
          <w:szCs w:val="22"/>
        </w:rPr>
        <w:fldChar w:fldCharType="separate"/>
      </w:r>
      <w:r w:rsidR="000F6D44" w:rsidRPr="00FC3C61">
        <w:rPr>
          <w:rFonts w:cs="Times New Roman"/>
          <w:noProof/>
          <w:sz w:val="22"/>
          <w:szCs w:val="22"/>
        </w:rPr>
        <w:t>Snohomish, “</w:t>
      </w:r>
      <w:r w:rsidR="000F6D44" w:rsidRPr="00FC3C61">
        <w:rPr>
          <w:rFonts w:cs="Times New Roman"/>
          <w:sz w:val="22"/>
          <w:szCs w:val="22"/>
        </w:rPr>
        <w:t>Initial</w:t>
      </w:r>
      <w:r w:rsidR="000F6D44" w:rsidRPr="00FC3C61">
        <w:rPr>
          <w:rFonts w:cs="Times New Roman"/>
          <w:noProof/>
          <w:sz w:val="22"/>
          <w:szCs w:val="22"/>
        </w:rPr>
        <w:t xml:space="preserve"> Brief of Public Utility District No. 1 of Snohomish County, Washington,” EL03-180, 2007, 35.</w:t>
      </w:r>
      <w:r w:rsidR="000F6D44" w:rsidRPr="00FC3C61">
        <w:rPr>
          <w:rFonts w:cs="Times New Roman"/>
          <w:sz w:val="22"/>
          <w:szCs w:val="22"/>
        </w:rPr>
        <w:fldChar w:fldCharType="end"/>
      </w:r>
    </w:p>
  </w:endnote>
  <w:endnote w:id="107">
    <w:p w14:paraId="133B535D" w14:textId="41FE946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{"citationItems":[{"id":"ITEM-1","itemData":{"author":[{"dropping-particle":"","family":"FERC","given":"","non-dropping-particle":"","parse-names":false,"suffix":""}],"collection-title":"103 FERC ¶ 61,345","id":"ITEM-1","issued":{"date-parts":[["2003"]]},"title":"Order to show cause concerning gaming and/or anomalous market behavior","type":"report"},"uris":["http://www.mendeley.com/documents/?uuid=7346a87d-d695-48db-af71-47c8a0f7a908"]}],"mendeley":{"formattedCitation":"FERC, “Order to Show Cause Concerning Gaming and/or Anomalous Market Behavior.”","manualFormatting":"FERC, “Order to Show Cause”","plainTextFormattedCitation":"FERC, “Order to Show Cause Concerning Gaming and/or Anomalous Market Behavior.”","previouslyFormattedCitation":"FERC, “Order to Show Cause Concerning Gaming and/or Anomalous Market Behavior.”"},"properties":{"noteIndex":0},"schema":"https://github.com/citation-style-language/schema/raw/master/csl-citation.json"}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“Order to Show Cause”</w:t>
      </w:r>
      <w:r w:rsidRPr="00FC3C61">
        <w:rPr>
          <w:rFonts w:cs="Times New Roman"/>
          <w:sz w:val="22"/>
          <w:szCs w:val="22"/>
        </w:rPr>
        <w:fldChar w:fldCharType="end"/>
      </w:r>
      <w:r w:rsidRPr="00FC3C61">
        <w:rPr>
          <w:rFonts w:cs="Times New Roman"/>
          <w:sz w:val="22"/>
          <w:szCs w:val="22"/>
        </w:rPr>
        <w:t xml:space="preserve"> </w:t>
      </w:r>
    </w:p>
  </w:endnote>
  <w:endnote w:id="108">
    <w:p w14:paraId="28EBB8F4" w14:textId="5D208F9E" w:rsidR="003006C2" w:rsidRPr="00FC3C61" w:rsidRDefault="003006C2">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CE1F11"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decision","type":"report"},"locator":"19","uris":["http://www.mendeley.com/documents/?uuid=a94a3908-3dd8-4017-adbe-2cbcc71b4d83"]}],"mendeley":{"formattedCitation":"FERC, “Initial Decision,” 19.","plainTextFormattedCitation":"FERC, “Initial Decision,” 19.","previouslyFormattedCitation":"FERC, “Initial Decision,” 19."},"properties":{"noteIndex":0},"schema":"https://github.com/citation-style-language/schema/raw/master/csl-citation.json"}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“Initial Decision,” 19.</w:t>
      </w:r>
      <w:r w:rsidRPr="00FC3C61">
        <w:rPr>
          <w:rFonts w:cs="Times New Roman"/>
          <w:sz w:val="22"/>
          <w:szCs w:val="22"/>
        </w:rPr>
        <w:fldChar w:fldCharType="end"/>
      </w:r>
    </w:p>
  </w:endnote>
  <w:endnote w:id="109">
    <w:p w14:paraId="4F19A2A9" w14:textId="4179F424" w:rsidR="0093268D" w:rsidRPr="00FC3C61" w:rsidRDefault="0093268D" w:rsidP="009C44F6">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t xml:space="preserve">See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author":[{"dropping-particle":"","family":"FERC","given":"","non-dropping-particle":"","parse-names":false,"suffix":""}],"editor":[{"dropping-particle":"","family":"Connors","given":"B","non-dropping-particle":"","parse-names":false,"suffix":""}],"id":"ITEM-1","issued":{"date-parts":[["2003"]]},"title":"Commission revokes Enron's Market-based Rate Authority, Blanket Gas Certificates terminated","type":"article"},"uris":["http://www.mendeley.com/documents/?uuid=1dd3996f-9a0b-4553-90d3-7701d72a5bef"]}],"mendeley":{"formattedCitation":"FERC, “Commission Revokes Enron’s Market-Based Rate Authority, Blanket Gas Certificates Terminated,” ed. B Connors, 2003.","plainTextFormattedCitation":"FERC, “Commission Revokes Enron’s Market-Based Rate Authority, Blanket Gas Certificates Terminated,” ed. B Connors, 2003.","previouslyFormattedCitation":"FERC, “Commission Revokes Enron’s Market-Based Rate Authority, Blanket Gas Certificates Terminated,” ed. B Connors, 2003."},"properties":{"noteIndex":0},"schema":"https://github.com/citation-style-language/schema/raw/master/csl-citation.json"}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FERC, “Commission Revokes Enron’s Market-Based Rate Authority, Blanket Gas Certificates Terminated,” ed. B Connors, 2003.</w:t>
      </w:r>
      <w:r w:rsidRPr="00FC3C61">
        <w:rPr>
          <w:rFonts w:cs="Times New Roman"/>
          <w:color w:val="000000" w:themeColor="text1"/>
          <w:sz w:val="22"/>
          <w:szCs w:val="22"/>
        </w:rPr>
        <w:fldChar w:fldCharType="end"/>
      </w:r>
      <w:r w:rsidRPr="00FC3C61">
        <w:rPr>
          <w:rFonts w:cs="Times New Roman"/>
          <w:color w:val="000000" w:themeColor="text1"/>
          <w:sz w:val="22"/>
          <w:szCs w:val="22"/>
        </w:rPr>
        <w:t xml:space="preserve"> In order to avoid issues of market power, Enron were required to disclose any relationships with other participants. This they did not do, violating their market-based rather authority as a result.</w:t>
      </w:r>
    </w:p>
  </w:endnote>
  <w:endnote w:id="110">
    <w:p w14:paraId="39F6C7D7" w14:textId="465B6FC4"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Stewart Rosman, Transcript of telephone conversation with </w:t>
      </w:r>
      <w:r w:rsidR="00E62DDF" w:rsidRPr="00FC3C61">
        <w:rPr>
          <w:rFonts w:cs="Times New Roman"/>
          <w:noProof/>
          <w:sz w:val="22"/>
          <w:szCs w:val="22"/>
        </w:rPr>
        <w:t>“</w:t>
      </w:r>
      <w:r w:rsidRPr="00FC3C61">
        <w:rPr>
          <w:rFonts w:cs="Times New Roman"/>
          <w:noProof/>
          <w:sz w:val="22"/>
          <w:szCs w:val="22"/>
        </w:rPr>
        <w:t>Theresa</w:t>
      </w:r>
      <w:r w:rsidR="00E62DDF" w:rsidRPr="00FC3C61">
        <w:rPr>
          <w:rFonts w:cs="Times New Roman"/>
          <w:noProof/>
          <w:sz w:val="22"/>
          <w:szCs w:val="22"/>
        </w:rPr>
        <w:t>”</w:t>
      </w:r>
      <w:r w:rsidRPr="00FC3C61">
        <w:rPr>
          <w:rFonts w:cs="Times New Roman"/>
          <w:noProof/>
          <w:sz w:val="22"/>
          <w:szCs w:val="22"/>
        </w:rPr>
        <w:t>, 19</w:t>
      </w:r>
      <w:r w:rsidRPr="001F7A46">
        <w:rPr>
          <w:rFonts w:cs="Times New Roman"/>
          <w:noProof/>
          <w:sz w:val="22"/>
          <w:szCs w:val="22"/>
          <w:vertAlign w:val="superscript"/>
        </w:rPr>
        <w:t>th</w:t>
      </w:r>
      <w:r w:rsidRPr="00FC3C61">
        <w:rPr>
          <w:rFonts w:cs="Times New Roman"/>
          <w:noProof/>
          <w:sz w:val="22"/>
          <w:szCs w:val="22"/>
        </w:rPr>
        <w:t xml:space="preserve"> December 2000, EL03-180, SNO-218, FERC.</w:t>
      </w:r>
    </w:p>
  </w:endnote>
  <w:endnote w:id="111">
    <w:p w14:paraId="4B5D62CA" w14:textId="5DCFB7C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 xml:space="preserve">John Forney, Email to Miller, Rosman, Wolfe and Foster re </w:t>
      </w:r>
      <w:r w:rsidR="00E62DDF" w:rsidRPr="00FC3C61">
        <w:rPr>
          <w:rFonts w:cs="Times New Roman"/>
          <w:noProof/>
          <w:sz w:val="22"/>
          <w:szCs w:val="22"/>
        </w:rPr>
        <w:t>“</w:t>
      </w:r>
      <w:r w:rsidRPr="00FC3C61">
        <w:rPr>
          <w:rFonts w:cs="Times New Roman"/>
          <w:noProof/>
          <w:sz w:val="22"/>
          <w:szCs w:val="22"/>
        </w:rPr>
        <w:t>Here</w:t>
      </w:r>
      <w:r w:rsidR="00E62DDF" w:rsidRPr="00FC3C61">
        <w:rPr>
          <w:rFonts w:cs="Times New Roman"/>
          <w:noProof/>
          <w:sz w:val="22"/>
          <w:szCs w:val="22"/>
        </w:rPr>
        <w:t>’</w:t>
      </w:r>
      <w:r w:rsidRPr="00FC3C61">
        <w:rPr>
          <w:rFonts w:cs="Times New Roman"/>
          <w:noProof/>
          <w:sz w:val="22"/>
          <w:szCs w:val="22"/>
        </w:rPr>
        <w:t>s some service for you!</w:t>
      </w:r>
      <w:r w:rsidR="00E62DDF" w:rsidRPr="00FC3C61">
        <w:rPr>
          <w:rFonts w:cs="Times New Roman"/>
          <w:noProof/>
          <w:sz w:val="22"/>
          <w:szCs w:val="22"/>
        </w:rPr>
        <w:t>”</w:t>
      </w:r>
      <w:r w:rsidRPr="00FC3C61">
        <w:rPr>
          <w:rFonts w:cs="Times New Roman"/>
          <w:noProof/>
          <w:sz w:val="22"/>
          <w:szCs w:val="22"/>
        </w:rPr>
        <w:t>, 4</w:t>
      </w:r>
      <w:r w:rsidRPr="001F7A46">
        <w:rPr>
          <w:rFonts w:cs="Times New Roman"/>
          <w:noProof/>
          <w:sz w:val="22"/>
          <w:szCs w:val="22"/>
          <w:vertAlign w:val="superscript"/>
        </w:rPr>
        <w:t>th</w:t>
      </w:r>
      <w:r w:rsidRPr="00FC3C61">
        <w:rPr>
          <w:rFonts w:cs="Times New Roman"/>
          <w:noProof/>
          <w:sz w:val="22"/>
          <w:szCs w:val="22"/>
        </w:rPr>
        <w:t xml:space="preserve"> February 2000, EL03-180, SNO-98, FERC.</w:t>
      </w:r>
    </w:p>
  </w:endnote>
  <w:endnote w:id="112">
    <w:p w14:paraId="4DF1FBF4" w14:textId="582E82DE" w:rsidR="00CA0144" w:rsidRPr="001F7A46" w:rsidRDefault="00CA0144">
      <w:pPr>
        <w:pStyle w:val="EndnoteText"/>
        <w:rPr>
          <w:rFonts w:cs="Times New Roman"/>
          <w:sz w:val="22"/>
          <w:szCs w:val="22"/>
        </w:rPr>
      </w:pPr>
      <w:r w:rsidRPr="001F7A46">
        <w:rPr>
          <w:rStyle w:val="EndnoteReference"/>
          <w:rFonts w:cs="Times New Roman"/>
          <w:sz w:val="22"/>
          <w:szCs w:val="22"/>
        </w:rPr>
        <w:endnoteRef/>
      </w:r>
      <w:r w:rsidRPr="001F7A46">
        <w:rPr>
          <w:rFonts w:cs="Times New Roman"/>
          <w:sz w:val="22"/>
          <w:szCs w:val="22"/>
        </w:rPr>
        <w:t xml:space="preserve"> </w:t>
      </w:r>
      <w:r w:rsidR="00BB7BEA" w:rsidRPr="001F7A46">
        <w:rPr>
          <w:rFonts w:cs="Times New Roman"/>
          <w:sz w:val="22"/>
          <w:szCs w:val="22"/>
        </w:rPr>
        <w:t>In 2002, the FERC initiated pr</w:t>
      </w:r>
      <w:r w:rsidR="006B11D0" w:rsidRPr="00FC3C61">
        <w:rPr>
          <w:rFonts w:cs="Times New Roman"/>
          <w:sz w:val="22"/>
          <w:szCs w:val="22"/>
        </w:rPr>
        <w:t>o</w:t>
      </w:r>
      <w:r w:rsidR="00BB7BEA" w:rsidRPr="001F7A46">
        <w:rPr>
          <w:rFonts w:cs="Times New Roman"/>
          <w:sz w:val="22"/>
          <w:szCs w:val="22"/>
        </w:rPr>
        <w:t>ceedings agains</w:t>
      </w:r>
      <w:r w:rsidR="00FF132C" w:rsidRPr="001F7A46">
        <w:rPr>
          <w:rFonts w:cs="Times New Roman"/>
          <w:sz w:val="22"/>
          <w:szCs w:val="22"/>
        </w:rPr>
        <w:t>t</w:t>
      </w:r>
      <w:r w:rsidR="00BB7BEA" w:rsidRPr="001F7A46">
        <w:rPr>
          <w:rFonts w:cs="Times New Roman"/>
          <w:sz w:val="22"/>
          <w:szCs w:val="22"/>
        </w:rPr>
        <w:t xml:space="preserve"> El Paso Electric for their part in Enron’s </w:t>
      </w:r>
      <w:r w:rsidR="006B11D0" w:rsidRPr="00FC3C61">
        <w:rPr>
          <w:rFonts w:cs="Times New Roman"/>
          <w:sz w:val="22"/>
          <w:szCs w:val="22"/>
        </w:rPr>
        <w:t>strategies</w:t>
      </w:r>
      <w:r w:rsidR="00BB7BEA" w:rsidRPr="001F7A46">
        <w:rPr>
          <w:rFonts w:cs="Times New Roman"/>
          <w:sz w:val="22"/>
          <w:szCs w:val="22"/>
        </w:rPr>
        <w:t xml:space="preserve">. A settlement was subsequently agreed in </w:t>
      </w:r>
      <w:r w:rsidR="00735225" w:rsidRPr="001F7A46">
        <w:rPr>
          <w:rFonts w:cs="Times New Roman"/>
          <w:sz w:val="22"/>
          <w:szCs w:val="22"/>
        </w:rPr>
        <w:t>July</w:t>
      </w:r>
      <w:r w:rsidR="00BB7BEA" w:rsidRPr="001F7A46">
        <w:rPr>
          <w:rFonts w:cs="Times New Roman"/>
          <w:sz w:val="22"/>
          <w:szCs w:val="22"/>
        </w:rPr>
        <w:t xml:space="preserve"> 2003. See </w:t>
      </w:r>
      <w:r w:rsidR="00735225" w:rsidRPr="001F7A46">
        <w:rPr>
          <w:rFonts w:cs="Times New Roman"/>
          <w:sz w:val="22"/>
          <w:szCs w:val="22"/>
        </w:rPr>
        <w:fldChar w:fldCharType="begin" w:fldLock="1"/>
      </w:r>
      <w:r w:rsidR="00A85563" w:rsidRPr="001F7A46">
        <w:rPr>
          <w:rFonts w:cs="Times New Roman"/>
          <w:sz w:val="22"/>
          <w:szCs w:val="22"/>
        </w:rPr>
        <w:instrText>ADDIN CSL_CITATION {"citationItems":[{"id":"ITEM-1","itemData":{"author":[{"dropping-particle":"","family":"FERC","given":"","non-dropping-particle":"","parse-names":false,"suffix":""}],"collection-title":"104 FERC ¶ 61,115","id":"ITEM-1","issued":{"date-parts":[["2003"]]},"title":"Certification Of Contested Settlement","type":"report"},"uris":["http://www.mendeley.com/documents/?uuid=79e490d0-4ab4-408f-abc1-3f097cf9a317"]}],"mendeley":{"formattedCitation":"FERC, “Certification Of Contested Settlement,” 104 FERC ¶ 61,115, 2003.","plainTextFormattedCitation":"FERC, “Certification Of Contested Settlement,” 104 FERC ¶ 61,115, 2003.","previouslyFormattedCitation":"FERC, “Certification Of Contested Settlement,” 104 FERC ¶ 61,115, 2003."},"properties":{"noteIndex":0},"schema":"https://github.com/citation-style-language/schema/raw/master/csl-citation.json"}</w:instrText>
      </w:r>
      <w:r w:rsidR="00735225" w:rsidRPr="001F7A46">
        <w:rPr>
          <w:rFonts w:cs="Times New Roman"/>
          <w:sz w:val="22"/>
          <w:szCs w:val="22"/>
        </w:rPr>
        <w:fldChar w:fldCharType="separate"/>
      </w:r>
      <w:r w:rsidR="00735225" w:rsidRPr="001F7A46">
        <w:rPr>
          <w:rFonts w:cs="Times New Roman"/>
          <w:noProof/>
          <w:sz w:val="22"/>
          <w:szCs w:val="22"/>
        </w:rPr>
        <w:t>FERC, “Certification Of Contested Settlement,” 104 FERC ¶ 61,115, 2003.</w:t>
      </w:r>
      <w:r w:rsidR="00735225" w:rsidRPr="001F7A46">
        <w:rPr>
          <w:rFonts w:cs="Times New Roman"/>
          <w:sz w:val="22"/>
          <w:szCs w:val="22"/>
        </w:rPr>
        <w:fldChar w:fldCharType="end"/>
      </w:r>
    </w:p>
  </w:endnote>
  <w:endnote w:id="113">
    <w:p w14:paraId="58A3B77F" w14:textId="7E7B3E0B"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{"citationItems":[{"id":"ITEM-1","itemData":{"author":[{"dropping-particle":"","family":"Snohomish","given":"","non-dropping-particle":"","parse-names":false,"suffix":""}],"collection-title":"EL03-180","id":"ITEM-1","issued":{"date-parts":[["2007"]]},"title":"Initial brief of Public Utility District No. 1 of Snohomish County, Washington","type":"report"},"uris":["http://www.mendeley.com/documents/?uuid=55daac0b-3c81-4a99-baa1-c27c58053b70"]}],"mendeley":{"formattedCitation":"Snohomish, “Initial Brief of Public Utility District No. 1 of Snohomish County, Washington.”","manualFormatting":"Snohomish, “Initial Brief”","plainTextFormattedCitation":"Snohomish, “Initial Brief of Public Utility District No. 1 of Snohomish County, Washington.”","previouslyFormattedCitation":"Snohomish, “Initial Brief of Public Utility District No. 1 of Snohomish County, Washington.”"},"properties":{"noteIndex":0},"schema":"https://github.com/citation-style-language/schema/raw/master/csl-citation.json"}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Snohomish, “Initial Brief”</w:t>
      </w:r>
      <w:r w:rsidRPr="00FC3C61">
        <w:rPr>
          <w:rFonts w:cs="Times New Roman"/>
          <w:sz w:val="22"/>
          <w:szCs w:val="22"/>
        </w:rPr>
        <w:fldChar w:fldCharType="end"/>
      </w:r>
      <w:r w:rsidRPr="00FC3C61">
        <w:rPr>
          <w:rFonts w:cs="Times New Roman"/>
          <w:sz w:val="22"/>
          <w:szCs w:val="22"/>
        </w:rPr>
        <w:t xml:space="preserve"> </w:t>
      </w:r>
    </w:p>
  </w:endnote>
  <w:endnote w:id="114">
    <w:p w14:paraId="2E033947" w14:textId="7CFE9172" w:rsidR="00794807" w:rsidRPr="001F7A46" w:rsidRDefault="00794807">
      <w:pPr>
        <w:pStyle w:val="EndnoteText"/>
        <w:rPr>
          <w:rFonts w:cs="Times New Roman"/>
          <w:sz w:val="22"/>
          <w:szCs w:val="22"/>
        </w:rPr>
      </w:pPr>
      <w:r w:rsidRPr="001F7A46">
        <w:rPr>
          <w:rStyle w:val="EndnoteReference"/>
          <w:rFonts w:cs="Times New Roman"/>
          <w:sz w:val="22"/>
          <w:szCs w:val="22"/>
        </w:rPr>
        <w:endnoteRef/>
      </w:r>
      <w:r w:rsidRPr="001F7A46">
        <w:rPr>
          <w:rFonts w:cs="Times New Roman"/>
          <w:sz w:val="22"/>
          <w:szCs w:val="22"/>
        </w:rPr>
        <w:t xml:space="preserve"> </w:t>
      </w:r>
      <w:r w:rsidR="00DE6021" w:rsidRPr="00FC3C61">
        <w:rPr>
          <w:rFonts w:cs="Times New Roman"/>
          <w:sz w:val="22"/>
          <w:szCs w:val="22"/>
        </w:rPr>
        <w:t>As</w:t>
      </w:r>
      <w:r w:rsidR="00E62DDF" w:rsidRPr="00FC3C61">
        <w:rPr>
          <w:rFonts w:cs="Times New Roman"/>
          <w:sz w:val="22"/>
          <w:szCs w:val="22"/>
        </w:rPr>
        <w:t xml:space="preserve"> a</w:t>
      </w:r>
      <w:r w:rsidR="00DE6021" w:rsidRPr="00FC3C61">
        <w:rPr>
          <w:rFonts w:cs="Times New Roman"/>
          <w:sz w:val="22"/>
          <w:szCs w:val="22"/>
        </w:rPr>
        <w:t xml:space="preserve"> legal matter, t</w:t>
      </w:r>
      <w:r w:rsidR="000E06A6" w:rsidRPr="00FC3C61">
        <w:rPr>
          <w:rFonts w:cs="Times New Roman"/>
          <w:sz w:val="22"/>
          <w:szCs w:val="22"/>
        </w:rPr>
        <w:t xml:space="preserve">he involvement of Enron’s partners was </w:t>
      </w:r>
      <w:r w:rsidR="00497809" w:rsidRPr="00FC3C61">
        <w:rPr>
          <w:rFonts w:cs="Times New Roman"/>
          <w:sz w:val="22"/>
          <w:szCs w:val="22"/>
        </w:rPr>
        <w:t xml:space="preserve">addressed in </w:t>
      </w:r>
      <w:r w:rsidR="000E06A6" w:rsidRPr="00FC3C61">
        <w:rPr>
          <w:rFonts w:cs="Times New Roman"/>
          <w:sz w:val="22"/>
          <w:szCs w:val="22"/>
        </w:rPr>
        <w:t>the ‘show cause’ orders issued by the FERC following the findings of its “Final Report”</w:t>
      </w:r>
      <w:r w:rsidRPr="001F7A46">
        <w:rPr>
          <w:rFonts w:cs="Times New Roman"/>
          <w:sz w:val="22"/>
          <w:szCs w:val="22"/>
        </w:rPr>
        <w:t xml:space="preserve"> </w:t>
      </w:r>
      <w:r w:rsidR="00DE6021" w:rsidRPr="00FC3C61">
        <w:rPr>
          <w:rFonts w:cs="Times New Roman"/>
          <w:sz w:val="22"/>
          <w:szCs w:val="22"/>
        </w:rPr>
        <w:t xml:space="preserve">in 2003 </w:t>
      </w:r>
      <w:r w:rsidRPr="001F7A46">
        <w:rPr>
          <w:rFonts w:cs="Times New Roman"/>
          <w:sz w:val="22"/>
          <w:szCs w:val="22"/>
        </w:rPr>
        <w:t>(See</w:t>
      </w:r>
      <w:r w:rsidRPr="00FC3C61">
        <w:rPr>
          <w:rFonts w:cs="Times New Roman"/>
          <w:sz w:val="22"/>
          <w:szCs w:val="22"/>
        </w:rPr>
        <w:t xml:space="preserve"> </w:t>
      </w:r>
      <w:r w:rsidR="00195C13" w:rsidRPr="00FC3C61">
        <w:rPr>
          <w:rFonts w:cs="Times New Roman"/>
          <w:sz w:val="22"/>
          <w:szCs w:val="22"/>
        </w:rPr>
        <w:t xml:space="preserve">ft </w:t>
      </w:r>
      <w:r w:rsidRPr="00FC3C61">
        <w:rPr>
          <w:rFonts w:cs="Times New Roman"/>
          <w:sz w:val="22"/>
          <w:szCs w:val="22"/>
        </w:rPr>
        <w:t>16)</w:t>
      </w:r>
      <w:r w:rsidR="00497809" w:rsidRPr="00FC3C61">
        <w:rPr>
          <w:rFonts w:cs="Times New Roman"/>
          <w:sz w:val="22"/>
          <w:szCs w:val="22"/>
        </w:rPr>
        <w:t xml:space="preserve">. While </w:t>
      </w:r>
      <w:r w:rsidR="00DE6021" w:rsidRPr="00FC3C61">
        <w:rPr>
          <w:rFonts w:cs="Times New Roman"/>
          <w:sz w:val="22"/>
          <w:szCs w:val="22"/>
        </w:rPr>
        <w:t>subsequent</w:t>
      </w:r>
      <w:r w:rsidR="00497809" w:rsidRPr="00FC3C61">
        <w:rPr>
          <w:rFonts w:cs="Times New Roman"/>
          <w:sz w:val="22"/>
          <w:szCs w:val="22"/>
        </w:rPr>
        <w:t xml:space="preserve"> </w:t>
      </w:r>
      <w:r w:rsidR="00DE6021" w:rsidRPr="00FC3C61">
        <w:rPr>
          <w:rFonts w:cs="Times New Roman"/>
          <w:sz w:val="22"/>
          <w:szCs w:val="22"/>
        </w:rPr>
        <w:t xml:space="preserve">trial evidence </w:t>
      </w:r>
      <w:r w:rsidR="00497809" w:rsidRPr="00FC3C61">
        <w:rPr>
          <w:rFonts w:cs="Times New Roman"/>
          <w:sz w:val="22"/>
          <w:szCs w:val="22"/>
        </w:rPr>
        <w:t>significantly extended insight into its partnership arrangement</w:t>
      </w:r>
      <w:r w:rsidR="00DE6021" w:rsidRPr="00FC3C61">
        <w:rPr>
          <w:rFonts w:cs="Times New Roman"/>
          <w:sz w:val="22"/>
          <w:szCs w:val="22"/>
        </w:rPr>
        <w:t>s</w:t>
      </w:r>
      <w:r w:rsidR="00497809" w:rsidRPr="00FC3C61">
        <w:rPr>
          <w:rFonts w:cs="Times New Roman"/>
          <w:sz w:val="22"/>
          <w:szCs w:val="22"/>
        </w:rPr>
        <w:t xml:space="preserve">, </w:t>
      </w:r>
      <w:r w:rsidR="00DE6021" w:rsidRPr="00FC3C61">
        <w:rPr>
          <w:rFonts w:cs="Times New Roman"/>
          <w:sz w:val="22"/>
          <w:szCs w:val="22"/>
        </w:rPr>
        <w:t xml:space="preserve">the </w:t>
      </w:r>
      <w:r w:rsidR="00013C3D" w:rsidRPr="00FC3C61">
        <w:rPr>
          <w:rFonts w:cs="Times New Roman"/>
          <w:sz w:val="22"/>
          <w:szCs w:val="22"/>
        </w:rPr>
        <w:t xml:space="preserve">legal scope of these </w:t>
      </w:r>
      <w:r w:rsidR="00DE6021" w:rsidRPr="00FC3C61">
        <w:rPr>
          <w:rFonts w:cs="Times New Roman"/>
          <w:sz w:val="22"/>
          <w:szCs w:val="22"/>
        </w:rPr>
        <w:t>proceedings</w:t>
      </w:r>
      <w:r w:rsidR="00013C3D" w:rsidRPr="00FC3C61">
        <w:rPr>
          <w:rFonts w:cs="Times New Roman"/>
          <w:sz w:val="22"/>
          <w:szCs w:val="22"/>
        </w:rPr>
        <w:t xml:space="preserve"> </w:t>
      </w:r>
      <w:r w:rsidR="00DE6021" w:rsidRPr="00FC3C61">
        <w:rPr>
          <w:rFonts w:cs="Times New Roman"/>
          <w:sz w:val="22"/>
          <w:szCs w:val="22"/>
        </w:rPr>
        <w:t>w</w:t>
      </w:r>
      <w:r w:rsidR="00013C3D" w:rsidRPr="00FC3C61">
        <w:rPr>
          <w:rFonts w:cs="Times New Roman"/>
          <w:sz w:val="22"/>
          <w:szCs w:val="22"/>
        </w:rPr>
        <w:t>as</w:t>
      </w:r>
      <w:r w:rsidR="00DE6021" w:rsidRPr="00FC3C61">
        <w:rPr>
          <w:rFonts w:cs="Times New Roman"/>
          <w:sz w:val="22"/>
          <w:szCs w:val="22"/>
        </w:rPr>
        <w:t xml:space="preserve"> limited to Enron</w:t>
      </w:r>
      <w:r w:rsidR="00013C3D" w:rsidRPr="00FC3C61">
        <w:rPr>
          <w:rFonts w:cs="Times New Roman"/>
          <w:sz w:val="22"/>
          <w:szCs w:val="22"/>
        </w:rPr>
        <w:t xml:space="preserve">. See </w:t>
      </w:r>
      <w:r w:rsidR="00013C3D" w:rsidRPr="00FC3C61">
        <w:rPr>
          <w:rFonts w:cs="Times New Roman"/>
          <w:sz w:val="22"/>
          <w:szCs w:val="22"/>
        </w:rPr>
        <w:fldChar w:fldCharType="begin" w:fldLock="1"/>
      </w:r>
      <w:r w:rsidR="00013C3D"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decision","type":"report"},"locator":"4","uris":["http://www.mendeley.com/documents/?uuid=a94a3908-3dd8-4017-adbe-2cbcc71b4d83"]}],"mendeley":{"formattedCitation":"FERC, “Initial Decision,” 4.","plainTextFormattedCitation":"FERC, “Initial Decision,” 4.","previouslyFormattedCitation":"FERC, “Initial Decision,” 4."},"properties":{"noteIndex":0},"schema":"https://github.com/citation-style-language/schema/raw/master/csl-citation.json"}</w:instrText>
      </w:r>
      <w:r w:rsidR="00013C3D" w:rsidRPr="00FC3C61">
        <w:rPr>
          <w:rFonts w:cs="Times New Roman"/>
          <w:sz w:val="22"/>
          <w:szCs w:val="22"/>
        </w:rPr>
        <w:fldChar w:fldCharType="separate"/>
      </w:r>
      <w:r w:rsidR="00013C3D" w:rsidRPr="00FC3C61">
        <w:rPr>
          <w:rFonts w:cs="Times New Roman"/>
          <w:noProof/>
          <w:sz w:val="22"/>
          <w:szCs w:val="22"/>
        </w:rPr>
        <w:t>FERC, “Initial Decision,” 4.</w:t>
      </w:r>
      <w:r w:rsidR="00013C3D" w:rsidRPr="00FC3C61">
        <w:rPr>
          <w:rFonts w:cs="Times New Roman"/>
          <w:sz w:val="22"/>
          <w:szCs w:val="22"/>
        </w:rPr>
        <w:fldChar w:fldCharType="end"/>
      </w:r>
    </w:p>
  </w:endnote>
  <w:endnote w:id="115">
    <w:p w14:paraId="1BC3745B" w14:textId="6ECE720A"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Quoted in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{"citationItems":[{"id":"ITEM-1","itemData":{"author":[{"dropping-particle":"","family":"Sullivan","given":"Barry","non-dropping-particle":"","parse-names":false,"suffix":""}],"collection-title":"EL03-180, S-129","id":"ITEM-1","issued":{"date-parts":[["2005"]]},"title":"Prepared initial tape testimony of Barry E. Sullivan witness for the the Staff of the FERC","type":"report"},"locator":"12","uris":["http://www.mendeley.com/documents/?uuid=92988eff-ea96-440b-b8e0-67b0cd62336f"]}],"mendeley":{"formattedCitation":"Barry Sullivan, “Prepared Initial Tape Testimony of Barry E. Sullivan Witness for the the Staff of the FERC,” EL03-180, S-129, 2005, 12.","plainTextFormattedCitation":"Barry Sullivan, “Prepared Initial Tape Testimony of Barry E. Sullivan Witness for the the Staff of the FERC,” EL03-180, S-129, 2005, 12.","previouslyFormattedCitation":"Barry Sullivan, “Prepared Initial Tape Testimony of Barry E. Sullivan Witness for the the Staff of the FERC,” EL03-180, S-129, 2005, 12."},"properties":{"noteIndex":0},"schema":"https://github.com/citation-style-language/schema/raw/master/csl-citation.json"}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Barry Sullivan, “Prepared Initial Tape Testimony of Barry E. Sullivan Witness for the the Staff of the FERC,” EL03-180, S-129, 2005, 12.</w:t>
      </w:r>
      <w:r w:rsidRPr="00FC3C61">
        <w:rPr>
          <w:rFonts w:cs="Times New Roman"/>
          <w:sz w:val="22"/>
          <w:szCs w:val="22"/>
        </w:rPr>
        <w:fldChar w:fldCharType="end"/>
      </w:r>
      <w:r w:rsidRPr="00FC3C61">
        <w:rPr>
          <w:rFonts w:cs="Times New Roman"/>
          <w:sz w:val="22"/>
          <w:szCs w:val="22"/>
        </w:rPr>
        <w:t xml:space="preserve"> </w:t>
      </w:r>
      <w:r w:rsidRPr="00FC3C61">
        <w:rPr>
          <w:rFonts w:cs="Times New Roman"/>
          <w:color w:val="000000" w:themeColor="text1"/>
          <w:sz w:val="22"/>
          <w:szCs w:val="22"/>
        </w:rPr>
        <w:t>Though settling for the subtler ‘Debt Reduction’, Forney retained his preference for the Death Star, and it was this moniker that was ultimately adopted.</w:t>
      </w:r>
    </w:p>
  </w:endnote>
  <w:endnote w:id="116">
    <w:p w14:paraId="2A67CA6C" w14:textId="191BACC7"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Levine instigated codified terms for use among his contacts, providing both security and a level of excitement. </w:t>
      </w:r>
      <w:r w:rsidRPr="00FC3C61">
        <w:rPr>
          <w:rFonts w:cs="Times New Roman"/>
          <w:sz w:val="22"/>
          <w:szCs w:val="22"/>
        </w:rPr>
        <w:fldChar w:fldCharType="begin" w:fldLock="1"/>
      </w:r>
      <w:r w:rsidRPr="00FC3C61">
        <w:rPr>
          <w:rFonts w:cs="Times New Roman"/>
          <w:sz w:val="22"/>
          <w:szCs w:val="22"/>
        </w:rPr>
        <w:instrText>ADDIN CSL_CITATION {"citationItems":[{"id":"ITEM-1","itemData":{"ISBN":"067179227X","author":[{"dropping-particle":"","family":"Stewart","given":"James","non-dropping-particle":"","parse-names":false,"suffix":""}],"id":"ITEM-1","issued":{"date-parts":[["1992"]]},"publisher":"Simon and Schuster","title":"Den of thieves","type":"book"},"locator":"68","uris":["http://www.mendeley.com/documents/?uuid=3188bc1b-a53f-4fdd-9550-b1e62ce26f7b"]}],"mendeley":{"formattedCitation":"Stewart, &lt;i&gt;Den of Thieves&lt;/i&gt;, 68.","plainTextFormattedCitation":"Stewart, Den of Thieves, 68.","previouslyFormattedCitation":"Stewart, &lt;i&gt;Den of Thieves&lt;/i&gt;, 68."},"properties":{"noteIndex":0},"schema":"https://github.com/citation-style-language/schema/raw/master/csl-citation.json"}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Stewart, </w:t>
      </w:r>
      <w:r w:rsidRPr="00FC3C61">
        <w:rPr>
          <w:rFonts w:cs="Times New Roman"/>
          <w:i/>
          <w:noProof/>
          <w:sz w:val="22"/>
          <w:szCs w:val="22"/>
        </w:rPr>
        <w:t>Den of Thieves</w:t>
      </w:r>
      <w:r w:rsidRPr="00FC3C61">
        <w:rPr>
          <w:rFonts w:cs="Times New Roman"/>
          <w:noProof/>
          <w:sz w:val="22"/>
          <w:szCs w:val="22"/>
        </w:rPr>
        <w:t>, 68.</w:t>
      </w:r>
      <w:r w:rsidRPr="00FC3C61">
        <w:rPr>
          <w:rFonts w:cs="Times New Roman"/>
          <w:sz w:val="22"/>
          <w:szCs w:val="22"/>
        </w:rPr>
        <w:fldChar w:fldCharType="end"/>
      </w:r>
    </w:p>
  </w:endnote>
  <w:endnote w:id="117">
    <w:p w14:paraId="7E62A1E4" w14:textId="1B3D112A" w:rsidR="0093268D" w:rsidRPr="00FC3C61" w:rsidRDefault="0093268D" w:rsidP="009C44F6">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{"citationItems":[{"id":"ITEM-1","itemData":{"author":[{"dropping-particle":"","family":"Snohomish","given":"","non-dropping-particle":"","parse-names":false,"suffix":""}],"collection-title":"EL03-180","id":"ITEM-1","issued":{"date-parts":[["2007"]]},"title":"Initial brief of Public Utility District No. 1 of Snohomish County, Washington","type":"report"},"locator":"2","uris":["http://www.mendeley.com/documents/?uuid=55daac0b-3c81-4a99-baa1-c27c58053b70"]},{"id":"ITEM-2","itemData":{"author":[{"dropping-particle":"","family":"McCullough","given":"Robert","non-dropping-particle":"","parse-names":false,"suffix":""}],"collection-title":"EL03-180, SNO-58","id":"ITEM-2","issued":{"date-parts":[["2007"]]},"title":"Prepared Direct Testimony of Robert F. McCullough on behalf of Public Utility District No 1 of Snohomish County, Washington.","type":"report"},"locator":"35","uris":["http://www.mendeley.com/documents/?uuid=1634062f-c754-4d51-a6f2-f23f9a6ebca1"]}],"mendeley":{"formattedCitation":"Snohomish, “Initial Brief of Public Utility District No. 1 of Snohomish County, Washington,” 2; McCullough, “Prepared Direct Testimony of Robert F. McCullough on Behalf of Public Utility District No 1 of Snohomish County, Washington.,” 35.","manualFormatting":"Snohomish, “Initial Brief” 2; McCullough, “Direct Testimony” 35.","plainTextFormattedCitation":"Snohomish, “Initial Brief of Public Utility District No. 1 of Snohomish County, Washington,” 2; McCullough, “Prepared Direct Testimony of Robert F. McCullough on Behalf of Public Utility District No 1 of Snohomish County, Washington.,” 35.","previouslyFormattedCitation":"Snohomish, “Initial Brief of Public Utility District No. 1 of Snohomish County, Washington,” 2; McCullough, “Prepared Direct Testimony of Robert F. McCullough on Behalf of Public Utility District No 1 of Snohomish County, Washington.,” 35."},"properties":{"noteIndex":0},"schema":"https://github.com/citation-style-language/schema/raw/master/csl-citation.json"}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Snohomish, “Initial Brief” 2; McCullough, “Direct Testimony” 35.</w:t>
      </w:r>
      <w:r w:rsidRPr="00FC3C61">
        <w:rPr>
          <w:rFonts w:cs="Times New Roman"/>
          <w:sz w:val="22"/>
          <w:szCs w:val="22"/>
        </w:rPr>
        <w:fldChar w:fldCharType="end"/>
      </w:r>
      <w:r w:rsidRPr="00FC3C61">
        <w:rPr>
          <w:rFonts w:cs="Times New Roman"/>
          <w:sz w:val="22"/>
          <w:szCs w:val="22"/>
        </w:rPr>
        <w:t xml:space="preserve"> </w:t>
      </w:r>
    </w:p>
  </w:endnote>
  <w:endnote w:id="118">
    <w:p w14:paraId="04342D0E" w14:textId="11C42EED"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r>
      <w:r w:rsidRPr="00FC3C61">
        <w:rPr>
          <w:rFonts w:cs="Times New Roman"/>
          <w:sz w:val="22"/>
          <w:szCs w:val="22"/>
        </w:rPr>
        <w:instrText xml:space="preserve"> ADDIN EN.CITE &lt;EndNote&gt;&lt;Cite&gt;&lt;Author&gt;Enron&lt;/Author&gt;&lt;Year&gt;n.d.&lt;/Year&gt;&lt;RecNum&gt;1104&lt;/RecNum&gt;&lt;DisplayText&gt;Enron West Power Trading, &amp;quot;Service Handbook (Real Time),&amp;quot; n.d., EL03-180, SNO-46, FERC.&lt;/DisplayText&gt;&lt;record&gt;&lt;rec-number&gt;1104&lt;/rec-number&gt;&lt;foreign-keys&gt;&lt;key app="EN" db-id="0varzz2d1f5azce225tvef57r0wdptzrvfwt" timestamp="1517309229"&gt;1104&lt;/key&gt;&lt;/foreign-keys&gt;&lt;ref-type name="Manuscript"&gt;36&lt;/ref-type&gt;&lt;contributors&gt;&lt;authors&gt;&lt;author&gt;Enron West Power Trading&lt;/author&gt;&lt;/authors&gt;&lt;/contributors&gt;&lt;titles&gt;&lt;short-title&gt;Handbook&lt;/short-title&gt;&lt;/titles&gt;&lt;volume&gt;EL03-180&lt;/volume&gt;&lt;num-vols&gt;SNO-46&lt;/num-vols&gt;&lt;edition&gt;Service Handbook (Real Time)&lt;/edition&gt;&lt;dates&gt;&lt;year&gt;n.d.&lt;/year&gt;&lt;/dates&gt;&lt;publisher&gt;FERC&lt;/publisher&gt;&lt;urls&gt;&lt;/urls&gt;&lt;remote-database-name&gt;FERC e-library&lt;/remote-database-name&gt;&lt;/record&gt;&lt;/Cite&gt;&lt;/EndNote&gt;</w:instrText>
      </w:r>
      <w:r w:rsidRPr="00FC3C61">
        <w:rPr>
          <w:rFonts w:cs="Times New Roman"/>
          <w:sz w:val="22"/>
          <w:szCs w:val="22"/>
        </w:rPr>
        <w:fldChar w:fldCharType="separate"/>
      </w:r>
      <w:r w:rsidRPr="00FC3C61">
        <w:rPr>
          <w:rFonts w:cs="Times New Roman"/>
          <w:noProof/>
          <w:sz w:val="22"/>
          <w:szCs w:val="22"/>
        </w:rPr>
        <w:t>Enron West Power Trading, "Service Handbook (Real Time)," n.d., EL03-180, SNO-46, FERC.</w:t>
      </w:r>
      <w:r w:rsidRPr="00FC3C61">
        <w:rPr>
          <w:rFonts w:cs="Times New Roman"/>
          <w:sz w:val="22"/>
          <w:szCs w:val="22"/>
        </w:rPr>
        <w:fldChar w:fldCharType="end"/>
      </w:r>
    </w:p>
  </w:endnote>
  <w:endnote w:id="119">
    <w:p w14:paraId="60B11BBF" w14:textId="6CFD453B"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{"citationItems":[{"id":"ITEM-1","itemData":{"author":[{"dropping-particle":"","family":"FERC","given":"","non-dropping-particle":"","parse-names":false,"suffix":""}],"collection-title":"103 FERC ¶ 61,345","id":"ITEM-1","issued":{"date-parts":[["2003"]]},"title":"Order to show cause concerning gaming and/or anomalous market behavior","type":"report"},"locator":"21","uris":["http://www.mendeley.com/documents/?uuid=7346a87d-d695-48db-af71-47c8a0f7a908"]}],"mendeley":{"formattedCitation":"FERC, “Order to Show Cause Concerning Gaming and/or Anomalous Market Behavior,” 21.","manualFormatting":"FERC, “Order to Show Cause” 21.","plainTextFormattedCitation":"FERC, “Order to Show Cause Concerning Gaming and/or Anomalous Market Behavior,” 21.","previouslyFormattedCitation":"FERC, “Order to Show Cause Concerning Gaming and/or Anomalous Market Behavior,” 21."},"properties":{"noteIndex":0},"schema":"https://github.com/citation-style-language/schema/raw/master/csl-citation.json"}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“Order to Show Cause” 21.</w:t>
      </w:r>
      <w:r w:rsidRPr="00FC3C61">
        <w:rPr>
          <w:rFonts w:cs="Times New Roman"/>
          <w:sz w:val="22"/>
          <w:szCs w:val="22"/>
        </w:rPr>
        <w:fldChar w:fldCharType="end"/>
      </w:r>
      <w:r w:rsidRPr="00FC3C61">
        <w:rPr>
          <w:rFonts w:cs="Times New Roman"/>
          <w:sz w:val="22"/>
          <w:szCs w:val="22"/>
        </w:rPr>
        <w:t xml:space="preserve"> </w:t>
      </w:r>
    </w:p>
  </w:endnote>
  <w:endnote w:id="120">
    <w:p w14:paraId="7C859D6B" w14:textId="6461AA0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r>
      <w:r w:rsidRPr="00FC3C61">
        <w:rPr>
          <w:rFonts w:cs="Times New Roman"/>
          <w:sz w:val="22"/>
          <w:szCs w:val="22"/>
        </w:rPr>
        <w:instrText xml:space="preserve"> ADDIN EN.CITE &lt;EndNote&gt;&lt;Cite&gt;&lt;Author&gt;Enron&lt;/Author&gt;&lt;Year&gt;2000&lt;/Year&gt;&lt;RecNum&gt;1103&lt;/RecNum&gt;&lt;DisplayText&gt;Enron West Power Trading, &amp;quot;Agenda for Real Time Staff Meeting,&amp;quot; 7th March 2000, EL03-180, SNO-75, FERC.&lt;/DisplayText&gt;&lt;record&gt;&lt;rec-number&gt;1103&lt;/rec-number&gt;&lt;foreign-keys&gt;&lt;key app="EN" db-id="0varzz2d1f5azce225tvef57r0wdptzrvfwt" timestamp="1517307546"&gt;1103&lt;/key&gt;&lt;/foreign-keys&gt;&lt;ref-type name="Manuscript"&gt;36&lt;/ref-type&gt;&lt;contributors&gt;&lt;authors&gt;&lt;author&gt;Enron West Power Trading&lt;/author&gt;&lt;/authors&gt;&lt;/contributors&gt;&lt;titles&gt;&lt;/titles&gt;&lt;volume&gt;EL03-180&lt;/volume&gt;&lt;num-vols&gt;SNO-75&lt;/num-vols&gt;&lt;edition&gt;Agenda for Real Time Staff Meeting&lt;/edition&gt;&lt;dates&gt;&lt;year&gt;2000&lt;/year&gt;&lt;pub-dates&gt;&lt;date&gt;7th March&lt;/date&gt;&lt;/pub-dates&gt;&lt;/dates&gt;&lt;publisher&gt;FERC&lt;/publisher&gt;&lt;work-type&gt;Meeting Agenda&lt;/work-type&gt;&lt;urls&gt;&lt;/urls&gt;&lt;remote-database-name&gt;FERC e-library&lt;/remote-database-name&gt;&lt;/record&gt;&lt;/Cite&gt;&lt;/EndNote&gt;</w:instrText>
      </w:r>
      <w:r w:rsidRPr="00FC3C61">
        <w:rPr>
          <w:rFonts w:cs="Times New Roman"/>
          <w:sz w:val="22"/>
          <w:szCs w:val="22"/>
        </w:rPr>
        <w:fldChar w:fldCharType="separate"/>
      </w:r>
      <w:r w:rsidRPr="00FC3C61">
        <w:rPr>
          <w:rFonts w:cs="Times New Roman"/>
          <w:noProof/>
          <w:sz w:val="22"/>
          <w:szCs w:val="22"/>
        </w:rPr>
        <w:t>Enron West Power Trading, "Agenda for Real Time Staff Meeting," 7th March 2000, EL03-180, SNO-75, FERC.</w:t>
      </w:r>
      <w:r w:rsidRPr="00FC3C61">
        <w:rPr>
          <w:rFonts w:cs="Times New Roman"/>
          <w:sz w:val="22"/>
          <w:szCs w:val="22"/>
        </w:rPr>
        <w:fldChar w:fldCharType="end"/>
      </w:r>
    </w:p>
  </w:endnote>
  <w:endnote w:id="121">
    <w:p w14:paraId="249E6CDA" w14:textId="10C53EB9" w:rsidR="0093268D" w:rsidRPr="00FC3C61" w:rsidRDefault="0093268D" w:rsidP="00350E84">
      <w:pPr>
        <w:pStyle w:val="EndnoteText"/>
        <w:jc w:val="left"/>
        <w:rPr>
          <w:rFonts w:cs="Times New Roman"/>
          <w:color w:val="000000" w:themeColor="text1"/>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{"citationItems":[{"id":"ITEM-1","itemData":{"author":[{"dropping-particle":"","family":"FERC","given":"","non-dropping-particle":"","parse-names":false,"suffix":""}],"edition":"Chronology","id":"ITEM-1","issued":{"date-parts":[["2005"]]},"publisher":"FERC","title":"Chronology - The Western Energy Crisis, the Enron Bankruptcy","title-short":"Chronology","type":"article","volume":"Gaming Cas"},"uris":["http://www.mendeley.com/documents/?uuid=29ca0b7f-afa7-4f10-9518-f215a038cf82"]}],"mendeley":{"formattedCitation":"FERC, “Chronology - The Western Energy Crisis, the Enron Bankruptcy” (FERC, 2005).","plainTextFormattedCitation":"FERC, “Chronology - The Western Energy Crisis, the Enron Bankruptcy” (FERC, 2005).","previouslyFormattedCitation":"FERC, “Chronology - The Western Energy Crisis, the Enron Bankruptcy” (FERC, 2005)."},"properties":{"noteIndex":0},"schema":"https://github.com/citation-style-language/schema/raw/master/csl-citation.json"}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FERC, “Chronology - The Western Energy Crisis, the Enron Bankruptcy” (FERC, 2005).</w:t>
      </w:r>
      <w:r w:rsidRPr="00FC3C61">
        <w:rPr>
          <w:rFonts w:cs="Times New Roman"/>
          <w:color w:val="000000" w:themeColor="text1"/>
          <w:sz w:val="22"/>
          <w:szCs w:val="22"/>
        </w:rPr>
        <w:fldChar w:fldCharType="end"/>
      </w:r>
      <w:r w:rsidRPr="00FC3C61">
        <w:rPr>
          <w:rFonts w:cs="Times New Roman"/>
          <w:color w:val="000000" w:themeColor="text1"/>
          <w:sz w:val="22"/>
          <w:szCs w:val="22"/>
        </w:rPr>
        <w:t xml:space="preserve"> </w:t>
      </w:r>
    </w:p>
  </w:endnote>
  <w:endnote w:id="122">
    <w:p w14:paraId="6CC2B3FF" w14:textId="31A7B292" w:rsidR="0093268D" w:rsidRPr="00FC3C61" w:rsidRDefault="0093268D" w:rsidP="00350E84">
      <w:pPr>
        <w:pStyle w:val="EndnoteText"/>
        <w:jc w:val="left"/>
        <w:rPr>
          <w:rFonts w:cs="Times New Roman"/>
          <w:color w:val="000000" w:themeColor="text1"/>
          <w:sz w:val="22"/>
          <w:szCs w:val="22"/>
        </w:rPr>
      </w:pPr>
      <w:r w:rsidRPr="00FC3C61">
        <w:rPr>
          <w:rStyle w:val="EndnoteReference"/>
          <w:rFonts w:cs="Times New Roman"/>
          <w:color w:val="000000" w:themeColor="text1"/>
          <w:sz w:val="22"/>
          <w:szCs w:val="22"/>
        </w:rPr>
        <w:endnoteRef/>
      </w:r>
      <w:r w:rsidRPr="00FC3C61">
        <w:rPr>
          <w:rFonts w:cs="Times New Roman"/>
          <w:color w:val="000000" w:themeColor="text1"/>
          <w:sz w:val="22"/>
          <w:szCs w:val="22"/>
        </w:rPr>
        <w:t xml:space="preserv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{"citationItems":[{"id":"ITEM-1","itemData":{"abstract":"In attempting to uncover the roots of juvenile delinquency, the social scientist has long since ceased to search for devils in the mind or stigma of the body. It is now largely agreed that delinquent behavior, like most social behavior, is learned and that it is learned in the process of social interaction. The classic statement of this position is found in sociologist E.H. Sutherland's theory of differential association, which asserts that criminal or delinquent behavior involves the learning of (a) techniques of committing crimes and (b) motives, drives, rationalizations, and attitudes favorable to the violation of law. Unfortunately, the specific content of what is learned as opposed to the process by which it is learned has received relatively little attention in either theory or research. Perhaps the single strongest school of thought on the nature of this content has centered on the idea of a delinquent sub-culture. The basic characteristic of the delinquent sub-culture, it is argued, is a system of values that represents an inversion of the values held by respectable, law-abiding society.","author":[{"dropping-particle":"","family":"Sykes","given":"Gresham","non-dropping-particle":"","parse-names":false,"suffix":""},{"dropping-particle":"","family":"Matza","given":"David","non-dropping-particle":"","parse-names":false,"suffix":""}],"container-title":"American Sociological Review","id":"ITEM-1","issue":"6","issued":{"date-parts":[["1957"]]},"note":"Sykes, Gresham M. 1; Matza, David 2; Affiliations: 1 : Princeton University; 2 : Temple University; Source Info: Dec57, Vol. 22 Issue 6, p664; Thesaurus Term: Juvenile delinquency; Thesaurus Term: Neutralization theory; Thesaurus Term: Social sciences; Thesaurus Term: Social interaction; Thesaurus Term: Interpersonal relations; Thesaurus Term: Differential association theory; Number of Pages: 7p; Document Type: Article","page":"664-670","title":"Techniques of neutralization: A theory of delinquency","type":"article-journal","volume":"22"},"uris":["http://www.mendeley.com/documents/?uuid=d84298a4-991f-4586-831d-a07a2339086b"]},{"id":"ITEM-2","itemData":{"author":[{"dropping-particle":"","family":"Ariely","given":"Dan","non-dropping-particle":"","parse-names":false,"suffix":""}],"id":"ITEM-2","issued":{"date-parts":[["2012"]]},"note":"Includes bibliographical references and index.","publisher":"HarperCollins","publisher-place":"London","title":"The (honest) truth about dishonesty: How we lie to everyone, especially ourselves","type":"book"},"uris":["http://www.mendeley.com/documents/?uuid=4f0dcb38-1149-4bc3-9ddf-0c1f1b41bb47"]}],"mendeley":{"formattedCitation":"Sykes and Matza, “Techniques of Neutralization: A Theory of Delinquency”; Ariely, &lt;i&gt;The (Honest) Truth about Dishonesty: How We Lie to Everyone, Especially Ourselves&lt;/i&gt;.","manualFormatting":"Sykes and Matza, “Techniques of Neutralization”; Ariely, The (Honest) Truth about Dishonesty, 207-210.","plainTextFormattedCitation":"Sykes and Matza, “Techniques of Neutralization: A Theory of Delinquency”; Ariely, The (Honest) Truth about Dishonesty: How We Lie to Everyone, Especially Ourselves.","previouslyFormattedCitation":"Sykes and Matza, “Techniques of Neutralization: A Theory of Delinquency”; Ariely, &lt;i&gt;The (Honest) Truth about Dishonesty: How We Lie to Everyone, Especially Ourselves&lt;/i&gt;."},"properties":{"noteIndex":0},"schema":"https://github.com/citation-style-language/schema/raw/master/csl-citation.json"}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 xml:space="preserve">Sykes and Matza, “Techniques of Neutralization”; Ariely, </w:t>
      </w:r>
      <w:r w:rsidRPr="00FC3C61">
        <w:rPr>
          <w:rFonts w:cs="Times New Roman"/>
          <w:i/>
          <w:noProof/>
          <w:color w:val="000000" w:themeColor="text1"/>
          <w:sz w:val="22"/>
          <w:szCs w:val="22"/>
        </w:rPr>
        <w:t xml:space="preserve">The (Honest) Truth about Dishonesty, </w:t>
      </w:r>
      <w:r w:rsidRPr="00FC3C61">
        <w:rPr>
          <w:rFonts w:cs="Times New Roman"/>
          <w:iCs/>
          <w:noProof/>
          <w:color w:val="000000" w:themeColor="text1"/>
          <w:sz w:val="22"/>
          <w:szCs w:val="22"/>
        </w:rPr>
        <w:t>207-210.</w:t>
      </w:r>
      <w:r w:rsidRPr="00FC3C61">
        <w:rPr>
          <w:rFonts w:cs="Times New Roman"/>
          <w:color w:val="000000" w:themeColor="text1"/>
          <w:sz w:val="22"/>
          <w:szCs w:val="22"/>
        </w:rPr>
        <w:fldChar w:fldCharType="end"/>
      </w:r>
      <w:r w:rsidRPr="00FC3C61">
        <w:rPr>
          <w:rFonts w:cs="Times New Roman"/>
          <w:color w:val="000000" w:themeColor="text1"/>
          <w:sz w:val="22"/>
          <w:szCs w:val="22"/>
        </w:rPr>
        <w:t xml:space="preserv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{"citationItems":[{"id":"ITEM-1","itemData":{"author":[{"dropping-particle":"","family":"MacLean","given":"Tammy","non-dropping-particle":"","parse-names":false,"suffix":""}],"container-title":"Journal of business ethics","id":"ITEM-1","issue":"1-2","issued":{"date-parts":[["2008"]]},"language":"English","page":"3-16","publisher":"Springer Netherlands","title":"Framing and Organizational Misconduct: A Symbolic Interactionist Study","type":"article-journal","volume":"78"},"uris":["http://www.mendeley.com/documents/?uuid=aab90e26-5c3f-4f56-9c39-9c169c259649"]}],"mendeley":{"formattedCitation":"MacLean, “Framing and Organizational Misconduct: A Symbolic Interactionist Study.”","manualFormatting":"MacLean, “Framing and Organizational Misconduct.”","plainTextFormattedCitation":"MacLean, “Framing and Organizational Misconduct: A Symbolic Interactionist Study.”","previouslyFormattedCitation":"MacLean, “Framing and Organizational Misconduct: A Symbolic Interactionist Study.”"},"properties":{"noteIndex":0},"schema":"https://github.com/citation-style-language/schema/raw/master/csl-citation.json"}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MacLean, “Framing and Organizational Misconduct.”</w:t>
      </w:r>
      <w:r w:rsidRPr="00FC3C61">
        <w:rPr>
          <w:rFonts w:cs="Times New Roman"/>
          <w:color w:val="000000" w:themeColor="text1"/>
          <w:sz w:val="22"/>
          <w:szCs w:val="22"/>
        </w:rPr>
        <w:fldChar w:fldCharType="end"/>
      </w:r>
    </w:p>
  </w:endnote>
  <w:endnote w:id="123">
    <w:p w14:paraId="5C092B9D" w14:textId="04C9A00A" w:rsidR="0093268D" w:rsidRPr="00FC3C61" w:rsidRDefault="0093268D" w:rsidP="00350E84">
      <w:pPr>
        <w:pStyle w:val="Default"/>
        <w:rPr>
          <w:sz w:val="22"/>
          <w:szCs w:val="22"/>
        </w:rPr>
      </w:pPr>
      <w:r w:rsidRPr="00FC3C61">
        <w:rPr>
          <w:rStyle w:val="EndnoteReference"/>
          <w:color w:val="000000" w:themeColor="text1"/>
          <w:sz w:val="22"/>
          <w:szCs w:val="22"/>
        </w:rPr>
        <w:endnoteRef/>
      </w:r>
      <w:r w:rsidRPr="00FC3C61">
        <w:rPr>
          <w:color w:val="000000" w:themeColor="text1"/>
          <w:sz w:val="22"/>
          <w:szCs w:val="22"/>
        </w:rPr>
        <w:t xml:space="preserve"> </w:t>
      </w:r>
      <w:r w:rsidRPr="00FC3C61">
        <w:rPr>
          <w:color w:val="000000" w:themeColor="text1"/>
          <w:sz w:val="22"/>
          <w:szCs w:val="22"/>
        </w:rPr>
        <w:fldChar w:fldCharType="begin"/>
      </w:r>
      <w:r w:rsidRPr="00FC3C61">
        <w:rPr>
          <w:color w:val="000000" w:themeColor="text1"/>
          <w:sz w:val="22"/>
          <w:szCs w:val="22"/>
        </w:rPr>
        <w:instrText xml:space="preserve"> ADDIN EN.CITE &lt;EndNote&gt;&lt;Cite&gt;&lt;Author&gt;Belden&lt;/Author&gt;&lt;Year&gt;2000&lt;/Year&gt;&lt;RecNum&gt;1509&lt;/RecNum&gt;&lt;Pages&gt;2&lt;/Pages&gt;&lt;DisplayText&gt;Belden.&lt;/DisplayText&gt;&lt;record&gt;&lt;rec-number&gt;1509&lt;/rec-number&gt;&lt;foreign-keys&gt;&lt;key app="EN" db-id="0varzz2d1f5azce225tvef57r0wdptzrvfwt" timestamp="1568363973"&gt;1509&lt;/key&gt;&lt;/foreign-keys&gt;&lt;ref-type name="Personal Communication"&gt;26&lt;/ref-type&gt;&lt;contributors&gt;&lt;authors&gt;&lt;author&gt;Belden, Tim&lt;/author&gt;&lt;/authors&gt;&lt;/contributors&gt;&lt;titles&gt;&lt;title&gt;Transcript of telephone conversation with John Lavorato&lt;/title&gt;&lt;/titles&gt;&lt;number&gt;EL03-180&lt;/number&gt;&lt;edition&gt;Transcript of telephone conversation with John Lavorato&lt;/edition&gt;&lt;dates&gt;&lt;year&gt;2000&lt;/year&gt;&lt;pub-dates&gt;&lt;date&gt;4th August&lt;/date&gt;&lt;/pub-dates&gt;&lt;/dates&gt;&lt;accession-num&gt;SNO-221&lt;/accession-num&gt;&lt;urls&gt;&lt;/urls&gt;&lt;remote-database-name&gt;FERC&lt;/remote-database-name&gt;&lt;/record&gt;&lt;/Cite&gt;&lt;/EndNote&gt;</w:instrText>
      </w:r>
      <w:r w:rsidRPr="00FC3C61">
        <w:rPr>
          <w:color w:val="000000" w:themeColor="text1"/>
          <w:sz w:val="22"/>
          <w:szCs w:val="22"/>
        </w:rPr>
        <w:fldChar w:fldCharType="separate"/>
      </w:r>
      <w:r w:rsidRPr="00FC3C61">
        <w:rPr>
          <w:noProof/>
          <w:color w:val="000000" w:themeColor="text1"/>
          <w:sz w:val="22"/>
          <w:szCs w:val="22"/>
        </w:rPr>
        <w:t>Belden, with Lavorato, 2.</w:t>
      </w:r>
      <w:r w:rsidRPr="00FC3C61">
        <w:rPr>
          <w:color w:val="000000" w:themeColor="text1"/>
          <w:sz w:val="22"/>
          <w:szCs w:val="22"/>
        </w:rPr>
        <w:fldChar w:fldCharType="end"/>
      </w:r>
      <w:r w:rsidRPr="00FC3C61">
        <w:rPr>
          <w:color w:val="000000" w:themeColor="text1"/>
          <w:sz w:val="22"/>
          <w:szCs w:val="22"/>
        </w:rPr>
        <w:t xml:space="preserve"> </w:t>
      </w:r>
      <w:r w:rsidR="003A1B34" w:rsidRPr="00FC3C61">
        <w:rPr>
          <w:color w:val="000000" w:themeColor="text1"/>
          <w:sz w:val="22"/>
          <w:szCs w:val="22"/>
        </w:rPr>
        <w:t xml:space="preserve">Expletives in original. </w:t>
      </w:r>
    </w:p>
  </w:endnote>
  <w:endnote w:id="124">
    <w:p w14:paraId="04801E73" w14:textId="603D17E9"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F57831" w:rsidRPr="00FC3C61">
        <w:rPr>
          <w:rFonts w:cs="Times New Roman"/>
          <w:sz w:val="22"/>
          <w:szCs w:val="22"/>
        </w:rPr>
        <w:fldChar w:fldCharType="begin" w:fldLock="1"/>
      </w:r>
      <w:r w:rsidR="00902F8C" w:rsidRPr="00FC3C61">
        <w:rPr>
          <w:rFonts w:cs="Times New Roman"/>
          <w:sz w:val="22"/>
          <w:szCs w:val="22"/>
        </w:rPr>
        <w:instrText>ADDIN CSL_CITATION {"citationItems":[{"id":"ITEM-1","itemData":{"ISBN":"0698158822","author":[{"dropping-particle":"","family":"McLean","given":"Bethany","non-dropping-particle":"","parse-names":false,"suffix":""},{"dropping-particle":"","family":"Elkind","given":"Peter","non-dropping-particle":"","parse-names":false,"suffix":""}],"id":"ITEM-1","issued":{"date-parts":[["2013"]]},"publisher":"Penguin","publisher-place":"London","title":"The smartest guys in the room: The amazing rise and scandalous fall of Enron","type":"book"},"locator":"267","uris":["http://www.mendeley.com/documents/?uuid=55fe1c3d-2fd7-4976-8551-7f382e444ed1"]}],"mendeley":{"formattedCitation":"McLean and Elkind, &lt;i&gt;The Smartest Guys in the Room: The Amazing Rise and Scandalous Fall of Enron&lt;/i&gt;, 267.","plainTextFormattedCitation":"McLean and Elkind, The Smartest Guys in the Room: The Amazing Rise and Scandalous Fall of Enron, 267.","previouslyFormattedCitation":"McLean and Elkind, &lt;i&gt;The Smartest Guys in the Room: The Amazing Rise and Scandalous Fall of Enron&lt;/i&gt;, 267."},"properties":{"noteIndex":0},"schema":"https://github.com/citation-style-language/schema/raw/master/csl-citation.json"}</w:instrText>
      </w:r>
      <w:r w:rsidR="00F57831" w:rsidRPr="00FC3C61">
        <w:rPr>
          <w:rFonts w:cs="Times New Roman"/>
          <w:sz w:val="22"/>
          <w:szCs w:val="22"/>
        </w:rPr>
        <w:fldChar w:fldCharType="separate"/>
      </w:r>
      <w:r w:rsidR="00F57831" w:rsidRPr="00FC3C61">
        <w:rPr>
          <w:rFonts w:cs="Times New Roman"/>
          <w:noProof/>
          <w:sz w:val="22"/>
          <w:szCs w:val="22"/>
        </w:rPr>
        <w:t xml:space="preserve">McLean and Elkind, </w:t>
      </w:r>
      <w:r w:rsidR="00F57831" w:rsidRPr="00FC3C61">
        <w:rPr>
          <w:rFonts w:cs="Times New Roman"/>
          <w:i/>
          <w:noProof/>
          <w:sz w:val="22"/>
          <w:szCs w:val="22"/>
        </w:rPr>
        <w:t>The Smartest Guys in the Roo</w:t>
      </w:r>
      <w:r w:rsidR="00AC7E00">
        <w:rPr>
          <w:rFonts w:cs="Times New Roman"/>
          <w:i/>
          <w:noProof/>
          <w:sz w:val="22"/>
          <w:szCs w:val="22"/>
        </w:rPr>
        <w:t>m</w:t>
      </w:r>
      <w:r w:rsidR="00F57831" w:rsidRPr="00FC3C61">
        <w:rPr>
          <w:rFonts w:cs="Times New Roman"/>
          <w:noProof/>
          <w:sz w:val="22"/>
          <w:szCs w:val="22"/>
        </w:rPr>
        <w:t>, 267.</w:t>
      </w:r>
      <w:r w:rsidR="00F57831" w:rsidRPr="00FC3C61">
        <w:rPr>
          <w:rFonts w:cs="Times New Roman"/>
          <w:sz w:val="22"/>
          <w:szCs w:val="22"/>
        </w:rPr>
        <w:fldChar w:fldCharType="end"/>
      </w:r>
    </w:p>
  </w:endnote>
  <w:endnote w:id="125">
    <w:p w14:paraId="421CC8F7" w14:textId="47FA8541"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1566-1679","author":[{"dropping-particle":"","family":"Blumstein","given":"Carl","non-dropping-particle":"","parse-names":false,"suffix":""},{"dropping-particle":"","family":"Friedman","given":"Lee","non-dropping-particle":"","parse-names":false,"suffix":""},{"dropping-particle":"","family":"Green","given":"Richard","non-dropping-particle":"","parse-names":false,"suffix":""}],"container-title":"Journal of Industry, Competition and Trade","id":"ITEM-1","issue":"1","issued":{"date-parts":[["2002"]]},"page":"9-38","title":"The history of electricity restructuring in California","type":"article-journal","volume":"2"},"uris":["http://www.mendeley.com/documents/?uuid=2606f3dd-2a66-434a-8cb7-dc4fdb262341"]}],"mendeley":{"formattedCitation":"Blumstein, Friedman, and Green, “The History of Electricity Restructuring in California.”","plainTextFormattedCitation":"Blumstein, Friedman, and Green, “The History of Electricity Restructuring in California.”","previouslyFormattedCitation":"Blumstein, Friedman, and Green, “The History of Electricity Restructuring in California.”"},"properties":{"noteIndex":0},"schema":"https://github.com/citation-style-language/schema/raw/master/csl-citation.json"}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Blumstein, Friedman, and Green, “The History of Electricity Restructuring in California.”</w:t>
      </w:r>
      <w:r w:rsidRPr="00FC3C61">
        <w:rPr>
          <w:rFonts w:cs="Times New Roman"/>
          <w:sz w:val="22"/>
          <w:szCs w:val="22"/>
        </w:rPr>
        <w:fldChar w:fldCharType="end"/>
      </w:r>
      <w:r w:rsidRPr="00FC3C61">
        <w:rPr>
          <w:rFonts w:cs="Times New Roman"/>
          <w:sz w:val="22"/>
          <w:szCs w:val="22"/>
        </w:rPr>
        <w:t xml:space="preserve"> </w:t>
      </w:r>
    </w:p>
  </w:endnote>
  <w:endnote w:id="126">
    <w:p w14:paraId="6556857E" w14:textId="32AA8CB6"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{"citationItems":[{"id":"ITEM-1","itemData":{"author":[{"dropping-particle":"","family":"FERC","given":"","non-dropping-particle":"","parse-names":false,"suffix":""}],"edition":"Chronology","id":"ITEM-1","issued":{"date-parts":[["2005"]]},"publisher":"FERC","title":"Chronology - The Western Energy Crisis, the Enron Bankruptcy","title-short":"Chronology","type":"article","volume":"Gaming Cas"},"uris":["http://www.mendeley.com/documents/?uuid=29ca0b7f-afa7-4f10-9518-f215a038cf82"]}],"mendeley":{"formattedCitation":"FERC, “Chronology.”","plainTextFormattedCitation":"FERC, “Chronology.”","previouslyFormattedCitation":"FERC, “Chronology.”"},"properties":{"noteIndex":0},"schema":"https://github.com/citation-style-language/schema/raw/master/csl-citation.json"}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“Chronology.”</w:t>
      </w:r>
      <w:r w:rsidRPr="00FC3C61">
        <w:rPr>
          <w:rFonts w:cs="Times New Roman"/>
          <w:sz w:val="22"/>
          <w:szCs w:val="22"/>
        </w:rPr>
        <w:fldChar w:fldCharType="end"/>
      </w:r>
      <w:r w:rsidRPr="00FC3C61">
        <w:rPr>
          <w:rFonts w:cs="Times New Roman"/>
          <w:sz w:val="22"/>
          <w:szCs w:val="22"/>
        </w:rPr>
        <w:t xml:space="preserve"> </w:t>
      </w:r>
    </w:p>
  </w:endnote>
  <w:endnote w:id="127">
    <w:p w14:paraId="434C23D7" w14:textId="7B6CD3CE"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{"citationItems":[{"id":"ITEM-1","itemData":{"author":[{"dropping-particle":"","family":"McMahon","given":"Michael","non-dropping-particle":"","parse-names":false,"suffix":""}],"container-title":"The Energy Report","id":"ITEM-1","issue":"30","issued":{"date-parts":[["2000"]]},"publisher":"Platts Inside Energy","title":"San Diego rate freeze request rejected, customers irate","type":"article-newspaper","volume":"28"},"uris":["http://www.mendeley.com/documents/?uuid=3f73f8f8-e61a-463c-9c6d-31b16d3b3466"]}],"mendeley":{"formattedCitation":"Michael McMahon, “San Diego Rate Freeze Request Rejected, Customers Irate,” &lt;i&gt;The Energy Report&lt;/i&gt;, 2000, https://www.nexis.com.","plainTextFormattedCitation":"Michael McMahon, “San Diego Rate Freeze Request Rejected, Customers Irate,” The Energy Report, 2000, https://www.nexis.com.","previouslyFormattedCitation":"Michael McMahon, “San Diego Rate Freeze Request Rejected, Customers Irate,” &lt;i&gt;The Energy Report&lt;/i&gt;, 2000,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Michael McMahon, “San Diego Rate Freeze Request Rejected, Customers Irate,” </w:t>
      </w:r>
      <w:r w:rsidRPr="00FC3C61">
        <w:rPr>
          <w:rFonts w:cs="Times New Roman"/>
          <w:i/>
          <w:noProof/>
          <w:sz w:val="22"/>
          <w:szCs w:val="22"/>
        </w:rPr>
        <w:t>The Energy Report</w:t>
      </w:r>
      <w:r w:rsidRPr="00FC3C61">
        <w:rPr>
          <w:rFonts w:cs="Times New Roman"/>
          <w:noProof/>
          <w:sz w:val="22"/>
          <w:szCs w:val="22"/>
        </w:rPr>
        <w:t>, 2000, https://www.nexis.com.</w:t>
      </w:r>
      <w:r w:rsidRPr="00FC3C61">
        <w:rPr>
          <w:rFonts w:cs="Times New Roman"/>
          <w:sz w:val="22"/>
          <w:szCs w:val="22"/>
        </w:rPr>
        <w:fldChar w:fldCharType="end"/>
      </w:r>
      <w:r w:rsidRPr="00FC3C61">
        <w:rPr>
          <w:rFonts w:cs="Times New Roman"/>
          <w:sz w:val="22"/>
          <w:szCs w:val="22"/>
        </w:rPr>
        <w:t xml:space="preserve"> </w:t>
      </w:r>
    </w:p>
  </w:endnote>
  <w:endnote w:id="128">
    <w:p w14:paraId="5B07CC9D" w14:textId="7DF8CD0E"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{"citationItems":[{"id":"ITEM-1","itemData":{"author":[{"dropping-particle":"","family":"Anderson","given":"Hil","non-dropping-particle":"","parse-names":false,"suffix":""}],"id":"ITEM-1","issued":{"date-parts":[["2000"]]},"publisher":"United Press International","title":"Governor seeks probe of California electricity market","type":"article"},"uris":["http://www.mendeley.com/documents/?uuid=7550aa73-f88d-4cdd-aa1b-8b470c12fce4"]}],"mendeley":{"formattedCitation":"Hil Anderson, “Governor Seeks Probe of California Electricity Market” (United Press International, 2000), https://www.nexis.com.","plainTextFormattedCitation":"Hil Anderson, “Governor Seeks Probe of California Electricity Market” (United Press International, 2000), https://www.nexis.com.","previouslyFormattedCitation":"Hil Anderson, “Governor Seeks Probe of California Electricity Market” (United Press International, 2000),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Hil Anderson, “Governor Seeks Probe of California Electricity Market” (United Press International, 2000), https://www.nexis.com.</w:t>
      </w:r>
      <w:r w:rsidRPr="00FC3C61">
        <w:rPr>
          <w:rFonts w:cs="Times New Roman"/>
          <w:sz w:val="22"/>
          <w:szCs w:val="22"/>
        </w:rPr>
        <w:fldChar w:fldCharType="end"/>
      </w:r>
      <w:r w:rsidRPr="00FC3C61">
        <w:rPr>
          <w:rFonts w:cs="Times New Roman"/>
          <w:sz w:val="22"/>
          <w:szCs w:val="22"/>
        </w:rPr>
        <w:t xml:space="preserve"> </w:t>
      </w:r>
    </w:p>
  </w:endnote>
  <w:endnote w:id="129">
    <w:p w14:paraId="5E551CC5" w14:textId="12389495"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{"citationItems":[{"id":"ITEM-1","itemData":{"author":[{"dropping-particle":"","family":"Benke","given":"Gavin","non-dropping-particle":"","parse-names":false,"suffix":""}],"container-title":"Business and Economic History On-line","id":"ITEM-1","issued":{"date-parts":[["2008"]]},"title":"Where is Enron? Changing perceptions of geographic relationships in the deregulation of California's energy market","type":"article-journal","volume":"6"},"uris":["http://www.mendeley.com/documents/?uuid=d8e80296-d06c-4b59-bbaa-5a43d64a070b"]}],"mendeley":{"formattedCitation":"Gavin Benke, “Where Is Enron? Changing Perceptions of Geographic Relationships in the Deregulation of California’s Energy Market,” &lt;i&gt;Business and Economic History On-Line&lt;/i&gt; 6 (2008).","plainTextFormattedCitation":"Gavin Benke, “Where Is Enron? Changing Perceptions of Geographic Relationships in the Deregulation of California’s Energy Market,” Business and Economic History On-Line 6 (2008).","previouslyFormattedCitation":"Gavin Benke, “Where Is Enron? Changing Perceptions of Geographic Relationships in the Deregulation of California’s Energy Market,” &lt;i&gt;Business and Economic History On-Line&lt;/i&gt; 6 (2008)."},"properties":{"noteIndex":0},"schema":"https://github.com/citation-style-language/schema/raw/master/csl-citation.json"}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Gavin Benke, “Where Is Enron? Changing Perceptions of Geographic Relationships in the Deregulation of California’s Energy Market,” </w:t>
      </w:r>
      <w:r w:rsidRPr="00FC3C61">
        <w:rPr>
          <w:rFonts w:cs="Times New Roman"/>
          <w:i/>
          <w:noProof/>
          <w:sz w:val="22"/>
          <w:szCs w:val="22"/>
        </w:rPr>
        <w:t>Business and Economic History On-Line</w:t>
      </w:r>
      <w:r w:rsidRPr="00FC3C61">
        <w:rPr>
          <w:rFonts w:cs="Times New Roman"/>
          <w:noProof/>
          <w:sz w:val="22"/>
          <w:szCs w:val="22"/>
        </w:rPr>
        <w:t xml:space="preserve"> 6 (2008).</w:t>
      </w:r>
      <w:r w:rsidRPr="00FC3C61">
        <w:rPr>
          <w:rFonts w:cs="Times New Roman"/>
          <w:sz w:val="22"/>
          <w:szCs w:val="22"/>
        </w:rPr>
        <w:fldChar w:fldCharType="end"/>
      </w:r>
      <w:r w:rsidRPr="00FC3C61">
        <w:rPr>
          <w:rFonts w:cs="Times New Roman"/>
          <w:sz w:val="22"/>
          <w:szCs w:val="22"/>
        </w:rPr>
        <w:t xml:space="preserve"> Similar animosity was felt by Enron, particularly in relation to the states politicians: </w:t>
      </w:r>
      <w:r w:rsidRPr="00FC3C61">
        <w:rPr>
          <w:rFonts w:cs="Times New Roman"/>
          <w:noProof/>
          <w:sz w:val="22"/>
          <w:szCs w:val="22"/>
        </w:rPr>
        <w:t>Bob Badeer, Email to Tim Belden re Stave Peace, 17th July 2000, Enron Email Dataset.</w:t>
      </w:r>
    </w:p>
  </w:endnote>
  <w:endnote w:id="130">
    <w:p w14:paraId="5F0C3A4F" w14:textId="460D5E33" w:rsidR="0093268D" w:rsidRPr="00FC3C61" w:rsidRDefault="0093268D" w:rsidP="000C7A07">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0698158822","author":[{"dropping-particle":"","family":"McLean","given":"Bethany","non-dropping-particle":"","parse-names":false,"suffix":""},{"dropping-particle":"","family":"Elkind","given":"Peter","non-dropping-particle":"","parse-names":false,"suffix":""}],"id":"ITEM-1","issued":{"date-parts":[["2013"]]},"publisher":"Penguin","publisher-place":"London","title":"The smartest guys in the room: The amazing rise and scandalous fall of Enron","type":"book"},"locator":"274-276","uris":["http://www.mendeley.com/documents/?uuid=55fe1c3d-2fd7-4976-8551-7f382e444ed1"]}],"mendeley":{"formattedCitation":"McLean and Elkind, &lt;i&gt;The Smartest Guys in the Room: The Amazing Rise and Scandalous Fall of Enron&lt;/i&gt;, 274–76.","manualFormatting":"McLean and Elkind, The Smartest Guys in the Room, 274–76.","plainTextFormattedCitation":"McLean and Elkind, The Smartest Guys in the Room: The Amazing Rise and Scandalous Fall of Enron, 274–76.","previouslyFormattedCitation":"McLean and Elkind, &lt;i&gt;The Smartest Guys in the Room: The Amazing Rise and Scandalous Fall of Enron&lt;/i&gt;, 274–76."},"properties":{"noteIndex":0},"schema":"https://github.com/citation-style-language/schema/raw/master/csl-citation.json"}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McLean and Elkind, </w:t>
      </w:r>
      <w:r w:rsidRPr="00FC3C61">
        <w:rPr>
          <w:rFonts w:cs="Times New Roman"/>
          <w:i/>
          <w:noProof/>
          <w:sz w:val="22"/>
          <w:szCs w:val="22"/>
        </w:rPr>
        <w:t>The Smartest Guys in the Room</w:t>
      </w:r>
      <w:r w:rsidRPr="00FC3C61">
        <w:rPr>
          <w:rFonts w:cs="Times New Roman"/>
          <w:noProof/>
          <w:sz w:val="22"/>
          <w:szCs w:val="22"/>
        </w:rPr>
        <w:t>, 274–76.</w:t>
      </w:r>
      <w:r w:rsidRPr="00FC3C61">
        <w:rPr>
          <w:rFonts w:cs="Times New Roman"/>
          <w:sz w:val="22"/>
          <w:szCs w:val="22"/>
        </w:rPr>
        <w:fldChar w:fldCharType="end"/>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{"citationItems":[{"id":"ITEM-1","itemData":{"author":[{"dropping-particle":"","family":"FERC","given":"","non-dropping-particle":"","parse-names":false,"suffix":""}],"edition":"Chronology","id":"ITEM-1","issued":{"date-parts":[["2005"]]},"publisher":"FERC","title":"Chronology - The Western Energy Crisis, the Enron Bankruptcy","title-short":"Chronology","type":"article","volume":"Gaming Cas"},"uris":["http://www.mendeley.com/documents/?uuid=29ca0b7f-afa7-4f10-9518-f215a038cf82"]},{"id":"ITEM-2","itemData":{"author":[{"dropping-particle":"","family":"McCullough","given":"Robert","non-dropping-particle":"","parse-names":false,"suffix":""}],"collection-title":"EL03-180, SNO-58","id":"ITEM-2","issued":{"date-parts":[["2007"]]},"title":"Prepared Direct Testimony of Robert F. McCullough on behalf of Public Utility District No 1 of Snohomish County, Washington.","type":"report"},"uris":["http://www.mendeley.com/documents/?uuid=1634062f-c754-4d51-a6f2-f23f9a6ebca1"]}],"mendeley":{"formattedCitation":"FERC, “Chronology”; McCullough, “Prepared Direct Testimony of Robert F. McCullough on Behalf of Public Utility District No 1 of Snohomish County, Washington.”","manualFormatting":"FERC, “Chronology”; McCullough, “Direct Testimony”","plainTextFormattedCitation":"FERC, “Chronology”; McCullough, “Prepared Direct Testimony of Robert F. McCullough on Behalf of Public Utility District No 1 of Snohomish County, Washington.”","previouslyFormattedCitation":"FERC, “Chronology”; McCullough, “Prepared Direct Testimony of Robert F. McCullough on Behalf of Public Utility District No 1 of Snohomish County, Washington.”"},"properties":{"noteIndex":0},"schema":"https://github.com/citation-style-language/schema/raw/master/csl-citation.json"}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“Chronology”; McCullough, “Direct Testimony”</w:t>
      </w:r>
      <w:r w:rsidRPr="00FC3C61">
        <w:rPr>
          <w:rFonts w:cs="Times New Roman"/>
          <w:sz w:val="22"/>
          <w:szCs w:val="22"/>
        </w:rPr>
        <w:fldChar w:fldCharType="end"/>
      </w:r>
      <w:r w:rsidRPr="00FC3C61">
        <w:rPr>
          <w:rFonts w:cs="Times New Roman"/>
          <w:sz w:val="22"/>
          <w:szCs w:val="22"/>
        </w:rPr>
        <w:t xml:space="preserve"> </w:t>
      </w:r>
      <w:r w:rsidRPr="00FC3C61">
        <w:rPr>
          <w:rFonts w:cs="Times New Roman"/>
          <w:color w:val="000000" w:themeColor="text1"/>
          <w:sz w:val="22"/>
          <w:szCs w:val="22"/>
        </w:rPr>
        <w:t>When detail</w:t>
      </w:r>
      <w:r w:rsidR="00FC3C61" w:rsidRPr="00FC3C61">
        <w:rPr>
          <w:rFonts w:cs="Times New Roman"/>
          <w:color w:val="000000" w:themeColor="text1"/>
          <w:sz w:val="22"/>
          <w:szCs w:val="22"/>
        </w:rPr>
        <w:t>s</w:t>
      </w:r>
      <w:r w:rsidRPr="00FC3C61">
        <w:rPr>
          <w:rFonts w:cs="Times New Roman"/>
          <w:color w:val="000000" w:themeColor="text1"/>
          <w:sz w:val="22"/>
          <w:szCs w:val="22"/>
        </w:rPr>
        <w:t xml:space="preserve"> of Enron’s wrongdoing did come to light, it was the discovery of a memo sent during this investigation, which summarized their various trading strategies and the purpose. See </w:t>
      </w:r>
      <w:r w:rsidR="00000892" w:rsidRPr="00FC3C61">
        <w:rPr>
          <w:rFonts w:cs="Times New Roman"/>
          <w:sz w:val="22"/>
          <w:szCs w:val="22"/>
        </w:rPr>
        <w:t>Yoder and Hall.</w:t>
      </w:r>
    </w:p>
  </w:endnote>
  <w:endnote w:id="131">
    <w:p w14:paraId="65167565" w14:textId="09E397B5"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San Diego Gas &amp; Electric Company v. Sellers of Energy and Ancillary Services </w:t>
      </w:r>
      <w:r w:rsidR="006B11D0" w:rsidRPr="00FC3C61">
        <w:rPr>
          <w:rFonts w:cs="Times New Roman"/>
          <w:sz w:val="22"/>
          <w:szCs w:val="22"/>
        </w:rPr>
        <w:t>into</w:t>
      </w:r>
      <w:r w:rsidRPr="00FC3C61">
        <w:rPr>
          <w:rFonts w:cs="Times New Roman"/>
          <w:sz w:val="22"/>
          <w:szCs w:val="22"/>
        </w:rPr>
        <w:t xml:space="preserve"> Markets Operated by the California Independent System Operator and the California Power Exchange, et al., 95 FERC ¶ 61,173 (2001)</w:t>
      </w:r>
    </w:p>
  </w:endnote>
  <w:endnote w:id="132">
    <w:p w14:paraId="04934746" w14:textId="09623DEB"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At this point, organizational records had not been subpoenaed, and key documents like the Yoder Hall memo were yet to be discovered. As such, the investigation was based primarily of market data, and gave limited scope to provide specific incidents of wrongdoing.</w:t>
      </w:r>
    </w:p>
  </w:endnote>
  <w:endnote w:id="133">
    <w:p w14:paraId="29A284E0" w14:textId="0504C8D7"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{"citationItems":[{"id":"ITEM-1","itemData":{"author":[{"dropping-particle":"","family":"Heller","given":"Doug","non-dropping-particle":"","parse-names":false,"suffix":""}],"id":"ITEM-1","issued":{"date-parts":[["2000"]]},"title":"Federal Energy Commission Finds Excessive Rates, But Fails to Take Action; FERC Report Magnifies Need for Re-Regulation of Electricity in California","type":"article"},"uris":["http://www.mendeley.com/documents/?uuid=de2fac14-9024-4240-bbcf-66fa571e2f76"]}],"mendeley":{"formattedCitation":"Doug Heller, “Federal Energy Commission Finds Excessive Rates, But Fails to Take Action; FERC Report Magnifies Need for Re-Regulation of Electricity in California,” 2000, https://www.nexis.com.","plainTextFormattedCitation":"Doug Heller, “Federal Energy Commission Finds Excessive Rates, But Fails to Take Action; FERC Report Magnifies Need for Re-Regulation of Electricity in California,” 2000, https://www.nexis.com.","previouslyFormattedCitation":"Doug Heller, “Federal Energy Commission Finds Excessive Rates, But Fails to Take Action; FERC Report Magnifies Need for Re-Regulation of Electricity in California,” 2000, https://www.nexis.com."},"properties":{"noteIndex":0},"schema":"https://github.com/citation-style-language/schema/raw/master/csl-citation.json"}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Doug Heller, “Federal Energy Commission Finds Excessive Rates, But Fails to Take Action; FERC Report Magnifies Need for Re-Regulation of Electricity in California,” 2000, https://www.nexis.com.</w:t>
      </w:r>
      <w:r w:rsidRPr="00FC3C61">
        <w:rPr>
          <w:rFonts w:cs="Times New Roman"/>
          <w:sz w:val="22"/>
          <w:szCs w:val="22"/>
        </w:rPr>
        <w:fldChar w:fldCharType="end"/>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{"citationItems":[{"id":"ITEM-1","itemData":{"author":[{"dropping-particle":"","family":"Janson","given":"B","non-dropping-particle":"","parse-names":false,"suffix":""}],"container-title":"BC cycle","id":"ITEM-1","issued":{"date-parts":[["2000"]]},"title":"FERC finds 'unreasonable' power costs in San Diego","type":"article-newspaper"},"uris":["http://www.mendeley.com/documents/?uuid=5081f65f-acb1-4d0a-bec2-540477738da1"]}],"mendeley":{"formattedCitation":"B Janson, “FERC Finds ‘unreasonable’ Power Costs in San Diego,” &lt;i&gt;BC Cycle&lt;/i&gt;, 2000, internal-pdf://232.232.206.123/Ferc 2.pdf.","plainTextFormattedCitation":"B Janson, “FERC Finds ‘unreasonable’ Power Costs in San Diego,” BC Cycle, 2000, internal-pdf://232.232.206.123/Ferc 2.pdf.","previouslyFormattedCitation":"B Janson, “FERC Finds ‘unreasonable’ Power Costs in San Diego,” &lt;i&gt;BC Cycle&lt;/i&gt;, 2000, internal-pdf://232.232.206.123/Ferc 2.pdf."},"properties":{"noteIndex":0},"schema":"https://github.com/citation-style-language/schema/raw/master/csl-citation.json"}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 Janson, “FERC Finds ‘unreasonable’ Power Costs in San Diego,” </w:t>
      </w:r>
      <w:r w:rsidRPr="00FC3C61">
        <w:rPr>
          <w:rFonts w:cs="Times New Roman"/>
          <w:i/>
          <w:noProof/>
          <w:sz w:val="22"/>
          <w:szCs w:val="22"/>
        </w:rPr>
        <w:t>BC Cycle</w:t>
      </w:r>
      <w:r w:rsidRPr="00FC3C61">
        <w:rPr>
          <w:rFonts w:cs="Times New Roman"/>
          <w:noProof/>
          <w:sz w:val="22"/>
          <w:szCs w:val="22"/>
        </w:rPr>
        <w:t>, 2000, internal-pdf://232.232.206.123/Ferc 2.pdf.</w:t>
      </w:r>
      <w:r w:rsidRPr="00FC3C61">
        <w:rPr>
          <w:rFonts w:cs="Times New Roman"/>
          <w:sz w:val="22"/>
          <w:szCs w:val="22"/>
        </w:rPr>
        <w:fldChar w:fldCharType="end"/>
      </w:r>
      <w:r w:rsidRPr="00FC3C61">
        <w:rPr>
          <w:rFonts w:cs="Times New Roman"/>
          <w:sz w:val="22"/>
          <w:szCs w:val="22"/>
        </w:rPr>
        <w:t xml:space="preserve"> </w:t>
      </w:r>
    </w:p>
  </w:endnote>
  <w:endnote w:id="134">
    <w:p w14:paraId="5AD04F67" w14:textId="71782F7A"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Stewart Rosman, Transcript of telephone conversation with Dick Jones, 5th December 2000, EL03-180, SNO-380, FERC.</w:t>
      </w:r>
    </w:p>
  </w:endnote>
  <w:endnote w:id="135">
    <w:p w14:paraId="32BAA321" w14:textId="6B87344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iCs/>
          <w:sz w:val="22"/>
          <w:szCs w:val="22"/>
        </w:rPr>
        <w:fldChar w:fldCharType="begin"/>
      </w:r>
      <w:r w:rsidRPr="00FC3C61">
        <w:rPr>
          <w:rFonts w:cs="Times New Roman"/>
          <w:iCs/>
          <w:sz w:val="22"/>
          <w:szCs w:val="22"/>
        </w:rPr>
        <w:instrText xml:space="preserve"> ADDIN EN.CITE &lt;EndNote&gt;&lt;Cite&gt;&lt;Author&gt;McDonald&lt;/Author&gt;&lt;Year&gt;2000&lt;/Year&gt;&lt;RecNum&gt;1257&lt;/RecNum&gt;&lt;Pages&gt;1&lt;/Pages&gt;&lt;DisplayText&gt;Mike McDonald, Transcript of telephone conversation with Stewart Rosman, 11th December 2000, EL03-180, SNO-386, FERC.&lt;/DisplayText&gt;&lt;record&gt;&lt;rec-number&gt;1257&lt;/rec-number&gt;&lt;foreign-keys&gt;&lt;key app="EN" db-id="0varzz2d1f5azce225tvef57r0wdptzrvfwt" timestamp="1534434171"&gt;1257&lt;/key&gt;&lt;/foreign-keys&gt;&lt;ref-type name="Personal Communication"&gt;26&lt;/ref-type&gt;&lt;contributors&gt;&lt;authors&gt;&lt;author&gt;McDonald, Mike&lt;/author&gt;&lt;/authors&gt;&lt;/contributors&gt;&lt;titles&gt;&lt;/titles&gt;&lt;number&gt;EL03-180&lt;/number&gt;&lt;edition&gt;Transcript of telephone conversation with Stewart Rosman&lt;/edition&gt;&lt;dates&gt;&lt;year&gt;2000&lt;/year&gt;&lt;pub-dates&gt;&lt;date&gt;11th December&lt;/date&gt;&lt;/pub-dates&gt;&lt;/dates&gt;&lt;accession-num&gt;SNO-386&lt;/accession-num&gt;&lt;urls&gt;&lt;/urls&gt;&lt;remote-database-name&gt;FERC&lt;/remote-database-name&gt;&lt;/record&gt;&lt;/Cite&gt;&lt;/EndNote&gt;</w:instrText>
      </w:r>
      <w:r w:rsidRPr="00FC3C61">
        <w:rPr>
          <w:rFonts w:cs="Times New Roman"/>
          <w:iCs/>
          <w:sz w:val="22"/>
          <w:szCs w:val="22"/>
        </w:rPr>
        <w:fldChar w:fldCharType="separate"/>
      </w:r>
      <w:r w:rsidRPr="00FC3C61">
        <w:rPr>
          <w:rFonts w:cs="Times New Roman"/>
          <w:iCs/>
          <w:noProof/>
          <w:sz w:val="22"/>
          <w:szCs w:val="22"/>
        </w:rPr>
        <w:t>Mike McDonald, Transcript of telephone conversation with Stewart Rosman, 11th December 2000, EL03-180, SNO-386, FERC.</w:t>
      </w:r>
      <w:r w:rsidRPr="00FC3C61">
        <w:rPr>
          <w:rFonts w:cs="Times New Roman"/>
          <w:iCs/>
          <w:sz w:val="22"/>
          <w:szCs w:val="22"/>
        </w:rPr>
        <w:fldChar w:fldCharType="end"/>
      </w:r>
    </w:p>
  </w:endnote>
  <w:endnote w:id="136">
    <w:p w14:paraId="3D10F4E4" w14:textId="7DDE696F"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D720EE" w:rsidRPr="00FC3C61">
        <w:rPr>
          <w:rFonts w:cs="Times New Roman"/>
          <w:sz w:val="22"/>
          <w:szCs w:val="22"/>
        </w:rPr>
        <w:instrText>ADDIN CSL_CITATION {"citationItems":[{"id":"ITEM-1","itemData":{"collection-title":"U.S. Senate","container-title":"Committe on Commerce, Science, and Transportation","id":"ITEM-1","issued":{"date-parts":[["2002"]]},"publisher":"U.S. Government Printing Office","publisher-place":"Washington","title":"Examining Enron: Developments regarding electricity price manipulation in California","type":"speech"},"uris":["http://www.mendeley.com/documents/?uuid=19376e80-05d3-449c-a03b-199a7358852a"]}],"mendeley":{"formattedCitation":"“Examining Enron: Developments Regarding Electricity Price Manipulation in California,” &lt;i&gt;Committe on Commerce, Science, and Transportation&lt;/i&gt;, U.S. Senate (U.S. Government Printing Office, 2002).","plainTextFormattedCitation":"“Examining Enron: Developments Regarding Electricity Price Manipulation in California,” Committe on Commerce, Science, and Transportation, U.S. Senate (U.S. Government Printing Office, 2002).","previouslyFormattedCitation":"“Examining Enron: Developments Regarding Electricity Price Manipulation in California,” &lt;i&gt;Committe on Commerce, Science, and Transportation&lt;/i&gt;, U.S. Senate (U.S. Government Printing Office, 2002)."},"properties":{"noteIndex":0},"schema":"https://github.com/citation-style-language/schema/raw/master/csl-citation.json"}</w:instrText>
      </w:r>
      <w:r w:rsidRPr="00FC3C61">
        <w:rPr>
          <w:rFonts w:cs="Times New Roman"/>
          <w:sz w:val="22"/>
          <w:szCs w:val="22"/>
        </w:rPr>
        <w:fldChar w:fldCharType="separate"/>
      </w:r>
      <w:r w:rsidR="00D720EE" w:rsidRPr="00FC3C61">
        <w:rPr>
          <w:rFonts w:cs="Times New Roman"/>
          <w:noProof/>
          <w:sz w:val="22"/>
          <w:szCs w:val="22"/>
        </w:rPr>
        <w:t xml:space="preserve">“Examining Enron: Developments Regarding Electricity Price Manipulation in California,” </w:t>
      </w:r>
      <w:r w:rsidR="00D720EE" w:rsidRPr="00FC3C61">
        <w:rPr>
          <w:rFonts w:cs="Times New Roman"/>
          <w:i/>
          <w:noProof/>
          <w:sz w:val="22"/>
          <w:szCs w:val="22"/>
        </w:rPr>
        <w:t>Committe on Commerce, Science, and Transportation</w:t>
      </w:r>
      <w:r w:rsidR="00D720EE" w:rsidRPr="00FC3C61">
        <w:rPr>
          <w:rFonts w:cs="Times New Roman"/>
          <w:noProof/>
          <w:sz w:val="22"/>
          <w:szCs w:val="22"/>
        </w:rPr>
        <w:t>, U.S. Senate (U.S. Government Printing Office, 2002).</w:t>
      </w:r>
      <w:r w:rsidRPr="00FC3C61">
        <w:rPr>
          <w:rFonts w:cs="Times New Roman"/>
          <w:sz w:val="22"/>
          <w:szCs w:val="22"/>
        </w:rPr>
        <w:fldChar w:fldCharType="end"/>
      </w:r>
      <w:r w:rsidRPr="00FC3C61">
        <w:rPr>
          <w:rFonts w:cs="Times New Roman"/>
          <w:sz w:val="22"/>
          <w:szCs w:val="22"/>
        </w:rPr>
        <w:t xml:space="preserve"> </w:t>
      </w:r>
    </w:p>
  </w:endnote>
  <w:endnote w:id="137">
    <w:p w14:paraId="4E8FA8BE" w14:textId="1D27A088" w:rsidR="0093268D" w:rsidRPr="00FC3C61" w:rsidRDefault="0093268D" w:rsidP="00350E84">
      <w:pPr>
        <w:pStyle w:val="EndnoteText"/>
        <w:jc w:val="left"/>
        <w:rPr>
          <w:rFonts w:cs="Times New Roman"/>
          <w:sz w:val="22"/>
          <w:szCs w:val="22"/>
          <w:highlight w:val="yellow"/>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Jesse Bryson, Transcript of telephone conversation with Ryan Slinger, 14th December 2000, EL03-180, SNO-293, FERC.</w:t>
      </w:r>
      <w:r w:rsidRPr="00FC3C61">
        <w:rPr>
          <w:rFonts w:cs="Times New Roman"/>
          <w:sz w:val="22"/>
          <w:szCs w:val="22"/>
        </w:rPr>
        <w:t xml:space="preserve"> </w:t>
      </w:r>
      <w:r w:rsidRPr="00FC3C61">
        <w:rPr>
          <w:rFonts w:cs="Times New Roman"/>
          <w:noProof/>
          <w:sz w:val="22"/>
          <w:szCs w:val="22"/>
        </w:rPr>
        <w:t>Holden Salisbury, Transcript of telephone conversation with Jesse Bryson, 2000, EL03-180, SNO-201, FERC.</w:t>
      </w:r>
    </w:p>
  </w:endnote>
  <w:endnote w:id="138">
    <w:p w14:paraId="56D420A1" w14:textId="67B8DA3F" w:rsidR="00A570A6" w:rsidRPr="00FC3C61" w:rsidRDefault="00A570A6" w:rsidP="00A570A6">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Sean Crandell, Reply email to Tim Belden re "Morning Gas Call", 9th April 2001, Enron Email Dataset</w:t>
      </w:r>
      <w:r w:rsidR="00912350" w:rsidRPr="00FC3C61">
        <w:rPr>
          <w:rFonts w:cs="Times New Roman"/>
          <w:noProof/>
          <w:sz w:val="22"/>
          <w:szCs w:val="22"/>
        </w:rPr>
        <w:t xml:space="preserve">; </w:t>
      </w:r>
      <w:r w:rsidR="00912350" w:rsidRPr="00FC3C61">
        <w:rPr>
          <w:rFonts w:cs="Times New Roman"/>
          <w:color w:val="000000" w:themeColor="text1"/>
          <w:sz w:val="22"/>
          <w:szCs w:val="22"/>
        </w:rPr>
        <w:fldChar w:fldCharType="begin" w:fldLock="1"/>
      </w:r>
      <w:r w:rsidR="001D67CD" w:rsidRPr="00FC3C61">
        <w:rPr>
          <w:rFonts w:cs="Times New Roman"/>
          <w:color w:val="000000" w:themeColor="text1"/>
          <w:sz w:val="22"/>
          <w:szCs w:val="22"/>
        </w:rPr>
        <w:instrText>ADDIN CSL_CITATION {"citationItems":[{"id":"ITEM-1","itemData":{"author":[{"dropping-particle":"","family":"Pechman","given":"Carl","non-dropping-particle":"","parse-names":false,"suffix":""}],"collection-title":"EL03-180, SNO-160","id":"ITEM-1","issued":{"date-parts":[["2007"]]},"title":"Supplemental testimony of Carl Pechman, Ph.D. On behalf of Public Utility District no. 1 of Snohomish County, Washington","type":"report"},"uris":["http://www.mendeley.com/documents/?uuid=3a67a983-57a1-4a1f-b90c-35257bedd9aa"]}],"mendeley":{"formattedCitation":"Pechman, “Supplemental Testimony of Carl Pechman, Ph.D. On Behalf of Public Utility District No. 1 of Snohomish County, Washington,” 2007.","manualFormatting":"Carl Pechman, “Supplemental Testimony of Carl Pechman, Ph.D. On Behalf of Public Utility District No. 1 of Snohomish County, Washington,” EL03-180, SNO-160, 2007, 5.","plainTextFormattedCitation":"Pechman, “Supplemental Testimony of Carl Pechman, Ph.D. On Behalf of Public Utility District No. 1 of Snohomish County, Washington,” 2007.","previouslyFormattedCitation":"Pechman, “Supplemental Testimony of Carl Pechman, Ph.D. On Behalf of Public Utility District No. 1 of Snohomish County, Washington,” 2007."},"properties":{"noteIndex":0},"schema":"https://github.com/citation-style-language/schema/raw/master/csl-citation.json"}</w:instrText>
      </w:r>
      <w:r w:rsidR="00912350" w:rsidRPr="00FC3C61">
        <w:rPr>
          <w:rFonts w:cs="Times New Roman"/>
          <w:color w:val="000000" w:themeColor="text1"/>
          <w:sz w:val="22"/>
          <w:szCs w:val="22"/>
        </w:rPr>
        <w:fldChar w:fldCharType="separate"/>
      </w:r>
      <w:r w:rsidR="00912350" w:rsidRPr="00FC3C61">
        <w:rPr>
          <w:rFonts w:cs="Times New Roman"/>
          <w:noProof/>
          <w:color w:val="000000" w:themeColor="text1"/>
          <w:sz w:val="22"/>
          <w:szCs w:val="22"/>
        </w:rPr>
        <w:t>Carl Pechman, “Supplemental Testimony of Carl Pechman, Ph.D. On Behalf of Public Utility District No. 1 of Snohomish County, Washington,” EL03-180, SNO-160, 2007, 5.</w:t>
      </w:r>
      <w:r w:rsidR="00912350" w:rsidRPr="00FC3C61">
        <w:rPr>
          <w:rFonts w:cs="Times New Roman"/>
          <w:color w:val="000000" w:themeColor="text1"/>
          <w:sz w:val="22"/>
          <w:szCs w:val="22"/>
        </w:rPr>
        <w:fldChar w:fldCharType="end"/>
      </w:r>
    </w:p>
  </w:endnote>
  <w:endnote w:id="139">
    <w:p w14:paraId="4C65C600" w14:textId="23FBA5C3" w:rsidR="0093268D" w:rsidRPr="00FC3C61" w:rsidRDefault="0093268D" w:rsidP="00350E84">
      <w:pPr>
        <w:pStyle w:val="EndnoteText"/>
        <w:jc w:val="left"/>
        <w:rPr>
          <w:rFonts w:cs="Times New Roman"/>
          <w:sz w:val="22"/>
          <w:szCs w:val="22"/>
          <w:highlight w:val="yellow"/>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r>
      <w:r w:rsidRPr="00FC3C61">
        <w:rPr>
          <w:rFonts w:cs="Times New Roman"/>
          <w:sz w:val="22"/>
          <w:szCs w:val="22"/>
        </w:rPr>
        <w:instrText xml:space="preserve"> ADDIN EN.CITE &lt;EndNote&gt;&lt;Cite&gt;&lt;Author&gt;Cousholi&lt;/Author&gt;&lt;Year&gt;2001&lt;/Year&gt;&lt;RecNum&gt;1263&lt;/RecNum&gt;&lt;DisplayText&gt;Monika  Cousholi, Transcript of telephone conversation with Geir Solberg, 19th January 2001, EL03-180, SNO-477, FERC.&lt;/DisplayText&gt;&lt;record&gt;&lt;rec-number&gt;1263&lt;/rec-number&gt;&lt;foreign-keys&gt;&lt;key app="EN" db-id="0varzz2d1f5azce225tvef57r0wdptzrvfwt" timestamp="1534435705"&gt;1263&lt;/key&gt;&lt;/foreign-keys&gt;&lt;ref-type name="Personal Communication"&gt;26&lt;/ref-type&gt;&lt;contributors&gt;&lt;authors&gt;&lt;author&gt;Cousholi, Monika &lt;/author&gt;&lt;/authors&gt;&lt;secondary-authors&gt;&lt;author&gt;Solberg, Geir&lt;/author&gt;&lt;/secondary-authors&gt;&lt;/contributors&gt;&lt;titles&gt;&lt;/titles&gt;&lt;number&gt;EL03-180&lt;/number&gt;&lt;edition&gt;Transcript of telephone conversation with Geir Solberg&lt;/edition&gt;&lt;dates&gt;&lt;year&gt;2001&lt;/year&gt;&lt;pub-dates&gt;&lt;date&gt;19th January&lt;/date&gt;&lt;/pub-dates&gt;&lt;/dates&gt;&lt;accession-num&gt;SNO-477&lt;/accession-num&gt;&lt;urls&gt;&lt;/urls&gt;&lt;remote-database-name&gt;FERC&lt;/remote-database-name&gt;&lt;/record&gt;&lt;/Cite&gt;&lt;/EndNote&gt;</w:instrText>
      </w:r>
      <w:r w:rsidRPr="00FC3C61">
        <w:rPr>
          <w:rFonts w:cs="Times New Roman"/>
          <w:sz w:val="22"/>
          <w:szCs w:val="22"/>
        </w:rPr>
        <w:fldChar w:fldCharType="separate"/>
      </w:r>
      <w:r w:rsidRPr="00FC3C61">
        <w:rPr>
          <w:rFonts w:cs="Times New Roman"/>
          <w:noProof/>
          <w:sz w:val="22"/>
          <w:szCs w:val="22"/>
        </w:rPr>
        <w:t>Monika  Cousholi, Transcript of telephone conversation with Geir Solberg, 19th January 2001, EL03-180, SNO-477, FERC.</w:t>
      </w:r>
      <w:r w:rsidRPr="00FC3C61">
        <w:rPr>
          <w:rFonts w:cs="Times New Roman"/>
          <w:sz w:val="22"/>
          <w:szCs w:val="22"/>
        </w:rPr>
        <w:fldChar w:fldCharType="end"/>
      </w:r>
    </w:p>
  </w:endnote>
  <w:endnote w:id="140">
    <w:p w14:paraId="7769D180" w14:textId="1A6924D0"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fldChar w:fldCharType="begin"/>
      </w:r>
      <w:r w:rsidRPr="00FC3C61">
        <w:rPr>
          <w:rFonts w:cs="Times New Roman"/>
          <w:color w:val="000000" w:themeColor="text1"/>
          <w:sz w:val="22"/>
          <w:szCs w:val="22"/>
        </w:rPr>
        <w:instrText xml:space="preserve"> ADDIN EN.CITE &lt;EndNote&gt;&lt;Cite&gt;&lt;Author&gt;Williams III&lt;/Author&gt;&lt;Year&gt;2000&lt;/Year&gt;&lt;RecNum&gt;1264&lt;/RecNum&gt;&lt;Pages&gt;3&lt;/Pages&gt;&lt;DisplayText&gt;Bill Williams III, Transcript of telephone conversation with John Forney, 29th December 2000, EL03-180, SNO-192, FERC.&lt;/DisplayText&gt;&lt;record&gt;&lt;rec-number&gt;1264&lt;/rec-number&gt;&lt;foreign-keys&gt;&lt;key app="EN" db-id="0varzz2d1f5azce225tvef57r0wdptzrvfwt" timestamp="1534435807"&gt;1264&lt;/key&gt;&lt;/foreign-keys&gt;&lt;ref-type name="Personal Communication"&gt;26&lt;/ref-type&gt;&lt;contributors&gt;&lt;authors&gt;&lt;author&gt;Williams III, Bill&lt;/author&gt;&lt;/authors&gt;&lt;secondary-authors&gt;&lt;author&gt;Forney, John&lt;/author&gt;&lt;/secondary-authors&gt;&lt;/contributors&gt;&lt;titles&gt;&lt;/titles&gt;&lt;number&gt;EL03-180&lt;/number&gt;&lt;edition&gt;Transcript of telephone conversation with John Forney&lt;/edition&gt;&lt;dates&gt;&lt;year&gt;2000&lt;/year&gt;&lt;pub-dates&gt;&lt;date&gt;29th December&lt;/date&gt;&lt;/pub-dates&gt;&lt;/dates&gt;&lt;accession-num&gt;SNO-192&lt;/accession-num&gt;&lt;urls&gt;&lt;/urls&gt;&lt;remote-database-name&gt;FERC&lt;/remote-database-name&gt;&lt;/record&gt;&lt;/Cite&gt;&lt;/EndNote&gt;</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Bill Williams, Transcript of telephone conversation with John Forney, 29th December 2000, EL03-180, SNO-192, FERC.</w:t>
      </w:r>
      <w:r w:rsidRPr="00FC3C61">
        <w:rPr>
          <w:rFonts w:cs="Times New Roman"/>
          <w:color w:val="000000" w:themeColor="text1"/>
          <w:sz w:val="22"/>
          <w:szCs w:val="22"/>
        </w:rPr>
        <w:fldChar w:fldCharType="end"/>
      </w:r>
    </w:p>
  </w:endnote>
  <w:endnote w:id="141">
    <w:p w14:paraId="31972418" w14:textId="4849917B"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decision","type":"report"},"uris":["http://www.mendeley.com/documents/?uuid=a94a3908-3dd8-4017-adbe-2cbcc71b4d83"]}],"mendeley":{"formattedCitation":"FERC, “Initial Decision.”","manualFormatting":"FERC, “Initial Decision,” 16","plainTextFormattedCitation":"FERC, “Initial Decision.”","previouslyFormattedCitation":"FERC, “Initial Decision.”"},"properties":{"noteIndex":0},"schema":"https://github.com/citation-style-language/schema/raw/master/csl-citation.json"}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“Initial Decision,” 16</w:t>
      </w:r>
      <w:r w:rsidRPr="00FC3C61">
        <w:rPr>
          <w:rFonts w:cs="Times New Roman"/>
          <w:sz w:val="22"/>
          <w:szCs w:val="22"/>
        </w:rPr>
        <w:fldChar w:fldCharType="end"/>
      </w:r>
      <w:r w:rsidRPr="00FC3C61">
        <w:rPr>
          <w:rFonts w:cs="Times New Roman"/>
          <w:sz w:val="22"/>
          <w:szCs w:val="22"/>
        </w:rPr>
        <w:t>.</w:t>
      </w:r>
    </w:p>
  </w:endnote>
  <w:endnote w:id="142">
    <w:p w14:paraId="0E508BA8" w14:textId="03C82AA6"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t xml:space="preserve">Once utilities like PG&amp;E defaulted on their debts, the credit risk was transferred to their creditors (the PX), who then defaulted on their debts to the ISO. See </w:t>
      </w:r>
      <w:r w:rsidRPr="00FC3C61">
        <w:rPr>
          <w:rFonts w:cs="Times New Roman"/>
          <w:color w:val="000000" w:themeColor="text1"/>
          <w:sz w:val="22"/>
          <w:szCs w:val="22"/>
        </w:rPr>
        <w:fldChar w:fldCharType="begin" w:fldLock="1"/>
      </w:r>
      <w:r w:rsidRPr="00FC3C61">
        <w:rPr>
          <w:rFonts w:cs="Times New Roman"/>
          <w:color w:val="000000" w:themeColor="text1"/>
          <w:sz w:val="22"/>
          <w:szCs w:val="22"/>
        </w:rPr>
        <w:instrText>ADDIN CSL_CITATION {"citationItems":[{"id":"ITEM-1","itemData":{"ISBN":"1566-1679","author":[{"dropping-particle":"","family":"Blumstein","given":"Carl","non-dropping-particle":"","parse-names":false,"suffix":""},{"dropping-particle":"","family":"Friedman","given":"Lee","non-dropping-particle":"","parse-names":false,"suffix":""},{"dropping-particle":"","family":"Green","given":"Richard","non-dropping-particle":"","parse-names":false,"suffix":""}],"container-title":"Journal of Industry, Competition and Trade","id":"ITEM-1","issue":"1","issued":{"date-parts":[["2002"]]},"page":"9-38","title":"The history of electricity restructuring in California","type":"article-journal","volume":"2"},"uris":["http://www.mendeley.com/documents/?uuid=2606f3dd-2a66-434a-8cb7-dc4fdb262341"]}],"mendeley":{"formattedCitation":"Blumstein, Friedman, and Green, “The History of Electricity Restructuring in California.”","plainTextFormattedCitation":"Blumstein, Friedman, and Green, “The History of Electricity Restructuring in California.”","previouslyFormattedCitation":"Blumstein, Friedman, and Green, “The History of Electricity Restructuring in California.”"},"properties":{"noteIndex":0},"schema":"https://github.com/citation-style-language/schema/raw/master/csl-citation.json"}</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Blumstein, Friedman, and Green, “The History of Electricity Restructuring in California.”</w:t>
      </w:r>
      <w:r w:rsidRPr="00FC3C61">
        <w:rPr>
          <w:rFonts w:cs="Times New Roman"/>
          <w:color w:val="000000" w:themeColor="text1"/>
          <w:sz w:val="22"/>
          <w:szCs w:val="22"/>
        </w:rPr>
        <w:fldChar w:fldCharType="end"/>
      </w:r>
    </w:p>
  </w:endnote>
  <w:endnote w:id="143">
    <w:p w14:paraId="430A64D4" w14:textId="0D867ABF"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{"citationItems":[{"id":"ITEM-1","itemData":{"ISBN":"0001-8368","author":[{"dropping-particle":"","family":"Bhagwat","given":"Ashutosh","non-dropping-particle":"","parse-names":false,"suffix":""}],"container-title":"Administrative Law Review","id":"ITEM-1","issued":{"date-parts":[["2003"]]},"page":"95-125","title":"Institutions and long term planning: Lessons from the California electricity crisis","type":"article-journal"},"uris":["http://www.mendeley.com/documents/?uuid=905de1ac-6c78-44ac-a30a-48b2aa38bbc6"]}],"mendeley":{"formattedCitation":"Bhagwat, “Institutions and Long Term Planning: Lessons from the California Electricity Crisis.”","plainTextFormattedCitation":"Bhagwat, “Institutions and Long Term Planning: Lessons from the California Electricity Crisis.”","previouslyFormattedCitation":"Bhagwat, “Institutions and Long Term Planning: Lessons from the California Electricity Crisis.”"},"properties":{"noteIndex":0},"schema":"https://github.com/citation-style-language/schema/raw/master/csl-citation.json"}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Bhagwat, “Institutions and Long Term Planning: Lessons from the California Electricity Crisis.”</w:t>
      </w:r>
      <w:r w:rsidRPr="00FC3C61">
        <w:rPr>
          <w:rFonts w:cs="Times New Roman"/>
          <w:sz w:val="22"/>
          <w:szCs w:val="22"/>
        </w:rPr>
        <w:fldChar w:fldCharType="end"/>
      </w:r>
      <w:r w:rsidRPr="00FC3C61">
        <w:rPr>
          <w:rFonts w:cs="Times New Roman"/>
          <w:sz w:val="22"/>
          <w:szCs w:val="22"/>
        </w:rPr>
        <w:t xml:space="preserve"> </w:t>
      </w:r>
    </w:p>
  </w:endnote>
  <w:endnote w:id="144">
    <w:p w14:paraId="1F4AAD67" w14:textId="77777777" w:rsidR="00745063" w:rsidRPr="00FC3C61" w:rsidRDefault="00745063" w:rsidP="00745063">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decision","type":"report"},"locator":"16","uris":["http://www.mendeley.com/documents/?uuid=a94a3908-3dd8-4017-adbe-2cbcc71b4d83"]}],"mendeley":{"formattedCitation":"FERC, “Initial Decision,” 16.","plainTextFormattedCitation":"FERC, “Initial Decision,” 16.","previouslyFormattedCitation":"FERC, “Initial Decision,” 16."},"properties":{"noteIndex":0},"schema":"https://github.com/citation-style-language/schema/raw/master/csl-citation.json"}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“Initial Decision,” 16.</w:t>
      </w:r>
      <w:r w:rsidRPr="00FC3C61">
        <w:rPr>
          <w:rFonts w:cs="Times New Roman"/>
          <w:sz w:val="22"/>
          <w:szCs w:val="22"/>
        </w:rPr>
        <w:fldChar w:fldCharType="end"/>
      </w:r>
      <w:r w:rsidRPr="00FC3C61">
        <w:rPr>
          <w:rFonts w:cs="Times New Roman"/>
          <w:sz w:val="22"/>
          <w:szCs w:val="22"/>
        </w:rPr>
        <w:t xml:space="preserve"> </w:t>
      </w:r>
    </w:p>
  </w:endnote>
  <w:endnote w:id="145">
    <w:p w14:paraId="0301E22F" w14:textId="4D0802AD"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{"citationItems":[{"id":"ITEM-1","itemData":{"ISBN":"93 FERC: 61,294","author":[{"dropping-particle":"","family":"FERC","given":"","non-dropping-particle":"","parse-names":false,"suffix":""}],"id":"ITEM-1","issued":{"date-parts":[["2000"]]},"title":"Order directing remedies for california wholesale electric markets","type":"article"},"uris":["http://www.mendeley.com/documents/?uuid=ce9d4def-8150-46cf-8abf-f1888537c05a"]}],"mendeley":{"formattedCitation":"FERC, “Order Directing Remedies for California Wholesale Electric Markets,” 2000.","plainTextFormattedCitation":"FERC, “Order Directing Remedies for California Wholesale Electric Markets,” 2000.","previouslyFormattedCitation":"FERC, “Order Directing Remedies for California Wholesale Electric Markets,” 2000."},"properties":{"noteIndex":0},"schema":"https://github.com/citation-style-language/schema/raw/master/csl-citation.json"}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“Order Directing Remedies for California Wholesale Electric Markets,” 2000.</w:t>
      </w:r>
      <w:r w:rsidRPr="00FC3C61">
        <w:rPr>
          <w:rFonts w:cs="Times New Roman"/>
          <w:sz w:val="22"/>
          <w:szCs w:val="22"/>
        </w:rPr>
        <w:fldChar w:fldCharType="end"/>
      </w:r>
      <w:r w:rsidRPr="00FC3C61">
        <w:rPr>
          <w:rFonts w:cs="Times New Roman"/>
          <w:sz w:val="22"/>
          <w:szCs w:val="22"/>
        </w:rPr>
        <w:t xml:space="preserve"> </w:t>
      </w:r>
    </w:p>
  </w:endnote>
  <w:endnote w:id="146">
    <w:p w14:paraId="7A4EE789" w14:textId="402E6FAC"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color w:val="000000" w:themeColor="text1"/>
          <w:sz w:val="22"/>
          <w:szCs w:val="22"/>
        </w:rPr>
        <w:fldChar w:fldCharType="begin"/>
      </w:r>
      <w:r w:rsidRPr="00FC3C61">
        <w:rPr>
          <w:rFonts w:cs="Times New Roman"/>
          <w:color w:val="000000" w:themeColor="text1"/>
          <w:sz w:val="22"/>
          <w:szCs w:val="22"/>
        </w:rPr>
        <w:instrText xml:space="preserve"> ADDIN EN.CITE &lt;EndNote&gt;&lt;Cite&gt;&lt;Author&gt;Williams III&lt;/Author&gt;&lt;Year&gt;2001&lt;/Year&gt;&lt;RecNum&gt;1265&lt;/RecNum&gt;&lt;Pages&gt;1&lt;/Pages&gt;&lt;DisplayText&gt;Bill Williams III, Transcript of telephone conversation with &amp;quot;Rich&amp;quot;, 16th January 2001, EL03-180, SNO-525, FERC.&lt;/DisplayText&gt;&lt;record&gt;&lt;rec-number&gt;1265&lt;/rec-number&gt;&lt;foreign-keys&gt;&lt;key app="EN" db-id="0varzz2d1f5azce225tvef57r0wdptzrvfwt" timestamp="1534436032"&gt;1265&lt;/key&gt;&lt;/foreign-keys&gt;&lt;ref-type name="Personal Communication"&gt;26&lt;/ref-type&gt;&lt;contributors&gt;&lt;authors&gt;&lt;author&gt;Williams III, Bill&lt;/author&gt;&lt;/authors&gt;&lt;/contributors&gt;&lt;titles&gt;&lt;/titles&gt;&lt;number&gt;EL03-180&lt;/number&gt;&lt;edition&gt;Transcript of telephone conversation with &amp;quot;Rich&amp;quot;&lt;/edition&gt;&lt;dates&gt;&lt;year&gt;2001&lt;/year&gt;&lt;pub-dates&gt;&lt;date&gt;16th January&lt;/date&gt;&lt;/pub-dates&gt;&lt;/dates&gt;&lt;accession-num&gt;SNO-525&lt;/accession-num&gt;&lt;urls&gt;&lt;/urls&gt;&lt;remote-database-name&gt;FERC&lt;/remote-database-name&gt;&lt;/record&gt;&lt;/Cite&gt;&lt;/EndNote&gt;</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Bill Williams, Transcript of telephone conversation with "Rich", 16th January 2001, EL03-180, SNO-525, FERC.</w:t>
      </w:r>
      <w:r w:rsidRPr="00FC3C61">
        <w:rPr>
          <w:rFonts w:cs="Times New Roman"/>
          <w:color w:val="000000" w:themeColor="text1"/>
          <w:sz w:val="22"/>
          <w:szCs w:val="22"/>
        </w:rPr>
        <w:fldChar w:fldCharType="end"/>
      </w:r>
    </w:p>
  </w:endnote>
  <w:endnote w:id="147">
    <w:p w14:paraId="0E8B8BFA" w14:textId="489ECCE1"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noProof/>
          <w:sz w:val="22"/>
          <w:szCs w:val="22"/>
        </w:rPr>
        <w:t>Geir Solberg, Transcript of coversations with Greg Wolfe and Bill Williams, 19th Janurary 2001, EL03-180, SNO-479, FERC; Cousholi.</w:t>
      </w:r>
    </w:p>
  </w:endnote>
  <w:endnote w:id="148">
    <w:p w14:paraId="1A859CA3" w14:textId="4F8E3F8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1566-1679","author":[{"dropping-particle":"","family":"Blumstein","given":"Carl","non-dropping-particle":"","parse-names":false,"suffix":""},{"dropping-particle":"","family":"Friedman","given":"Lee","non-dropping-particle":"","parse-names":false,"suffix":""},{"dropping-particle":"","family":"Green","given":"Richard","non-dropping-particle":"","parse-names":false,"suffix":""}],"container-title":"Journal of Industry, Competition and Trade","id":"ITEM-1","issue":"1","issued":{"date-parts":[["2002"]]},"page":"9-38","title":"The history of electricity restructuring in California","type":"article-journal","volume":"2"},"uris":["http://www.mendeley.com/documents/?uuid=2606f3dd-2a66-434a-8cb7-dc4fdb262341"]}],"mendeley":{"formattedCitation":"Blumstein, Friedman, and Green, “The History of Electricity Restructuring in California.”","plainTextFormattedCitation":"Blumstein, Friedman, and Green, “The History of Electricity Restructuring in California.”","previouslyFormattedCitation":"Blumstein, Friedman, and Green, “The History of Electricity Restructuring in California.”"},"properties":{"noteIndex":0},"schema":"https://github.com/citation-style-language/schema/raw/master/csl-citation.json"}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Blumstein, Friedman, and Green, “The History of Electricity Restructuring in California.”</w:t>
      </w:r>
      <w:r w:rsidRPr="00FC3C61">
        <w:rPr>
          <w:rFonts w:cs="Times New Roman"/>
          <w:sz w:val="22"/>
          <w:szCs w:val="22"/>
        </w:rPr>
        <w:fldChar w:fldCharType="end"/>
      </w:r>
      <w:r w:rsidRPr="00FC3C61">
        <w:rPr>
          <w:rFonts w:cs="Times New Roman"/>
          <w:sz w:val="22"/>
          <w:szCs w:val="22"/>
        </w:rPr>
        <w:t xml:space="preserve"> </w:t>
      </w:r>
    </w:p>
  </w:endnote>
  <w:endnote w:id="149">
    <w:p w14:paraId="64FFDB5F" w14:textId="79E8EAB3" w:rsidR="0093268D" w:rsidRPr="00FC3C61" w:rsidRDefault="0093268D" w:rsidP="00350E84">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Before this point, traders had continued to use and establish strategies, albeit at a significantly reduced scale. See </w:t>
      </w:r>
      <w:r w:rsidRPr="00FC3C61">
        <w:rPr>
          <w:rFonts w:cs="Times New Roman"/>
          <w:noProof/>
          <w:sz w:val="22"/>
          <w:szCs w:val="22"/>
        </w:rPr>
        <w:t>Geir Solberg, Email to 'Real-time desk' re "New deal! Export at silverpeak!!!!", 17th April 2001, Enron Email Dataset.</w:t>
      </w:r>
    </w:p>
  </w:endnote>
  <w:endnote w:id="150">
    <w:p w14:paraId="146B749E" w14:textId="1F7C300D" w:rsidR="0093268D" w:rsidRPr="00FC3C61" w:rsidRDefault="0093268D" w:rsidP="00350E84">
      <w:pPr>
        <w:pStyle w:val="EndnoteText"/>
        <w:jc w:val="left"/>
        <w:rPr>
          <w:rFonts w:cs="Times New Roman"/>
          <w:color w:val="000000" w:themeColor="text1"/>
          <w:sz w:val="22"/>
          <w:szCs w:val="22"/>
        </w:rPr>
      </w:pPr>
      <w:r w:rsidRPr="00FC3C61">
        <w:rPr>
          <w:rStyle w:val="EndnoteReference"/>
          <w:rFonts w:cs="Times New Roman"/>
          <w:sz w:val="22"/>
          <w:szCs w:val="22"/>
        </w:rPr>
        <w:endnoteRef/>
      </w:r>
      <w:r w:rsidRPr="00FC3C61">
        <w:rPr>
          <w:rFonts w:cs="Times New Roman"/>
          <w:color w:val="000000" w:themeColor="text1"/>
          <w:sz w:val="22"/>
          <w:szCs w:val="22"/>
        </w:rPr>
        <w:t xml:space="preserve"> </w:t>
      </w:r>
      <w:r w:rsidRPr="00FC3C61">
        <w:rPr>
          <w:rFonts w:cs="Times New Roman"/>
          <w:color w:val="000000" w:themeColor="text1"/>
          <w:sz w:val="22"/>
          <w:szCs w:val="22"/>
        </w:rPr>
        <w:fldChar w:fldCharType="begin"/>
      </w:r>
      <w:r w:rsidRPr="00FC3C61">
        <w:rPr>
          <w:rFonts w:cs="Times New Roman"/>
          <w:color w:val="000000" w:themeColor="text1"/>
          <w:sz w:val="22"/>
          <w:szCs w:val="22"/>
        </w:rPr>
        <w:instrText xml:space="preserve"> ADDIN EN.CITE &lt;EndNote&gt;&lt;Cite&gt;&lt;Author&gt;Rosman&lt;/Author&gt;&lt;Year&gt;2001&lt;/Year&gt;&lt;RecNum&gt;1269&lt;/RecNum&gt;&lt;DisplayText&gt;Stewart Rosman, Telephone conversation with &amp;quot;Tom&amp;quot;, 11th December 2001, EL03-180, SNO-499, FERC.&lt;/DisplayText&gt;&lt;record&gt;&lt;rec-number&gt;1269&lt;/rec-number&gt;&lt;foreign-keys&gt;&lt;key app="EN" db-id="0varzz2d1f5azce225tvef57r0wdptzrvfwt" timestamp="1534436529"&gt;1269&lt;/key&gt;&lt;/foreign-keys&gt;&lt;ref-type name="Personal Communication"&gt;26&lt;/ref-type&gt;&lt;contributors&gt;&lt;authors&gt;&lt;author&gt;Rosman, Stewart&lt;/author&gt;&lt;/authors&gt;&lt;/contributors&gt;&lt;titles&gt;&lt;/titles&gt;&lt;number&gt;EL03-180&lt;/number&gt;&lt;edition&gt;Telephone conversation with &amp;quot;Tom&amp;quot;&lt;/edition&gt;&lt;dates&gt;&lt;year&gt;2001&lt;/year&gt;&lt;pub-dates&gt;&lt;date&gt;11th December&lt;/date&gt;&lt;/pub-dates&gt;&lt;/dates&gt;&lt;accession-num&gt;SNO-499&lt;/accession-num&gt;&lt;urls&gt;&lt;/urls&gt;&lt;remote-database-name&gt;FERC&lt;/remote-database-name&gt;&lt;/record&gt;&lt;/Cite&gt;&lt;/EndNote&gt;</w:instrText>
      </w:r>
      <w:r w:rsidRPr="00FC3C61">
        <w:rPr>
          <w:rFonts w:cs="Times New Roman"/>
          <w:color w:val="000000" w:themeColor="text1"/>
          <w:sz w:val="22"/>
          <w:szCs w:val="22"/>
        </w:rPr>
        <w:fldChar w:fldCharType="separate"/>
      </w:r>
      <w:r w:rsidRPr="00FC3C61">
        <w:rPr>
          <w:rFonts w:cs="Times New Roman"/>
          <w:noProof/>
          <w:color w:val="000000" w:themeColor="text1"/>
          <w:sz w:val="22"/>
          <w:szCs w:val="22"/>
        </w:rPr>
        <w:t>Stewart Rosman, Telephone conversation with "Tom", 11th December 2001, EL03-180, SNO-499, FERC.</w:t>
      </w:r>
      <w:r w:rsidRPr="00FC3C61">
        <w:rPr>
          <w:rFonts w:cs="Times New Roman"/>
          <w:color w:val="000000" w:themeColor="text1"/>
          <w:sz w:val="22"/>
          <w:szCs w:val="22"/>
        </w:rPr>
        <w:fldChar w:fldCharType="end"/>
      </w:r>
    </w:p>
  </w:endnote>
  <w:endnote w:id="151">
    <w:p w14:paraId="57F79561" w14:textId="57651AAA" w:rsidR="00577AC2" w:rsidRPr="001F7A46" w:rsidRDefault="00577AC2">
      <w:pPr>
        <w:pStyle w:val="EndnoteText"/>
        <w:rPr>
          <w:rFonts w:cs="Times New Roman"/>
          <w:sz w:val="22"/>
          <w:szCs w:val="22"/>
        </w:rPr>
      </w:pPr>
      <w:r w:rsidRPr="001F7A46">
        <w:rPr>
          <w:rStyle w:val="EndnoteReference"/>
          <w:rFonts w:cs="Times New Roman"/>
          <w:sz w:val="22"/>
          <w:szCs w:val="22"/>
        </w:rPr>
        <w:endnoteRef/>
      </w:r>
      <w:r w:rsidRPr="001F7A46">
        <w:rPr>
          <w:rFonts w:cs="Times New Roman"/>
          <w:sz w:val="22"/>
          <w:szCs w:val="22"/>
        </w:rPr>
        <w:t xml:space="preserve"> </w:t>
      </w:r>
      <w:r w:rsidR="00902F8C" w:rsidRPr="00FC3C61">
        <w:rPr>
          <w:rFonts w:cs="Times New Roman"/>
          <w:sz w:val="22"/>
          <w:szCs w:val="22"/>
        </w:rPr>
        <w:t xml:space="preserve"> </w:t>
      </w:r>
      <w:r w:rsidR="00902F8C" w:rsidRPr="00FC3C61">
        <w:rPr>
          <w:rFonts w:cs="Times New Roman"/>
          <w:sz w:val="22"/>
          <w:szCs w:val="22"/>
        </w:rPr>
        <w:fldChar w:fldCharType="begin" w:fldLock="1"/>
      </w:r>
      <w:r w:rsidR="00C4302E" w:rsidRPr="00FC3C61">
        <w:rPr>
          <w:rFonts w:cs="Times New Roman"/>
          <w:sz w:val="22"/>
          <w:szCs w:val="22"/>
        </w:rPr>
        <w:instrText>ADDIN CSL_CITATION {"citationItems":[{"id":"ITEM-1","itemData":{"author":[{"dropping-particle":"","family":"FERC","given":"","non-dropping-particle":"","parse-names":false,"suffix":""}],"id":"ITEM-1","issue":"PA02-2-000","issued":{"date-parts":[["2003"]]},"title":"Final Report on Price Manipulation In Western Markets","type":"report"},"uris":["http://www.mendeley.com/documents/?uuid=127ee563-edb4-42e5-a1db-b4361bd40bac"]},{"id":"ITEM-2","itemData":{"author":[{"dropping-particle":"","family":"FERC","given":"","non-dropping-particle":"","parse-names":false,"suffix":""}],"collection-title":"119 FERC ¶ 63,013","id":"ITEM-2","issued":{"date-parts":[["2007"]]},"title":"Initial decision","type":"report"},"locator":"4","uris":["http://www.mendeley.com/documents/?uuid=a94a3908-3dd8-4017-adbe-2cbcc71b4d83"]}],"mendeley":{"formattedCitation":"FERC, “Final Report on Price Manipulation In Western Markets”; FERC, “Initial Decision,” 4.","manualFormatting":"FERC, “Final Report”; FERC, “Initial Decision,”.","plainTextFormattedCitation":"FERC, “Final Report on Price Manipulation In Western Markets”; FERC, “Initial Decision,” 4.","previouslyFormattedCitation":"FERC, “Final Report on Price Manipulation In Western Markets”; FERC, “Initial Decision,” 4."},"properties":{"noteIndex":0},"schema":"https://github.com/citation-style-language/schema/raw/master/csl-citation.json"}</w:instrText>
      </w:r>
      <w:r w:rsidR="00902F8C" w:rsidRPr="00FC3C61">
        <w:rPr>
          <w:rFonts w:cs="Times New Roman"/>
          <w:sz w:val="22"/>
          <w:szCs w:val="22"/>
        </w:rPr>
        <w:fldChar w:fldCharType="separate"/>
      </w:r>
      <w:r w:rsidR="00902F8C" w:rsidRPr="00FC3C61">
        <w:rPr>
          <w:rFonts w:cs="Times New Roman"/>
          <w:noProof/>
          <w:sz w:val="22"/>
          <w:szCs w:val="22"/>
        </w:rPr>
        <w:t>FERC, “Final Report”; FERC, “Initial Decision,”.</w:t>
      </w:r>
      <w:r w:rsidR="00902F8C" w:rsidRPr="00FC3C61">
        <w:rPr>
          <w:rFonts w:cs="Times New Roman"/>
          <w:sz w:val="22"/>
          <w:szCs w:val="22"/>
        </w:rPr>
        <w:fldChar w:fldCharType="end"/>
      </w:r>
    </w:p>
  </w:endnote>
  <w:endnote w:id="152">
    <w:p w14:paraId="6F148E66" w14:textId="71D670F0"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0363-7425","author":[{"dropping-particle":"","family":"Pinto","given":"Jonathan","non-dropping-particle":"","parse-names":false,"suffix":""},{"dropping-particle":"","family":"Leana","given":"Carrie","non-dropping-particle":"","parse-names":false,"suffix":""},{"dropping-particle":"","family":"Pil","given":"Frits","non-dropping-particle":"","parse-names":false,"suffix":""}],"container-title":"Academy of Management Review","id":"ITEM-1","issue":"3","issued":{"date-parts":[["2008"]]},"page":"685-709","title":"Corrupt organizations or organizations of corrupt individuals? Two types of organization-level corruption","type":"article-journal","volume":"33"},"uris":["http://www.mendeley.com/documents/?uuid=c605d575-7369-42f9-93be-9130be1d3a18"]},{"id":"ITEM-2","itemData":{"abstract":"Despite the importance of organizational misconduct, still not much is known about coordinated misconduct between firms. In this study, we seek a better understanding of how the profile of the partners involved in cartels affects the longevity of their joint misconduct activities. Drawing upon diversity theory, we leverage a distinction between three types of diversity--variety of age-based experience, separation in uncertainty avoidance, and power disparity--in collective organizational misconduct between firms, and study their respective influence on the longevity of cartels. Our empirical analysis gives support to our main arguments: the longevity of cartels tends to be increased by the level of variety of age-based experience and power disparity between partners but reduced by their level of separation in uncertainty avoidance. Implications for the literature on organizational misconduct are discussed. [ABSTRACT FROM AUTHOR]; Copyright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ertrand","given":"Olivier","non-dropping-particle":"","parse-names":false,"suffix":""},{"dropping-particle":"","family":"Lumineau","given":"Fabrice","non-dropping-particle":"","parse-names":false,"suffix":""}],"container-title":"Academy of Management Journal","id":"ITEM-2","issue":"3","issued":{"date-parts":[["2016"]]},"note":"BERTRAND, OLIVIER 1; Email Address: olivier.bertrand@skema.edu; LUMINEAU, FABRICE 2; Email Address: lumineau@purdue.edu; Affiliations: 1: SKEMA Business School; 2: Purdue University; Issue Info: Jun2016, Vol. 59 Issue 3, p983; Number of Pages: 26p; Document Type: Article","page":"983-1008","title":"Partners in crime: The effects of diversity on the longevity of cartels","type":"article-journal","volume":"59"},"uris":["http://www.mendeley.com/documents/?uuid=70541e95-3c2c-4f3f-91ef-5d24ccd161e1"]}],"mendeley":{"formattedCitation":"Pinto, Leana, and Pil, “Corrupt Organizations or Organizations of Corrupt Individuals? Two Types of Organization-Level Corruption”; Bertrand and Lumineau, “Partners in Crime: The Effects of Diversity on the Longevity of Cartels.”","manualFormatting":"Pinto, Leana, and Pil, “Corrupt Organizations”; Bertrand and Lumineau, “Partners in Crime”","plainTextFormattedCitation":"Pinto, Leana, and Pil, “Corrupt Organizations or Organizations of Corrupt Individuals? Two Types of Organization-Level Corruption”; Bertrand and Lumineau, “Partners in Crime: The Effects of Diversity on the Longevity of Cartels.”","previouslyFormattedCitation":"Pinto, Leana, and Pil, “Corrupt Organizations or Organizations of Corrupt Individuals? Two Types of Organization-Level Corruption”; Bertrand and Lumineau, “Partners in Crime: The Effects of Diversity on the Longevity of Cartels.”"},"properties":{"noteIndex":0},"schema":"https://github.com/citation-style-language/schema/raw/master/csl-citation.json"}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Pinto, Leana, and Pil, “Corrupt Organizations”; Bertrand and Lumineau, “Partners in Crime”</w:t>
      </w:r>
      <w:r w:rsidRPr="00FC3C61">
        <w:rPr>
          <w:rFonts w:cs="Times New Roman"/>
          <w:sz w:val="22"/>
          <w:szCs w:val="22"/>
        </w:rPr>
        <w:fldChar w:fldCharType="end"/>
      </w:r>
    </w:p>
  </w:endnote>
  <w:endnote w:id="153">
    <w:p w14:paraId="7E91A2F5" w14:textId="5A771306"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2817AF" w:rsidRPr="00FC3C61">
        <w:rPr>
          <w:rFonts w:cs="Times New Roman"/>
          <w:sz w:val="22"/>
          <w:szCs w:val="22"/>
        </w:rPr>
        <w:instrText>ADDIN CSL_CITATION {"citationItems":[{"id":"ITEM-1","itemData":{"author":[{"dropping-particle":"","family":"FERC","given":"","non-dropping-particle":"","parse-names":false,"suffix":""}],"id":"ITEM-1","issue":"PA02-2-000","issued":{"date-parts":[["2003"]]},"title":"Final Report on Price Manipulation In Western Markets","type":"report"},"uris":["http://www.mendeley.com/documents/?uuid=127ee563-edb4-42e5-a1db-b4361bd40bac"]}],"mendeley":{"formattedCitation":"FERC, “Final Report on Price Manipulation In Western Markets.”","manualFormatting":"FERC, “Final Report,”","plainTextFormattedCitation":"FERC, “Final Report on Price Manipulation In Western Markets.”","previouslyFormattedCitation":"FERC, “Final Report on Price Manipulation In Western Markets.”"},"properties":{"noteIndex":0},"schema":"https://github.com/citation-style-language/schema/raw/master/csl-citation.json"}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FERC, “Final Report,”</w:t>
      </w:r>
      <w:r w:rsidRPr="00FC3C61">
        <w:rPr>
          <w:rFonts w:cs="Times New Roman"/>
          <w:sz w:val="22"/>
          <w:szCs w:val="22"/>
        </w:rPr>
        <w:fldChar w:fldCharType="end"/>
      </w:r>
      <w:r w:rsidRPr="00FC3C61">
        <w:rPr>
          <w:rFonts w:cs="Times New Roman"/>
          <w:sz w:val="22"/>
          <w:szCs w:val="22"/>
        </w:rPr>
        <w:t xml:space="preserve"> VI-40.</w:t>
      </w:r>
    </w:p>
  </w:endnote>
  <w:endnote w:id="154">
    <w:p w14:paraId="5B01B69D" w14:textId="476D0619" w:rsidR="0093268D" w:rsidRPr="00FC3C61" w:rsidRDefault="0093268D" w:rsidP="004E6FEF">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{"citationItems":[{"id":"ITEM-1","itemData":{"abstract":"Despite the importance of organizational misconduct, still not much is known about coordinated misconduct between firms. In this study, we seek a better understanding of how the profile of the partners involved in cartels affects the longevity of their joint misconduct activities. Drawing upon diversity theory, we leverage a distinction between three types of diversity--variety of age-based experience, separation in uncertainty avoidance, and power disparity--in collective organizational misconduct between firms, and study their respective influence on the longevity of cartels. Our empirical analysis gives support to our main arguments: the longevity of cartels tends to be increased by the level of variety of age-based experience and power disparity between partners but reduced by their level of separation in uncertainty avoidance. Implications for the literature on organizational misconduct are discussed. [ABSTRACT FROM AUTHOR]; Copyright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Bertrand","given":"Olivier","non-dropping-particle":"","parse-names":false,"suffix":""},{"dropping-particle":"","family":"Lumineau","given":"Fabrice","non-dropping-particle":"","parse-names":false,"suffix":""}],"container-title":"Academy of Management Journal","id":"ITEM-1","issue":"3","issued":{"date-parts":[["2016"]]},"note":"BERTRAND, OLIVIER 1; Email Address: olivier.bertrand@skema.edu; LUMINEAU, FABRICE 2; Email Address: lumineau@purdue.edu; Affiliations: 1: SKEMA Business School; 2: Purdue University; Issue Info: Jun2016, Vol. 59 Issue 3, p983; Number of Pages: 26p; Document Type: Article","page":"983-1008","title":"Partners in crime: The effects of diversity on the longevity of cartels","type":"article-journal","volume":"59"},"uris":["http://www.mendeley.com/documents/?uuid=70541e95-3c2c-4f3f-91ef-5d24ccd161e1"]}],"mendeley":{"formattedCitation":"Bertrand and Lumineau, “Partners in Crime: The Effects of Diversity on the Longevity of Cartels.”","plainTextFormattedCitation":"Bertrand and Lumineau, “Partners in Crime: The Effects of Diversity on the Longevity of Cartels.”","previouslyFormattedCitation":"Bertrand and Lumineau, “Partners in Crime: The Effects of Diversity on the Longevity of Cartels.”"},"properties":{"noteIndex":0},"schema":"https://github.com/citation-style-language/schema/raw/master/csl-citation.json"}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Bertrand and Lumineau, “Partners in Crime: The Effects of Diversity on the Longevity of Cartels.”</w:t>
      </w:r>
      <w:r w:rsidRPr="00FC3C61">
        <w:rPr>
          <w:rFonts w:cs="Times New Roman"/>
          <w:sz w:val="22"/>
          <w:szCs w:val="22"/>
        </w:rPr>
        <w:fldChar w:fldCharType="end"/>
      </w:r>
      <w:r w:rsidRPr="00FC3C61">
        <w:rPr>
          <w:rFonts w:cs="Times New Roman"/>
          <w:sz w:val="22"/>
          <w:szCs w:val="22"/>
        </w:rPr>
        <w:t xml:space="preserve"> Additionally, the use of cartels within business has distinct historical and theoretical significance, which is not exclusively </w:t>
      </w:r>
      <w:r w:rsidRPr="00FC3C61">
        <w:rPr>
          <w:rFonts w:cs="Times New Roman"/>
          <w:i/>
          <w:iCs/>
          <w:sz w:val="22"/>
          <w:szCs w:val="22"/>
        </w:rPr>
        <w:t>illicit</w:t>
      </w:r>
      <w:r w:rsidRPr="00FC3C61">
        <w:rPr>
          <w:rFonts w:cs="Times New Roman"/>
          <w:sz w:val="22"/>
          <w:szCs w:val="22"/>
        </w:rPr>
        <w:t xml:space="preserve"> in nature.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{"citationItems":[{"id":"ITEM-1","itemData":{"author":[{"dropping-particle":"","family":"Fear","given":"Jeffrey","non-dropping-particle":"","parse-names":false,"suffix":""}],"container-title":"The Oxford handbook of business history","editor":[{"dropping-particle":"","family":"Jones","given":"G","non-dropping-particle":"","parse-names":false,"suffix":""},{"dropping-particle":"","family":"Zeitlin","given":"J","non-dropping-particle":"","parse-names":false,"suffix":""}],"id":"ITEM-1","issued":{"date-parts":[["2008"]]},"publisher-place":"Oxford","title":"Cartels","type":"chapter"},"uris":["http://www.mendeley.com/documents/?uuid=939db1df-a79f-460e-9049-1b26564757d6"]}],"mendeley":{"formattedCitation":"Jeffrey Fear, “Cartels,” in &lt;i&gt;The Oxford Handbook of Business History&lt;/i&gt;, ed. G Jones and J Zeitlin (Oxford, 2008).","plainTextFormattedCitation":"Jeffrey Fear, “Cartels,” in The Oxford Handbook of Business History, ed. G Jones and J Zeitlin (Oxford, 2008).","previouslyFormattedCitation":"Jeffrey Fear, “Cartels,” in &lt;i&gt;The Oxford Handbook of Business History&lt;/i&gt;, ed. G Jones and J Zeitlin (Oxford, 2008)."},"properties":{"noteIndex":0},"schema":"https://github.com/citation-style-language/schema/raw/master/csl-citation.json"}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Jeffrey Fear, “Cartels,” in </w:t>
      </w:r>
      <w:r w:rsidRPr="00FC3C61">
        <w:rPr>
          <w:rFonts w:cs="Times New Roman"/>
          <w:i/>
          <w:noProof/>
          <w:sz w:val="22"/>
          <w:szCs w:val="22"/>
        </w:rPr>
        <w:t>The Oxford Handbook of Business History</w:t>
      </w:r>
      <w:r w:rsidRPr="00FC3C61">
        <w:rPr>
          <w:rFonts w:cs="Times New Roman"/>
          <w:noProof/>
          <w:sz w:val="22"/>
          <w:szCs w:val="22"/>
        </w:rPr>
        <w:t>, ed. G Jones and J Zeitlin (Oxford, 2008).</w:t>
      </w:r>
      <w:r w:rsidRPr="00FC3C61">
        <w:rPr>
          <w:rFonts w:cs="Times New Roman"/>
          <w:sz w:val="22"/>
          <w:szCs w:val="22"/>
        </w:rPr>
        <w:fldChar w:fldCharType="end"/>
      </w:r>
    </w:p>
  </w:endnote>
  <w:endnote w:id="155">
    <w:p w14:paraId="00F98BD9" w14:textId="7CE6EDEE"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00D720EE" w:rsidRPr="00FC3C61">
        <w:rPr>
          <w:rFonts w:cs="Times New Roman"/>
          <w:sz w:val="22"/>
          <w:szCs w:val="22"/>
        </w:rPr>
        <w:fldChar w:fldCharType="begin" w:fldLock="1"/>
      </w:r>
      <w:r w:rsidR="002F3BAD" w:rsidRPr="00FC3C61">
        <w:rPr>
          <w:rFonts w:cs="Times New Roman"/>
          <w:sz w:val="22"/>
          <w:szCs w:val="22"/>
        </w:rPr>
        <w:instrText>ADDIN CSL_CITATION {"citationItems":[{"id":"ITEM-1","itemData":{"author":[{"dropping-particle":"","family":"Brooks","given":"John","non-dropping-particle":"","parse-names":false,"suffix":""}],"container-title":"Business Adventurs","id":"ITEM-1","issued":{"date-parts":[["2019"]]},"page":"227-255","publisher-place":"London","title":"The Impacted Philosphers","type":"chapter"},"locator":"234-236","uris":["http://www.mendeley.com/documents/?uuid=abb977bd-758d-4c1b-b3ee-f7d3c9249c54"]}],"mendeley":{"formattedCitation":"Brooks, “The Impacted Philosphers,” 234–36.","plainTextFormattedCitation":"Brooks, “The Impacted Philosphers,” 234–36.","previouslyFormattedCitation":"Brooks, “The Impacted Philosphers,” 234–36."},"properties":{"noteIndex":0},"schema":"https://github.com/citation-style-language/schema/raw/master/csl-citation.json"}</w:instrText>
      </w:r>
      <w:r w:rsidR="00D720EE" w:rsidRPr="00FC3C61">
        <w:rPr>
          <w:rFonts w:cs="Times New Roman"/>
          <w:sz w:val="22"/>
          <w:szCs w:val="22"/>
        </w:rPr>
        <w:fldChar w:fldCharType="separate"/>
      </w:r>
      <w:r w:rsidR="00F266B3" w:rsidRPr="00FC3C61">
        <w:rPr>
          <w:rFonts w:cs="Times New Roman"/>
          <w:noProof/>
          <w:sz w:val="22"/>
          <w:szCs w:val="22"/>
        </w:rPr>
        <w:t>Brooks, “The Impacted Philosphers,” 234–36.</w:t>
      </w:r>
      <w:r w:rsidR="00D720EE" w:rsidRPr="00FC3C61">
        <w:rPr>
          <w:rFonts w:cs="Times New Roman"/>
          <w:sz w:val="22"/>
          <w:szCs w:val="22"/>
        </w:rPr>
        <w:fldChar w:fldCharType="end"/>
      </w:r>
      <w:r w:rsidR="00D720EE" w:rsidRPr="00FC3C61">
        <w:rPr>
          <w:rFonts w:cs="Times New Roman"/>
          <w:sz w:val="22"/>
          <w:szCs w:val="22"/>
        </w:rPr>
        <w:t xml:space="preserve"> </w:t>
      </w:r>
      <w:r w:rsidRPr="00FC3C61">
        <w:rPr>
          <w:rFonts w:cs="Times New Roman"/>
          <w:sz w:val="22"/>
          <w:szCs w:val="22"/>
        </w:rPr>
        <w:t>G.E. manager</w:t>
      </w:r>
      <w:r w:rsidR="006B5661" w:rsidRPr="00FC3C61">
        <w:rPr>
          <w:rFonts w:cs="Times New Roman"/>
          <w:sz w:val="22"/>
          <w:szCs w:val="22"/>
        </w:rPr>
        <w:t>s</w:t>
      </w:r>
      <w:r w:rsidRPr="00FC3C61">
        <w:rPr>
          <w:rFonts w:cs="Times New Roman"/>
          <w:sz w:val="22"/>
          <w:szCs w:val="22"/>
        </w:rPr>
        <w:t xml:space="preserve"> </w:t>
      </w:r>
      <w:r w:rsidR="006B5661" w:rsidRPr="00FC3C61">
        <w:rPr>
          <w:rFonts w:cs="Times New Roman"/>
          <w:sz w:val="22"/>
          <w:szCs w:val="22"/>
        </w:rPr>
        <w:t>knowingly</w:t>
      </w:r>
      <w:r w:rsidRPr="00FC3C61">
        <w:rPr>
          <w:rFonts w:cs="Times New Roman"/>
          <w:sz w:val="22"/>
          <w:szCs w:val="22"/>
        </w:rPr>
        <w:t xml:space="preserve"> </w:t>
      </w:r>
      <w:r w:rsidRPr="00FC3C61">
        <w:rPr>
          <w:rFonts w:cs="Times New Roman"/>
          <w:color w:val="000000" w:themeColor="text1"/>
          <w:sz w:val="22"/>
          <w:szCs w:val="22"/>
        </w:rPr>
        <w:t>act</w:t>
      </w:r>
      <w:r w:rsidR="00F266B3" w:rsidRPr="00FC3C61">
        <w:rPr>
          <w:rFonts w:cs="Times New Roman"/>
          <w:color w:val="000000" w:themeColor="text1"/>
          <w:sz w:val="22"/>
          <w:szCs w:val="22"/>
        </w:rPr>
        <w:t>ed</w:t>
      </w:r>
      <w:r w:rsidRPr="00FC3C61">
        <w:rPr>
          <w:rFonts w:cs="Times New Roman"/>
          <w:color w:val="000000" w:themeColor="text1"/>
          <w:sz w:val="22"/>
          <w:szCs w:val="22"/>
        </w:rPr>
        <w:t xml:space="preserve"> </w:t>
      </w:r>
      <w:r w:rsidR="00F266B3" w:rsidRPr="00FC3C61">
        <w:rPr>
          <w:rFonts w:cs="Times New Roman"/>
          <w:color w:val="000000" w:themeColor="text1"/>
          <w:sz w:val="22"/>
          <w:szCs w:val="22"/>
        </w:rPr>
        <w:t>i</w:t>
      </w:r>
      <w:r w:rsidRPr="00FC3C61">
        <w:rPr>
          <w:rFonts w:cs="Times New Roman"/>
          <w:color w:val="000000" w:themeColor="text1"/>
          <w:sz w:val="22"/>
          <w:szCs w:val="22"/>
        </w:rPr>
        <w:t xml:space="preserve">n breach of company’s </w:t>
      </w:r>
      <w:r w:rsidR="00F266B3" w:rsidRPr="00FC3C61">
        <w:rPr>
          <w:rFonts w:cs="Times New Roman"/>
          <w:color w:val="000000" w:themeColor="text1"/>
          <w:sz w:val="22"/>
          <w:szCs w:val="22"/>
        </w:rPr>
        <w:t>regularly communicated “</w:t>
      </w:r>
      <w:r w:rsidRPr="00FC3C61">
        <w:rPr>
          <w:rFonts w:cs="Times New Roman"/>
          <w:color w:val="000000" w:themeColor="text1"/>
          <w:sz w:val="22"/>
          <w:szCs w:val="22"/>
        </w:rPr>
        <w:t>Policy Directive 20.5</w:t>
      </w:r>
      <w:r w:rsidR="00F266B3" w:rsidRPr="00FC3C61">
        <w:rPr>
          <w:rFonts w:cs="Times New Roman"/>
          <w:color w:val="000000" w:themeColor="text1"/>
          <w:sz w:val="22"/>
          <w:szCs w:val="22"/>
        </w:rPr>
        <w:t>” on competitor price agreements.</w:t>
      </w:r>
    </w:p>
  </w:endnote>
  <w:endnote w:id="156">
    <w:p w14:paraId="59F7370E" w14:textId="7B3FB1AC" w:rsidR="0093268D" w:rsidRPr="00FC3C61" w:rsidRDefault="0093268D" w:rsidP="004E6FEF">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Thus, providing in-depth, historical perspective on the process underl</w:t>
      </w:r>
      <w:r w:rsidR="003A1B34" w:rsidRPr="00FC3C61">
        <w:rPr>
          <w:rFonts w:cs="Times New Roman"/>
          <w:sz w:val="22"/>
          <w:szCs w:val="22"/>
        </w:rPr>
        <w:t>y</w:t>
      </w:r>
      <w:r w:rsidRPr="00FC3C61">
        <w:rPr>
          <w:rFonts w:cs="Times New Roman"/>
          <w:sz w:val="22"/>
          <w:szCs w:val="22"/>
        </w:rPr>
        <w:t xml:space="preserve">ing </w:t>
      </w:r>
      <w:r w:rsidR="006B11D0" w:rsidRPr="00FC3C61">
        <w:rPr>
          <w:rFonts w:cs="Times New Roman"/>
          <w:sz w:val="22"/>
          <w:szCs w:val="22"/>
        </w:rPr>
        <w:t>organizational</w:t>
      </w:r>
      <w:r w:rsidRPr="00FC3C61">
        <w:rPr>
          <w:rFonts w:cs="Times New Roman"/>
          <w:sz w:val="22"/>
          <w:szCs w:val="22"/>
        </w:rPr>
        <w:t xml:space="preserve"> corruption. See </w:t>
      </w:r>
      <w:r w:rsidRPr="00FC3C61">
        <w:rPr>
          <w:rFonts w:cs="Times New Roman"/>
          <w:sz w:val="22"/>
          <w:szCs w:val="22"/>
        </w:rPr>
        <w:fldChar w:fldCharType="begin" w:fldLock="1"/>
      </w:r>
      <w:r w:rsidRPr="00FC3C61">
        <w:rPr>
          <w:rFonts w:cs="Times New Roman"/>
          <w:sz w:val="22"/>
          <w:szCs w:val="22"/>
        </w:rPr>
        <w:instrText>ADDIN CSL_CITATION {"citationItems":[{"id":"ITEM-1","itemData":{"abstract":"Organizational corruption imposes a steep cost on society, easily dwarfing that of street crime. We examine how corruption becomes normalized, that is, embedded in the organization such that it is more or less taken for granted and perpetuated. We argue that three mutually reinforcing processes underlie normalization: (1) institutionalization, where an initial corrupt decision or act becomes embedded in structures and processes and thereby routinized; (2) rationalization, where self-serving ideologies develop to justify and perhaps even valorize corruption; and (3) socialization, where naı̈ve newcomers are induced to view corruption as permissible if not desirable. The model helps explain how otherwise morally upright individuals can routinely engage in corruption without experiencing conflict, how corruption can persist despite the turnover of its initial practitioners, how seemingly rational organizations can engage in suicidal corruption and how an emphasis on the individual as evildoer misses the point that systems and individuals are mutually reinforcing.","author":[{"dropping-particle":"","family":"Ashforth","given":"Blake","non-dropping-particle":"","parse-names":false,"suffix":""},{"dropping-particle":"","family":"Anand","given":"Vikas","non-dropping-particle":"","parse-names":false,"suffix":""}],"container-title":"Research in Organizational Behavior","id":"ITEM-1","issued":{"date-parts":[["2003"]]},"page":"1-52","title":"The Normalization of Corruption in Organizations","type":"article-journal","volume":"25"},"uris":["http://www.mendeley.com/documents/?uuid=a6317bb9-2d8c-480e-92af-40ca787c57cd"]}],"mendeley":{"formattedCitation":"Ashforth and Anand, “The Normalization of Corruption in Organizations.”","plainTextFormattedCitation":"Ashforth and Anand, “The Normalization of Corruption in Organizations.”","previouslyFormattedCitation":"Ashforth and Anand, “The Normalization of Corruption in Organizations.”"},"properties":{"noteIndex":0},"schema":"https://github.com/citation-style-language/schema/raw/master/csl-citation.json"}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Ashforth and Anand, “The Normalization of Corruption in Organizations.”</w:t>
      </w:r>
      <w:r w:rsidRPr="00FC3C61">
        <w:rPr>
          <w:rFonts w:cs="Times New Roman"/>
          <w:sz w:val="22"/>
          <w:szCs w:val="22"/>
        </w:rPr>
        <w:fldChar w:fldCharType="end"/>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{"citationItems":[{"id":"ITEM-1","itemData":{"ISSN":"0191-3085","abstract":"Organizational wrongdoing consists of behavior perpetrated by organizational officials (i.e., directors, managers, and/or employees) in the course of fulfilling their organizational roles that is judged by social control agents (i.e., prosecutors, regulatory agency officials, judges, journalists, etc.) to be illegal, unethical, or socially irresponsible. Collective organizational wrongdoing involves the sustained coordination of multiple organizational participants. We review the dominant explanation of collective organizational wrongdoing, delve into its two main variants, and provide illustrations of each. We then provide an overview of an alternative explanation of collective wrongdoing, the process model of collective corruption. This sets the stage for our main contribution—a five part extension of the process model of collective corruption. Our investigation proceeds through a series of analyses, each of which begins with an elaboration of existing ideas about collective organizational wrongdoing, proceeds to an extension of these ideas, and concludes with an illustration of the extension. Our illustrations are drawn from case studies that include thick descriptions of organizational wrongdoing, which provide detailed information about the actions, thoughts, and emotions of wrongdoers as they become involved in wrongdoing. We conclude by considering the theoretical and policy implications of the alternative perspective on collective wrongdoing.","author":[{"dropping-particle":"","family":"Palmer","given":"Donald","non-dropping-particle":"","parse-names":false,"suffix":""}],"container-title":"Research in Organizational Behavior","id":"ITEM-1","issued":{"date-parts":[["2008"]]},"page":"107-135","title":"Extending the process model of collective corruption","type":"article-journal","volume":"28"},"uris":["http://www.mendeley.com/documents/?uuid=0e6f1368-aa53-41bd-9886-bf6a3f1a867f"]}],"mendeley":{"formattedCitation":"Palmer, “Extending the Process Model of Collective Corruption.”","plainTextFormattedCitation":"Palmer, “Extending the Process Model of Collective Corruption.”","previouslyFormattedCitation":"Palmer, “Extending the Process Model of Collective Corruption.”"},"properties":{"noteIndex":0},"schema":"https://github.com/citation-style-language/schema/raw/master/csl-citation.json"}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Palmer, “Extending the Process Model of Collective Corruption.”</w:t>
      </w:r>
      <w:r w:rsidRPr="00FC3C61">
        <w:rPr>
          <w:rFonts w:cs="Times New Roman"/>
          <w:sz w:val="22"/>
          <w:szCs w:val="22"/>
        </w:rPr>
        <w:fldChar w:fldCharType="end"/>
      </w:r>
    </w:p>
  </w:endnote>
  <w:endnote w:id="157">
    <w:p w14:paraId="7C07F138" w14:textId="77777777" w:rsidR="0093268D" w:rsidRPr="00FC3C61" w:rsidRDefault="0093268D" w:rsidP="004E6FEF">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{"citationItems":[{"id":"ITEM-1","itemData":{"ISBN":"0226851761","author":[{"dropping-particle":"","family":"Vaughan","given":"Diane","non-dropping-particle":"","parse-names":false,"suffix":""}],"id":"ITEM-1","issued":{"date-parts":[["1996"]]},"publisher":"University of Chicago press","title":"The Challenger launch decision: Risky technology, culture, and deviance at NASA","type":"book"},"uris":["http://www.mendeley.com/documents/?uuid=0eec52a0-451d-43d1-85ab-314628e40106"]}],"mendeley":{"formattedCitation":"Diane Vaughan, &lt;i&gt;The Challenger Launch Decision: Risky Technology, Culture, and Deviance at NASA&lt;/i&gt; (University of Chicago press, 1996).","manualFormatting":"Diane Vaughan, The Challenger Launch Decision: Risky Technology, Culture, and Deviance at NASA (Chicago, 1996).","plainTextFormattedCitation":"Diane Vaughan, The Challenger Launch Decision: Risky Technology, Culture, and Deviance at NASA (University of Chicago press, 1996).","previouslyFormattedCitation":"Diane Vaughan, &lt;i&gt;The Challenger Launch Decision: Risky Technology, Culture, and Deviance at NASA&lt;/i&gt; (University of Chicago press, 1996)."},"properties":{"noteIndex":0},"schema":"https://github.com/citation-style-language/schema/raw/master/csl-citation.json"}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Diane Vaughan, </w:t>
      </w:r>
      <w:r w:rsidRPr="00FC3C61">
        <w:rPr>
          <w:rFonts w:cs="Times New Roman"/>
          <w:i/>
          <w:noProof/>
          <w:sz w:val="22"/>
          <w:szCs w:val="22"/>
        </w:rPr>
        <w:t>The Challenger Launch Decision: Risky Technology, Culture, and Deviance at NASA</w:t>
      </w:r>
      <w:r w:rsidRPr="00FC3C61">
        <w:rPr>
          <w:rFonts w:cs="Times New Roman"/>
          <w:noProof/>
          <w:sz w:val="22"/>
          <w:szCs w:val="22"/>
        </w:rPr>
        <w:t xml:space="preserve"> (Chicago, 1996).</w:t>
      </w:r>
      <w:r w:rsidRPr="00FC3C61">
        <w:rPr>
          <w:rFonts w:cs="Times New Roman"/>
          <w:sz w:val="22"/>
          <w:szCs w:val="22"/>
        </w:rPr>
        <w:fldChar w:fldCharType="end"/>
      </w:r>
    </w:p>
  </w:endnote>
  <w:endnote w:id="158">
    <w:p w14:paraId="2BA3884C" w14:textId="77777777" w:rsidR="0093268D" w:rsidRPr="00FC3C61" w:rsidRDefault="0093268D" w:rsidP="004E6FEF">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{"citationItems":[{"id":"ITEM-1","itemData":{"author":[{"dropping-particle":"","family":"Klerk","given":"Jeremias","non-dropping-particle":"De","parse-names":false,"suffix":""}],"container-title":"Journal of Management Inquiry","id":"ITEM-1","issue":"3","issued":{"date-parts":[["2017"]]},"note":"Times Cited: 0; Si; 0; 1552-6542","page":"254-269","title":"\"The Devil made me do it!\" An inquiry into the unconscious \"devils within\" of rationalized corruption","type":"article-journal","volume":"26"},"uris":["http://www.mendeley.com/documents/?uuid=643920a1-b4ce-49c1-95df-4b9ee8516f44"]},{"id":"ITEM-2","itemData":{"abstract":"In attempting to uncover the roots of juvenile delinquency, the social scientist has long since ceased to search for devils in the mind or stigma of the body. It is now largely agreed that delinquent behavior, like most social behavior, is learned and that it is learned in the process of social interaction. The classic statement of this position is found in sociologist E.H. Sutherland's theory of differential association, which asserts that criminal or delinquent behavior involves the learning of (a) techniques of committing crimes and (b) motives, drives, rationalizations, and attitudes favorable to the violation of law. Unfortunately, the specific content of what is learned as opposed to the process by which it is learned has received relatively little attention in either theory or research. Perhaps the single strongest school of thought on the nature of this content has centered on the idea of a delinquent sub-culture. The basic characteristic of the delinquent sub-culture, it is argued, is a system of values that represents an inversion of the values held by respectable, law-abiding society.","author":[{"dropping-particle":"","family":"Sykes","given":"Gresham","non-dropping-particle":"","parse-names":false,"suffix":""},{"dropping-particle":"","family":"Matza","given":"David","non-dropping-particle":"","parse-names":false,"suffix":""}],"container-title":"American Sociological Review","id":"ITEM-2","issue":"6","issued":{"date-parts":[["1957"]]},"note":"Sykes, Gresham M. 1; Matza, David 2; Affiliations: 1 : Princeton University; 2 : Temple University; Source Info: Dec57, Vol. 22 Issue 6, p664; Thesaurus Term: Juvenile delinquency; Thesaurus Term: Neutralization theory; Thesaurus Term: Social sciences; Thesaurus Term: Social interaction; Thesaurus Term: Interpersonal relations; Thesaurus Term: Differential association theory; Number of Pages: 7p; Document Type: Article","page":"664-670","title":"Techniques of neutralization: A theory of delinquency","type":"article-journal","volume":"22"},"uris":["http://www.mendeley.com/documents/?uuid=d84298a4-991f-4586-831d-a07a2339086b"]},{"id":"ITEM-3","itemData":{"ISSN":"0022-2437","author":[{"dropping-particle":"","family":"Mazar","given":"Nina","non-dropping-particle":"","parse-names":false,"suffix":""},{"dropping-particle":"","family":"Amir","given":"On","non-dropping-particle":"","parse-names":false,"suffix":""},{"dropping-particle":"","family":"Ariely","given":"Dan","non-dropping-particle":"","parse-names":false,"suffix":""}],"container-title":"Journal of marketing research","id":"ITEM-3","issue":"6","issued":{"date-parts":[["2008"]]},"page":"633-644","title":"The dishonesty of honest people: A theory of self-concept maintenance","type":"article-journal","volume":"45"},"uris":["http://www.mendeley.com/documents/?uuid=31d44ca3-1b3a-486e-a3a1-39ef88bc7ec4"]}],"mendeley":{"formattedCitation":"Jeremias De Klerk, “‘The Devil Made Me Do It!’ An Inquiry into the Unconscious ‘Devils within’ of Rationalized Corruption,” &lt;i&gt;Journal of Management Inquiry&lt;/i&gt; 26, no. 3 (2017): 254–69; Sykes and Matza, “Techniques of Neutralization: A Theory of Delinquency”; Mazar, Amir, and Ariely, “The Dishonesty of Honest People: A Theory of Self-Concept Maintenance.”","plainTextFormattedCitation":"Jeremias De Klerk, “‘The Devil Made Me Do It!’ An Inquiry into the Unconscious ‘Devils within’ of Rationalized Corruption,” Journal of Management Inquiry 26, no. 3 (2017): 254–69; Sykes and Matza, “Techniques of Neutralization: A Theory of Delinquency”; Mazar, Amir, and Ariely, “The Dishonesty of Honest People: A Theory of Self-Concept Maintenance.”","previouslyFormattedCitation":"Jeremias De Klerk, “‘The Devil Made Me Do It!’ An Inquiry into the Unconscious ‘Devils within’ of Rationalized Corruption,” &lt;i&gt;Journal of Management Inquiry&lt;/i&gt; 26, no. 3 (2017): 254–69; Sykes and Matza, “Techniques of Neutralization: A Theory of Delinquency”; Mazar, Amir, and Ariely, “The Dishonesty of Honest People: A Theory of Self-Concept Maintenance.”"},"properties":{"noteIndex":0},"schema":"https://github.com/citation-style-language/schema/raw/master/csl-citation.json"}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Jeremias De Klerk, “‘The Devil Made Me Do It!’ An Inquiry into the Unconscious ‘Devils within’ of Rationalized Corruption,” </w:t>
      </w:r>
      <w:r w:rsidRPr="00FC3C61">
        <w:rPr>
          <w:rFonts w:cs="Times New Roman"/>
          <w:i/>
          <w:noProof/>
          <w:sz w:val="22"/>
          <w:szCs w:val="22"/>
        </w:rPr>
        <w:t>Journal of Management Inquiry</w:t>
      </w:r>
      <w:r w:rsidRPr="00FC3C61">
        <w:rPr>
          <w:rFonts w:cs="Times New Roman"/>
          <w:noProof/>
          <w:sz w:val="22"/>
          <w:szCs w:val="22"/>
        </w:rPr>
        <w:t xml:space="preserve"> 26, no. 3 (2017): 254–69; Sykes and Matza, “Techniques of Neutralization: A Theory of Delinquency”; Mazar, Amir, and Ariely, “The Dishonesty of Honest People: A Theory of Self-Concept Maintenance.”</w:t>
      </w:r>
      <w:r w:rsidRPr="00FC3C61">
        <w:rPr>
          <w:rFonts w:cs="Times New Roman"/>
          <w:sz w:val="22"/>
          <w:szCs w:val="22"/>
        </w:rPr>
        <w:fldChar w:fldCharType="end"/>
      </w:r>
    </w:p>
  </w:endnote>
  <w:endnote w:id="159">
    <w:p w14:paraId="3BB091E5" w14:textId="55901928" w:rsidR="0093268D" w:rsidRPr="00FC3C61" w:rsidRDefault="0093268D" w:rsidP="004E6FEF">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This aligns with Vaughan’s analysis of the Challenger disaster, whereby an inter-organizational ‘work group culture’ influenced the interpretation of information and decision making in a manner particular (if concordant with) wider </w:t>
      </w:r>
      <w:r w:rsidR="006B11D0" w:rsidRPr="00FC3C61">
        <w:rPr>
          <w:rFonts w:cs="Times New Roman"/>
          <w:sz w:val="22"/>
          <w:szCs w:val="22"/>
        </w:rPr>
        <w:t>organizational</w:t>
      </w:r>
      <w:r w:rsidRPr="00FC3C61">
        <w:rPr>
          <w:rFonts w:cs="Times New Roman"/>
          <w:sz w:val="22"/>
          <w:szCs w:val="22"/>
        </w:rPr>
        <w:t xml:space="preserve"> norms. </w:t>
      </w:r>
      <w:r w:rsidRPr="00FC3C61">
        <w:rPr>
          <w:rFonts w:cs="Times New Roman"/>
          <w:i/>
          <w:iCs/>
          <w:sz w:val="22"/>
          <w:szCs w:val="22"/>
        </w:rPr>
        <w:fldChar w:fldCharType="begin" w:fldLock="1"/>
      </w:r>
      <w:r w:rsidRPr="00FC3C61">
        <w:rPr>
          <w:rFonts w:cs="Times New Roman"/>
          <w:i/>
          <w:iCs/>
          <w:sz w:val="22"/>
          <w:szCs w:val="22"/>
        </w:rPr>
        <w:instrText>ADDIN CSL_CITATION {"citationItems":[{"id":"ITEM-1","itemData":{"ISBN":"0226851761","author":[{"dropping-particle":"","family":"Vaughan","given":"Diane","non-dropping-particle":"","parse-names":false,"suffix":""}],"id":"ITEM-1","issued":{"date-parts":[["1996"]]},"publisher":"University of Chicago press","title":"The Challenger launch decision: Risky technology, culture, and deviance at NASA","type":"book"},"uris":["http://www.mendeley.com/documents/?uuid=0eec52a0-451d-43d1-85ab-314628e40106"]}],"mendeley":{"formattedCitation":"Vaughan, &lt;i&gt;The Challenger Launch Decision: Risky Technology, Culture, and Deviance at NASA&lt;/i&gt;.","manualFormatting":"Vaughan, The Challenger Launch Decision, 394-396.","plainTextFormattedCitation":"Vaughan, The Challenger Launch Decision: Risky Technology, Culture, and Deviance at NASA.","previouslyFormattedCitation":"Vaughan, &lt;i&gt;The Challenger Launch Decision: Risky Technology, Culture, and Deviance at NASA&lt;/i&gt;."},"properties":{"noteIndex":0},"schema":"https://github.com/citation-style-language/schema/raw/master/csl-citation.json"}</w:instrText>
      </w:r>
      <w:r w:rsidRPr="00FC3C61">
        <w:rPr>
          <w:rFonts w:cs="Times New Roman"/>
          <w:i/>
          <w:iCs/>
          <w:sz w:val="22"/>
          <w:szCs w:val="22"/>
        </w:rPr>
        <w:fldChar w:fldCharType="separate"/>
      </w:r>
      <w:r w:rsidRPr="00FC3C61">
        <w:rPr>
          <w:rFonts w:cs="Times New Roman"/>
          <w:i/>
          <w:iCs/>
          <w:noProof/>
          <w:sz w:val="22"/>
          <w:szCs w:val="22"/>
        </w:rPr>
        <w:t xml:space="preserve">Vaughan, The Challenger Launch Decision, </w:t>
      </w:r>
      <w:r w:rsidRPr="00FC3C61">
        <w:rPr>
          <w:rFonts w:cs="Times New Roman"/>
          <w:noProof/>
          <w:sz w:val="22"/>
          <w:szCs w:val="22"/>
        </w:rPr>
        <w:t>394-396</w:t>
      </w:r>
      <w:r w:rsidRPr="00FC3C61">
        <w:rPr>
          <w:rFonts w:cs="Times New Roman"/>
          <w:i/>
          <w:iCs/>
          <w:noProof/>
          <w:sz w:val="22"/>
          <w:szCs w:val="22"/>
        </w:rPr>
        <w:t>.</w:t>
      </w:r>
      <w:r w:rsidRPr="00FC3C61">
        <w:rPr>
          <w:rFonts w:cs="Times New Roman"/>
          <w:i/>
          <w:iCs/>
          <w:sz w:val="22"/>
          <w:szCs w:val="22"/>
        </w:rPr>
        <w:fldChar w:fldCharType="end"/>
      </w:r>
      <w:r w:rsidRPr="00FC3C61">
        <w:rPr>
          <w:rFonts w:cs="Times New Roman"/>
          <w:sz w:val="22"/>
          <w:szCs w:val="22"/>
        </w:rPr>
        <w:t xml:space="preserve"> </w:t>
      </w:r>
    </w:p>
  </w:endnote>
  <w:endnote w:id="160">
    <w:p w14:paraId="4E154D94" w14:textId="37BE4EDF" w:rsidR="0093268D" w:rsidRPr="00FC3C61" w:rsidRDefault="0093268D" w:rsidP="00F55E07">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Pr="00FC3C61">
        <w:rPr>
          <w:rFonts w:cs="Times New Roman"/>
          <w:sz w:val="22"/>
          <w:szCs w:val="22"/>
        </w:rPr>
        <w:instrText>ADDIN CSL_CITATION {"citationItems":[{"id":"ITEM-1","itemData":{"author":[{"dropping-particle":"","family":"Black","given":"William K","non-dropping-particle":"","parse-names":false,"suffix":""}],"container-title":"Creighton L. Rev.","id":"ITEM-1","issued":{"date-parts":[["2010"]]},"page":"597","publisher":"HeinOnline","title":"Neo-classical economic theories, methodology, and praxis optimize criminogenic environments and produce recurrent, intensifying crises","type":"article-journal","volume":"44"},"uris":["http://www.mendeley.com/documents/?uuid=28a13bef-3219-48ee-b66d-8bec715b306a"]}],"mendeley":{"formattedCitation":"William K Black, “Neo-Classical Economic Theories, Methodology, and Praxis Optimize Criminogenic Environments and Produce Recurrent, Intensifying Crises,” &lt;i&gt;Creighton L. Rev.&lt;/i&gt; 44 (2010): 597.","manualFormatting":"William Black, “Neo-Classical Economic Theories, Methodology, and Praxis Optimize Criminogenic Environments and Produce Recurrent, Intensifying Crises,” Creighton L. Rev. 44 (2010): 597.","plainTextFormattedCitation":"William K Black, “Neo-Classical Economic Theories, Methodology, and Praxis Optimize Criminogenic Environments and Produce Recurrent, Intensifying Crises,” Creighton L. Rev. 44 (2010): 597.","previouslyFormattedCitation":"William K Black, “Neo-Classical Economic Theories, Methodology, and Praxis Optimize Criminogenic Environments and Produce Recurrent, Intensifying Crises,” &lt;i&gt;Creighton L. Rev.&lt;/i&gt; 44 (2010): 597."},"properties":{"noteIndex":0},"schema":"https://github.com/citation-style-language/schema/raw/master/csl-citation.json"}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William Black, “Neo-Classical Economic Theories, Methodology, and Praxis Optimize Criminogenic Environments and Produce Recurrent, Intensifying Crises,” </w:t>
      </w:r>
      <w:r w:rsidRPr="00FC3C61">
        <w:rPr>
          <w:rFonts w:cs="Times New Roman"/>
          <w:i/>
          <w:noProof/>
          <w:sz w:val="22"/>
          <w:szCs w:val="22"/>
        </w:rPr>
        <w:t>Creighton L. Rev.</w:t>
      </w:r>
      <w:r w:rsidRPr="00FC3C61">
        <w:rPr>
          <w:rFonts w:cs="Times New Roman"/>
          <w:noProof/>
          <w:sz w:val="22"/>
          <w:szCs w:val="22"/>
        </w:rPr>
        <w:t xml:space="preserve"> 44 (2010): 597.</w:t>
      </w:r>
      <w:r w:rsidRPr="00FC3C61">
        <w:rPr>
          <w:rFonts w:cs="Times New Roman"/>
          <w:sz w:val="22"/>
          <w:szCs w:val="22"/>
        </w:rPr>
        <w:fldChar w:fldCharType="end"/>
      </w:r>
    </w:p>
  </w:endnote>
  <w:endnote w:id="161">
    <w:p w14:paraId="224DF79E" w14:textId="5B2E2FED" w:rsidR="0093268D" w:rsidRPr="00FC3C61" w:rsidRDefault="0093268D" w:rsidP="00F55E07">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F83BD4" w:rsidRPr="00FC3C61">
        <w:rPr>
          <w:rFonts w:cs="Times New Roman"/>
          <w:sz w:val="22"/>
          <w:szCs w:val="22"/>
        </w:rPr>
        <w:instrText>ADDIN CSL_CITATION {"citationItems":[{"id":"ITEM-1","itemData":{"ISBN":"0691183074","author":[{"dropping-particle":"","family":"Balleisen","given":"Edward","non-dropping-particle":"","parse-names":false,"suffix":""}],"id":"ITEM-1","issued":{"date-parts":[["2018"]]},"publisher":"Princeton","title":"Fraud: An American History from Barnum to Madoff","type":"book"},"uris":["http://www.mendeley.com/documents/?uuid=de9554ab-6047-477f-a240-00b14d97d8c8"]}],"mendeley":{"formattedCitation":"Balleisen, &lt;i&gt;Fraud: An American History from Barnum to Madoff&lt;/i&gt;.","manualFormatting":"Balleisen, Fraud, 148-155.","plainTextFormattedCitation":"Balleisen, Fraud: An American History from Barnum to Madoff.","previouslyFormattedCitation":"Balleisen, &lt;i&gt;Fraud: An American History from Barnum to Madoff&lt;/i&gt;."},"properties":{"noteIndex":0},"schema":"https://github.com/citation-style-language/schema/raw/master/csl-citation.json"}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 xml:space="preserve">Balleisen, </w:t>
      </w:r>
      <w:r w:rsidRPr="00FC3C61">
        <w:rPr>
          <w:rFonts w:cs="Times New Roman"/>
          <w:i/>
          <w:noProof/>
          <w:sz w:val="22"/>
          <w:szCs w:val="22"/>
        </w:rPr>
        <w:t xml:space="preserve">Fraud, </w:t>
      </w:r>
      <w:r w:rsidRPr="00FC3C61">
        <w:rPr>
          <w:rFonts w:cs="Times New Roman"/>
          <w:iCs/>
          <w:noProof/>
          <w:sz w:val="22"/>
          <w:szCs w:val="22"/>
        </w:rPr>
        <w:t>148-155.</w:t>
      </w:r>
      <w:r w:rsidRPr="00FC3C61">
        <w:rPr>
          <w:rFonts w:cs="Times New Roman"/>
          <w:sz w:val="22"/>
          <w:szCs w:val="22"/>
        </w:rPr>
        <w:fldChar w:fldCharType="end"/>
      </w:r>
    </w:p>
  </w:endnote>
  <w:endnote w:id="162">
    <w:p w14:paraId="0C6B62BF" w14:textId="59C8694E"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Figures 1 and 3 are adapted from </w:t>
      </w:r>
      <w:r w:rsidRPr="00FC3C61">
        <w:rPr>
          <w:rFonts w:cs="Times New Roman"/>
          <w:sz w:val="22"/>
          <w:szCs w:val="22"/>
        </w:rPr>
        <w:fldChar w:fldCharType="begin" w:fldLock="1"/>
      </w:r>
      <w:r w:rsidRPr="00FC3C61">
        <w:rPr>
          <w:rFonts w:cs="Times New Roman"/>
          <w:sz w:val="22"/>
          <w:szCs w:val="22"/>
        </w:rPr>
        <w:instrText>ADDIN CSL_CITATION {"citationItems":[{"id":"ITEM-1","itemData":{"ISBN":"1582130647","author":[{"dropping-particle":"","family":"Weare","given":"Christopher","non-dropping-particle":"","parse-names":false,"suffix":""}],"id":"ITEM-1","issued":{"date-parts":[["2003"]]},"publisher":"Public Policy Instit. of CA","title":"The California electricity crisis: causes and policy options","type":"report"},"locator":"11","uris":["http://www.mendeley.com/documents/?uuid=9c972c28-dfef-47ff-9625-9509dead0d19"]}],"mendeley":{"formattedCitation":"Christopher Weare, “The California Electricity Crisis: Causes and Policy Options” (Public Policy Instit. of CA, 2003), 11, internal-pdf://0726605580/R_103CWR.pdf.","manualFormatting":"Christopher Weare, “The California Electricity Crisis: Causes and Policy Options” (Public Policy Instit. of CA, 2003), 11.","plainTextFormattedCitation":"Christopher Weare, “The California Electricity Crisis: Causes and Policy Options” (Public Policy Instit. of CA, 2003), 11, internal-pdf://0726605580/R_103CWR.pdf.","previouslyFormattedCitation":"Christopher Weare, “The California Electricity Crisis: Causes and Policy Options” (Public Policy Instit. of CA, 2003), 11, internal-pdf://0726605580/R_103CWR.pdf."},"properties":{"noteIndex":0},"schema":"https://github.com/citation-style-language/schema/raw/master/csl-citation.json"}</w:instrText>
      </w:r>
      <w:r w:rsidRPr="00FC3C61">
        <w:rPr>
          <w:rFonts w:cs="Times New Roman"/>
          <w:sz w:val="22"/>
          <w:szCs w:val="22"/>
        </w:rPr>
        <w:fldChar w:fldCharType="separate"/>
      </w:r>
      <w:r w:rsidRPr="00FC3C61">
        <w:rPr>
          <w:rFonts w:cs="Times New Roman"/>
          <w:noProof/>
          <w:sz w:val="22"/>
          <w:szCs w:val="22"/>
        </w:rPr>
        <w:t>Christopher Weare, “The California Electricity Crisis: Causes and Policy Options” (Public Policy Instit. of CA, 2003), 11.</w:t>
      </w:r>
      <w:r w:rsidRPr="00FC3C61">
        <w:rPr>
          <w:rFonts w:cs="Times New Roman"/>
          <w:sz w:val="22"/>
          <w:szCs w:val="22"/>
        </w:rPr>
        <w:fldChar w:fldCharType="end"/>
      </w:r>
    </w:p>
  </w:endnote>
  <w:endnote w:id="163">
    <w:p w14:paraId="06D88DF0" w14:textId="342F9BE5" w:rsidR="0093268D" w:rsidRPr="00FC3C61" w:rsidRDefault="0093268D" w:rsidP="003561BA">
      <w:pPr>
        <w:pStyle w:val="EndnoteText"/>
        <w:jc w:val="lef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Image adapted, with permission, from </w:t>
      </w:r>
      <w:r w:rsidRPr="00FC3C61">
        <w:rPr>
          <w:rFonts w:cs="Times New Roman"/>
          <w:color w:val="444444"/>
          <w:sz w:val="22"/>
          <w:szCs w:val="22"/>
          <w:shd w:val="clear" w:color="auto" w:fill="FFFFFF"/>
        </w:rPr>
        <w:t>The Western Electricity Coordinating Council (WECC) (</w:t>
      </w:r>
      <w:hyperlink r:id="rId2" w:history="1">
        <w:r w:rsidRPr="00FC3C61">
          <w:rPr>
            <w:rStyle w:val="Hyperlink"/>
            <w:rFonts w:cs="Times New Roman"/>
            <w:sz w:val="22"/>
            <w:szCs w:val="22"/>
          </w:rPr>
          <w:t>https://www.wecc.org/epubs/StateOfTheInterconnection/Pages/The-Bulk-Power-System.aspx</w:t>
        </w:r>
      </w:hyperlink>
      <w:r w:rsidRPr="00FC3C61">
        <w:rPr>
          <w:rFonts w:cs="Times New Roman"/>
          <w:sz w:val="22"/>
          <w:szCs w:val="22"/>
        </w:rPr>
        <w:t>)</w:t>
      </w:r>
    </w:p>
  </w:endnote>
  <w:endnote w:id="164">
    <w:p w14:paraId="07865E25" w14:textId="060B2D3B" w:rsidR="0093268D" w:rsidRPr="00FC3C61" w:rsidRDefault="0093268D">
      <w:pPr>
        <w:pStyle w:val="EndnoteText"/>
        <w:rPr>
          <w:rFonts w:cs="Times New Roman"/>
          <w:sz w:val="22"/>
          <w:szCs w:val="22"/>
        </w:rPr>
      </w:pPr>
      <w:r w:rsidRPr="00FC3C61">
        <w:rPr>
          <w:rStyle w:val="EndnoteReference"/>
          <w:rFonts w:cs="Times New Roman"/>
          <w:sz w:val="22"/>
          <w:szCs w:val="22"/>
        </w:rPr>
        <w:endnoteRef/>
      </w:r>
      <w:r w:rsidRPr="00FC3C61">
        <w:rPr>
          <w:rFonts w:cs="Times New Roman"/>
          <w:sz w:val="22"/>
          <w:szCs w:val="22"/>
        </w:rPr>
        <w:t xml:space="preserve"> </w:t>
      </w:r>
      <w:r w:rsidRPr="00FC3C61">
        <w:rPr>
          <w:rFonts w:cs="Times New Roman"/>
          <w:sz w:val="22"/>
          <w:szCs w:val="22"/>
        </w:rPr>
        <w:fldChar w:fldCharType="begin" w:fldLock="1"/>
      </w:r>
      <w:r w:rsidR="004200F5" w:rsidRPr="00FC3C61">
        <w:rPr>
          <w:rFonts w:cs="Times New Roman"/>
          <w:sz w:val="22"/>
          <w:szCs w:val="22"/>
        </w:rPr>
        <w:instrText>ADDIN CSL_CITATION {"citationItems":[{"id":"ITEM-1","itemData":{"author":[{"dropping-particle":"","family":"FERC","given":"","non-dropping-particle":"","parse-names":false,"suffix":""}],"collection-title":"119 FERC ¶ 63,013","id":"ITEM-1","issued":{"date-parts":[["2007"]]},"title":"Initial decision","type":"report"},"locator":"18-20, 36","uris":["http://www.mendeley.com/documents/?uuid=a94a3908-3dd8-4017-adbe-2cbcc71b4d83"]}],"mendeley":{"formattedCitation":"FERC, “Initial Decision,” 18–20, 36.","plainTextFormattedCitation":"FERC, “Initial Decision,” 18–20, 36.","previouslyFormattedCitation":"FERC, “Initial Decision,” 18–20, 36."},"properties":{"noteIndex":0},"schema":"https://github.com/citation-style-language/schema/raw/master/csl-citation.json"}</w:instrText>
      </w:r>
      <w:r w:rsidRPr="00FC3C61">
        <w:rPr>
          <w:rFonts w:cs="Times New Roman"/>
          <w:sz w:val="22"/>
          <w:szCs w:val="22"/>
        </w:rPr>
        <w:fldChar w:fldCharType="separate"/>
      </w:r>
      <w:r w:rsidR="004200F5" w:rsidRPr="00FC3C61">
        <w:rPr>
          <w:rFonts w:cs="Times New Roman"/>
          <w:noProof/>
          <w:sz w:val="22"/>
          <w:szCs w:val="22"/>
        </w:rPr>
        <w:t>FERC, “Initial Decision,” 18–20, 36.</w:t>
      </w:r>
      <w:r w:rsidRPr="00FC3C61">
        <w:rPr>
          <w:rFonts w:cs="Times New Roman"/>
          <w:sz w:val="22"/>
          <w:szCs w:val="22"/>
        </w:rPr>
        <w:fldChar w:fldCharType="end"/>
      </w:r>
    </w:p>
    <w:p w14:paraId="376B88AB" w14:textId="77777777" w:rsidR="0093268D" w:rsidRPr="00563C98" w:rsidRDefault="0093268D">
      <w:pPr>
        <w:pStyle w:val="EndnoteText"/>
        <w:rPr>
          <w:rFonts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4141"/>
      <w:docPartObj>
        <w:docPartGallery w:val="Page Numbers (Bottom of Page)"/>
        <w:docPartUnique/>
      </w:docPartObj>
    </w:sdtPr>
    <w:sdtEndPr>
      <w:rPr>
        <w:noProof/>
      </w:rPr>
    </w:sdtEndPr>
    <w:sdtContent>
      <w:p w14:paraId="044790D8" w14:textId="569AC788" w:rsidR="0093268D" w:rsidRDefault="0093268D">
        <w:pPr>
          <w:pStyle w:val="Footer"/>
          <w:jc w:val="center"/>
        </w:pPr>
        <w:r>
          <w:fldChar w:fldCharType="begin"/>
        </w:r>
        <w:r>
          <w:instrText xml:space="preserve"> PAGE   \* MERGEFORMAT </w:instrText>
        </w:r>
        <w:r>
          <w:fldChar w:fldCharType="separate"/>
        </w:r>
        <w:r w:rsidR="009633C0">
          <w:rPr>
            <w:noProof/>
          </w:rPr>
          <w:t>20</w:t>
        </w:r>
        <w:r>
          <w:rPr>
            <w:noProof/>
          </w:rPr>
          <w:fldChar w:fldCharType="end"/>
        </w:r>
      </w:p>
    </w:sdtContent>
  </w:sdt>
  <w:p w14:paraId="488C7430" w14:textId="77777777" w:rsidR="0093268D" w:rsidRDefault="0093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B4D1" w14:textId="77777777" w:rsidR="0064002A" w:rsidRDefault="0064002A" w:rsidP="000142AC">
      <w:pPr>
        <w:spacing w:after="0" w:line="240" w:lineRule="auto"/>
      </w:pPr>
      <w:r>
        <w:separator/>
      </w:r>
    </w:p>
  </w:footnote>
  <w:footnote w:type="continuationSeparator" w:id="0">
    <w:p w14:paraId="38699A01" w14:textId="77777777" w:rsidR="0064002A" w:rsidRDefault="0064002A" w:rsidP="00014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3D"/>
    <w:multiLevelType w:val="hybridMultilevel"/>
    <w:tmpl w:val="DFE26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33E3"/>
    <w:multiLevelType w:val="hybridMultilevel"/>
    <w:tmpl w:val="B188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D5BD1"/>
    <w:multiLevelType w:val="multilevel"/>
    <w:tmpl w:val="1F682BE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CA3CA5"/>
    <w:multiLevelType w:val="hybridMultilevel"/>
    <w:tmpl w:val="7568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94840"/>
    <w:multiLevelType w:val="hybridMultilevel"/>
    <w:tmpl w:val="18FC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5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AE73B1"/>
    <w:multiLevelType w:val="hybridMultilevel"/>
    <w:tmpl w:val="507E54E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1B7C1A13"/>
    <w:multiLevelType w:val="hybridMultilevel"/>
    <w:tmpl w:val="25BE6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24AD9"/>
    <w:multiLevelType w:val="hybridMultilevel"/>
    <w:tmpl w:val="658E5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4681B"/>
    <w:multiLevelType w:val="hybridMultilevel"/>
    <w:tmpl w:val="3202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E313D"/>
    <w:multiLevelType w:val="hybridMultilevel"/>
    <w:tmpl w:val="706A3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736A9"/>
    <w:multiLevelType w:val="hybridMultilevel"/>
    <w:tmpl w:val="68840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C01B3"/>
    <w:multiLevelType w:val="multilevel"/>
    <w:tmpl w:val="1F682BE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1F4FD1"/>
    <w:multiLevelType w:val="hybridMultilevel"/>
    <w:tmpl w:val="322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6470D"/>
    <w:multiLevelType w:val="hybridMultilevel"/>
    <w:tmpl w:val="D9704824"/>
    <w:lvl w:ilvl="0" w:tplc="0520F998">
      <w:start w:val="1"/>
      <w:numFmt w:val="lowerRoman"/>
      <w:lvlText w:val="%1."/>
      <w:lvlJc w:val="righ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085931"/>
    <w:multiLevelType w:val="hybridMultilevel"/>
    <w:tmpl w:val="DB446B46"/>
    <w:lvl w:ilvl="0" w:tplc="D0DE7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C57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D5300"/>
    <w:multiLevelType w:val="hybridMultilevel"/>
    <w:tmpl w:val="49CED1E2"/>
    <w:lvl w:ilvl="0" w:tplc="FB06B5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005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48155C"/>
    <w:multiLevelType w:val="multilevel"/>
    <w:tmpl w:val="5C546594"/>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DB34797"/>
    <w:multiLevelType w:val="hybridMultilevel"/>
    <w:tmpl w:val="4620C2FA"/>
    <w:lvl w:ilvl="0" w:tplc="D0DE7B0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010C81"/>
    <w:multiLevelType w:val="hybridMultilevel"/>
    <w:tmpl w:val="AD94A7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46DB08BD"/>
    <w:multiLevelType w:val="hybridMultilevel"/>
    <w:tmpl w:val="B1245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BB2874"/>
    <w:multiLevelType w:val="hybridMultilevel"/>
    <w:tmpl w:val="351E12D0"/>
    <w:lvl w:ilvl="0" w:tplc="87DEC1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8035B"/>
    <w:multiLevelType w:val="hybridMultilevel"/>
    <w:tmpl w:val="DF5C5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664EF2"/>
    <w:multiLevelType w:val="hybridMultilevel"/>
    <w:tmpl w:val="AF62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442B6"/>
    <w:multiLevelType w:val="hybridMultilevel"/>
    <w:tmpl w:val="EA601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8E13A4"/>
    <w:multiLevelType w:val="hybridMultilevel"/>
    <w:tmpl w:val="3766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B0EA5"/>
    <w:multiLevelType w:val="hybridMultilevel"/>
    <w:tmpl w:val="2BC44F04"/>
    <w:lvl w:ilvl="0" w:tplc="57CCAB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C6227"/>
    <w:multiLevelType w:val="hybridMultilevel"/>
    <w:tmpl w:val="75220118"/>
    <w:lvl w:ilvl="0" w:tplc="D0DE7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42050"/>
    <w:multiLevelType w:val="hybridMultilevel"/>
    <w:tmpl w:val="EC96C7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9"/>
  </w:num>
  <w:num w:numId="3">
    <w:abstractNumId w:val="20"/>
  </w:num>
  <w:num w:numId="4">
    <w:abstractNumId w:val="15"/>
  </w:num>
  <w:num w:numId="5">
    <w:abstractNumId w:val="0"/>
  </w:num>
  <w:num w:numId="6">
    <w:abstractNumId w:val="27"/>
  </w:num>
  <w:num w:numId="7">
    <w:abstractNumId w:val="24"/>
  </w:num>
  <w:num w:numId="8">
    <w:abstractNumId w:val="14"/>
  </w:num>
  <w:num w:numId="9">
    <w:abstractNumId w:val="23"/>
  </w:num>
  <w:num w:numId="10">
    <w:abstractNumId w:val="3"/>
  </w:num>
  <w:num w:numId="11">
    <w:abstractNumId w:val="7"/>
  </w:num>
  <w:num w:numId="12">
    <w:abstractNumId w:val="18"/>
  </w:num>
  <w:num w:numId="13">
    <w:abstractNumId w:val="6"/>
  </w:num>
  <w:num w:numId="14">
    <w:abstractNumId w:val="4"/>
  </w:num>
  <w:num w:numId="15">
    <w:abstractNumId w:val="10"/>
  </w:num>
  <w:num w:numId="16">
    <w:abstractNumId w:val="25"/>
  </w:num>
  <w:num w:numId="17">
    <w:abstractNumId w:val="17"/>
  </w:num>
  <w:num w:numId="18">
    <w:abstractNumId w:val="9"/>
  </w:num>
  <w:num w:numId="19">
    <w:abstractNumId w:val="8"/>
  </w:num>
  <w:num w:numId="20">
    <w:abstractNumId w:val="22"/>
  </w:num>
  <w:num w:numId="21">
    <w:abstractNumId w:val="26"/>
  </w:num>
  <w:num w:numId="22">
    <w:abstractNumId w:val="5"/>
  </w:num>
  <w:num w:numId="23">
    <w:abstractNumId w:val="19"/>
  </w:num>
  <w:num w:numId="24">
    <w:abstractNumId w:val="16"/>
  </w:num>
  <w:num w:numId="25">
    <w:abstractNumId w:val="12"/>
  </w:num>
  <w:num w:numId="26">
    <w:abstractNumId w:val="2"/>
  </w:num>
  <w:num w:numId="27">
    <w:abstractNumId w:val="30"/>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19"/>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NTQyNrcwMbYwMDdW0lEKTi0uzszPAykwNDSrBQCCC7biLgAAAA=="/>
    <w:docVar w:name="EN.InstantFormat" w:val="&lt;ENInstantFormat&gt;&lt;Enabled&gt;1&lt;/Enabled&gt;&lt;ScanUnformatted&gt;1&lt;/ScanUnformatted&gt;&lt;ScanChanges&gt;1&lt;/ScanChanges&gt;&lt;Suspended&gt;0&lt;/Suspended&gt;&lt;/ENInstantFormat&gt;"/>
    <w:docVar w:name="EN.Layout" w:val="&lt;ENLayout&gt;&lt;Style&gt;Chicago 17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arzz2d1f5azce225tvef57r0wdptzrvfwt&quot;&gt;PhD Research EndNote Library&lt;record-ids&gt;&lt;item&gt;96&lt;/item&gt;&lt;item&gt;100&lt;/item&gt;&lt;item&gt;102&lt;/item&gt;&lt;item&gt;106&lt;/item&gt;&lt;item&gt;117&lt;/item&gt;&lt;item&gt;172&lt;/item&gt;&lt;item&gt;230&lt;/item&gt;&lt;item&gt;231&lt;/item&gt;&lt;item&gt;274&lt;/item&gt;&lt;item&gt;293&lt;/item&gt;&lt;item&gt;707&lt;/item&gt;&lt;item&gt;998&lt;/item&gt;&lt;item&gt;999&lt;/item&gt;&lt;item&gt;1007&lt;/item&gt;&lt;item&gt;1011&lt;/item&gt;&lt;item&gt;1019&lt;/item&gt;&lt;item&gt;1032&lt;/item&gt;&lt;item&gt;1077&lt;/item&gt;&lt;item&gt;1081&lt;/item&gt;&lt;item&gt;1086&lt;/item&gt;&lt;item&gt;1087&lt;/item&gt;&lt;item&gt;1089&lt;/item&gt;&lt;item&gt;1092&lt;/item&gt;&lt;item&gt;1094&lt;/item&gt;&lt;item&gt;1095&lt;/item&gt;&lt;item&gt;1096&lt;/item&gt;&lt;item&gt;1098&lt;/item&gt;&lt;item&gt;1099&lt;/item&gt;&lt;item&gt;1102&lt;/item&gt;&lt;item&gt;1103&lt;/item&gt;&lt;item&gt;1104&lt;/item&gt;&lt;item&gt;1106&lt;/item&gt;&lt;item&gt;1109&lt;/item&gt;&lt;item&gt;1110&lt;/item&gt;&lt;item&gt;1111&lt;/item&gt;&lt;item&gt;1112&lt;/item&gt;&lt;item&gt;1116&lt;/item&gt;&lt;item&gt;1151&lt;/item&gt;&lt;item&gt;1153&lt;/item&gt;&lt;item&gt;1194&lt;/item&gt;&lt;item&gt;1203&lt;/item&gt;&lt;item&gt;1204&lt;/item&gt;&lt;item&gt;1205&lt;/item&gt;&lt;item&gt;1206&lt;/item&gt;&lt;item&gt;1209&lt;/item&gt;&lt;item&gt;1210&lt;/item&gt;&lt;item&gt;1211&lt;/item&gt;&lt;item&gt;1215&lt;/item&gt;&lt;item&gt;1216&lt;/item&gt;&lt;item&gt;1218&lt;/item&gt;&lt;item&gt;1219&lt;/item&gt;&lt;item&gt;1220&lt;/item&gt;&lt;item&gt;1221&lt;/item&gt;&lt;item&gt;1222&lt;/item&gt;&lt;item&gt;1225&lt;/item&gt;&lt;item&gt;1226&lt;/item&gt;&lt;item&gt;1227&lt;/item&gt;&lt;item&gt;1229&lt;/item&gt;&lt;item&gt;1230&lt;/item&gt;&lt;item&gt;1232&lt;/item&gt;&lt;item&gt;1233&lt;/item&gt;&lt;item&gt;1234&lt;/item&gt;&lt;item&gt;1235&lt;/item&gt;&lt;item&gt;1237&lt;/item&gt;&lt;item&gt;1238&lt;/item&gt;&lt;item&gt;1239&lt;/item&gt;&lt;item&gt;1244&lt;/item&gt;&lt;item&gt;1245&lt;/item&gt;&lt;item&gt;1246&lt;/item&gt;&lt;item&gt;1247&lt;/item&gt;&lt;item&gt;1248&lt;/item&gt;&lt;item&gt;1250&lt;/item&gt;&lt;item&gt;1252&lt;/item&gt;&lt;item&gt;1254&lt;/item&gt;&lt;item&gt;1255&lt;/item&gt;&lt;item&gt;1257&lt;/item&gt;&lt;item&gt;1261&lt;/item&gt;&lt;item&gt;1262&lt;/item&gt;&lt;item&gt;1263&lt;/item&gt;&lt;item&gt;1264&lt;/item&gt;&lt;item&gt;1265&lt;/item&gt;&lt;item&gt;1268&lt;/item&gt;&lt;item&gt;1269&lt;/item&gt;&lt;item&gt;1270&lt;/item&gt;&lt;item&gt;1271&lt;/item&gt;&lt;item&gt;1273&lt;/item&gt;&lt;item&gt;1274&lt;/item&gt;&lt;item&gt;1311&lt;/item&gt;&lt;item&gt;1386&lt;/item&gt;&lt;item&gt;1387&lt;/item&gt;&lt;item&gt;1388&lt;/item&gt;&lt;item&gt;1400&lt;/item&gt;&lt;item&gt;1403&lt;/item&gt;&lt;item&gt;1482&lt;/item&gt;&lt;item&gt;1501&lt;/item&gt;&lt;item&gt;1506&lt;/item&gt;&lt;item&gt;1507&lt;/item&gt;&lt;item&gt;1508&lt;/item&gt;&lt;item&gt;1509&lt;/item&gt;&lt;item&gt;1510&lt;/item&gt;&lt;item&gt;1511&lt;/item&gt;&lt;item&gt;1512&lt;/item&gt;&lt;/record-ids&gt;&lt;/item&gt;&lt;/Libraries&gt;"/>
  </w:docVars>
  <w:rsids>
    <w:rsidRoot w:val="000142AC"/>
    <w:rsid w:val="00000892"/>
    <w:rsid w:val="00001C93"/>
    <w:rsid w:val="000025AC"/>
    <w:rsid w:val="00002973"/>
    <w:rsid w:val="00003233"/>
    <w:rsid w:val="00003AFA"/>
    <w:rsid w:val="00003C2C"/>
    <w:rsid w:val="000043D4"/>
    <w:rsid w:val="00004CF7"/>
    <w:rsid w:val="00005789"/>
    <w:rsid w:val="00005B78"/>
    <w:rsid w:val="000071B0"/>
    <w:rsid w:val="000100A0"/>
    <w:rsid w:val="00011894"/>
    <w:rsid w:val="00011E30"/>
    <w:rsid w:val="00011EC2"/>
    <w:rsid w:val="0001268E"/>
    <w:rsid w:val="000129C0"/>
    <w:rsid w:val="00013262"/>
    <w:rsid w:val="00013C3D"/>
    <w:rsid w:val="000142AC"/>
    <w:rsid w:val="00014450"/>
    <w:rsid w:val="000166CB"/>
    <w:rsid w:val="000167ED"/>
    <w:rsid w:val="000169FE"/>
    <w:rsid w:val="00017056"/>
    <w:rsid w:val="00017B20"/>
    <w:rsid w:val="00020421"/>
    <w:rsid w:val="000213A5"/>
    <w:rsid w:val="00022272"/>
    <w:rsid w:val="000226F9"/>
    <w:rsid w:val="00022BE7"/>
    <w:rsid w:val="00025406"/>
    <w:rsid w:val="00025ADC"/>
    <w:rsid w:val="00025FA8"/>
    <w:rsid w:val="000269E8"/>
    <w:rsid w:val="0002744D"/>
    <w:rsid w:val="00027D7D"/>
    <w:rsid w:val="00030F76"/>
    <w:rsid w:val="000332C9"/>
    <w:rsid w:val="00034078"/>
    <w:rsid w:val="0003476C"/>
    <w:rsid w:val="000357CA"/>
    <w:rsid w:val="00036A85"/>
    <w:rsid w:val="000379AE"/>
    <w:rsid w:val="00037E2E"/>
    <w:rsid w:val="000400E8"/>
    <w:rsid w:val="00044A1C"/>
    <w:rsid w:val="00045450"/>
    <w:rsid w:val="00045FFD"/>
    <w:rsid w:val="000469A4"/>
    <w:rsid w:val="00046E14"/>
    <w:rsid w:val="00047F5B"/>
    <w:rsid w:val="00050A05"/>
    <w:rsid w:val="00051239"/>
    <w:rsid w:val="00051F1D"/>
    <w:rsid w:val="0005248D"/>
    <w:rsid w:val="00052AE2"/>
    <w:rsid w:val="00053D1F"/>
    <w:rsid w:val="000555E5"/>
    <w:rsid w:val="00057090"/>
    <w:rsid w:val="00057941"/>
    <w:rsid w:val="00061D60"/>
    <w:rsid w:val="0006266D"/>
    <w:rsid w:val="00062730"/>
    <w:rsid w:val="00062934"/>
    <w:rsid w:val="000629E3"/>
    <w:rsid w:val="00064331"/>
    <w:rsid w:val="0006438F"/>
    <w:rsid w:val="000643A0"/>
    <w:rsid w:val="00064B83"/>
    <w:rsid w:val="00064F25"/>
    <w:rsid w:val="00065F4F"/>
    <w:rsid w:val="00066B25"/>
    <w:rsid w:val="0006783A"/>
    <w:rsid w:val="00070689"/>
    <w:rsid w:val="00071CBB"/>
    <w:rsid w:val="00072B44"/>
    <w:rsid w:val="00073030"/>
    <w:rsid w:val="00074214"/>
    <w:rsid w:val="00074E23"/>
    <w:rsid w:val="00075C0B"/>
    <w:rsid w:val="000765EB"/>
    <w:rsid w:val="000778B7"/>
    <w:rsid w:val="0008168C"/>
    <w:rsid w:val="000817C0"/>
    <w:rsid w:val="0008386D"/>
    <w:rsid w:val="00083CEF"/>
    <w:rsid w:val="00083F28"/>
    <w:rsid w:val="000841F0"/>
    <w:rsid w:val="0008679C"/>
    <w:rsid w:val="00090BB7"/>
    <w:rsid w:val="00090CB5"/>
    <w:rsid w:val="00090E8B"/>
    <w:rsid w:val="0009116C"/>
    <w:rsid w:val="0009288F"/>
    <w:rsid w:val="00093D56"/>
    <w:rsid w:val="00097816"/>
    <w:rsid w:val="000978E4"/>
    <w:rsid w:val="000A03EA"/>
    <w:rsid w:val="000A0DA3"/>
    <w:rsid w:val="000A17E8"/>
    <w:rsid w:val="000A1BE9"/>
    <w:rsid w:val="000A4510"/>
    <w:rsid w:val="000A4778"/>
    <w:rsid w:val="000A5615"/>
    <w:rsid w:val="000A56DD"/>
    <w:rsid w:val="000A5D33"/>
    <w:rsid w:val="000A72A4"/>
    <w:rsid w:val="000A763B"/>
    <w:rsid w:val="000A7C95"/>
    <w:rsid w:val="000B2013"/>
    <w:rsid w:val="000B2E4D"/>
    <w:rsid w:val="000B314E"/>
    <w:rsid w:val="000B5476"/>
    <w:rsid w:val="000C22F0"/>
    <w:rsid w:val="000C2537"/>
    <w:rsid w:val="000C2A53"/>
    <w:rsid w:val="000C3D09"/>
    <w:rsid w:val="000C72AB"/>
    <w:rsid w:val="000C794C"/>
    <w:rsid w:val="000C7A07"/>
    <w:rsid w:val="000C7FD8"/>
    <w:rsid w:val="000D0078"/>
    <w:rsid w:val="000D08B0"/>
    <w:rsid w:val="000D1A5B"/>
    <w:rsid w:val="000D2720"/>
    <w:rsid w:val="000D2C40"/>
    <w:rsid w:val="000D43DF"/>
    <w:rsid w:val="000D52EF"/>
    <w:rsid w:val="000D53D9"/>
    <w:rsid w:val="000D611E"/>
    <w:rsid w:val="000D6751"/>
    <w:rsid w:val="000D6DB0"/>
    <w:rsid w:val="000D7B1C"/>
    <w:rsid w:val="000D7BA9"/>
    <w:rsid w:val="000D7E37"/>
    <w:rsid w:val="000E02EE"/>
    <w:rsid w:val="000E06A6"/>
    <w:rsid w:val="000E11B6"/>
    <w:rsid w:val="000E16C1"/>
    <w:rsid w:val="000E1988"/>
    <w:rsid w:val="000E3057"/>
    <w:rsid w:val="000E3265"/>
    <w:rsid w:val="000E46F8"/>
    <w:rsid w:val="000E48F8"/>
    <w:rsid w:val="000E4EB0"/>
    <w:rsid w:val="000E6405"/>
    <w:rsid w:val="000E6D7E"/>
    <w:rsid w:val="000F0376"/>
    <w:rsid w:val="000F053D"/>
    <w:rsid w:val="000F0E00"/>
    <w:rsid w:val="000F174C"/>
    <w:rsid w:val="000F1CB1"/>
    <w:rsid w:val="000F1E64"/>
    <w:rsid w:val="000F2395"/>
    <w:rsid w:val="000F346F"/>
    <w:rsid w:val="000F37B9"/>
    <w:rsid w:val="000F4C3E"/>
    <w:rsid w:val="000F55E1"/>
    <w:rsid w:val="000F6D44"/>
    <w:rsid w:val="00100A56"/>
    <w:rsid w:val="00103F84"/>
    <w:rsid w:val="0010686D"/>
    <w:rsid w:val="001075C0"/>
    <w:rsid w:val="001122E7"/>
    <w:rsid w:val="0011243E"/>
    <w:rsid w:val="001126FE"/>
    <w:rsid w:val="001130EF"/>
    <w:rsid w:val="001145E5"/>
    <w:rsid w:val="00114744"/>
    <w:rsid w:val="0011513F"/>
    <w:rsid w:val="001157C1"/>
    <w:rsid w:val="00115C5F"/>
    <w:rsid w:val="001177C3"/>
    <w:rsid w:val="00117CE9"/>
    <w:rsid w:val="001201C3"/>
    <w:rsid w:val="00121390"/>
    <w:rsid w:val="001213E0"/>
    <w:rsid w:val="00122B54"/>
    <w:rsid w:val="0012496E"/>
    <w:rsid w:val="00124979"/>
    <w:rsid w:val="00127CA9"/>
    <w:rsid w:val="00131FA3"/>
    <w:rsid w:val="001370EA"/>
    <w:rsid w:val="00137B9D"/>
    <w:rsid w:val="001423FA"/>
    <w:rsid w:val="00142A0B"/>
    <w:rsid w:val="001456EC"/>
    <w:rsid w:val="00145774"/>
    <w:rsid w:val="00146EB3"/>
    <w:rsid w:val="00147C11"/>
    <w:rsid w:val="001505A5"/>
    <w:rsid w:val="001507CF"/>
    <w:rsid w:val="00150FE2"/>
    <w:rsid w:val="00151714"/>
    <w:rsid w:val="001528E5"/>
    <w:rsid w:val="001529CE"/>
    <w:rsid w:val="001535A9"/>
    <w:rsid w:val="00153657"/>
    <w:rsid w:val="001538AF"/>
    <w:rsid w:val="001544F6"/>
    <w:rsid w:val="00154754"/>
    <w:rsid w:val="0015517B"/>
    <w:rsid w:val="00161E6F"/>
    <w:rsid w:val="00162DB5"/>
    <w:rsid w:val="001632D7"/>
    <w:rsid w:val="00164560"/>
    <w:rsid w:val="00164C66"/>
    <w:rsid w:val="00164F3B"/>
    <w:rsid w:val="0016737D"/>
    <w:rsid w:val="001701EA"/>
    <w:rsid w:val="00170D16"/>
    <w:rsid w:val="001728E5"/>
    <w:rsid w:val="00174396"/>
    <w:rsid w:val="0017474B"/>
    <w:rsid w:val="00177F5C"/>
    <w:rsid w:val="001809AB"/>
    <w:rsid w:val="001809F0"/>
    <w:rsid w:val="00181E6E"/>
    <w:rsid w:val="00183E78"/>
    <w:rsid w:val="00184152"/>
    <w:rsid w:val="00184763"/>
    <w:rsid w:val="001856BB"/>
    <w:rsid w:val="00187D7B"/>
    <w:rsid w:val="001902BD"/>
    <w:rsid w:val="00192B10"/>
    <w:rsid w:val="00193A62"/>
    <w:rsid w:val="00194AAC"/>
    <w:rsid w:val="00194B20"/>
    <w:rsid w:val="00194F94"/>
    <w:rsid w:val="00195C13"/>
    <w:rsid w:val="00196BFA"/>
    <w:rsid w:val="001A03C3"/>
    <w:rsid w:val="001A1757"/>
    <w:rsid w:val="001A269B"/>
    <w:rsid w:val="001A2926"/>
    <w:rsid w:val="001A2C10"/>
    <w:rsid w:val="001A6A41"/>
    <w:rsid w:val="001A6A7B"/>
    <w:rsid w:val="001A7C1D"/>
    <w:rsid w:val="001A7D58"/>
    <w:rsid w:val="001B0A70"/>
    <w:rsid w:val="001B2941"/>
    <w:rsid w:val="001B4F06"/>
    <w:rsid w:val="001C30E5"/>
    <w:rsid w:val="001C3EB7"/>
    <w:rsid w:val="001C416B"/>
    <w:rsid w:val="001C5A8B"/>
    <w:rsid w:val="001C5C48"/>
    <w:rsid w:val="001C6732"/>
    <w:rsid w:val="001C685A"/>
    <w:rsid w:val="001D0CB1"/>
    <w:rsid w:val="001D145A"/>
    <w:rsid w:val="001D2707"/>
    <w:rsid w:val="001D39B8"/>
    <w:rsid w:val="001D4335"/>
    <w:rsid w:val="001D44D7"/>
    <w:rsid w:val="001D4C1E"/>
    <w:rsid w:val="001D5224"/>
    <w:rsid w:val="001D5A57"/>
    <w:rsid w:val="001D67CD"/>
    <w:rsid w:val="001D6C5E"/>
    <w:rsid w:val="001D757D"/>
    <w:rsid w:val="001E38A8"/>
    <w:rsid w:val="001E3B76"/>
    <w:rsid w:val="001E3D49"/>
    <w:rsid w:val="001E4F6C"/>
    <w:rsid w:val="001E5640"/>
    <w:rsid w:val="001E600B"/>
    <w:rsid w:val="001E725B"/>
    <w:rsid w:val="001F4060"/>
    <w:rsid w:val="001F4A24"/>
    <w:rsid w:val="001F5010"/>
    <w:rsid w:val="001F5054"/>
    <w:rsid w:val="001F6E28"/>
    <w:rsid w:val="001F7A46"/>
    <w:rsid w:val="002011CB"/>
    <w:rsid w:val="002031D4"/>
    <w:rsid w:val="00204438"/>
    <w:rsid w:val="00204C17"/>
    <w:rsid w:val="002051E2"/>
    <w:rsid w:val="00205E8E"/>
    <w:rsid w:val="00206976"/>
    <w:rsid w:val="00207290"/>
    <w:rsid w:val="00207526"/>
    <w:rsid w:val="00207AD0"/>
    <w:rsid w:val="00210729"/>
    <w:rsid w:val="00212DB4"/>
    <w:rsid w:val="00214410"/>
    <w:rsid w:val="002144FD"/>
    <w:rsid w:val="00214589"/>
    <w:rsid w:val="002153DD"/>
    <w:rsid w:val="00216264"/>
    <w:rsid w:val="002167B4"/>
    <w:rsid w:val="00222584"/>
    <w:rsid w:val="00223554"/>
    <w:rsid w:val="0022363C"/>
    <w:rsid w:val="00226656"/>
    <w:rsid w:val="00226B10"/>
    <w:rsid w:val="002305B6"/>
    <w:rsid w:val="00231413"/>
    <w:rsid w:val="002330E6"/>
    <w:rsid w:val="0023312B"/>
    <w:rsid w:val="002331E3"/>
    <w:rsid w:val="00234D98"/>
    <w:rsid w:val="00235105"/>
    <w:rsid w:val="00235A22"/>
    <w:rsid w:val="00235E20"/>
    <w:rsid w:val="002367B2"/>
    <w:rsid w:val="00237925"/>
    <w:rsid w:val="00240965"/>
    <w:rsid w:val="00240AE8"/>
    <w:rsid w:val="00240EEA"/>
    <w:rsid w:val="002448C9"/>
    <w:rsid w:val="0024503A"/>
    <w:rsid w:val="002453A9"/>
    <w:rsid w:val="00245BC4"/>
    <w:rsid w:val="00247958"/>
    <w:rsid w:val="00250CCA"/>
    <w:rsid w:val="0025149D"/>
    <w:rsid w:val="002520B8"/>
    <w:rsid w:val="002522A1"/>
    <w:rsid w:val="0025489E"/>
    <w:rsid w:val="002561D6"/>
    <w:rsid w:val="00257BFB"/>
    <w:rsid w:val="00257C8C"/>
    <w:rsid w:val="00260F30"/>
    <w:rsid w:val="0026101A"/>
    <w:rsid w:val="00262509"/>
    <w:rsid w:val="00263033"/>
    <w:rsid w:val="00264981"/>
    <w:rsid w:val="002653F5"/>
    <w:rsid w:val="00267FA8"/>
    <w:rsid w:val="00271699"/>
    <w:rsid w:val="002718A3"/>
    <w:rsid w:val="002718B8"/>
    <w:rsid w:val="00271922"/>
    <w:rsid w:val="00272313"/>
    <w:rsid w:val="00272A88"/>
    <w:rsid w:val="00273722"/>
    <w:rsid w:val="00273C17"/>
    <w:rsid w:val="00274088"/>
    <w:rsid w:val="00274E56"/>
    <w:rsid w:val="00275875"/>
    <w:rsid w:val="0027665D"/>
    <w:rsid w:val="00276767"/>
    <w:rsid w:val="002770A1"/>
    <w:rsid w:val="0027787A"/>
    <w:rsid w:val="002803B5"/>
    <w:rsid w:val="00280E8E"/>
    <w:rsid w:val="00280F64"/>
    <w:rsid w:val="002817AF"/>
    <w:rsid w:val="0028200E"/>
    <w:rsid w:val="00283F6A"/>
    <w:rsid w:val="00287725"/>
    <w:rsid w:val="002877EA"/>
    <w:rsid w:val="00290950"/>
    <w:rsid w:val="00290FA6"/>
    <w:rsid w:val="00291743"/>
    <w:rsid w:val="00291ADE"/>
    <w:rsid w:val="00291EED"/>
    <w:rsid w:val="00294396"/>
    <w:rsid w:val="002963D8"/>
    <w:rsid w:val="002A1912"/>
    <w:rsid w:val="002A1962"/>
    <w:rsid w:val="002A1BDF"/>
    <w:rsid w:val="002A25BD"/>
    <w:rsid w:val="002A2F2E"/>
    <w:rsid w:val="002A38A5"/>
    <w:rsid w:val="002A4D71"/>
    <w:rsid w:val="002A4D88"/>
    <w:rsid w:val="002A5C29"/>
    <w:rsid w:val="002A6545"/>
    <w:rsid w:val="002A7227"/>
    <w:rsid w:val="002A7A77"/>
    <w:rsid w:val="002A7E73"/>
    <w:rsid w:val="002B1B7F"/>
    <w:rsid w:val="002B1CDB"/>
    <w:rsid w:val="002B34BF"/>
    <w:rsid w:val="002B3D3B"/>
    <w:rsid w:val="002B4359"/>
    <w:rsid w:val="002B49F2"/>
    <w:rsid w:val="002B5D75"/>
    <w:rsid w:val="002B65BF"/>
    <w:rsid w:val="002B6B53"/>
    <w:rsid w:val="002B6DAE"/>
    <w:rsid w:val="002C1EEF"/>
    <w:rsid w:val="002C2FFA"/>
    <w:rsid w:val="002C41EF"/>
    <w:rsid w:val="002C44E7"/>
    <w:rsid w:val="002C4C81"/>
    <w:rsid w:val="002C55C6"/>
    <w:rsid w:val="002C5CA6"/>
    <w:rsid w:val="002C6016"/>
    <w:rsid w:val="002C6384"/>
    <w:rsid w:val="002C7EF6"/>
    <w:rsid w:val="002D0035"/>
    <w:rsid w:val="002D00D3"/>
    <w:rsid w:val="002D1949"/>
    <w:rsid w:val="002D210F"/>
    <w:rsid w:val="002D2B40"/>
    <w:rsid w:val="002D4114"/>
    <w:rsid w:val="002D59B6"/>
    <w:rsid w:val="002D5A85"/>
    <w:rsid w:val="002D6800"/>
    <w:rsid w:val="002D6EBA"/>
    <w:rsid w:val="002D74A6"/>
    <w:rsid w:val="002D751E"/>
    <w:rsid w:val="002D77FA"/>
    <w:rsid w:val="002E0944"/>
    <w:rsid w:val="002E1EB2"/>
    <w:rsid w:val="002E3F11"/>
    <w:rsid w:val="002E470C"/>
    <w:rsid w:val="002E530A"/>
    <w:rsid w:val="002E66FB"/>
    <w:rsid w:val="002E6E04"/>
    <w:rsid w:val="002E707F"/>
    <w:rsid w:val="002F2AB6"/>
    <w:rsid w:val="002F3039"/>
    <w:rsid w:val="002F3BAD"/>
    <w:rsid w:val="002F3D6F"/>
    <w:rsid w:val="002F40D1"/>
    <w:rsid w:val="002F49D6"/>
    <w:rsid w:val="002F4EB6"/>
    <w:rsid w:val="002F5191"/>
    <w:rsid w:val="002F5C56"/>
    <w:rsid w:val="002F5D3F"/>
    <w:rsid w:val="002F609D"/>
    <w:rsid w:val="002F61CA"/>
    <w:rsid w:val="003006C2"/>
    <w:rsid w:val="003031F4"/>
    <w:rsid w:val="00306802"/>
    <w:rsid w:val="003074BC"/>
    <w:rsid w:val="00320CD4"/>
    <w:rsid w:val="00321029"/>
    <w:rsid w:val="00321168"/>
    <w:rsid w:val="00321906"/>
    <w:rsid w:val="00323ECA"/>
    <w:rsid w:val="00323F48"/>
    <w:rsid w:val="003246A7"/>
    <w:rsid w:val="0032474A"/>
    <w:rsid w:val="00324EEA"/>
    <w:rsid w:val="00325993"/>
    <w:rsid w:val="003264E2"/>
    <w:rsid w:val="0032767B"/>
    <w:rsid w:val="00327989"/>
    <w:rsid w:val="00330C1D"/>
    <w:rsid w:val="00330EB3"/>
    <w:rsid w:val="00330F43"/>
    <w:rsid w:val="00330FEB"/>
    <w:rsid w:val="0033170E"/>
    <w:rsid w:val="003320E6"/>
    <w:rsid w:val="00332EFC"/>
    <w:rsid w:val="0033469E"/>
    <w:rsid w:val="00334EEF"/>
    <w:rsid w:val="0034152C"/>
    <w:rsid w:val="00341B11"/>
    <w:rsid w:val="00342B5D"/>
    <w:rsid w:val="00343871"/>
    <w:rsid w:val="00343FFD"/>
    <w:rsid w:val="003449DE"/>
    <w:rsid w:val="00346F9A"/>
    <w:rsid w:val="003471B8"/>
    <w:rsid w:val="003505E9"/>
    <w:rsid w:val="00350E84"/>
    <w:rsid w:val="00351466"/>
    <w:rsid w:val="00352BA0"/>
    <w:rsid w:val="00352E60"/>
    <w:rsid w:val="00352F49"/>
    <w:rsid w:val="00354518"/>
    <w:rsid w:val="003551F6"/>
    <w:rsid w:val="00355250"/>
    <w:rsid w:val="00355C71"/>
    <w:rsid w:val="003561BA"/>
    <w:rsid w:val="00356591"/>
    <w:rsid w:val="003565F2"/>
    <w:rsid w:val="00363BF6"/>
    <w:rsid w:val="003649C8"/>
    <w:rsid w:val="00364CEC"/>
    <w:rsid w:val="00365369"/>
    <w:rsid w:val="003677A7"/>
    <w:rsid w:val="00370045"/>
    <w:rsid w:val="0037226F"/>
    <w:rsid w:val="003725AB"/>
    <w:rsid w:val="003740D0"/>
    <w:rsid w:val="003743B5"/>
    <w:rsid w:val="00376225"/>
    <w:rsid w:val="00376C3D"/>
    <w:rsid w:val="00376DAD"/>
    <w:rsid w:val="0037762F"/>
    <w:rsid w:val="00382BE9"/>
    <w:rsid w:val="00382CF2"/>
    <w:rsid w:val="0038398C"/>
    <w:rsid w:val="0038420B"/>
    <w:rsid w:val="0038471D"/>
    <w:rsid w:val="00384912"/>
    <w:rsid w:val="003859A7"/>
    <w:rsid w:val="00386223"/>
    <w:rsid w:val="0038633D"/>
    <w:rsid w:val="003864EC"/>
    <w:rsid w:val="00386978"/>
    <w:rsid w:val="003869D2"/>
    <w:rsid w:val="00387D87"/>
    <w:rsid w:val="00390284"/>
    <w:rsid w:val="00390878"/>
    <w:rsid w:val="0039151B"/>
    <w:rsid w:val="00391820"/>
    <w:rsid w:val="00395459"/>
    <w:rsid w:val="00395A08"/>
    <w:rsid w:val="00396926"/>
    <w:rsid w:val="00397835"/>
    <w:rsid w:val="003A06E2"/>
    <w:rsid w:val="003A1B34"/>
    <w:rsid w:val="003A2A83"/>
    <w:rsid w:val="003A3CE0"/>
    <w:rsid w:val="003A50B6"/>
    <w:rsid w:val="003A6286"/>
    <w:rsid w:val="003A7BD5"/>
    <w:rsid w:val="003B21C6"/>
    <w:rsid w:val="003B3E26"/>
    <w:rsid w:val="003B4B6B"/>
    <w:rsid w:val="003B511E"/>
    <w:rsid w:val="003B637D"/>
    <w:rsid w:val="003C145A"/>
    <w:rsid w:val="003C3565"/>
    <w:rsid w:val="003C3BB0"/>
    <w:rsid w:val="003C3D8C"/>
    <w:rsid w:val="003C47CA"/>
    <w:rsid w:val="003C52E0"/>
    <w:rsid w:val="003C5E74"/>
    <w:rsid w:val="003C6074"/>
    <w:rsid w:val="003C7483"/>
    <w:rsid w:val="003C7FD9"/>
    <w:rsid w:val="003D0810"/>
    <w:rsid w:val="003D1915"/>
    <w:rsid w:val="003D3459"/>
    <w:rsid w:val="003D3574"/>
    <w:rsid w:val="003D4482"/>
    <w:rsid w:val="003D4B15"/>
    <w:rsid w:val="003D52FC"/>
    <w:rsid w:val="003D5543"/>
    <w:rsid w:val="003D62D4"/>
    <w:rsid w:val="003D75A4"/>
    <w:rsid w:val="003D7833"/>
    <w:rsid w:val="003D79CB"/>
    <w:rsid w:val="003E0ADD"/>
    <w:rsid w:val="003E1878"/>
    <w:rsid w:val="003E2B9E"/>
    <w:rsid w:val="003E3245"/>
    <w:rsid w:val="003E4175"/>
    <w:rsid w:val="003E555B"/>
    <w:rsid w:val="003E5DD1"/>
    <w:rsid w:val="003E67B0"/>
    <w:rsid w:val="003E75E1"/>
    <w:rsid w:val="003E7B31"/>
    <w:rsid w:val="003F0B36"/>
    <w:rsid w:val="003F103A"/>
    <w:rsid w:val="003F16DA"/>
    <w:rsid w:val="003F212B"/>
    <w:rsid w:val="003F40F7"/>
    <w:rsid w:val="003F40FD"/>
    <w:rsid w:val="003F4C07"/>
    <w:rsid w:val="003F643D"/>
    <w:rsid w:val="003F69C7"/>
    <w:rsid w:val="003F6D96"/>
    <w:rsid w:val="003F7062"/>
    <w:rsid w:val="003F7C5F"/>
    <w:rsid w:val="003F7FA7"/>
    <w:rsid w:val="004005F0"/>
    <w:rsid w:val="00403F92"/>
    <w:rsid w:val="0040707E"/>
    <w:rsid w:val="004109B9"/>
    <w:rsid w:val="00410A9D"/>
    <w:rsid w:val="00411152"/>
    <w:rsid w:val="00411336"/>
    <w:rsid w:val="004120B9"/>
    <w:rsid w:val="00413931"/>
    <w:rsid w:val="004141BC"/>
    <w:rsid w:val="0041607D"/>
    <w:rsid w:val="0041647D"/>
    <w:rsid w:val="0041730A"/>
    <w:rsid w:val="004200F5"/>
    <w:rsid w:val="00420A6B"/>
    <w:rsid w:val="00421274"/>
    <w:rsid w:val="00422258"/>
    <w:rsid w:val="004222D1"/>
    <w:rsid w:val="0042281E"/>
    <w:rsid w:val="0042287F"/>
    <w:rsid w:val="004231E2"/>
    <w:rsid w:val="004239B2"/>
    <w:rsid w:val="00424702"/>
    <w:rsid w:val="00430992"/>
    <w:rsid w:val="00430B8B"/>
    <w:rsid w:val="004368BF"/>
    <w:rsid w:val="00442339"/>
    <w:rsid w:val="004433F2"/>
    <w:rsid w:val="004435BA"/>
    <w:rsid w:val="004438D2"/>
    <w:rsid w:val="004439EC"/>
    <w:rsid w:val="00443CF9"/>
    <w:rsid w:val="00444FA3"/>
    <w:rsid w:val="004465CC"/>
    <w:rsid w:val="004478EC"/>
    <w:rsid w:val="00447FFC"/>
    <w:rsid w:val="0045059E"/>
    <w:rsid w:val="00450D5B"/>
    <w:rsid w:val="00450E81"/>
    <w:rsid w:val="00453429"/>
    <w:rsid w:val="00455D76"/>
    <w:rsid w:val="00456B3A"/>
    <w:rsid w:val="004574BF"/>
    <w:rsid w:val="00460819"/>
    <w:rsid w:val="004608F0"/>
    <w:rsid w:val="00461A1B"/>
    <w:rsid w:val="00461CC0"/>
    <w:rsid w:val="00462BA2"/>
    <w:rsid w:val="00463A4B"/>
    <w:rsid w:val="00463A7C"/>
    <w:rsid w:val="00463BAC"/>
    <w:rsid w:val="00463CC7"/>
    <w:rsid w:val="00465264"/>
    <w:rsid w:val="00465A1B"/>
    <w:rsid w:val="00466812"/>
    <w:rsid w:val="00467C51"/>
    <w:rsid w:val="00467EB1"/>
    <w:rsid w:val="004727EC"/>
    <w:rsid w:val="00472822"/>
    <w:rsid w:val="00473125"/>
    <w:rsid w:val="004734F0"/>
    <w:rsid w:val="0047388F"/>
    <w:rsid w:val="00475F15"/>
    <w:rsid w:val="00476BA8"/>
    <w:rsid w:val="00477286"/>
    <w:rsid w:val="004776E9"/>
    <w:rsid w:val="00481BA0"/>
    <w:rsid w:val="004831F7"/>
    <w:rsid w:val="00483516"/>
    <w:rsid w:val="00483925"/>
    <w:rsid w:val="00484423"/>
    <w:rsid w:val="00484C6A"/>
    <w:rsid w:val="00484D81"/>
    <w:rsid w:val="00485786"/>
    <w:rsid w:val="004878D1"/>
    <w:rsid w:val="00487DA0"/>
    <w:rsid w:val="0049021A"/>
    <w:rsid w:val="0049070D"/>
    <w:rsid w:val="00494C9F"/>
    <w:rsid w:val="0049587E"/>
    <w:rsid w:val="00496183"/>
    <w:rsid w:val="0049660D"/>
    <w:rsid w:val="0049661C"/>
    <w:rsid w:val="0049744B"/>
    <w:rsid w:val="004976E2"/>
    <w:rsid w:val="004977E0"/>
    <w:rsid w:val="00497809"/>
    <w:rsid w:val="00497E6F"/>
    <w:rsid w:val="004A0255"/>
    <w:rsid w:val="004A0495"/>
    <w:rsid w:val="004A0D0A"/>
    <w:rsid w:val="004A1203"/>
    <w:rsid w:val="004A2E72"/>
    <w:rsid w:val="004A3B24"/>
    <w:rsid w:val="004A7859"/>
    <w:rsid w:val="004B0BCC"/>
    <w:rsid w:val="004B17AF"/>
    <w:rsid w:val="004B26C4"/>
    <w:rsid w:val="004B27A8"/>
    <w:rsid w:val="004B3215"/>
    <w:rsid w:val="004B4341"/>
    <w:rsid w:val="004B4E5A"/>
    <w:rsid w:val="004B606C"/>
    <w:rsid w:val="004B6DD0"/>
    <w:rsid w:val="004B735A"/>
    <w:rsid w:val="004B7457"/>
    <w:rsid w:val="004B7B89"/>
    <w:rsid w:val="004C19A6"/>
    <w:rsid w:val="004C305A"/>
    <w:rsid w:val="004C30CA"/>
    <w:rsid w:val="004C65BF"/>
    <w:rsid w:val="004C6987"/>
    <w:rsid w:val="004C7825"/>
    <w:rsid w:val="004C7B37"/>
    <w:rsid w:val="004D0944"/>
    <w:rsid w:val="004D0F39"/>
    <w:rsid w:val="004D1CF1"/>
    <w:rsid w:val="004D2AC2"/>
    <w:rsid w:val="004D334D"/>
    <w:rsid w:val="004D344E"/>
    <w:rsid w:val="004D3A51"/>
    <w:rsid w:val="004D5534"/>
    <w:rsid w:val="004D5C9F"/>
    <w:rsid w:val="004D7A73"/>
    <w:rsid w:val="004E0993"/>
    <w:rsid w:val="004E3110"/>
    <w:rsid w:val="004E3474"/>
    <w:rsid w:val="004E3A8A"/>
    <w:rsid w:val="004E42CD"/>
    <w:rsid w:val="004E4475"/>
    <w:rsid w:val="004E46A1"/>
    <w:rsid w:val="004E6FEF"/>
    <w:rsid w:val="004E74C4"/>
    <w:rsid w:val="004E769C"/>
    <w:rsid w:val="004E7C72"/>
    <w:rsid w:val="004F1B33"/>
    <w:rsid w:val="004F25D2"/>
    <w:rsid w:val="004F31E3"/>
    <w:rsid w:val="004F3630"/>
    <w:rsid w:val="004F4E5F"/>
    <w:rsid w:val="004F6D6C"/>
    <w:rsid w:val="00501532"/>
    <w:rsid w:val="00501C08"/>
    <w:rsid w:val="00501E7D"/>
    <w:rsid w:val="005049D7"/>
    <w:rsid w:val="00504DFD"/>
    <w:rsid w:val="00505894"/>
    <w:rsid w:val="00506206"/>
    <w:rsid w:val="0050711C"/>
    <w:rsid w:val="00507547"/>
    <w:rsid w:val="00507F57"/>
    <w:rsid w:val="00511919"/>
    <w:rsid w:val="00511C18"/>
    <w:rsid w:val="00512005"/>
    <w:rsid w:val="0051305D"/>
    <w:rsid w:val="00514A1F"/>
    <w:rsid w:val="00514A20"/>
    <w:rsid w:val="005157B5"/>
    <w:rsid w:val="005168CF"/>
    <w:rsid w:val="00516DE4"/>
    <w:rsid w:val="00517135"/>
    <w:rsid w:val="00517217"/>
    <w:rsid w:val="00517442"/>
    <w:rsid w:val="0052031D"/>
    <w:rsid w:val="00522030"/>
    <w:rsid w:val="00522483"/>
    <w:rsid w:val="005228F8"/>
    <w:rsid w:val="005246B9"/>
    <w:rsid w:val="00525ABD"/>
    <w:rsid w:val="005272EF"/>
    <w:rsid w:val="005274B8"/>
    <w:rsid w:val="00527C7A"/>
    <w:rsid w:val="005304BD"/>
    <w:rsid w:val="0053055C"/>
    <w:rsid w:val="00531515"/>
    <w:rsid w:val="0053187A"/>
    <w:rsid w:val="00532386"/>
    <w:rsid w:val="005326AB"/>
    <w:rsid w:val="005334B5"/>
    <w:rsid w:val="0053401E"/>
    <w:rsid w:val="00535C5D"/>
    <w:rsid w:val="00535EB4"/>
    <w:rsid w:val="00544F7A"/>
    <w:rsid w:val="00545C27"/>
    <w:rsid w:val="005477C9"/>
    <w:rsid w:val="00552749"/>
    <w:rsid w:val="0055285E"/>
    <w:rsid w:val="005537BB"/>
    <w:rsid w:val="00554114"/>
    <w:rsid w:val="00555BA4"/>
    <w:rsid w:val="005562C9"/>
    <w:rsid w:val="005603FF"/>
    <w:rsid w:val="005609C5"/>
    <w:rsid w:val="00563779"/>
    <w:rsid w:val="00563C3B"/>
    <w:rsid w:val="00563C98"/>
    <w:rsid w:val="00564914"/>
    <w:rsid w:val="00570311"/>
    <w:rsid w:val="0057097A"/>
    <w:rsid w:val="00571464"/>
    <w:rsid w:val="005723AC"/>
    <w:rsid w:val="00572CB6"/>
    <w:rsid w:val="005737ED"/>
    <w:rsid w:val="00573869"/>
    <w:rsid w:val="00574EC4"/>
    <w:rsid w:val="00577AC2"/>
    <w:rsid w:val="005813B8"/>
    <w:rsid w:val="00581F75"/>
    <w:rsid w:val="0058264A"/>
    <w:rsid w:val="00582925"/>
    <w:rsid w:val="005840F4"/>
    <w:rsid w:val="005844BF"/>
    <w:rsid w:val="00584912"/>
    <w:rsid w:val="00584B44"/>
    <w:rsid w:val="00584C49"/>
    <w:rsid w:val="005850A0"/>
    <w:rsid w:val="00585223"/>
    <w:rsid w:val="00587ECC"/>
    <w:rsid w:val="005900C5"/>
    <w:rsid w:val="005911F4"/>
    <w:rsid w:val="005914DB"/>
    <w:rsid w:val="0059214A"/>
    <w:rsid w:val="00593523"/>
    <w:rsid w:val="00593D8B"/>
    <w:rsid w:val="00594448"/>
    <w:rsid w:val="005952C6"/>
    <w:rsid w:val="00596044"/>
    <w:rsid w:val="00597561"/>
    <w:rsid w:val="005A0C63"/>
    <w:rsid w:val="005A14A0"/>
    <w:rsid w:val="005A1F38"/>
    <w:rsid w:val="005A24BA"/>
    <w:rsid w:val="005A4883"/>
    <w:rsid w:val="005A4931"/>
    <w:rsid w:val="005A5306"/>
    <w:rsid w:val="005A5F41"/>
    <w:rsid w:val="005B040D"/>
    <w:rsid w:val="005B05D9"/>
    <w:rsid w:val="005B1028"/>
    <w:rsid w:val="005B10AD"/>
    <w:rsid w:val="005B2683"/>
    <w:rsid w:val="005B3FFE"/>
    <w:rsid w:val="005B4989"/>
    <w:rsid w:val="005B552F"/>
    <w:rsid w:val="005B5604"/>
    <w:rsid w:val="005B63A0"/>
    <w:rsid w:val="005C00B0"/>
    <w:rsid w:val="005C0B52"/>
    <w:rsid w:val="005C1055"/>
    <w:rsid w:val="005C1462"/>
    <w:rsid w:val="005C25AB"/>
    <w:rsid w:val="005C40D2"/>
    <w:rsid w:val="005C561F"/>
    <w:rsid w:val="005C5A39"/>
    <w:rsid w:val="005C6792"/>
    <w:rsid w:val="005D131E"/>
    <w:rsid w:val="005D19C8"/>
    <w:rsid w:val="005D217C"/>
    <w:rsid w:val="005D2D3A"/>
    <w:rsid w:val="005D3240"/>
    <w:rsid w:val="005D4EC6"/>
    <w:rsid w:val="005D67F8"/>
    <w:rsid w:val="005D7419"/>
    <w:rsid w:val="005D7EF9"/>
    <w:rsid w:val="005E1301"/>
    <w:rsid w:val="005E1B7B"/>
    <w:rsid w:val="005E21F2"/>
    <w:rsid w:val="005E4227"/>
    <w:rsid w:val="005E432A"/>
    <w:rsid w:val="005F175B"/>
    <w:rsid w:val="005F34B1"/>
    <w:rsid w:val="005F3BAD"/>
    <w:rsid w:val="005F4D42"/>
    <w:rsid w:val="005F74B9"/>
    <w:rsid w:val="00600D95"/>
    <w:rsid w:val="00600F55"/>
    <w:rsid w:val="006012B5"/>
    <w:rsid w:val="0060340B"/>
    <w:rsid w:val="006035B3"/>
    <w:rsid w:val="006049A6"/>
    <w:rsid w:val="00606D0A"/>
    <w:rsid w:val="00607782"/>
    <w:rsid w:val="00607ABB"/>
    <w:rsid w:val="00607BA1"/>
    <w:rsid w:val="00610903"/>
    <w:rsid w:val="00611910"/>
    <w:rsid w:val="00611EE5"/>
    <w:rsid w:val="006125D3"/>
    <w:rsid w:val="00612707"/>
    <w:rsid w:val="00612FA9"/>
    <w:rsid w:val="00613238"/>
    <w:rsid w:val="006142C9"/>
    <w:rsid w:val="00615061"/>
    <w:rsid w:val="00615A07"/>
    <w:rsid w:val="00616B43"/>
    <w:rsid w:val="00617970"/>
    <w:rsid w:val="0062108A"/>
    <w:rsid w:val="006216BA"/>
    <w:rsid w:val="00622C97"/>
    <w:rsid w:val="00622CD3"/>
    <w:rsid w:val="0062568B"/>
    <w:rsid w:val="006263F6"/>
    <w:rsid w:val="0062640E"/>
    <w:rsid w:val="0062648D"/>
    <w:rsid w:val="00626882"/>
    <w:rsid w:val="00626B32"/>
    <w:rsid w:val="00626CA8"/>
    <w:rsid w:val="006303C1"/>
    <w:rsid w:val="00632F46"/>
    <w:rsid w:val="00634D38"/>
    <w:rsid w:val="00635A00"/>
    <w:rsid w:val="00636BE4"/>
    <w:rsid w:val="00637DDB"/>
    <w:rsid w:val="0064002A"/>
    <w:rsid w:val="00640DAA"/>
    <w:rsid w:val="00641449"/>
    <w:rsid w:val="006439F9"/>
    <w:rsid w:val="00643A29"/>
    <w:rsid w:val="00644064"/>
    <w:rsid w:val="0064558C"/>
    <w:rsid w:val="006475C9"/>
    <w:rsid w:val="006502DA"/>
    <w:rsid w:val="00651825"/>
    <w:rsid w:val="00652B2A"/>
    <w:rsid w:val="006531D6"/>
    <w:rsid w:val="00655322"/>
    <w:rsid w:val="006555C2"/>
    <w:rsid w:val="006573CF"/>
    <w:rsid w:val="006579CB"/>
    <w:rsid w:val="00661522"/>
    <w:rsid w:val="00661BD7"/>
    <w:rsid w:val="006631C7"/>
    <w:rsid w:val="006655C5"/>
    <w:rsid w:val="00666D39"/>
    <w:rsid w:val="006679E7"/>
    <w:rsid w:val="00667ED0"/>
    <w:rsid w:val="006709A1"/>
    <w:rsid w:val="00670DC4"/>
    <w:rsid w:val="00670F03"/>
    <w:rsid w:val="0067131C"/>
    <w:rsid w:val="00671BFE"/>
    <w:rsid w:val="00671DD6"/>
    <w:rsid w:val="0067243D"/>
    <w:rsid w:val="0067664B"/>
    <w:rsid w:val="00676FC7"/>
    <w:rsid w:val="00677CAE"/>
    <w:rsid w:val="006810E1"/>
    <w:rsid w:val="0068197B"/>
    <w:rsid w:val="00681C25"/>
    <w:rsid w:val="00682A2F"/>
    <w:rsid w:val="00682E14"/>
    <w:rsid w:val="00684540"/>
    <w:rsid w:val="00685EEC"/>
    <w:rsid w:val="006862E3"/>
    <w:rsid w:val="006907F2"/>
    <w:rsid w:val="006907FB"/>
    <w:rsid w:val="00690F29"/>
    <w:rsid w:val="00690F61"/>
    <w:rsid w:val="00691185"/>
    <w:rsid w:val="00691A01"/>
    <w:rsid w:val="00692B9C"/>
    <w:rsid w:val="00692F4F"/>
    <w:rsid w:val="006930CC"/>
    <w:rsid w:val="006934EA"/>
    <w:rsid w:val="00693B0C"/>
    <w:rsid w:val="00695501"/>
    <w:rsid w:val="00695CCC"/>
    <w:rsid w:val="006961E1"/>
    <w:rsid w:val="00696964"/>
    <w:rsid w:val="006A0013"/>
    <w:rsid w:val="006A1565"/>
    <w:rsid w:val="006A2622"/>
    <w:rsid w:val="006A48D3"/>
    <w:rsid w:val="006A5466"/>
    <w:rsid w:val="006A6D20"/>
    <w:rsid w:val="006A6FD9"/>
    <w:rsid w:val="006A7C37"/>
    <w:rsid w:val="006A7E5A"/>
    <w:rsid w:val="006B002D"/>
    <w:rsid w:val="006B019B"/>
    <w:rsid w:val="006B11D0"/>
    <w:rsid w:val="006B24C0"/>
    <w:rsid w:val="006B2753"/>
    <w:rsid w:val="006B4F93"/>
    <w:rsid w:val="006B548C"/>
    <w:rsid w:val="006B5661"/>
    <w:rsid w:val="006B5AF5"/>
    <w:rsid w:val="006B6832"/>
    <w:rsid w:val="006B68A1"/>
    <w:rsid w:val="006B6E34"/>
    <w:rsid w:val="006B7576"/>
    <w:rsid w:val="006B7E97"/>
    <w:rsid w:val="006C047C"/>
    <w:rsid w:val="006C0CC3"/>
    <w:rsid w:val="006C0EAB"/>
    <w:rsid w:val="006C0EF3"/>
    <w:rsid w:val="006C0FF1"/>
    <w:rsid w:val="006C1341"/>
    <w:rsid w:val="006C23D4"/>
    <w:rsid w:val="006C310E"/>
    <w:rsid w:val="006C47BA"/>
    <w:rsid w:val="006C5B00"/>
    <w:rsid w:val="006C656D"/>
    <w:rsid w:val="006C7D72"/>
    <w:rsid w:val="006C7D9C"/>
    <w:rsid w:val="006C7F83"/>
    <w:rsid w:val="006C7FF7"/>
    <w:rsid w:val="006D0495"/>
    <w:rsid w:val="006D1DF1"/>
    <w:rsid w:val="006D2674"/>
    <w:rsid w:val="006D27F4"/>
    <w:rsid w:val="006D29F7"/>
    <w:rsid w:val="006D2B19"/>
    <w:rsid w:val="006D34B6"/>
    <w:rsid w:val="006D354B"/>
    <w:rsid w:val="006D37A1"/>
    <w:rsid w:val="006D5EA5"/>
    <w:rsid w:val="006D64B6"/>
    <w:rsid w:val="006D6CA5"/>
    <w:rsid w:val="006D6FCE"/>
    <w:rsid w:val="006E0E5C"/>
    <w:rsid w:val="006E1F93"/>
    <w:rsid w:val="006E354C"/>
    <w:rsid w:val="006E49F4"/>
    <w:rsid w:val="006E5B44"/>
    <w:rsid w:val="006E7A25"/>
    <w:rsid w:val="006E7F37"/>
    <w:rsid w:val="006F214D"/>
    <w:rsid w:val="006F223D"/>
    <w:rsid w:val="006F2B87"/>
    <w:rsid w:val="006F3AC1"/>
    <w:rsid w:val="006F3C0A"/>
    <w:rsid w:val="006F454B"/>
    <w:rsid w:val="006F5116"/>
    <w:rsid w:val="006F532B"/>
    <w:rsid w:val="00700972"/>
    <w:rsid w:val="00702108"/>
    <w:rsid w:val="007034D6"/>
    <w:rsid w:val="007040DD"/>
    <w:rsid w:val="0070724F"/>
    <w:rsid w:val="0070737D"/>
    <w:rsid w:val="00711E43"/>
    <w:rsid w:val="00712100"/>
    <w:rsid w:val="00712F4A"/>
    <w:rsid w:val="00714EED"/>
    <w:rsid w:val="00715566"/>
    <w:rsid w:val="00715602"/>
    <w:rsid w:val="007164FA"/>
    <w:rsid w:val="007171A5"/>
    <w:rsid w:val="00720B40"/>
    <w:rsid w:val="00720CFC"/>
    <w:rsid w:val="00721125"/>
    <w:rsid w:val="007227D5"/>
    <w:rsid w:val="00722D7F"/>
    <w:rsid w:val="00724F1A"/>
    <w:rsid w:val="00725890"/>
    <w:rsid w:val="00727F2D"/>
    <w:rsid w:val="00727FEE"/>
    <w:rsid w:val="00731ED7"/>
    <w:rsid w:val="00732302"/>
    <w:rsid w:val="00734468"/>
    <w:rsid w:val="00734F35"/>
    <w:rsid w:val="007350E9"/>
    <w:rsid w:val="00735225"/>
    <w:rsid w:val="00736C78"/>
    <w:rsid w:val="0074037A"/>
    <w:rsid w:val="00740628"/>
    <w:rsid w:val="0074267C"/>
    <w:rsid w:val="007431D4"/>
    <w:rsid w:val="0074345B"/>
    <w:rsid w:val="00743E62"/>
    <w:rsid w:val="007446EA"/>
    <w:rsid w:val="00744969"/>
    <w:rsid w:val="00745063"/>
    <w:rsid w:val="00745077"/>
    <w:rsid w:val="00745330"/>
    <w:rsid w:val="007467CA"/>
    <w:rsid w:val="00746857"/>
    <w:rsid w:val="00746ECD"/>
    <w:rsid w:val="007474E8"/>
    <w:rsid w:val="00752686"/>
    <w:rsid w:val="00752CAC"/>
    <w:rsid w:val="00754CC8"/>
    <w:rsid w:val="0075517E"/>
    <w:rsid w:val="00755187"/>
    <w:rsid w:val="00755719"/>
    <w:rsid w:val="007569EC"/>
    <w:rsid w:val="00756E59"/>
    <w:rsid w:val="007574EB"/>
    <w:rsid w:val="00757B75"/>
    <w:rsid w:val="00760CAF"/>
    <w:rsid w:val="00761632"/>
    <w:rsid w:val="00763208"/>
    <w:rsid w:val="007632E4"/>
    <w:rsid w:val="00764266"/>
    <w:rsid w:val="007649C9"/>
    <w:rsid w:val="00764B0E"/>
    <w:rsid w:val="00764D91"/>
    <w:rsid w:val="007667CE"/>
    <w:rsid w:val="007669A3"/>
    <w:rsid w:val="00767D54"/>
    <w:rsid w:val="007715BC"/>
    <w:rsid w:val="0077243C"/>
    <w:rsid w:val="00772933"/>
    <w:rsid w:val="00774A62"/>
    <w:rsid w:val="00775F32"/>
    <w:rsid w:val="00780E29"/>
    <w:rsid w:val="00780FEC"/>
    <w:rsid w:val="007815A0"/>
    <w:rsid w:val="00783358"/>
    <w:rsid w:val="00784CC8"/>
    <w:rsid w:val="00784EA5"/>
    <w:rsid w:val="00785503"/>
    <w:rsid w:val="00785C74"/>
    <w:rsid w:val="007865D8"/>
    <w:rsid w:val="0078672F"/>
    <w:rsid w:val="00787C1F"/>
    <w:rsid w:val="00787C21"/>
    <w:rsid w:val="00787D71"/>
    <w:rsid w:val="007902A3"/>
    <w:rsid w:val="00790B9C"/>
    <w:rsid w:val="00791712"/>
    <w:rsid w:val="007928D3"/>
    <w:rsid w:val="00793125"/>
    <w:rsid w:val="00794807"/>
    <w:rsid w:val="00796961"/>
    <w:rsid w:val="00796EBC"/>
    <w:rsid w:val="007971C2"/>
    <w:rsid w:val="00797875"/>
    <w:rsid w:val="007A01BD"/>
    <w:rsid w:val="007A0568"/>
    <w:rsid w:val="007A2D0C"/>
    <w:rsid w:val="007A394F"/>
    <w:rsid w:val="007A45D5"/>
    <w:rsid w:val="007A61B0"/>
    <w:rsid w:val="007A73D9"/>
    <w:rsid w:val="007A7E91"/>
    <w:rsid w:val="007A7EE5"/>
    <w:rsid w:val="007A7FFA"/>
    <w:rsid w:val="007B0B8D"/>
    <w:rsid w:val="007B297A"/>
    <w:rsid w:val="007B3101"/>
    <w:rsid w:val="007B3D5C"/>
    <w:rsid w:val="007B4105"/>
    <w:rsid w:val="007B46BF"/>
    <w:rsid w:val="007B600E"/>
    <w:rsid w:val="007B6D50"/>
    <w:rsid w:val="007B73EB"/>
    <w:rsid w:val="007B73EF"/>
    <w:rsid w:val="007B794D"/>
    <w:rsid w:val="007B7C04"/>
    <w:rsid w:val="007C107C"/>
    <w:rsid w:val="007C158A"/>
    <w:rsid w:val="007C1C65"/>
    <w:rsid w:val="007C1D80"/>
    <w:rsid w:val="007C2243"/>
    <w:rsid w:val="007C482E"/>
    <w:rsid w:val="007C6D8E"/>
    <w:rsid w:val="007C7487"/>
    <w:rsid w:val="007C783A"/>
    <w:rsid w:val="007C78FC"/>
    <w:rsid w:val="007D27B4"/>
    <w:rsid w:val="007D2EF4"/>
    <w:rsid w:val="007D3186"/>
    <w:rsid w:val="007D3317"/>
    <w:rsid w:val="007D4D4D"/>
    <w:rsid w:val="007D5839"/>
    <w:rsid w:val="007D709E"/>
    <w:rsid w:val="007E112D"/>
    <w:rsid w:val="007E2263"/>
    <w:rsid w:val="007E23FC"/>
    <w:rsid w:val="007E28AF"/>
    <w:rsid w:val="007E34EE"/>
    <w:rsid w:val="007E40B5"/>
    <w:rsid w:val="007E4775"/>
    <w:rsid w:val="007E5663"/>
    <w:rsid w:val="007E5920"/>
    <w:rsid w:val="007E6A93"/>
    <w:rsid w:val="007E7038"/>
    <w:rsid w:val="007E783D"/>
    <w:rsid w:val="007F0997"/>
    <w:rsid w:val="007F1968"/>
    <w:rsid w:val="007F3941"/>
    <w:rsid w:val="007F3E77"/>
    <w:rsid w:val="007F492D"/>
    <w:rsid w:val="007F4B2C"/>
    <w:rsid w:val="007F4F76"/>
    <w:rsid w:val="007F58AC"/>
    <w:rsid w:val="007F75FE"/>
    <w:rsid w:val="008015EF"/>
    <w:rsid w:val="008015F4"/>
    <w:rsid w:val="00801AEC"/>
    <w:rsid w:val="00802782"/>
    <w:rsid w:val="00802FBC"/>
    <w:rsid w:val="00803E16"/>
    <w:rsid w:val="00804B97"/>
    <w:rsid w:val="00804C06"/>
    <w:rsid w:val="008059CE"/>
    <w:rsid w:val="00806FA9"/>
    <w:rsid w:val="008071EF"/>
    <w:rsid w:val="00807CDF"/>
    <w:rsid w:val="00811904"/>
    <w:rsid w:val="00813D5C"/>
    <w:rsid w:val="0081567A"/>
    <w:rsid w:val="00816849"/>
    <w:rsid w:val="00816852"/>
    <w:rsid w:val="00817C3F"/>
    <w:rsid w:val="00820656"/>
    <w:rsid w:val="00820AF4"/>
    <w:rsid w:val="00821228"/>
    <w:rsid w:val="008219FB"/>
    <w:rsid w:val="00822802"/>
    <w:rsid w:val="00823EA7"/>
    <w:rsid w:val="00826F46"/>
    <w:rsid w:val="00827343"/>
    <w:rsid w:val="00830B2A"/>
    <w:rsid w:val="00830C51"/>
    <w:rsid w:val="00830EA5"/>
    <w:rsid w:val="00831EB3"/>
    <w:rsid w:val="00832E9E"/>
    <w:rsid w:val="0083332D"/>
    <w:rsid w:val="0083373C"/>
    <w:rsid w:val="008338AE"/>
    <w:rsid w:val="00837062"/>
    <w:rsid w:val="00837255"/>
    <w:rsid w:val="008375DC"/>
    <w:rsid w:val="0084062E"/>
    <w:rsid w:val="008425E0"/>
    <w:rsid w:val="008427ED"/>
    <w:rsid w:val="00842962"/>
    <w:rsid w:val="00845DF1"/>
    <w:rsid w:val="00845EA2"/>
    <w:rsid w:val="00850C10"/>
    <w:rsid w:val="00850D7A"/>
    <w:rsid w:val="008515BB"/>
    <w:rsid w:val="0085171A"/>
    <w:rsid w:val="00851F95"/>
    <w:rsid w:val="00853C21"/>
    <w:rsid w:val="0085452B"/>
    <w:rsid w:val="00854ABA"/>
    <w:rsid w:val="008559F2"/>
    <w:rsid w:val="00855AEB"/>
    <w:rsid w:val="00857ACF"/>
    <w:rsid w:val="00857D06"/>
    <w:rsid w:val="00860A17"/>
    <w:rsid w:val="00861589"/>
    <w:rsid w:val="008636E1"/>
    <w:rsid w:val="008637A1"/>
    <w:rsid w:val="0086435A"/>
    <w:rsid w:val="0086570F"/>
    <w:rsid w:val="00865D83"/>
    <w:rsid w:val="00866152"/>
    <w:rsid w:val="008701FC"/>
    <w:rsid w:val="00870664"/>
    <w:rsid w:val="00870883"/>
    <w:rsid w:val="00870CBE"/>
    <w:rsid w:val="00870EBD"/>
    <w:rsid w:val="00871A90"/>
    <w:rsid w:val="00872A4E"/>
    <w:rsid w:val="00873D40"/>
    <w:rsid w:val="008772D8"/>
    <w:rsid w:val="008818FD"/>
    <w:rsid w:val="00882606"/>
    <w:rsid w:val="008826A4"/>
    <w:rsid w:val="008829D0"/>
    <w:rsid w:val="00882AB4"/>
    <w:rsid w:val="008830AE"/>
    <w:rsid w:val="008862F1"/>
    <w:rsid w:val="00887D12"/>
    <w:rsid w:val="008910E8"/>
    <w:rsid w:val="00892DCD"/>
    <w:rsid w:val="00893283"/>
    <w:rsid w:val="0089339E"/>
    <w:rsid w:val="0089348F"/>
    <w:rsid w:val="00894CC6"/>
    <w:rsid w:val="00894E62"/>
    <w:rsid w:val="00895BE3"/>
    <w:rsid w:val="00896375"/>
    <w:rsid w:val="0089666B"/>
    <w:rsid w:val="00897575"/>
    <w:rsid w:val="00897841"/>
    <w:rsid w:val="00897936"/>
    <w:rsid w:val="008A02C9"/>
    <w:rsid w:val="008A2EB3"/>
    <w:rsid w:val="008A4DF1"/>
    <w:rsid w:val="008A4E10"/>
    <w:rsid w:val="008A5FDD"/>
    <w:rsid w:val="008A6633"/>
    <w:rsid w:val="008B2806"/>
    <w:rsid w:val="008B2AD7"/>
    <w:rsid w:val="008B2B35"/>
    <w:rsid w:val="008B2EA1"/>
    <w:rsid w:val="008B35BF"/>
    <w:rsid w:val="008B450C"/>
    <w:rsid w:val="008B5327"/>
    <w:rsid w:val="008B5593"/>
    <w:rsid w:val="008B5757"/>
    <w:rsid w:val="008B790C"/>
    <w:rsid w:val="008B7F2E"/>
    <w:rsid w:val="008C1FED"/>
    <w:rsid w:val="008C4C45"/>
    <w:rsid w:val="008C4FCA"/>
    <w:rsid w:val="008C5D4F"/>
    <w:rsid w:val="008D10DE"/>
    <w:rsid w:val="008D1556"/>
    <w:rsid w:val="008D1C34"/>
    <w:rsid w:val="008D4D2B"/>
    <w:rsid w:val="008D7F1E"/>
    <w:rsid w:val="008E1380"/>
    <w:rsid w:val="008E1838"/>
    <w:rsid w:val="008E2631"/>
    <w:rsid w:val="008E3E6F"/>
    <w:rsid w:val="008E44FA"/>
    <w:rsid w:val="008E4652"/>
    <w:rsid w:val="008E53AC"/>
    <w:rsid w:val="008E726B"/>
    <w:rsid w:val="008E7D5F"/>
    <w:rsid w:val="008F2320"/>
    <w:rsid w:val="008F3AB0"/>
    <w:rsid w:val="008F402D"/>
    <w:rsid w:val="008F493F"/>
    <w:rsid w:val="008F49F5"/>
    <w:rsid w:val="008F51B2"/>
    <w:rsid w:val="008F70D2"/>
    <w:rsid w:val="008F7A3D"/>
    <w:rsid w:val="00900078"/>
    <w:rsid w:val="00900ADD"/>
    <w:rsid w:val="00901AB5"/>
    <w:rsid w:val="00902F8C"/>
    <w:rsid w:val="00903627"/>
    <w:rsid w:val="00905142"/>
    <w:rsid w:val="009052DB"/>
    <w:rsid w:val="009056B0"/>
    <w:rsid w:val="009061DD"/>
    <w:rsid w:val="0090755C"/>
    <w:rsid w:val="009106E0"/>
    <w:rsid w:val="00912350"/>
    <w:rsid w:val="009140BC"/>
    <w:rsid w:val="00915629"/>
    <w:rsid w:val="00915CA2"/>
    <w:rsid w:val="00916485"/>
    <w:rsid w:val="009164D0"/>
    <w:rsid w:val="00917F0E"/>
    <w:rsid w:val="00920134"/>
    <w:rsid w:val="00920A7B"/>
    <w:rsid w:val="00921C21"/>
    <w:rsid w:val="0092410E"/>
    <w:rsid w:val="009243B4"/>
    <w:rsid w:val="00925631"/>
    <w:rsid w:val="009269EB"/>
    <w:rsid w:val="00926A3E"/>
    <w:rsid w:val="00931330"/>
    <w:rsid w:val="00931B77"/>
    <w:rsid w:val="00931F03"/>
    <w:rsid w:val="0093268D"/>
    <w:rsid w:val="00933F8B"/>
    <w:rsid w:val="00934726"/>
    <w:rsid w:val="00935166"/>
    <w:rsid w:val="00935A5F"/>
    <w:rsid w:val="0093678C"/>
    <w:rsid w:val="009371DE"/>
    <w:rsid w:val="009373E5"/>
    <w:rsid w:val="00937BDD"/>
    <w:rsid w:val="00937F10"/>
    <w:rsid w:val="00940E60"/>
    <w:rsid w:val="009415E4"/>
    <w:rsid w:val="00941D85"/>
    <w:rsid w:val="00944520"/>
    <w:rsid w:val="009451AE"/>
    <w:rsid w:val="009457CA"/>
    <w:rsid w:val="00945A27"/>
    <w:rsid w:val="00945E8E"/>
    <w:rsid w:val="00947E75"/>
    <w:rsid w:val="00950B70"/>
    <w:rsid w:val="00951339"/>
    <w:rsid w:val="00951686"/>
    <w:rsid w:val="00951D84"/>
    <w:rsid w:val="00951F39"/>
    <w:rsid w:val="0095200E"/>
    <w:rsid w:val="0095265C"/>
    <w:rsid w:val="009540AA"/>
    <w:rsid w:val="0095435A"/>
    <w:rsid w:val="009546E3"/>
    <w:rsid w:val="00956BE3"/>
    <w:rsid w:val="009572C0"/>
    <w:rsid w:val="00957AE2"/>
    <w:rsid w:val="0096038B"/>
    <w:rsid w:val="00960D8C"/>
    <w:rsid w:val="009616E5"/>
    <w:rsid w:val="009620E0"/>
    <w:rsid w:val="00962101"/>
    <w:rsid w:val="009632F2"/>
    <w:rsid w:val="009633C0"/>
    <w:rsid w:val="009653E8"/>
    <w:rsid w:val="00970098"/>
    <w:rsid w:val="00970A4E"/>
    <w:rsid w:val="009727E7"/>
    <w:rsid w:val="009744B9"/>
    <w:rsid w:val="009747A0"/>
    <w:rsid w:val="009748E0"/>
    <w:rsid w:val="00974B0C"/>
    <w:rsid w:val="00974CA5"/>
    <w:rsid w:val="009775CF"/>
    <w:rsid w:val="009776A8"/>
    <w:rsid w:val="00980E47"/>
    <w:rsid w:val="00981C90"/>
    <w:rsid w:val="009825B2"/>
    <w:rsid w:val="00983736"/>
    <w:rsid w:val="009839EE"/>
    <w:rsid w:val="00983A5D"/>
    <w:rsid w:val="00985EC5"/>
    <w:rsid w:val="00985F50"/>
    <w:rsid w:val="009872E6"/>
    <w:rsid w:val="0099002B"/>
    <w:rsid w:val="00990E72"/>
    <w:rsid w:val="009910AE"/>
    <w:rsid w:val="00992188"/>
    <w:rsid w:val="0099346D"/>
    <w:rsid w:val="00993A52"/>
    <w:rsid w:val="00994621"/>
    <w:rsid w:val="00995951"/>
    <w:rsid w:val="009961B6"/>
    <w:rsid w:val="0099765B"/>
    <w:rsid w:val="00997864"/>
    <w:rsid w:val="00997D2D"/>
    <w:rsid w:val="009A070C"/>
    <w:rsid w:val="009A19CF"/>
    <w:rsid w:val="009A1A8D"/>
    <w:rsid w:val="009A226A"/>
    <w:rsid w:val="009A58CE"/>
    <w:rsid w:val="009B0C2E"/>
    <w:rsid w:val="009B12B6"/>
    <w:rsid w:val="009B1701"/>
    <w:rsid w:val="009B2425"/>
    <w:rsid w:val="009B2439"/>
    <w:rsid w:val="009B2D4A"/>
    <w:rsid w:val="009B52A6"/>
    <w:rsid w:val="009B566B"/>
    <w:rsid w:val="009B626B"/>
    <w:rsid w:val="009B6E92"/>
    <w:rsid w:val="009B71D2"/>
    <w:rsid w:val="009C0608"/>
    <w:rsid w:val="009C1E5F"/>
    <w:rsid w:val="009C2A93"/>
    <w:rsid w:val="009C3068"/>
    <w:rsid w:val="009C315E"/>
    <w:rsid w:val="009C36F0"/>
    <w:rsid w:val="009C44F6"/>
    <w:rsid w:val="009C454C"/>
    <w:rsid w:val="009C4D81"/>
    <w:rsid w:val="009C514B"/>
    <w:rsid w:val="009C556D"/>
    <w:rsid w:val="009C6027"/>
    <w:rsid w:val="009C690B"/>
    <w:rsid w:val="009C6AEE"/>
    <w:rsid w:val="009C6B9B"/>
    <w:rsid w:val="009D097E"/>
    <w:rsid w:val="009D0EA0"/>
    <w:rsid w:val="009D2242"/>
    <w:rsid w:val="009D28E9"/>
    <w:rsid w:val="009D3605"/>
    <w:rsid w:val="009D3F3D"/>
    <w:rsid w:val="009D3FDA"/>
    <w:rsid w:val="009D58F9"/>
    <w:rsid w:val="009D615E"/>
    <w:rsid w:val="009D69DE"/>
    <w:rsid w:val="009D7145"/>
    <w:rsid w:val="009D7BEB"/>
    <w:rsid w:val="009E1AFC"/>
    <w:rsid w:val="009E1F15"/>
    <w:rsid w:val="009E3E99"/>
    <w:rsid w:val="009E4B9F"/>
    <w:rsid w:val="009E545D"/>
    <w:rsid w:val="009E6308"/>
    <w:rsid w:val="009F013D"/>
    <w:rsid w:val="009F0480"/>
    <w:rsid w:val="009F05C2"/>
    <w:rsid w:val="009F0C32"/>
    <w:rsid w:val="009F0FC8"/>
    <w:rsid w:val="009F10FD"/>
    <w:rsid w:val="009F124B"/>
    <w:rsid w:val="009F1829"/>
    <w:rsid w:val="009F2BCB"/>
    <w:rsid w:val="009F2F98"/>
    <w:rsid w:val="009F3743"/>
    <w:rsid w:val="009F4B28"/>
    <w:rsid w:val="009F6EB6"/>
    <w:rsid w:val="009F79C0"/>
    <w:rsid w:val="00A004C9"/>
    <w:rsid w:val="00A01789"/>
    <w:rsid w:val="00A025B2"/>
    <w:rsid w:val="00A03014"/>
    <w:rsid w:val="00A041EE"/>
    <w:rsid w:val="00A056A0"/>
    <w:rsid w:val="00A05DC8"/>
    <w:rsid w:val="00A063C1"/>
    <w:rsid w:val="00A07D88"/>
    <w:rsid w:val="00A10319"/>
    <w:rsid w:val="00A107D9"/>
    <w:rsid w:val="00A11A16"/>
    <w:rsid w:val="00A13AF7"/>
    <w:rsid w:val="00A13F74"/>
    <w:rsid w:val="00A1511C"/>
    <w:rsid w:val="00A155AC"/>
    <w:rsid w:val="00A163D7"/>
    <w:rsid w:val="00A163F1"/>
    <w:rsid w:val="00A171D9"/>
    <w:rsid w:val="00A23228"/>
    <w:rsid w:val="00A24AF8"/>
    <w:rsid w:val="00A254DA"/>
    <w:rsid w:val="00A2553E"/>
    <w:rsid w:val="00A301CB"/>
    <w:rsid w:val="00A30537"/>
    <w:rsid w:val="00A32A5A"/>
    <w:rsid w:val="00A33D85"/>
    <w:rsid w:val="00A35F0A"/>
    <w:rsid w:val="00A36C12"/>
    <w:rsid w:val="00A407B8"/>
    <w:rsid w:val="00A40F6C"/>
    <w:rsid w:val="00A429B3"/>
    <w:rsid w:val="00A45964"/>
    <w:rsid w:val="00A46469"/>
    <w:rsid w:val="00A4732C"/>
    <w:rsid w:val="00A47690"/>
    <w:rsid w:val="00A477A4"/>
    <w:rsid w:val="00A50611"/>
    <w:rsid w:val="00A52E03"/>
    <w:rsid w:val="00A5386B"/>
    <w:rsid w:val="00A5469C"/>
    <w:rsid w:val="00A54730"/>
    <w:rsid w:val="00A54A29"/>
    <w:rsid w:val="00A5503F"/>
    <w:rsid w:val="00A5583C"/>
    <w:rsid w:val="00A55FFA"/>
    <w:rsid w:val="00A56652"/>
    <w:rsid w:val="00A570A6"/>
    <w:rsid w:val="00A57E4B"/>
    <w:rsid w:val="00A60035"/>
    <w:rsid w:val="00A607C7"/>
    <w:rsid w:val="00A620F3"/>
    <w:rsid w:val="00A627C6"/>
    <w:rsid w:val="00A64621"/>
    <w:rsid w:val="00A646CA"/>
    <w:rsid w:val="00A64C1E"/>
    <w:rsid w:val="00A663B0"/>
    <w:rsid w:val="00A66950"/>
    <w:rsid w:val="00A66FA0"/>
    <w:rsid w:val="00A66FFE"/>
    <w:rsid w:val="00A72C41"/>
    <w:rsid w:val="00A757E3"/>
    <w:rsid w:val="00A77D0D"/>
    <w:rsid w:val="00A77F7A"/>
    <w:rsid w:val="00A8088A"/>
    <w:rsid w:val="00A80F3B"/>
    <w:rsid w:val="00A80FA5"/>
    <w:rsid w:val="00A81317"/>
    <w:rsid w:val="00A81D90"/>
    <w:rsid w:val="00A8257B"/>
    <w:rsid w:val="00A82D7A"/>
    <w:rsid w:val="00A831BF"/>
    <w:rsid w:val="00A8406F"/>
    <w:rsid w:val="00A8493E"/>
    <w:rsid w:val="00A84E06"/>
    <w:rsid w:val="00A85563"/>
    <w:rsid w:val="00A860FB"/>
    <w:rsid w:val="00A87792"/>
    <w:rsid w:val="00A92D5B"/>
    <w:rsid w:val="00A94220"/>
    <w:rsid w:val="00A951C6"/>
    <w:rsid w:val="00A961A8"/>
    <w:rsid w:val="00A97877"/>
    <w:rsid w:val="00A97D89"/>
    <w:rsid w:val="00A97FB6"/>
    <w:rsid w:val="00AA06B2"/>
    <w:rsid w:val="00AA2279"/>
    <w:rsid w:val="00AA3C1D"/>
    <w:rsid w:val="00AA3CC5"/>
    <w:rsid w:val="00AA44D3"/>
    <w:rsid w:val="00AA49EA"/>
    <w:rsid w:val="00AA514D"/>
    <w:rsid w:val="00AA54E2"/>
    <w:rsid w:val="00AA5F40"/>
    <w:rsid w:val="00AA67F5"/>
    <w:rsid w:val="00AA6F2E"/>
    <w:rsid w:val="00AB0EC0"/>
    <w:rsid w:val="00AB4B7A"/>
    <w:rsid w:val="00AB553A"/>
    <w:rsid w:val="00AB5D6A"/>
    <w:rsid w:val="00AB7460"/>
    <w:rsid w:val="00AB7AB8"/>
    <w:rsid w:val="00AC2807"/>
    <w:rsid w:val="00AC2AAA"/>
    <w:rsid w:val="00AC4143"/>
    <w:rsid w:val="00AC4B21"/>
    <w:rsid w:val="00AC4FB8"/>
    <w:rsid w:val="00AC5861"/>
    <w:rsid w:val="00AC5AF7"/>
    <w:rsid w:val="00AC6CFD"/>
    <w:rsid w:val="00AC7E00"/>
    <w:rsid w:val="00AD28CA"/>
    <w:rsid w:val="00AD2CCA"/>
    <w:rsid w:val="00AD4FCA"/>
    <w:rsid w:val="00AD5BB2"/>
    <w:rsid w:val="00AD6114"/>
    <w:rsid w:val="00AE2B5D"/>
    <w:rsid w:val="00AE69F6"/>
    <w:rsid w:val="00AF1C69"/>
    <w:rsid w:val="00AF36C0"/>
    <w:rsid w:val="00AF3B7B"/>
    <w:rsid w:val="00AF4838"/>
    <w:rsid w:val="00AF4AB3"/>
    <w:rsid w:val="00AF6EF1"/>
    <w:rsid w:val="00AF7466"/>
    <w:rsid w:val="00AF7C85"/>
    <w:rsid w:val="00B01C15"/>
    <w:rsid w:val="00B01DB2"/>
    <w:rsid w:val="00B026C2"/>
    <w:rsid w:val="00B02BC7"/>
    <w:rsid w:val="00B02F28"/>
    <w:rsid w:val="00B040EB"/>
    <w:rsid w:val="00B1003E"/>
    <w:rsid w:val="00B10100"/>
    <w:rsid w:val="00B1192F"/>
    <w:rsid w:val="00B12BDB"/>
    <w:rsid w:val="00B13829"/>
    <w:rsid w:val="00B143D8"/>
    <w:rsid w:val="00B14BF9"/>
    <w:rsid w:val="00B16505"/>
    <w:rsid w:val="00B17488"/>
    <w:rsid w:val="00B17ABB"/>
    <w:rsid w:val="00B17F92"/>
    <w:rsid w:val="00B202CC"/>
    <w:rsid w:val="00B208CE"/>
    <w:rsid w:val="00B20FDD"/>
    <w:rsid w:val="00B21F70"/>
    <w:rsid w:val="00B223D8"/>
    <w:rsid w:val="00B23593"/>
    <w:rsid w:val="00B246F8"/>
    <w:rsid w:val="00B255B4"/>
    <w:rsid w:val="00B31200"/>
    <w:rsid w:val="00B32C00"/>
    <w:rsid w:val="00B32C47"/>
    <w:rsid w:val="00B33448"/>
    <w:rsid w:val="00B33DA8"/>
    <w:rsid w:val="00B33E02"/>
    <w:rsid w:val="00B34B3E"/>
    <w:rsid w:val="00B34CBC"/>
    <w:rsid w:val="00B35760"/>
    <w:rsid w:val="00B357F1"/>
    <w:rsid w:val="00B375F8"/>
    <w:rsid w:val="00B37AC3"/>
    <w:rsid w:val="00B41063"/>
    <w:rsid w:val="00B41429"/>
    <w:rsid w:val="00B414EA"/>
    <w:rsid w:val="00B418C6"/>
    <w:rsid w:val="00B421B3"/>
    <w:rsid w:val="00B42524"/>
    <w:rsid w:val="00B446D8"/>
    <w:rsid w:val="00B4478C"/>
    <w:rsid w:val="00B44D7E"/>
    <w:rsid w:val="00B45390"/>
    <w:rsid w:val="00B45470"/>
    <w:rsid w:val="00B4594A"/>
    <w:rsid w:val="00B45CA9"/>
    <w:rsid w:val="00B50EC4"/>
    <w:rsid w:val="00B51692"/>
    <w:rsid w:val="00B51839"/>
    <w:rsid w:val="00B52673"/>
    <w:rsid w:val="00B530B6"/>
    <w:rsid w:val="00B5434C"/>
    <w:rsid w:val="00B543C0"/>
    <w:rsid w:val="00B54FF3"/>
    <w:rsid w:val="00B553ED"/>
    <w:rsid w:val="00B5678C"/>
    <w:rsid w:val="00B56821"/>
    <w:rsid w:val="00B56830"/>
    <w:rsid w:val="00B571C5"/>
    <w:rsid w:val="00B5725B"/>
    <w:rsid w:val="00B572B9"/>
    <w:rsid w:val="00B61C01"/>
    <w:rsid w:val="00B61ED3"/>
    <w:rsid w:val="00B6276E"/>
    <w:rsid w:val="00B62EFB"/>
    <w:rsid w:val="00B64069"/>
    <w:rsid w:val="00B64E17"/>
    <w:rsid w:val="00B64FCC"/>
    <w:rsid w:val="00B667A6"/>
    <w:rsid w:val="00B670EA"/>
    <w:rsid w:val="00B67864"/>
    <w:rsid w:val="00B67B5A"/>
    <w:rsid w:val="00B67DD0"/>
    <w:rsid w:val="00B70EB4"/>
    <w:rsid w:val="00B715FC"/>
    <w:rsid w:val="00B71627"/>
    <w:rsid w:val="00B721F5"/>
    <w:rsid w:val="00B72C06"/>
    <w:rsid w:val="00B736EA"/>
    <w:rsid w:val="00B73EAC"/>
    <w:rsid w:val="00B74BF2"/>
    <w:rsid w:val="00B75C23"/>
    <w:rsid w:val="00B769CA"/>
    <w:rsid w:val="00B77AF0"/>
    <w:rsid w:val="00B81D4E"/>
    <w:rsid w:val="00B8381C"/>
    <w:rsid w:val="00B85C9C"/>
    <w:rsid w:val="00B85F02"/>
    <w:rsid w:val="00B86285"/>
    <w:rsid w:val="00B86C79"/>
    <w:rsid w:val="00B86C9C"/>
    <w:rsid w:val="00B87027"/>
    <w:rsid w:val="00B8706E"/>
    <w:rsid w:val="00B871ED"/>
    <w:rsid w:val="00B8770F"/>
    <w:rsid w:val="00B91132"/>
    <w:rsid w:val="00B91D52"/>
    <w:rsid w:val="00B92AD9"/>
    <w:rsid w:val="00B932FF"/>
    <w:rsid w:val="00B94D80"/>
    <w:rsid w:val="00B95D52"/>
    <w:rsid w:val="00B9761F"/>
    <w:rsid w:val="00BA0AC6"/>
    <w:rsid w:val="00BA0FE6"/>
    <w:rsid w:val="00BA13D4"/>
    <w:rsid w:val="00BA2D70"/>
    <w:rsid w:val="00BA2FA3"/>
    <w:rsid w:val="00BA34A0"/>
    <w:rsid w:val="00BA4F18"/>
    <w:rsid w:val="00BA52CB"/>
    <w:rsid w:val="00BB0240"/>
    <w:rsid w:val="00BB1671"/>
    <w:rsid w:val="00BB1F53"/>
    <w:rsid w:val="00BB22FA"/>
    <w:rsid w:val="00BB2F93"/>
    <w:rsid w:val="00BB3387"/>
    <w:rsid w:val="00BB4C0B"/>
    <w:rsid w:val="00BB57D8"/>
    <w:rsid w:val="00BB57F2"/>
    <w:rsid w:val="00BB6B45"/>
    <w:rsid w:val="00BB6CFD"/>
    <w:rsid w:val="00BB72FC"/>
    <w:rsid w:val="00BB7BEA"/>
    <w:rsid w:val="00BC16DA"/>
    <w:rsid w:val="00BC17C9"/>
    <w:rsid w:val="00BC1983"/>
    <w:rsid w:val="00BC2C6F"/>
    <w:rsid w:val="00BC3517"/>
    <w:rsid w:val="00BC3C32"/>
    <w:rsid w:val="00BC4173"/>
    <w:rsid w:val="00BC4FD7"/>
    <w:rsid w:val="00BC582F"/>
    <w:rsid w:val="00BC5DA1"/>
    <w:rsid w:val="00BC6386"/>
    <w:rsid w:val="00BC664F"/>
    <w:rsid w:val="00BC6E3F"/>
    <w:rsid w:val="00BD1075"/>
    <w:rsid w:val="00BD1175"/>
    <w:rsid w:val="00BD1407"/>
    <w:rsid w:val="00BD286D"/>
    <w:rsid w:val="00BD29ED"/>
    <w:rsid w:val="00BD2DE0"/>
    <w:rsid w:val="00BD30FC"/>
    <w:rsid w:val="00BD31C6"/>
    <w:rsid w:val="00BD354C"/>
    <w:rsid w:val="00BD6543"/>
    <w:rsid w:val="00BD6EC0"/>
    <w:rsid w:val="00BE03BE"/>
    <w:rsid w:val="00BE0430"/>
    <w:rsid w:val="00BE3816"/>
    <w:rsid w:val="00BE52C9"/>
    <w:rsid w:val="00BE60DF"/>
    <w:rsid w:val="00BE60F5"/>
    <w:rsid w:val="00BE645F"/>
    <w:rsid w:val="00BE67FA"/>
    <w:rsid w:val="00BE689E"/>
    <w:rsid w:val="00BF089E"/>
    <w:rsid w:val="00BF0D98"/>
    <w:rsid w:val="00BF15D7"/>
    <w:rsid w:val="00BF1973"/>
    <w:rsid w:val="00BF1CAD"/>
    <w:rsid w:val="00BF214E"/>
    <w:rsid w:val="00BF26B3"/>
    <w:rsid w:val="00BF36AB"/>
    <w:rsid w:val="00BF40DF"/>
    <w:rsid w:val="00BF5B74"/>
    <w:rsid w:val="00BF78EA"/>
    <w:rsid w:val="00C00691"/>
    <w:rsid w:val="00C01236"/>
    <w:rsid w:val="00C0128C"/>
    <w:rsid w:val="00C0589C"/>
    <w:rsid w:val="00C05C0B"/>
    <w:rsid w:val="00C06CAB"/>
    <w:rsid w:val="00C06DBD"/>
    <w:rsid w:val="00C07C85"/>
    <w:rsid w:val="00C07D69"/>
    <w:rsid w:val="00C100FC"/>
    <w:rsid w:val="00C108DF"/>
    <w:rsid w:val="00C11FC5"/>
    <w:rsid w:val="00C12ECD"/>
    <w:rsid w:val="00C136C8"/>
    <w:rsid w:val="00C13FFF"/>
    <w:rsid w:val="00C141A8"/>
    <w:rsid w:val="00C14A1C"/>
    <w:rsid w:val="00C15ACB"/>
    <w:rsid w:val="00C1629F"/>
    <w:rsid w:val="00C2234A"/>
    <w:rsid w:val="00C228D6"/>
    <w:rsid w:val="00C228D8"/>
    <w:rsid w:val="00C2463A"/>
    <w:rsid w:val="00C25E5B"/>
    <w:rsid w:val="00C27C06"/>
    <w:rsid w:val="00C312B0"/>
    <w:rsid w:val="00C31B8B"/>
    <w:rsid w:val="00C31CE4"/>
    <w:rsid w:val="00C3259E"/>
    <w:rsid w:val="00C34831"/>
    <w:rsid w:val="00C34951"/>
    <w:rsid w:val="00C3498E"/>
    <w:rsid w:val="00C37415"/>
    <w:rsid w:val="00C376BC"/>
    <w:rsid w:val="00C3788C"/>
    <w:rsid w:val="00C37F44"/>
    <w:rsid w:val="00C40496"/>
    <w:rsid w:val="00C40D14"/>
    <w:rsid w:val="00C41283"/>
    <w:rsid w:val="00C426CC"/>
    <w:rsid w:val="00C4302E"/>
    <w:rsid w:val="00C43778"/>
    <w:rsid w:val="00C442E6"/>
    <w:rsid w:val="00C44502"/>
    <w:rsid w:val="00C46286"/>
    <w:rsid w:val="00C47859"/>
    <w:rsid w:val="00C5074C"/>
    <w:rsid w:val="00C50C97"/>
    <w:rsid w:val="00C5186F"/>
    <w:rsid w:val="00C51AAC"/>
    <w:rsid w:val="00C52A2A"/>
    <w:rsid w:val="00C53072"/>
    <w:rsid w:val="00C540D5"/>
    <w:rsid w:val="00C54413"/>
    <w:rsid w:val="00C54FA9"/>
    <w:rsid w:val="00C56866"/>
    <w:rsid w:val="00C57BA6"/>
    <w:rsid w:val="00C607A0"/>
    <w:rsid w:val="00C60BF0"/>
    <w:rsid w:val="00C60C48"/>
    <w:rsid w:val="00C615C9"/>
    <w:rsid w:val="00C618D7"/>
    <w:rsid w:val="00C61F57"/>
    <w:rsid w:val="00C623F6"/>
    <w:rsid w:val="00C62611"/>
    <w:rsid w:val="00C64A0B"/>
    <w:rsid w:val="00C6506B"/>
    <w:rsid w:val="00C65D1E"/>
    <w:rsid w:val="00C6609C"/>
    <w:rsid w:val="00C661DE"/>
    <w:rsid w:val="00C66E38"/>
    <w:rsid w:val="00C6758B"/>
    <w:rsid w:val="00C7048B"/>
    <w:rsid w:val="00C7160F"/>
    <w:rsid w:val="00C71B86"/>
    <w:rsid w:val="00C71E09"/>
    <w:rsid w:val="00C720B6"/>
    <w:rsid w:val="00C74066"/>
    <w:rsid w:val="00C76494"/>
    <w:rsid w:val="00C76CA4"/>
    <w:rsid w:val="00C77937"/>
    <w:rsid w:val="00C80B52"/>
    <w:rsid w:val="00C818C5"/>
    <w:rsid w:val="00C819D3"/>
    <w:rsid w:val="00C82697"/>
    <w:rsid w:val="00C82E44"/>
    <w:rsid w:val="00C833C6"/>
    <w:rsid w:val="00C84826"/>
    <w:rsid w:val="00C848AC"/>
    <w:rsid w:val="00C86CB8"/>
    <w:rsid w:val="00C9030D"/>
    <w:rsid w:val="00C93110"/>
    <w:rsid w:val="00C93C3B"/>
    <w:rsid w:val="00C95B0F"/>
    <w:rsid w:val="00C96013"/>
    <w:rsid w:val="00CA0144"/>
    <w:rsid w:val="00CA1DD0"/>
    <w:rsid w:val="00CA30D8"/>
    <w:rsid w:val="00CA36AA"/>
    <w:rsid w:val="00CB034E"/>
    <w:rsid w:val="00CB15A4"/>
    <w:rsid w:val="00CB211B"/>
    <w:rsid w:val="00CB266C"/>
    <w:rsid w:val="00CB3A12"/>
    <w:rsid w:val="00CB3BD3"/>
    <w:rsid w:val="00CB3EEE"/>
    <w:rsid w:val="00CB6097"/>
    <w:rsid w:val="00CB6844"/>
    <w:rsid w:val="00CC0A40"/>
    <w:rsid w:val="00CC126D"/>
    <w:rsid w:val="00CC1360"/>
    <w:rsid w:val="00CC1C53"/>
    <w:rsid w:val="00CC282F"/>
    <w:rsid w:val="00CC2F83"/>
    <w:rsid w:val="00CC5B4A"/>
    <w:rsid w:val="00CC5F12"/>
    <w:rsid w:val="00CC77F6"/>
    <w:rsid w:val="00CC7D91"/>
    <w:rsid w:val="00CD02EF"/>
    <w:rsid w:val="00CD23E8"/>
    <w:rsid w:val="00CD2DFB"/>
    <w:rsid w:val="00CD339C"/>
    <w:rsid w:val="00CD360C"/>
    <w:rsid w:val="00CD46BD"/>
    <w:rsid w:val="00CD50AA"/>
    <w:rsid w:val="00CD528D"/>
    <w:rsid w:val="00CD5541"/>
    <w:rsid w:val="00CD6107"/>
    <w:rsid w:val="00CD7833"/>
    <w:rsid w:val="00CE06AE"/>
    <w:rsid w:val="00CE0C4F"/>
    <w:rsid w:val="00CE1F11"/>
    <w:rsid w:val="00CE267B"/>
    <w:rsid w:val="00CE4671"/>
    <w:rsid w:val="00CE474B"/>
    <w:rsid w:val="00CE6D5C"/>
    <w:rsid w:val="00CF0965"/>
    <w:rsid w:val="00CF09A1"/>
    <w:rsid w:val="00CF2325"/>
    <w:rsid w:val="00CF2606"/>
    <w:rsid w:val="00CF29D5"/>
    <w:rsid w:val="00CF2FCC"/>
    <w:rsid w:val="00CF4938"/>
    <w:rsid w:val="00CF4B26"/>
    <w:rsid w:val="00CF60B3"/>
    <w:rsid w:val="00CF66EF"/>
    <w:rsid w:val="00CF7303"/>
    <w:rsid w:val="00D0029B"/>
    <w:rsid w:val="00D01A73"/>
    <w:rsid w:val="00D02025"/>
    <w:rsid w:val="00D026C5"/>
    <w:rsid w:val="00D0294F"/>
    <w:rsid w:val="00D03CA7"/>
    <w:rsid w:val="00D04924"/>
    <w:rsid w:val="00D04DFD"/>
    <w:rsid w:val="00D065D9"/>
    <w:rsid w:val="00D07DEB"/>
    <w:rsid w:val="00D10611"/>
    <w:rsid w:val="00D11821"/>
    <w:rsid w:val="00D11A7E"/>
    <w:rsid w:val="00D12726"/>
    <w:rsid w:val="00D14FE2"/>
    <w:rsid w:val="00D159B6"/>
    <w:rsid w:val="00D17319"/>
    <w:rsid w:val="00D179BC"/>
    <w:rsid w:val="00D21EF5"/>
    <w:rsid w:val="00D227F0"/>
    <w:rsid w:val="00D241E6"/>
    <w:rsid w:val="00D247C9"/>
    <w:rsid w:val="00D2565C"/>
    <w:rsid w:val="00D26B2B"/>
    <w:rsid w:val="00D27041"/>
    <w:rsid w:val="00D27A37"/>
    <w:rsid w:val="00D27F99"/>
    <w:rsid w:val="00D30759"/>
    <w:rsid w:val="00D34596"/>
    <w:rsid w:val="00D347D8"/>
    <w:rsid w:val="00D35D8B"/>
    <w:rsid w:val="00D366E9"/>
    <w:rsid w:val="00D368AB"/>
    <w:rsid w:val="00D41208"/>
    <w:rsid w:val="00D41582"/>
    <w:rsid w:val="00D41701"/>
    <w:rsid w:val="00D41AD8"/>
    <w:rsid w:val="00D44219"/>
    <w:rsid w:val="00D46093"/>
    <w:rsid w:val="00D46FE1"/>
    <w:rsid w:val="00D47953"/>
    <w:rsid w:val="00D51A1D"/>
    <w:rsid w:val="00D521C2"/>
    <w:rsid w:val="00D53219"/>
    <w:rsid w:val="00D53253"/>
    <w:rsid w:val="00D53BCC"/>
    <w:rsid w:val="00D53F8E"/>
    <w:rsid w:val="00D54435"/>
    <w:rsid w:val="00D56BA6"/>
    <w:rsid w:val="00D57024"/>
    <w:rsid w:val="00D608EA"/>
    <w:rsid w:val="00D61891"/>
    <w:rsid w:val="00D62115"/>
    <w:rsid w:val="00D64112"/>
    <w:rsid w:val="00D648C8"/>
    <w:rsid w:val="00D64B06"/>
    <w:rsid w:val="00D65A4D"/>
    <w:rsid w:val="00D661BD"/>
    <w:rsid w:val="00D66F77"/>
    <w:rsid w:val="00D679D6"/>
    <w:rsid w:val="00D70105"/>
    <w:rsid w:val="00D70F7D"/>
    <w:rsid w:val="00D71FBE"/>
    <w:rsid w:val="00D720EE"/>
    <w:rsid w:val="00D72386"/>
    <w:rsid w:val="00D742BE"/>
    <w:rsid w:val="00D748B8"/>
    <w:rsid w:val="00D7699D"/>
    <w:rsid w:val="00D80415"/>
    <w:rsid w:val="00D80FFA"/>
    <w:rsid w:val="00D819AE"/>
    <w:rsid w:val="00D830BB"/>
    <w:rsid w:val="00D83B08"/>
    <w:rsid w:val="00D84D78"/>
    <w:rsid w:val="00D87283"/>
    <w:rsid w:val="00D9021A"/>
    <w:rsid w:val="00D90B6F"/>
    <w:rsid w:val="00D93236"/>
    <w:rsid w:val="00D937F9"/>
    <w:rsid w:val="00D94504"/>
    <w:rsid w:val="00D94BD5"/>
    <w:rsid w:val="00D965C0"/>
    <w:rsid w:val="00DA0995"/>
    <w:rsid w:val="00DA09F2"/>
    <w:rsid w:val="00DA17F0"/>
    <w:rsid w:val="00DA270F"/>
    <w:rsid w:val="00DA2A57"/>
    <w:rsid w:val="00DA3D36"/>
    <w:rsid w:val="00DA571B"/>
    <w:rsid w:val="00DA5C87"/>
    <w:rsid w:val="00DA6D7E"/>
    <w:rsid w:val="00DA79E9"/>
    <w:rsid w:val="00DB334D"/>
    <w:rsid w:val="00DB481A"/>
    <w:rsid w:val="00DB4C7B"/>
    <w:rsid w:val="00DB4CE8"/>
    <w:rsid w:val="00DB5153"/>
    <w:rsid w:val="00DB65F2"/>
    <w:rsid w:val="00DB672E"/>
    <w:rsid w:val="00DB6B98"/>
    <w:rsid w:val="00DB6DE3"/>
    <w:rsid w:val="00DC0C08"/>
    <w:rsid w:val="00DC13E5"/>
    <w:rsid w:val="00DC3192"/>
    <w:rsid w:val="00DC4E09"/>
    <w:rsid w:val="00DC5252"/>
    <w:rsid w:val="00DC548F"/>
    <w:rsid w:val="00DC6175"/>
    <w:rsid w:val="00DC6619"/>
    <w:rsid w:val="00DC6ED5"/>
    <w:rsid w:val="00DC7C76"/>
    <w:rsid w:val="00DD02D3"/>
    <w:rsid w:val="00DD0CBC"/>
    <w:rsid w:val="00DD251C"/>
    <w:rsid w:val="00DD325F"/>
    <w:rsid w:val="00DD3CB5"/>
    <w:rsid w:val="00DD3EA6"/>
    <w:rsid w:val="00DD5094"/>
    <w:rsid w:val="00DD572C"/>
    <w:rsid w:val="00DD5D33"/>
    <w:rsid w:val="00DD6041"/>
    <w:rsid w:val="00DE07ED"/>
    <w:rsid w:val="00DE1157"/>
    <w:rsid w:val="00DE1296"/>
    <w:rsid w:val="00DE2958"/>
    <w:rsid w:val="00DE347E"/>
    <w:rsid w:val="00DE4C24"/>
    <w:rsid w:val="00DE6021"/>
    <w:rsid w:val="00DE6DC7"/>
    <w:rsid w:val="00DE7BB9"/>
    <w:rsid w:val="00DF0A0A"/>
    <w:rsid w:val="00DF0C82"/>
    <w:rsid w:val="00DF11FD"/>
    <w:rsid w:val="00DF38DA"/>
    <w:rsid w:val="00DF476D"/>
    <w:rsid w:val="00DF49B5"/>
    <w:rsid w:val="00DF4EF8"/>
    <w:rsid w:val="00DF5984"/>
    <w:rsid w:val="00DF60E3"/>
    <w:rsid w:val="00E0075E"/>
    <w:rsid w:val="00E017AD"/>
    <w:rsid w:val="00E03D07"/>
    <w:rsid w:val="00E051F1"/>
    <w:rsid w:val="00E06F12"/>
    <w:rsid w:val="00E075FB"/>
    <w:rsid w:val="00E07801"/>
    <w:rsid w:val="00E11DDF"/>
    <w:rsid w:val="00E11FC1"/>
    <w:rsid w:val="00E1210A"/>
    <w:rsid w:val="00E13E8F"/>
    <w:rsid w:val="00E15C48"/>
    <w:rsid w:val="00E17405"/>
    <w:rsid w:val="00E17439"/>
    <w:rsid w:val="00E20374"/>
    <w:rsid w:val="00E2056F"/>
    <w:rsid w:val="00E20C1E"/>
    <w:rsid w:val="00E22423"/>
    <w:rsid w:val="00E226A6"/>
    <w:rsid w:val="00E23DD9"/>
    <w:rsid w:val="00E24A9C"/>
    <w:rsid w:val="00E24C07"/>
    <w:rsid w:val="00E2506A"/>
    <w:rsid w:val="00E25253"/>
    <w:rsid w:val="00E26C57"/>
    <w:rsid w:val="00E2760A"/>
    <w:rsid w:val="00E3086A"/>
    <w:rsid w:val="00E32117"/>
    <w:rsid w:val="00E33AC1"/>
    <w:rsid w:val="00E34203"/>
    <w:rsid w:val="00E343D4"/>
    <w:rsid w:val="00E34CB1"/>
    <w:rsid w:val="00E34E30"/>
    <w:rsid w:val="00E36623"/>
    <w:rsid w:val="00E41C52"/>
    <w:rsid w:val="00E41DC3"/>
    <w:rsid w:val="00E42902"/>
    <w:rsid w:val="00E42E2A"/>
    <w:rsid w:val="00E432CB"/>
    <w:rsid w:val="00E443C2"/>
    <w:rsid w:val="00E45B1D"/>
    <w:rsid w:val="00E45ED0"/>
    <w:rsid w:val="00E46BCF"/>
    <w:rsid w:val="00E4706D"/>
    <w:rsid w:val="00E518A3"/>
    <w:rsid w:val="00E51F00"/>
    <w:rsid w:val="00E52096"/>
    <w:rsid w:val="00E55734"/>
    <w:rsid w:val="00E57A2B"/>
    <w:rsid w:val="00E60976"/>
    <w:rsid w:val="00E61CD8"/>
    <w:rsid w:val="00E6282D"/>
    <w:rsid w:val="00E62D7D"/>
    <w:rsid w:val="00E62DDF"/>
    <w:rsid w:val="00E62EEE"/>
    <w:rsid w:val="00E639C6"/>
    <w:rsid w:val="00E63D4D"/>
    <w:rsid w:val="00E64FAF"/>
    <w:rsid w:val="00E6554A"/>
    <w:rsid w:val="00E65941"/>
    <w:rsid w:val="00E65AE4"/>
    <w:rsid w:val="00E65BD9"/>
    <w:rsid w:val="00E6796A"/>
    <w:rsid w:val="00E70C3B"/>
    <w:rsid w:val="00E719E2"/>
    <w:rsid w:val="00E725D8"/>
    <w:rsid w:val="00E72BE6"/>
    <w:rsid w:val="00E735DD"/>
    <w:rsid w:val="00E73CD6"/>
    <w:rsid w:val="00E73DF6"/>
    <w:rsid w:val="00E73FEC"/>
    <w:rsid w:val="00E740EB"/>
    <w:rsid w:val="00E746E5"/>
    <w:rsid w:val="00E747BA"/>
    <w:rsid w:val="00E759F6"/>
    <w:rsid w:val="00E774D1"/>
    <w:rsid w:val="00E80CB4"/>
    <w:rsid w:val="00E82599"/>
    <w:rsid w:val="00E84DC0"/>
    <w:rsid w:val="00E85012"/>
    <w:rsid w:val="00E871F6"/>
    <w:rsid w:val="00E8724E"/>
    <w:rsid w:val="00E90CA9"/>
    <w:rsid w:val="00E93202"/>
    <w:rsid w:val="00E954ED"/>
    <w:rsid w:val="00E95C02"/>
    <w:rsid w:val="00E967F5"/>
    <w:rsid w:val="00E97689"/>
    <w:rsid w:val="00E97741"/>
    <w:rsid w:val="00E97ABC"/>
    <w:rsid w:val="00EA0BA8"/>
    <w:rsid w:val="00EA0C62"/>
    <w:rsid w:val="00EA18F6"/>
    <w:rsid w:val="00EA4A8A"/>
    <w:rsid w:val="00EA6978"/>
    <w:rsid w:val="00EB0550"/>
    <w:rsid w:val="00EB3683"/>
    <w:rsid w:val="00EB4CDE"/>
    <w:rsid w:val="00EB50EC"/>
    <w:rsid w:val="00EB521A"/>
    <w:rsid w:val="00EB5C4A"/>
    <w:rsid w:val="00EB6225"/>
    <w:rsid w:val="00EC1F23"/>
    <w:rsid w:val="00EC2243"/>
    <w:rsid w:val="00EC29A2"/>
    <w:rsid w:val="00EC48C9"/>
    <w:rsid w:val="00EC523F"/>
    <w:rsid w:val="00EC68D1"/>
    <w:rsid w:val="00ED016B"/>
    <w:rsid w:val="00ED1738"/>
    <w:rsid w:val="00ED2D49"/>
    <w:rsid w:val="00ED32D6"/>
    <w:rsid w:val="00ED3CC8"/>
    <w:rsid w:val="00ED44D1"/>
    <w:rsid w:val="00ED51C7"/>
    <w:rsid w:val="00ED5C4B"/>
    <w:rsid w:val="00ED6DA5"/>
    <w:rsid w:val="00EE325D"/>
    <w:rsid w:val="00EE3420"/>
    <w:rsid w:val="00EE5889"/>
    <w:rsid w:val="00EE5AA6"/>
    <w:rsid w:val="00EE5B97"/>
    <w:rsid w:val="00EE649D"/>
    <w:rsid w:val="00EE6537"/>
    <w:rsid w:val="00EF020B"/>
    <w:rsid w:val="00EF0D79"/>
    <w:rsid w:val="00EF0FB1"/>
    <w:rsid w:val="00EF23FE"/>
    <w:rsid w:val="00EF25DA"/>
    <w:rsid w:val="00EF6125"/>
    <w:rsid w:val="00EF6D7D"/>
    <w:rsid w:val="00EF7339"/>
    <w:rsid w:val="00F00072"/>
    <w:rsid w:val="00F0060E"/>
    <w:rsid w:val="00F006B0"/>
    <w:rsid w:val="00F00A0C"/>
    <w:rsid w:val="00F013FC"/>
    <w:rsid w:val="00F0220F"/>
    <w:rsid w:val="00F028DB"/>
    <w:rsid w:val="00F034C6"/>
    <w:rsid w:val="00F05CF7"/>
    <w:rsid w:val="00F05E53"/>
    <w:rsid w:val="00F073D5"/>
    <w:rsid w:val="00F075A1"/>
    <w:rsid w:val="00F14C44"/>
    <w:rsid w:val="00F151AD"/>
    <w:rsid w:val="00F15201"/>
    <w:rsid w:val="00F167C7"/>
    <w:rsid w:val="00F16E20"/>
    <w:rsid w:val="00F16EE4"/>
    <w:rsid w:val="00F17FA4"/>
    <w:rsid w:val="00F20E4D"/>
    <w:rsid w:val="00F21648"/>
    <w:rsid w:val="00F21995"/>
    <w:rsid w:val="00F219AF"/>
    <w:rsid w:val="00F224DA"/>
    <w:rsid w:val="00F232BD"/>
    <w:rsid w:val="00F2415B"/>
    <w:rsid w:val="00F24A5E"/>
    <w:rsid w:val="00F24FC8"/>
    <w:rsid w:val="00F259E2"/>
    <w:rsid w:val="00F25AED"/>
    <w:rsid w:val="00F266B3"/>
    <w:rsid w:val="00F271FB"/>
    <w:rsid w:val="00F32211"/>
    <w:rsid w:val="00F32A62"/>
    <w:rsid w:val="00F32AA5"/>
    <w:rsid w:val="00F3329B"/>
    <w:rsid w:val="00F336EA"/>
    <w:rsid w:val="00F34645"/>
    <w:rsid w:val="00F37460"/>
    <w:rsid w:val="00F409F3"/>
    <w:rsid w:val="00F41052"/>
    <w:rsid w:val="00F4146C"/>
    <w:rsid w:val="00F4295D"/>
    <w:rsid w:val="00F42B31"/>
    <w:rsid w:val="00F42B69"/>
    <w:rsid w:val="00F42BC2"/>
    <w:rsid w:val="00F42DC5"/>
    <w:rsid w:val="00F473D2"/>
    <w:rsid w:val="00F47543"/>
    <w:rsid w:val="00F47A9D"/>
    <w:rsid w:val="00F50088"/>
    <w:rsid w:val="00F51E25"/>
    <w:rsid w:val="00F52093"/>
    <w:rsid w:val="00F528C9"/>
    <w:rsid w:val="00F530E1"/>
    <w:rsid w:val="00F53697"/>
    <w:rsid w:val="00F536C9"/>
    <w:rsid w:val="00F538D5"/>
    <w:rsid w:val="00F5556A"/>
    <w:rsid w:val="00F55800"/>
    <w:rsid w:val="00F55E07"/>
    <w:rsid w:val="00F56114"/>
    <w:rsid w:val="00F57831"/>
    <w:rsid w:val="00F57FFB"/>
    <w:rsid w:val="00F61E79"/>
    <w:rsid w:val="00F622CB"/>
    <w:rsid w:val="00F62FC8"/>
    <w:rsid w:val="00F63231"/>
    <w:rsid w:val="00F6391D"/>
    <w:rsid w:val="00F63EC0"/>
    <w:rsid w:val="00F64822"/>
    <w:rsid w:val="00F66483"/>
    <w:rsid w:val="00F66C48"/>
    <w:rsid w:val="00F70B15"/>
    <w:rsid w:val="00F70E0C"/>
    <w:rsid w:val="00F72F2A"/>
    <w:rsid w:val="00F731EB"/>
    <w:rsid w:val="00F75E8F"/>
    <w:rsid w:val="00F7608B"/>
    <w:rsid w:val="00F83004"/>
    <w:rsid w:val="00F83AD3"/>
    <w:rsid w:val="00F83BD4"/>
    <w:rsid w:val="00F84EB3"/>
    <w:rsid w:val="00F85010"/>
    <w:rsid w:val="00F85BF0"/>
    <w:rsid w:val="00F85FD0"/>
    <w:rsid w:val="00F8740E"/>
    <w:rsid w:val="00F9034B"/>
    <w:rsid w:val="00F916F2"/>
    <w:rsid w:val="00F92893"/>
    <w:rsid w:val="00F94381"/>
    <w:rsid w:val="00F95112"/>
    <w:rsid w:val="00F96721"/>
    <w:rsid w:val="00F97710"/>
    <w:rsid w:val="00FA04B9"/>
    <w:rsid w:val="00FA067E"/>
    <w:rsid w:val="00FA15D8"/>
    <w:rsid w:val="00FA1BFB"/>
    <w:rsid w:val="00FA29AB"/>
    <w:rsid w:val="00FA2A3E"/>
    <w:rsid w:val="00FA32FA"/>
    <w:rsid w:val="00FA3880"/>
    <w:rsid w:val="00FA3D2C"/>
    <w:rsid w:val="00FA6866"/>
    <w:rsid w:val="00FB07A4"/>
    <w:rsid w:val="00FB10EC"/>
    <w:rsid w:val="00FB22F0"/>
    <w:rsid w:val="00FB27DD"/>
    <w:rsid w:val="00FB29F5"/>
    <w:rsid w:val="00FB35C2"/>
    <w:rsid w:val="00FB3612"/>
    <w:rsid w:val="00FB3701"/>
    <w:rsid w:val="00FB3DD2"/>
    <w:rsid w:val="00FB3E7E"/>
    <w:rsid w:val="00FB53AB"/>
    <w:rsid w:val="00FB5628"/>
    <w:rsid w:val="00FB603A"/>
    <w:rsid w:val="00FB7AE7"/>
    <w:rsid w:val="00FB7CC6"/>
    <w:rsid w:val="00FC00A6"/>
    <w:rsid w:val="00FC347D"/>
    <w:rsid w:val="00FC39D5"/>
    <w:rsid w:val="00FC3C61"/>
    <w:rsid w:val="00FC45CF"/>
    <w:rsid w:val="00FC65B0"/>
    <w:rsid w:val="00FC6F78"/>
    <w:rsid w:val="00FD0E70"/>
    <w:rsid w:val="00FD0F37"/>
    <w:rsid w:val="00FD1045"/>
    <w:rsid w:val="00FD1D29"/>
    <w:rsid w:val="00FD3C90"/>
    <w:rsid w:val="00FD554E"/>
    <w:rsid w:val="00FD56B7"/>
    <w:rsid w:val="00FD647B"/>
    <w:rsid w:val="00FD65A3"/>
    <w:rsid w:val="00FE06FE"/>
    <w:rsid w:val="00FE204F"/>
    <w:rsid w:val="00FE4C04"/>
    <w:rsid w:val="00FE58AF"/>
    <w:rsid w:val="00FE740C"/>
    <w:rsid w:val="00FE7438"/>
    <w:rsid w:val="00FE7FF8"/>
    <w:rsid w:val="00FF132C"/>
    <w:rsid w:val="00FF1476"/>
    <w:rsid w:val="00FF229C"/>
    <w:rsid w:val="00FF37DE"/>
    <w:rsid w:val="00FF6365"/>
    <w:rsid w:val="00FF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FE390"/>
  <w15:docId w15:val="{C49242F2-176F-404A-A52C-67CA1E9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AC"/>
    <w:pPr>
      <w:spacing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0142AC"/>
    <w:pPr>
      <w:keepNext/>
      <w:keepLines/>
      <w:numPr>
        <w:numId w:val="23"/>
      </w:numPr>
      <w:spacing w:before="240" w:after="240" w:line="240" w:lineRule="auto"/>
      <w:jc w:val="center"/>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0142AC"/>
    <w:pPr>
      <w:keepNext/>
      <w:keepLines/>
      <w:numPr>
        <w:ilvl w:val="1"/>
        <w:numId w:val="23"/>
      </w:numPr>
      <w:spacing w:before="120" w:after="120" w:line="36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0142AC"/>
    <w:pPr>
      <w:keepNext/>
      <w:keepLines/>
      <w:numPr>
        <w:ilvl w:val="2"/>
        <w:numId w:val="23"/>
      </w:numPr>
      <w:spacing w:before="40" w:after="0"/>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unhideWhenUsed/>
    <w:qFormat/>
    <w:rsid w:val="000142AC"/>
    <w:pPr>
      <w:keepNext/>
      <w:keepLines/>
      <w:numPr>
        <w:ilvl w:val="3"/>
        <w:numId w:val="23"/>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0142AC"/>
    <w:pPr>
      <w:keepNext/>
      <w:keepLines/>
      <w:numPr>
        <w:ilvl w:val="4"/>
        <w:numId w:val="23"/>
      </w:numPr>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0142AC"/>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142AC"/>
    <w:pPr>
      <w:keepNext/>
      <w:keepLines/>
      <w:numPr>
        <w:ilvl w:val="6"/>
        <w:numId w:val="23"/>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142AC"/>
    <w:pPr>
      <w:keepNext/>
      <w:keepLines/>
      <w:numPr>
        <w:ilvl w:val="7"/>
        <w:numId w:val="23"/>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42AC"/>
    <w:pPr>
      <w:keepNext/>
      <w:keepLines/>
      <w:numPr>
        <w:ilvl w:val="8"/>
        <w:numId w:val="23"/>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AC"/>
    <w:rPr>
      <w:rFonts w:ascii="Times New Roman" w:eastAsiaTheme="majorEastAsia" w:hAnsi="Times New Roman" w:cstheme="majorBidi"/>
      <w:color w:val="000000" w:themeColor="text1"/>
      <w:sz w:val="40"/>
      <w:szCs w:val="32"/>
    </w:rPr>
  </w:style>
  <w:style w:type="character" w:customStyle="1" w:styleId="Heading2Char">
    <w:name w:val="Heading 2 Char"/>
    <w:basedOn w:val="DefaultParagraphFont"/>
    <w:link w:val="Heading2"/>
    <w:uiPriority w:val="9"/>
    <w:rsid w:val="000142AC"/>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0142AC"/>
    <w:rPr>
      <w:rFonts w:ascii="Times New Roman" w:eastAsiaTheme="majorEastAsia" w:hAnsi="Times New Roman" w:cstheme="majorBidi"/>
      <w:b/>
      <w:i/>
      <w:color w:val="000000" w:themeColor="text1"/>
      <w:sz w:val="24"/>
      <w:szCs w:val="24"/>
    </w:rPr>
  </w:style>
  <w:style w:type="character" w:customStyle="1" w:styleId="Heading4Char">
    <w:name w:val="Heading 4 Char"/>
    <w:basedOn w:val="DefaultParagraphFont"/>
    <w:link w:val="Heading4"/>
    <w:uiPriority w:val="9"/>
    <w:rsid w:val="000142AC"/>
    <w:rPr>
      <w:rFonts w:ascii="Times New Roman" w:eastAsiaTheme="majorEastAsia" w:hAnsi="Times New Roman" w:cstheme="majorBidi"/>
      <w:i/>
      <w:iCs/>
      <w:color w:val="000000" w:themeColor="text1"/>
      <w:sz w:val="24"/>
    </w:rPr>
  </w:style>
  <w:style w:type="character" w:customStyle="1" w:styleId="Heading5Char">
    <w:name w:val="Heading 5 Char"/>
    <w:basedOn w:val="DefaultParagraphFont"/>
    <w:link w:val="Heading5"/>
    <w:uiPriority w:val="9"/>
    <w:rsid w:val="000142AC"/>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0142A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0142A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0142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42A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0142AC"/>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0142AC"/>
    <w:rPr>
      <w:i/>
      <w:iCs/>
    </w:rPr>
  </w:style>
  <w:style w:type="paragraph" w:styleId="Title">
    <w:name w:val="Title"/>
    <w:basedOn w:val="Normal"/>
    <w:next w:val="Normal"/>
    <w:link w:val="TitleChar"/>
    <w:uiPriority w:val="10"/>
    <w:qFormat/>
    <w:rsid w:val="000142AC"/>
    <w:pPr>
      <w:spacing w:after="0" w:line="240" w:lineRule="auto"/>
      <w:contextualSpacing/>
      <w:jc w:val="center"/>
    </w:pPr>
    <w:rPr>
      <w:rFonts w:eastAsiaTheme="majorEastAsia" w:cstheme="majorBidi"/>
      <w:color w:val="000000" w:themeColor="text1"/>
      <w:spacing w:val="-10"/>
      <w:kern w:val="28"/>
      <w:sz w:val="32"/>
      <w:szCs w:val="56"/>
    </w:rPr>
  </w:style>
  <w:style w:type="character" w:customStyle="1" w:styleId="TitleChar">
    <w:name w:val="Title Char"/>
    <w:basedOn w:val="DefaultParagraphFont"/>
    <w:link w:val="Title"/>
    <w:uiPriority w:val="10"/>
    <w:rsid w:val="000142AC"/>
    <w:rPr>
      <w:rFonts w:ascii="Times New Roman" w:eastAsiaTheme="majorEastAsia" w:hAnsi="Times New Roman" w:cstheme="majorBidi"/>
      <w:color w:val="000000" w:themeColor="text1"/>
      <w:spacing w:val="-10"/>
      <w:kern w:val="28"/>
      <w:sz w:val="32"/>
      <w:szCs w:val="56"/>
    </w:rPr>
  </w:style>
  <w:style w:type="paragraph" w:styleId="EndnoteText">
    <w:name w:val="endnote text"/>
    <w:basedOn w:val="Normal"/>
    <w:link w:val="EndnoteTextChar"/>
    <w:uiPriority w:val="99"/>
    <w:unhideWhenUsed/>
    <w:rsid w:val="000142AC"/>
    <w:pPr>
      <w:spacing w:after="0" w:line="240" w:lineRule="auto"/>
    </w:pPr>
    <w:rPr>
      <w:sz w:val="20"/>
      <w:szCs w:val="20"/>
    </w:rPr>
  </w:style>
  <w:style w:type="character" w:customStyle="1" w:styleId="EndnoteTextChar">
    <w:name w:val="Endnote Text Char"/>
    <w:basedOn w:val="DefaultParagraphFont"/>
    <w:link w:val="EndnoteText"/>
    <w:uiPriority w:val="99"/>
    <w:rsid w:val="000142AC"/>
    <w:rPr>
      <w:rFonts w:ascii="Times New Roman" w:hAnsi="Times New Roman"/>
      <w:sz w:val="20"/>
      <w:szCs w:val="20"/>
    </w:rPr>
  </w:style>
  <w:style w:type="character" w:styleId="EndnoteReference">
    <w:name w:val="endnote reference"/>
    <w:basedOn w:val="DefaultParagraphFont"/>
    <w:uiPriority w:val="99"/>
    <w:semiHidden/>
    <w:unhideWhenUsed/>
    <w:rsid w:val="000142AC"/>
    <w:rPr>
      <w:vertAlign w:val="superscript"/>
    </w:rPr>
  </w:style>
  <w:style w:type="table" w:styleId="TableGrid">
    <w:name w:val="Table Grid"/>
    <w:basedOn w:val="TableNormal"/>
    <w:uiPriority w:val="39"/>
    <w:rsid w:val="0001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AC"/>
    <w:rPr>
      <w:rFonts w:ascii="Times New Roman" w:hAnsi="Times New Roman"/>
      <w:sz w:val="24"/>
    </w:rPr>
  </w:style>
  <w:style w:type="paragraph" w:styleId="Footer">
    <w:name w:val="footer"/>
    <w:basedOn w:val="Normal"/>
    <w:link w:val="FooterChar"/>
    <w:uiPriority w:val="99"/>
    <w:unhideWhenUsed/>
    <w:rsid w:val="00014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2AC"/>
    <w:rPr>
      <w:rFonts w:ascii="Times New Roman" w:hAnsi="Times New Roman"/>
      <w:sz w:val="24"/>
    </w:rPr>
  </w:style>
  <w:style w:type="paragraph" w:customStyle="1" w:styleId="EndNoteBibliographyTitle">
    <w:name w:val="EndNote Bibliography Title"/>
    <w:basedOn w:val="Normal"/>
    <w:link w:val="EndNoteBibliographyTitleChar"/>
    <w:rsid w:val="000142AC"/>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0142A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142AC"/>
    <w:pPr>
      <w:spacing w:line="240" w:lineRule="auto"/>
    </w:pPr>
    <w:rPr>
      <w:rFonts w:cs="Times New Roman"/>
      <w:noProof/>
    </w:rPr>
  </w:style>
  <w:style w:type="character" w:customStyle="1" w:styleId="EndNoteBibliographyChar">
    <w:name w:val="EndNote Bibliography Char"/>
    <w:basedOn w:val="DefaultParagraphFont"/>
    <w:link w:val="EndNoteBibliography"/>
    <w:rsid w:val="000142AC"/>
    <w:rPr>
      <w:rFonts w:ascii="Times New Roman" w:hAnsi="Times New Roman" w:cs="Times New Roman"/>
      <w:noProof/>
      <w:sz w:val="24"/>
      <w:lang w:val="en-US"/>
    </w:rPr>
  </w:style>
  <w:style w:type="character" w:styleId="Hyperlink">
    <w:name w:val="Hyperlink"/>
    <w:basedOn w:val="DefaultParagraphFont"/>
    <w:uiPriority w:val="99"/>
    <w:unhideWhenUsed/>
    <w:rsid w:val="000142AC"/>
    <w:rPr>
      <w:color w:val="0563C1" w:themeColor="hyperlink"/>
      <w:u w:val="single"/>
    </w:rPr>
  </w:style>
  <w:style w:type="paragraph" w:styleId="FootnoteText">
    <w:name w:val="footnote text"/>
    <w:basedOn w:val="Normal"/>
    <w:link w:val="FootnoteTextChar"/>
    <w:uiPriority w:val="99"/>
    <w:unhideWhenUsed/>
    <w:rsid w:val="000142AC"/>
    <w:pPr>
      <w:spacing w:after="0" w:line="240" w:lineRule="auto"/>
    </w:pPr>
    <w:rPr>
      <w:sz w:val="20"/>
      <w:szCs w:val="20"/>
    </w:rPr>
  </w:style>
  <w:style w:type="character" w:customStyle="1" w:styleId="FootnoteTextChar">
    <w:name w:val="Footnote Text Char"/>
    <w:basedOn w:val="DefaultParagraphFont"/>
    <w:link w:val="FootnoteText"/>
    <w:uiPriority w:val="99"/>
    <w:rsid w:val="000142AC"/>
    <w:rPr>
      <w:rFonts w:ascii="Times New Roman" w:hAnsi="Times New Roman"/>
      <w:sz w:val="20"/>
      <w:szCs w:val="20"/>
    </w:rPr>
  </w:style>
  <w:style w:type="character" w:styleId="FootnoteReference">
    <w:name w:val="footnote reference"/>
    <w:basedOn w:val="DefaultParagraphFont"/>
    <w:uiPriority w:val="99"/>
    <w:unhideWhenUsed/>
    <w:rsid w:val="000142AC"/>
    <w:rPr>
      <w:vertAlign w:val="superscript"/>
    </w:rPr>
  </w:style>
  <w:style w:type="paragraph" w:styleId="ListParagraph">
    <w:name w:val="List Paragraph"/>
    <w:basedOn w:val="Normal"/>
    <w:uiPriority w:val="34"/>
    <w:qFormat/>
    <w:rsid w:val="000142AC"/>
    <w:pPr>
      <w:ind w:left="720"/>
      <w:contextualSpacing/>
    </w:pPr>
  </w:style>
  <w:style w:type="character" w:customStyle="1" w:styleId="apple-converted-space">
    <w:name w:val="apple-converted-space"/>
    <w:basedOn w:val="DefaultParagraphFont"/>
    <w:rsid w:val="000142AC"/>
  </w:style>
  <w:style w:type="character" w:customStyle="1" w:styleId="j-jk9ej-pjvnoc">
    <w:name w:val="j-jk9ej-pjvnoc"/>
    <w:basedOn w:val="DefaultParagraphFont"/>
    <w:rsid w:val="000142AC"/>
  </w:style>
  <w:style w:type="paragraph" w:styleId="Subtitle">
    <w:name w:val="Subtitle"/>
    <w:next w:val="Heading1"/>
    <w:link w:val="SubtitleChar"/>
    <w:uiPriority w:val="11"/>
    <w:qFormat/>
    <w:rsid w:val="000142AC"/>
    <w:pPr>
      <w:numPr>
        <w:ilvl w:val="1"/>
      </w:numPr>
      <w:spacing w:line="360" w:lineRule="auto"/>
      <w:jc w:val="center"/>
    </w:pPr>
    <w:rPr>
      <w:rFonts w:ascii="Times New Roman" w:eastAsiaTheme="minorEastAsia" w:hAnsi="Times New Roman" w:cstheme="majorBidi"/>
      <w:color w:val="000000" w:themeColor="text1"/>
      <w:spacing w:val="15"/>
      <w:sz w:val="32"/>
      <w:szCs w:val="32"/>
    </w:rPr>
  </w:style>
  <w:style w:type="character" w:customStyle="1" w:styleId="SubtitleChar">
    <w:name w:val="Subtitle Char"/>
    <w:basedOn w:val="DefaultParagraphFont"/>
    <w:link w:val="Subtitle"/>
    <w:uiPriority w:val="11"/>
    <w:rsid w:val="000142AC"/>
    <w:rPr>
      <w:rFonts w:ascii="Times New Roman" w:eastAsiaTheme="minorEastAsia" w:hAnsi="Times New Roman" w:cstheme="majorBidi"/>
      <w:color w:val="000000" w:themeColor="text1"/>
      <w:spacing w:val="15"/>
      <w:sz w:val="32"/>
      <w:szCs w:val="32"/>
    </w:rPr>
  </w:style>
  <w:style w:type="character" w:customStyle="1" w:styleId="UnresolvedMention1">
    <w:name w:val="Unresolved Mention1"/>
    <w:basedOn w:val="DefaultParagraphFont"/>
    <w:uiPriority w:val="99"/>
    <w:semiHidden/>
    <w:unhideWhenUsed/>
    <w:rsid w:val="000142AC"/>
    <w:rPr>
      <w:color w:val="808080"/>
      <w:shd w:val="clear" w:color="auto" w:fill="E6E6E6"/>
    </w:rPr>
  </w:style>
  <w:style w:type="paragraph" w:customStyle="1" w:styleId="Normal0">
    <w:name w:val="[Normal]"/>
    <w:uiPriority w:val="99"/>
    <w:rsid w:val="000142AC"/>
    <w:pPr>
      <w:widowControl w:val="0"/>
      <w:autoSpaceDE w:val="0"/>
      <w:autoSpaceDN w:val="0"/>
      <w:adjustRightInd w:val="0"/>
      <w:spacing w:after="0" w:line="240" w:lineRule="auto"/>
    </w:pPr>
    <w:rPr>
      <w:rFonts w:ascii="Arial" w:hAnsi="Arial" w:cs="Arial"/>
      <w:sz w:val="24"/>
      <w:szCs w:val="24"/>
    </w:rPr>
  </w:style>
  <w:style w:type="paragraph" w:styleId="Quote">
    <w:name w:val="Quote"/>
    <w:basedOn w:val="Normal"/>
    <w:next w:val="Normal"/>
    <w:link w:val="QuoteChar"/>
    <w:uiPriority w:val="29"/>
    <w:qFormat/>
    <w:rsid w:val="000142AC"/>
    <w:pPr>
      <w:spacing w:before="120" w:after="120" w:line="240" w:lineRule="auto"/>
      <w:ind w:left="720" w:right="864"/>
    </w:pPr>
    <w:rPr>
      <w:i/>
      <w:iCs/>
      <w:color w:val="000000" w:themeColor="text1"/>
    </w:rPr>
  </w:style>
  <w:style w:type="character" w:customStyle="1" w:styleId="QuoteChar">
    <w:name w:val="Quote Char"/>
    <w:basedOn w:val="DefaultParagraphFont"/>
    <w:link w:val="Quote"/>
    <w:uiPriority w:val="29"/>
    <w:rsid w:val="000142AC"/>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0142AC"/>
    <w:pPr>
      <w:pBdr>
        <w:top w:val="single" w:sz="4" w:space="10" w:color="4472C4" w:themeColor="accent1"/>
        <w:bottom w:val="single" w:sz="4" w:space="10" w:color="4472C4" w:themeColor="accent1"/>
      </w:pBdr>
      <w:spacing w:before="360" w:after="360" w:line="360" w:lineRule="auto"/>
      <w:ind w:left="720" w:right="864"/>
    </w:pPr>
    <w:rPr>
      <w:i/>
      <w:iCs/>
      <w:color w:val="000000" w:themeColor="text1"/>
    </w:rPr>
  </w:style>
  <w:style w:type="character" w:customStyle="1" w:styleId="IntenseQuoteChar">
    <w:name w:val="Intense Quote Char"/>
    <w:basedOn w:val="DefaultParagraphFont"/>
    <w:link w:val="IntenseQuote"/>
    <w:uiPriority w:val="30"/>
    <w:rsid w:val="000142AC"/>
    <w:rPr>
      <w:rFonts w:ascii="Times New Roman" w:hAnsi="Times New Roman"/>
      <w:i/>
      <w:iCs/>
      <w:color w:val="000000" w:themeColor="text1"/>
      <w:sz w:val="24"/>
    </w:rPr>
  </w:style>
  <w:style w:type="paragraph" w:styleId="Caption">
    <w:name w:val="caption"/>
    <w:basedOn w:val="Normal"/>
    <w:next w:val="Normal"/>
    <w:link w:val="CaptionChar"/>
    <w:uiPriority w:val="35"/>
    <w:unhideWhenUsed/>
    <w:qFormat/>
    <w:rsid w:val="000142AC"/>
    <w:pPr>
      <w:spacing w:after="200" w:line="240" w:lineRule="auto"/>
    </w:pPr>
    <w:rPr>
      <w:i/>
      <w:iCs/>
      <w:szCs w:val="18"/>
    </w:rPr>
  </w:style>
  <w:style w:type="character" w:customStyle="1" w:styleId="CaptionChar">
    <w:name w:val="Caption Char"/>
    <w:basedOn w:val="DefaultParagraphFont"/>
    <w:link w:val="Caption"/>
    <w:uiPriority w:val="35"/>
    <w:rsid w:val="000142AC"/>
    <w:rPr>
      <w:rFonts w:ascii="Times New Roman" w:hAnsi="Times New Roman"/>
      <w:i/>
      <w:iCs/>
      <w:sz w:val="24"/>
      <w:szCs w:val="18"/>
    </w:rPr>
  </w:style>
  <w:style w:type="character" w:styleId="CommentReference">
    <w:name w:val="annotation reference"/>
    <w:basedOn w:val="DefaultParagraphFont"/>
    <w:uiPriority w:val="99"/>
    <w:semiHidden/>
    <w:unhideWhenUsed/>
    <w:rsid w:val="000142AC"/>
    <w:rPr>
      <w:sz w:val="16"/>
      <w:szCs w:val="16"/>
    </w:rPr>
  </w:style>
  <w:style w:type="paragraph" w:styleId="CommentText">
    <w:name w:val="annotation text"/>
    <w:basedOn w:val="Normal"/>
    <w:link w:val="CommentTextChar"/>
    <w:uiPriority w:val="99"/>
    <w:unhideWhenUsed/>
    <w:rsid w:val="000142AC"/>
    <w:pPr>
      <w:spacing w:line="240" w:lineRule="auto"/>
    </w:pPr>
    <w:rPr>
      <w:sz w:val="20"/>
      <w:szCs w:val="20"/>
    </w:rPr>
  </w:style>
  <w:style w:type="character" w:customStyle="1" w:styleId="CommentTextChar">
    <w:name w:val="Comment Text Char"/>
    <w:basedOn w:val="DefaultParagraphFont"/>
    <w:link w:val="CommentText"/>
    <w:uiPriority w:val="99"/>
    <w:rsid w:val="000142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42AC"/>
    <w:rPr>
      <w:b/>
      <w:bCs/>
    </w:rPr>
  </w:style>
  <w:style w:type="character" w:customStyle="1" w:styleId="CommentSubjectChar">
    <w:name w:val="Comment Subject Char"/>
    <w:basedOn w:val="CommentTextChar"/>
    <w:link w:val="CommentSubject"/>
    <w:uiPriority w:val="99"/>
    <w:semiHidden/>
    <w:rsid w:val="000142AC"/>
    <w:rPr>
      <w:rFonts w:ascii="Times New Roman" w:hAnsi="Times New Roman"/>
      <w:b/>
      <w:bCs/>
      <w:sz w:val="20"/>
      <w:szCs w:val="20"/>
    </w:rPr>
  </w:style>
  <w:style w:type="paragraph" w:styleId="Revision">
    <w:name w:val="Revision"/>
    <w:hidden/>
    <w:uiPriority w:val="99"/>
    <w:semiHidden/>
    <w:rsid w:val="000142AC"/>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1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AC"/>
    <w:rPr>
      <w:rFonts w:ascii="Segoe UI" w:hAnsi="Segoe UI" w:cs="Segoe UI"/>
      <w:sz w:val="18"/>
      <w:szCs w:val="18"/>
    </w:rPr>
  </w:style>
  <w:style w:type="character" w:customStyle="1" w:styleId="ref-lnk">
    <w:name w:val="ref-lnk"/>
    <w:basedOn w:val="DefaultParagraphFont"/>
    <w:rsid w:val="000142AC"/>
  </w:style>
  <w:style w:type="character" w:customStyle="1" w:styleId="ref-overlay">
    <w:name w:val="ref-overlay"/>
    <w:basedOn w:val="DefaultParagraphFont"/>
    <w:rsid w:val="000142AC"/>
  </w:style>
  <w:style w:type="character" w:customStyle="1" w:styleId="ref-fn-p">
    <w:name w:val="ref-fn-p"/>
    <w:basedOn w:val="DefaultParagraphFont"/>
    <w:rsid w:val="000142AC"/>
  </w:style>
  <w:style w:type="paragraph" w:customStyle="1" w:styleId="Abstract">
    <w:name w:val="Abstract"/>
    <w:basedOn w:val="Normal"/>
    <w:uiPriority w:val="99"/>
    <w:qFormat/>
    <w:rsid w:val="000142AC"/>
    <w:pPr>
      <w:spacing w:after="0" w:line="360" w:lineRule="auto"/>
    </w:pPr>
    <w:rPr>
      <w:rFonts w:eastAsiaTheme="minorEastAsia" w:cs="Times New Roman"/>
      <w:i/>
      <w:color w:val="000000" w:themeColor="text1"/>
      <w:szCs w:val="24"/>
      <w:lang w:eastAsia="zh-CN"/>
    </w:rPr>
  </w:style>
  <w:style w:type="table" w:styleId="PlainTable5">
    <w:name w:val="Plain Table 5"/>
    <w:basedOn w:val="TableNormal"/>
    <w:uiPriority w:val="99"/>
    <w:rsid w:val="000142AC"/>
    <w:pPr>
      <w:spacing w:after="0" w:line="240" w:lineRule="auto"/>
    </w:pPr>
    <w:rPr>
      <w:rFonts w:eastAsiaTheme="minorEastAsia"/>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0142AC"/>
    <w:pPr>
      <w:spacing w:after="0" w:line="240" w:lineRule="auto"/>
      <w:jc w:val="both"/>
    </w:pPr>
    <w:rPr>
      <w:rFonts w:ascii="Times New Roman" w:hAnsi="Times New Roman"/>
      <w:sz w:val="24"/>
    </w:rPr>
  </w:style>
  <w:style w:type="paragraph" w:styleId="TOCHeading">
    <w:name w:val="TOC Heading"/>
    <w:basedOn w:val="Heading1"/>
    <w:next w:val="Normal"/>
    <w:uiPriority w:val="39"/>
    <w:unhideWhenUsed/>
    <w:qFormat/>
    <w:rsid w:val="000142AC"/>
    <w:pPr>
      <w:numPr>
        <w:numId w:val="0"/>
      </w:numPr>
      <w:spacing w:after="0"/>
      <w:jc w:val="left"/>
      <w:outlineLvl w:val="9"/>
    </w:pPr>
    <w:rPr>
      <w:b/>
    </w:rPr>
  </w:style>
  <w:style w:type="paragraph" w:styleId="TOC1">
    <w:name w:val="toc 1"/>
    <w:basedOn w:val="Normal"/>
    <w:next w:val="Normal"/>
    <w:autoRedefine/>
    <w:uiPriority w:val="39"/>
    <w:unhideWhenUsed/>
    <w:rsid w:val="000142AC"/>
    <w:pPr>
      <w:tabs>
        <w:tab w:val="right" w:leader="dot" w:pos="9016"/>
      </w:tabs>
      <w:spacing w:after="100" w:line="240" w:lineRule="auto"/>
    </w:pPr>
  </w:style>
  <w:style w:type="paragraph" w:styleId="TOC2">
    <w:name w:val="toc 2"/>
    <w:basedOn w:val="Normal"/>
    <w:next w:val="Normal"/>
    <w:autoRedefine/>
    <w:uiPriority w:val="39"/>
    <w:unhideWhenUsed/>
    <w:rsid w:val="000142AC"/>
    <w:pPr>
      <w:spacing w:after="100"/>
      <w:ind w:left="240"/>
    </w:pPr>
  </w:style>
  <w:style w:type="paragraph" w:styleId="TOC3">
    <w:name w:val="toc 3"/>
    <w:basedOn w:val="Normal"/>
    <w:next w:val="Normal"/>
    <w:autoRedefine/>
    <w:uiPriority w:val="39"/>
    <w:unhideWhenUsed/>
    <w:rsid w:val="000142AC"/>
    <w:pPr>
      <w:spacing w:after="100"/>
      <w:ind w:left="480"/>
    </w:pPr>
  </w:style>
  <w:style w:type="paragraph" w:styleId="TOC4">
    <w:name w:val="toc 4"/>
    <w:basedOn w:val="Normal"/>
    <w:next w:val="Normal"/>
    <w:autoRedefine/>
    <w:uiPriority w:val="39"/>
    <w:unhideWhenUsed/>
    <w:rsid w:val="000142AC"/>
    <w:pPr>
      <w:spacing w:after="100"/>
      <w:ind w:left="720"/>
    </w:pPr>
  </w:style>
  <w:style w:type="paragraph" w:styleId="TOC5">
    <w:name w:val="toc 5"/>
    <w:basedOn w:val="Normal"/>
    <w:next w:val="Normal"/>
    <w:autoRedefine/>
    <w:uiPriority w:val="39"/>
    <w:unhideWhenUsed/>
    <w:rsid w:val="000142AC"/>
    <w:pPr>
      <w:spacing w:after="100"/>
      <w:ind w:left="960"/>
    </w:pPr>
  </w:style>
  <w:style w:type="character" w:customStyle="1" w:styleId="y0nh2b">
    <w:name w:val="y0nh2b"/>
    <w:basedOn w:val="DefaultParagraphFont"/>
    <w:rsid w:val="000142AC"/>
  </w:style>
  <w:style w:type="paragraph" w:styleId="TableofFigures">
    <w:name w:val="table of figures"/>
    <w:basedOn w:val="Normal"/>
    <w:next w:val="Normal"/>
    <w:uiPriority w:val="99"/>
    <w:unhideWhenUsed/>
    <w:rsid w:val="000142AC"/>
    <w:pPr>
      <w:spacing w:after="0"/>
    </w:pPr>
  </w:style>
  <w:style w:type="paragraph" w:styleId="TOC6">
    <w:name w:val="toc 6"/>
    <w:basedOn w:val="Normal"/>
    <w:next w:val="Normal"/>
    <w:autoRedefine/>
    <w:uiPriority w:val="39"/>
    <w:unhideWhenUsed/>
    <w:rsid w:val="000142AC"/>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0142AC"/>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0142AC"/>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0142AC"/>
    <w:pPr>
      <w:spacing w:after="100" w:line="259" w:lineRule="auto"/>
      <w:ind w:left="1760"/>
      <w:jc w:val="left"/>
    </w:pPr>
    <w:rPr>
      <w:rFonts w:asciiTheme="minorHAnsi" w:eastAsiaTheme="minorEastAsia" w:hAnsiTheme="minorHAnsi"/>
      <w:sz w:val="22"/>
      <w:lang w:eastAsia="en-GB"/>
    </w:rPr>
  </w:style>
  <w:style w:type="character" w:customStyle="1" w:styleId="productcapacitydealsummary">
    <w:name w:val="productcapacitydealsummary"/>
    <w:basedOn w:val="DefaultParagraphFont"/>
    <w:rsid w:val="000142AC"/>
  </w:style>
  <w:style w:type="character" w:styleId="FollowedHyperlink">
    <w:name w:val="FollowedHyperlink"/>
    <w:basedOn w:val="DefaultParagraphFont"/>
    <w:uiPriority w:val="99"/>
    <w:semiHidden/>
    <w:unhideWhenUsed/>
    <w:rsid w:val="000142AC"/>
    <w:rPr>
      <w:color w:val="954F72" w:themeColor="followedHyperlink"/>
      <w:u w:val="single"/>
    </w:rPr>
  </w:style>
  <w:style w:type="paragraph" w:customStyle="1" w:styleId="msonormal0">
    <w:name w:val="msonormal"/>
    <w:basedOn w:val="Normal"/>
    <w:rsid w:val="000142AC"/>
    <w:pPr>
      <w:spacing w:before="100" w:beforeAutospacing="1" w:after="100" w:afterAutospacing="1" w:line="240" w:lineRule="auto"/>
    </w:pPr>
    <w:rPr>
      <w:rFonts w:eastAsia="Times New Roman" w:cs="Times New Roman"/>
      <w:szCs w:val="24"/>
      <w:lang w:eastAsia="en-GB"/>
    </w:rPr>
  </w:style>
  <w:style w:type="paragraph" w:customStyle="1" w:styleId="Figurescaption">
    <w:name w:val="Figures caption"/>
    <w:basedOn w:val="Caption"/>
    <w:link w:val="FigurescaptionChar"/>
    <w:qFormat/>
    <w:rsid w:val="000142AC"/>
    <w:pPr>
      <w:spacing w:line="259" w:lineRule="auto"/>
      <w:jc w:val="left"/>
    </w:pPr>
    <w:rPr>
      <w:rFonts w:eastAsiaTheme="minorEastAsia" w:cstheme="majorBidi"/>
      <w:color w:val="000000" w:themeColor="text1"/>
      <w:spacing w:val="15"/>
      <w:sz w:val="32"/>
      <w:szCs w:val="32"/>
    </w:rPr>
  </w:style>
  <w:style w:type="character" w:customStyle="1" w:styleId="FigurescaptionChar">
    <w:name w:val="Figures caption Char"/>
    <w:basedOn w:val="CaptionChar"/>
    <w:link w:val="Figurescaption"/>
    <w:rsid w:val="000142AC"/>
    <w:rPr>
      <w:rFonts w:ascii="Times New Roman" w:eastAsiaTheme="minorEastAsia" w:hAnsi="Times New Roman" w:cstheme="majorBidi"/>
      <w:i/>
      <w:iCs/>
      <w:color w:val="000000" w:themeColor="text1"/>
      <w:spacing w:val="15"/>
      <w:sz w:val="32"/>
      <w:szCs w:val="32"/>
    </w:rPr>
  </w:style>
  <w:style w:type="paragraph" w:customStyle="1" w:styleId="xl63">
    <w:name w:val="xl63"/>
    <w:basedOn w:val="Normal"/>
    <w:rsid w:val="000142AC"/>
    <w:pPr>
      <w:spacing w:before="100" w:beforeAutospacing="1" w:after="100" w:afterAutospacing="1" w:line="240" w:lineRule="auto"/>
      <w:jc w:val="left"/>
    </w:pPr>
    <w:rPr>
      <w:rFonts w:eastAsia="Times New Roman" w:cs="Times New Roman"/>
      <w:szCs w:val="24"/>
      <w:lang w:eastAsia="en-GB"/>
    </w:rPr>
  </w:style>
  <w:style w:type="character" w:customStyle="1" w:styleId="UnresolvedMention2">
    <w:name w:val="Unresolved Mention2"/>
    <w:basedOn w:val="DefaultParagraphFont"/>
    <w:uiPriority w:val="99"/>
    <w:semiHidden/>
    <w:unhideWhenUsed/>
    <w:rsid w:val="000142AC"/>
    <w:rPr>
      <w:color w:val="605E5C"/>
      <w:shd w:val="clear" w:color="auto" w:fill="E1DFDD"/>
    </w:rPr>
  </w:style>
  <w:style w:type="table" w:styleId="ListTable4">
    <w:name w:val="List Table 4"/>
    <w:basedOn w:val="TableNormal"/>
    <w:uiPriority w:val="49"/>
    <w:rsid w:val="000142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D65A4D"/>
    <w:rPr>
      <w:color w:val="605E5C"/>
      <w:shd w:val="clear" w:color="auto" w:fill="E1DFDD"/>
    </w:rPr>
  </w:style>
  <w:style w:type="character" w:customStyle="1" w:styleId="UnresolvedMention4">
    <w:name w:val="Unresolved Mention4"/>
    <w:basedOn w:val="DefaultParagraphFont"/>
    <w:uiPriority w:val="99"/>
    <w:semiHidden/>
    <w:unhideWhenUsed/>
    <w:rsid w:val="00174396"/>
    <w:rPr>
      <w:color w:val="605E5C"/>
      <w:shd w:val="clear" w:color="auto" w:fill="E1DFDD"/>
    </w:rPr>
  </w:style>
  <w:style w:type="character" w:customStyle="1" w:styleId="UnresolvedMention5">
    <w:name w:val="Unresolved Mention5"/>
    <w:basedOn w:val="DefaultParagraphFont"/>
    <w:uiPriority w:val="99"/>
    <w:semiHidden/>
    <w:unhideWhenUsed/>
    <w:rsid w:val="00695CCC"/>
    <w:rPr>
      <w:color w:val="605E5C"/>
      <w:shd w:val="clear" w:color="auto" w:fill="E1DFDD"/>
    </w:rPr>
  </w:style>
  <w:style w:type="paragraph" w:customStyle="1" w:styleId="Default">
    <w:name w:val="Default"/>
    <w:rsid w:val="004C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6">
    <w:name w:val="Unresolved Mention6"/>
    <w:basedOn w:val="DefaultParagraphFont"/>
    <w:uiPriority w:val="99"/>
    <w:semiHidden/>
    <w:unhideWhenUsed/>
    <w:rsid w:val="000C2A53"/>
    <w:rPr>
      <w:color w:val="605E5C"/>
      <w:shd w:val="clear" w:color="auto" w:fill="E1DFDD"/>
    </w:rPr>
  </w:style>
  <w:style w:type="paragraph" w:styleId="PlainText">
    <w:name w:val="Plain Text"/>
    <w:basedOn w:val="Normal"/>
    <w:link w:val="PlainTextChar"/>
    <w:uiPriority w:val="99"/>
    <w:unhideWhenUsed/>
    <w:rsid w:val="00B9761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B9761F"/>
    <w:rPr>
      <w:rFonts w:ascii="Calibri" w:hAnsi="Calibri"/>
      <w:szCs w:val="21"/>
    </w:rPr>
  </w:style>
  <w:style w:type="character" w:styleId="UnresolvedMention">
    <w:name w:val="Unresolved Mention"/>
    <w:basedOn w:val="DefaultParagraphFont"/>
    <w:uiPriority w:val="99"/>
    <w:semiHidden/>
    <w:unhideWhenUsed/>
    <w:rsid w:val="00A8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2773">
      <w:bodyDiv w:val="1"/>
      <w:marLeft w:val="0"/>
      <w:marRight w:val="0"/>
      <w:marTop w:val="0"/>
      <w:marBottom w:val="0"/>
      <w:divBdr>
        <w:top w:val="none" w:sz="0" w:space="0" w:color="auto"/>
        <w:left w:val="none" w:sz="0" w:space="0" w:color="auto"/>
        <w:bottom w:val="none" w:sz="0" w:space="0" w:color="auto"/>
        <w:right w:val="none" w:sz="0" w:space="0" w:color="auto"/>
      </w:divBdr>
    </w:div>
    <w:div w:id="1077751411">
      <w:bodyDiv w:val="1"/>
      <w:marLeft w:val="0"/>
      <w:marRight w:val="0"/>
      <w:marTop w:val="0"/>
      <w:marBottom w:val="0"/>
      <w:divBdr>
        <w:top w:val="none" w:sz="0" w:space="0" w:color="auto"/>
        <w:left w:val="none" w:sz="0" w:space="0" w:color="auto"/>
        <w:bottom w:val="none" w:sz="0" w:space="0" w:color="auto"/>
        <w:right w:val="none" w:sz="0" w:space="0" w:color="auto"/>
      </w:divBdr>
    </w:div>
    <w:div w:id="1298416648">
      <w:bodyDiv w:val="1"/>
      <w:marLeft w:val="0"/>
      <w:marRight w:val="0"/>
      <w:marTop w:val="0"/>
      <w:marBottom w:val="0"/>
      <w:divBdr>
        <w:top w:val="none" w:sz="0" w:space="0" w:color="auto"/>
        <w:left w:val="none" w:sz="0" w:space="0" w:color="auto"/>
        <w:bottom w:val="none" w:sz="0" w:space="0" w:color="auto"/>
        <w:right w:val="none" w:sz="0" w:space="0" w:color="auto"/>
      </w:divBdr>
    </w:div>
    <w:div w:id="179732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wecc.org/epubs/StateOfTheInterconnection/Pages/The-Bulk-Power-System.aspx" TargetMode="External"/><Relationship Id="rId1" Type="http://schemas.openxmlformats.org/officeDocument/2006/relationships/hyperlink" Target="https://www.cs.cmu.edu/~en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EF3D7C-C0F0-492F-B942-3E18ECC3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11024</Words>
  <Characters>62838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Nix</dc:creator>
  <cp:keywords/>
  <dc:description/>
  <cp:lastModifiedBy>Stephanie Decker</cp:lastModifiedBy>
  <cp:revision>3</cp:revision>
  <cp:lastPrinted>2021-06-26T11:14:00Z</cp:lastPrinted>
  <dcterms:created xsi:type="dcterms:W3CDTF">2022-01-12T14:16:00Z</dcterms:created>
  <dcterms:modified xsi:type="dcterms:W3CDTF">2022-01-12T14:18:00Z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b4e976ab-76c7-302e-9474-29e3b0678eaf</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http://www.zotero.org/styles/sage-harvard</vt:lpwstr>
  </property>
  <property fmtid="{D5CDD505-2E9C-101B-9397-08002B2CF9AE}" pid="22" name="Mendeley Recent Style Name 8_1">
    <vt:lpwstr>SAGE - Harvard</vt:lpwstr>
  </property>
  <property fmtid="{D5CDD505-2E9C-101B-9397-08002B2CF9AE}" pid="23" name="Mendeley Recent Style Id 9_1">
    <vt:lpwstr>https://csl.mendeley.com/styles/312029031/sage-harvard-SD</vt:lpwstr>
  </property>
  <property fmtid="{D5CDD505-2E9C-101B-9397-08002B2CF9AE}" pid="24" name="Mendeley Recent Style Name 9_1">
    <vt:lpwstr>SAGE - Harvard - Stephanie Decker, PhD, MA, PGCert, FHEA</vt:lpwstr>
  </property>
</Properties>
</file>