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E2DF1" w14:textId="6B2CA880" w:rsidR="00A40E0B" w:rsidRDefault="00703235" w:rsidP="002229D1">
      <w:pPr>
        <w:spacing w:line="480" w:lineRule="auto"/>
        <w:rPr>
          <w:b/>
          <w:bCs/>
          <w:sz w:val="28"/>
          <w:szCs w:val="28"/>
          <w:u w:val="single"/>
        </w:rPr>
      </w:pPr>
      <w:bookmarkStart w:id="0" w:name="_GoBack"/>
      <w:bookmarkEnd w:id="0"/>
      <w:r w:rsidRPr="001E311F">
        <w:rPr>
          <w:b/>
          <w:bCs/>
          <w:sz w:val="28"/>
          <w:szCs w:val="28"/>
          <w:u w:val="single"/>
        </w:rPr>
        <w:t xml:space="preserve">Public acceptability of a technology-mediated stool sample collection </w:t>
      </w:r>
      <w:r w:rsidR="009A2B71">
        <w:rPr>
          <w:b/>
          <w:bCs/>
          <w:sz w:val="28"/>
          <w:szCs w:val="28"/>
          <w:u w:val="single"/>
        </w:rPr>
        <w:t>platform</w:t>
      </w:r>
      <w:r w:rsidR="009A2B71" w:rsidRPr="001E311F">
        <w:rPr>
          <w:b/>
          <w:bCs/>
          <w:sz w:val="28"/>
          <w:szCs w:val="28"/>
          <w:u w:val="single"/>
        </w:rPr>
        <w:t xml:space="preserve"> </w:t>
      </w:r>
      <w:r w:rsidRPr="001E311F">
        <w:rPr>
          <w:b/>
          <w:bCs/>
          <w:sz w:val="28"/>
          <w:szCs w:val="28"/>
          <w:u w:val="single"/>
        </w:rPr>
        <w:t xml:space="preserve">to inform community-based </w:t>
      </w:r>
      <w:r w:rsidR="00844606">
        <w:rPr>
          <w:b/>
          <w:bCs/>
          <w:sz w:val="28"/>
          <w:szCs w:val="28"/>
          <w:u w:val="single"/>
        </w:rPr>
        <w:t xml:space="preserve">surveillance of </w:t>
      </w:r>
      <w:r w:rsidR="001E0496">
        <w:rPr>
          <w:b/>
          <w:bCs/>
          <w:sz w:val="28"/>
          <w:szCs w:val="28"/>
          <w:u w:val="single"/>
        </w:rPr>
        <w:t>i</w:t>
      </w:r>
      <w:r w:rsidR="00844606">
        <w:rPr>
          <w:b/>
          <w:bCs/>
          <w:sz w:val="28"/>
          <w:szCs w:val="28"/>
          <w:u w:val="single"/>
        </w:rPr>
        <w:t xml:space="preserve">nfectious </w:t>
      </w:r>
      <w:r w:rsidR="001E0496">
        <w:rPr>
          <w:b/>
          <w:bCs/>
          <w:sz w:val="28"/>
          <w:szCs w:val="28"/>
          <w:u w:val="single"/>
        </w:rPr>
        <w:t>i</w:t>
      </w:r>
      <w:r w:rsidR="00844606">
        <w:rPr>
          <w:b/>
          <w:bCs/>
          <w:sz w:val="28"/>
          <w:szCs w:val="28"/>
          <w:u w:val="single"/>
        </w:rPr>
        <w:t xml:space="preserve">ntestinal </w:t>
      </w:r>
      <w:r w:rsidR="001E0496">
        <w:rPr>
          <w:b/>
          <w:bCs/>
          <w:sz w:val="28"/>
          <w:szCs w:val="28"/>
          <w:u w:val="single"/>
        </w:rPr>
        <w:t>d</w:t>
      </w:r>
      <w:r w:rsidR="00844606">
        <w:rPr>
          <w:b/>
          <w:bCs/>
          <w:sz w:val="28"/>
          <w:szCs w:val="28"/>
          <w:u w:val="single"/>
        </w:rPr>
        <w:t>isease</w:t>
      </w:r>
      <w:r w:rsidR="00EF4321">
        <w:rPr>
          <w:b/>
          <w:bCs/>
          <w:sz w:val="28"/>
          <w:szCs w:val="28"/>
          <w:u w:val="single"/>
        </w:rPr>
        <w:t>:</w:t>
      </w:r>
      <w:r w:rsidR="00844606">
        <w:rPr>
          <w:b/>
          <w:bCs/>
          <w:sz w:val="28"/>
          <w:szCs w:val="28"/>
          <w:u w:val="single"/>
        </w:rPr>
        <w:t xml:space="preserve"> a pilot study</w:t>
      </w:r>
    </w:p>
    <w:p w14:paraId="5247CD47" w14:textId="77777777" w:rsidR="00A40E0B" w:rsidRPr="00ED6CCE" w:rsidRDefault="00A40E0B" w:rsidP="002229D1">
      <w:pPr>
        <w:spacing w:line="480" w:lineRule="auto"/>
        <w:rPr>
          <w:b/>
          <w:bCs/>
          <w:u w:val="single"/>
        </w:rPr>
      </w:pPr>
    </w:p>
    <w:p w14:paraId="7516F60A" w14:textId="73B18CC1" w:rsidR="00ED6CCE" w:rsidRPr="00ED6CCE" w:rsidRDefault="00A40E0B" w:rsidP="002229D1">
      <w:pPr>
        <w:spacing w:line="480" w:lineRule="auto"/>
        <w:rPr>
          <w:bCs/>
        </w:rPr>
      </w:pPr>
      <w:r w:rsidRPr="00ED6CCE">
        <w:rPr>
          <w:bCs/>
        </w:rPr>
        <w:t>R</w:t>
      </w:r>
      <w:r w:rsidR="006F2D34">
        <w:rPr>
          <w:bCs/>
        </w:rPr>
        <w:t>owan</w:t>
      </w:r>
      <w:r w:rsidRPr="00ED6CCE">
        <w:rPr>
          <w:bCs/>
        </w:rPr>
        <w:t xml:space="preserve"> Davies</w:t>
      </w:r>
      <w:r w:rsidR="00ED6CCE">
        <w:rPr>
          <w:bCs/>
          <w:vertAlign w:val="superscript"/>
        </w:rPr>
        <w:t>1,2</w:t>
      </w:r>
      <w:r w:rsidRPr="00ED6CCE">
        <w:rPr>
          <w:bCs/>
        </w:rPr>
        <w:t xml:space="preserve">, </w:t>
      </w:r>
      <w:r w:rsidR="00ED6CCE" w:rsidRPr="00ED6CCE">
        <w:rPr>
          <w:bCs/>
        </w:rPr>
        <w:t>M</w:t>
      </w:r>
      <w:r w:rsidR="006F2D34">
        <w:rPr>
          <w:bCs/>
        </w:rPr>
        <w:t>iren</w:t>
      </w:r>
      <w:r w:rsidR="00ED6CCE" w:rsidRPr="00ED6CCE">
        <w:rPr>
          <w:bCs/>
        </w:rPr>
        <w:t xml:space="preserve"> Iturriza-G</w:t>
      </w:r>
      <w:r w:rsidR="006A161A">
        <w:rPr>
          <w:rFonts w:cstheme="minorHAnsi"/>
          <w:bCs/>
        </w:rPr>
        <w:t>ó</w:t>
      </w:r>
      <w:r w:rsidR="00ED6CCE" w:rsidRPr="00ED6CCE">
        <w:rPr>
          <w:bCs/>
        </w:rPr>
        <w:t>mara</w:t>
      </w:r>
      <w:r w:rsidR="00ED6CCE" w:rsidRPr="00ED6CCE">
        <w:rPr>
          <w:bCs/>
          <w:vertAlign w:val="superscript"/>
        </w:rPr>
        <w:t>3</w:t>
      </w:r>
      <w:r w:rsidR="00DA05EC">
        <w:rPr>
          <w:bCs/>
          <w:vertAlign w:val="superscript"/>
        </w:rPr>
        <w:t>,4</w:t>
      </w:r>
      <w:r w:rsidR="00ED6CCE">
        <w:rPr>
          <w:bCs/>
        </w:rPr>
        <w:t xml:space="preserve">, </w:t>
      </w:r>
      <w:r w:rsidR="006678A4" w:rsidRPr="006678A4">
        <w:rPr>
          <w:bCs/>
        </w:rPr>
        <w:t>Rebecca</w:t>
      </w:r>
      <w:r w:rsidR="00ED6CCE" w:rsidRPr="00ED6CCE">
        <w:rPr>
          <w:bCs/>
        </w:rPr>
        <w:t xml:space="preserve"> Glennon-Alty</w:t>
      </w:r>
      <w:r w:rsidR="00ED6CCE">
        <w:rPr>
          <w:bCs/>
          <w:vertAlign w:val="superscript"/>
        </w:rPr>
        <w:t>4</w:t>
      </w:r>
      <w:r w:rsidR="00ED6CCE" w:rsidRPr="00ED6CCE">
        <w:rPr>
          <w:bCs/>
        </w:rPr>
        <w:t>, A</w:t>
      </w:r>
      <w:r w:rsidR="006F2D34">
        <w:rPr>
          <w:bCs/>
        </w:rPr>
        <w:t>lex</w:t>
      </w:r>
      <w:r w:rsidR="00ED6CCE" w:rsidRPr="00ED6CCE">
        <w:rPr>
          <w:bCs/>
        </w:rPr>
        <w:t xml:space="preserve"> </w:t>
      </w:r>
      <w:r w:rsidR="006A161A">
        <w:rPr>
          <w:bCs/>
        </w:rPr>
        <w:t xml:space="preserve">J </w:t>
      </w:r>
      <w:r w:rsidR="00ED6CCE" w:rsidRPr="00ED6CCE">
        <w:rPr>
          <w:bCs/>
        </w:rPr>
        <w:t>Elliot</w:t>
      </w:r>
      <w:r w:rsidR="00ED6CCE">
        <w:rPr>
          <w:bCs/>
          <w:vertAlign w:val="superscript"/>
        </w:rPr>
        <w:t>1,5</w:t>
      </w:r>
      <w:r w:rsidR="00BD0579">
        <w:rPr>
          <w:bCs/>
          <w:vertAlign w:val="superscript"/>
        </w:rPr>
        <w:t>,6</w:t>
      </w:r>
      <w:r w:rsidR="00474611">
        <w:rPr>
          <w:bCs/>
        </w:rPr>
        <w:t>,</w:t>
      </w:r>
      <w:r w:rsidR="00ED6CCE" w:rsidRPr="00ED6CCE">
        <w:rPr>
          <w:bCs/>
        </w:rPr>
        <w:t xml:space="preserve"> R</w:t>
      </w:r>
      <w:r w:rsidR="006F2D34">
        <w:rPr>
          <w:bCs/>
        </w:rPr>
        <w:t>oberto</w:t>
      </w:r>
      <w:r w:rsidR="00ED6CCE" w:rsidRPr="00ED6CCE">
        <w:rPr>
          <w:bCs/>
        </w:rPr>
        <w:t xml:space="preserve"> Vivancos</w:t>
      </w:r>
      <w:r w:rsidR="00ED6CCE">
        <w:rPr>
          <w:bCs/>
          <w:vertAlign w:val="superscript"/>
        </w:rPr>
        <w:t>1,4,</w:t>
      </w:r>
      <w:r w:rsidR="00BD0579">
        <w:rPr>
          <w:bCs/>
          <w:vertAlign w:val="superscript"/>
        </w:rPr>
        <w:t>7</w:t>
      </w:r>
      <w:r w:rsidR="00EE07B7">
        <w:rPr>
          <w:bCs/>
          <w:vertAlign w:val="superscript"/>
        </w:rPr>
        <w:t>,</w:t>
      </w:r>
      <w:r w:rsidR="00BD0579">
        <w:rPr>
          <w:bCs/>
          <w:vertAlign w:val="superscript"/>
        </w:rPr>
        <w:t>8</w:t>
      </w:r>
      <w:r w:rsidR="00ED6CCE" w:rsidRPr="00ED6CCE">
        <w:rPr>
          <w:bCs/>
        </w:rPr>
        <w:t>,</w:t>
      </w:r>
      <w:r w:rsidR="0031011C">
        <w:rPr>
          <w:bCs/>
        </w:rPr>
        <w:t xml:space="preserve"> A</w:t>
      </w:r>
      <w:r w:rsidR="006F2D34">
        <w:rPr>
          <w:bCs/>
        </w:rPr>
        <w:t>nica</w:t>
      </w:r>
      <w:r w:rsidR="0031011C">
        <w:rPr>
          <w:bCs/>
        </w:rPr>
        <w:t xml:space="preserve"> Alvarez Nishio</w:t>
      </w:r>
      <w:r w:rsidR="00BD0579">
        <w:rPr>
          <w:bCs/>
          <w:vertAlign w:val="superscript"/>
        </w:rPr>
        <w:t>9</w:t>
      </w:r>
      <w:r w:rsidR="0031011C">
        <w:rPr>
          <w:bCs/>
        </w:rPr>
        <w:t>,</w:t>
      </w:r>
      <w:r w:rsidR="00B714A2">
        <w:rPr>
          <w:bCs/>
        </w:rPr>
        <w:t xml:space="preserve"> </w:t>
      </w:r>
      <w:r w:rsidR="00ED6CCE" w:rsidRPr="00ED6CCE">
        <w:rPr>
          <w:bCs/>
        </w:rPr>
        <w:t>N</w:t>
      </w:r>
      <w:r w:rsidR="006F2D34">
        <w:rPr>
          <w:bCs/>
        </w:rPr>
        <w:t>igel</w:t>
      </w:r>
      <w:r w:rsidR="00ED6CCE" w:rsidRPr="00ED6CCE">
        <w:rPr>
          <w:bCs/>
        </w:rPr>
        <w:t xml:space="preserve"> A Cunliffe</w:t>
      </w:r>
      <w:r w:rsidR="00ED6CCE">
        <w:rPr>
          <w:bCs/>
          <w:vertAlign w:val="superscript"/>
        </w:rPr>
        <w:t>1,4</w:t>
      </w:r>
      <w:r w:rsidR="00ED6CCE" w:rsidRPr="00ED6CCE">
        <w:rPr>
          <w:bCs/>
        </w:rPr>
        <w:t>, D</w:t>
      </w:r>
      <w:r w:rsidR="006F2D34">
        <w:rPr>
          <w:bCs/>
        </w:rPr>
        <w:t>aniel</w:t>
      </w:r>
      <w:r w:rsidR="00ED6CCE" w:rsidRPr="00ED6CCE">
        <w:rPr>
          <w:bCs/>
        </w:rPr>
        <w:t xml:space="preserve"> Hungerford</w:t>
      </w:r>
      <w:r w:rsidR="00ED6CCE">
        <w:rPr>
          <w:bCs/>
          <w:vertAlign w:val="superscript"/>
        </w:rPr>
        <w:t>1,4,</w:t>
      </w:r>
      <w:r w:rsidR="00BD0579">
        <w:rPr>
          <w:bCs/>
          <w:vertAlign w:val="superscript"/>
        </w:rPr>
        <w:t>7</w:t>
      </w:r>
      <w:r w:rsidR="00EE07B7">
        <w:rPr>
          <w:bCs/>
          <w:vertAlign w:val="superscript"/>
        </w:rPr>
        <w:t>,</w:t>
      </w:r>
      <w:r w:rsidR="00BD0579">
        <w:rPr>
          <w:bCs/>
          <w:vertAlign w:val="superscript"/>
        </w:rPr>
        <w:t>8</w:t>
      </w:r>
      <w:r w:rsidR="00ED6CCE" w:rsidRPr="00ED6CCE">
        <w:rPr>
          <w:bCs/>
        </w:rPr>
        <w:t>*</w:t>
      </w:r>
    </w:p>
    <w:p w14:paraId="01637E57" w14:textId="0283EF67" w:rsidR="00ED6CCE" w:rsidRPr="00FE0FE3" w:rsidRDefault="00FE0FE3" w:rsidP="002229D1">
      <w:pPr>
        <w:spacing w:line="480" w:lineRule="auto"/>
        <w:rPr>
          <w:b/>
          <w:bCs/>
        </w:rPr>
      </w:pPr>
      <w:r w:rsidRPr="00FE0FE3">
        <w:rPr>
          <w:b/>
          <w:bCs/>
        </w:rPr>
        <w:t>Affiliations</w:t>
      </w:r>
    </w:p>
    <w:p w14:paraId="104B66F4" w14:textId="0E7B1B7E" w:rsidR="00ED6CCE" w:rsidRPr="00146121" w:rsidRDefault="00ED6CCE" w:rsidP="00146121">
      <w:pPr>
        <w:pStyle w:val="ListParagraph"/>
        <w:numPr>
          <w:ilvl w:val="0"/>
          <w:numId w:val="5"/>
        </w:numPr>
        <w:spacing w:line="480" w:lineRule="auto"/>
        <w:ind w:left="1077"/>
        <w:rPr>
          <w:bCs/>
          <w:sz w:val="20"/>
          <w:szCs w:val="20"/>
        </w:rPr>
      </w:pPr>
      <w:r w:rsidRPr="00146121">
        <w:rPr>
          <w:bCs/>
          <w:sz w:val="20"/>
          <w:szCs w:val="20"/>
        </w:rPr>
        <w:t>N</w:t>
      </w:r>
      <w:r w:rsidR="00F93347">
        <w:rPr>
          <w:bCs/>
          <w:sz w:val="20"/>
          <w:szCs w:val="20"/>
        </w:rPr>
        <w:t xml:space="preserve">ational Institute for Health Research </w:t>
      </w:r>
      <w:r w:rsidRPr="00146121">
        <w:rPr>
          <w:bCs/>
          <w:sz w:val="20"/>
          <w:szCs w:val="20"/>
        </w:rPr>
        <w:t>H</w:t>
      </w:r>
      <w:r w:rsidR="00F93347">
        <w:rPr>
          <w:bCs/>
          <w:sz w:val="20"/>
          <w:szCs w:val="20"/>
        </w:rPr>
        <w:t>ealth Protection Research Unit</w:t>
      </w:r>
      <w:r w:rsidRPr="00146121">
        <w:rPr>
          <w:bCs/>
          <w:sz w:val="20"/>
          <w:szCs w:val="20"/>
        </w:rPr>
        <w:t xml:space="preserve"> in Gastrointestinal Infections</w:t>
      </w:r>
      <w:r w:rsidR="008919B0" w:rsidRPr="00146121">
        <w:rPr>
          <w:bCs/>
          <w:sz w:val="20"/>
          <w:szCs w:val="20"/>
        </w:rPr>
        <w:t>,</w:t>
      </w:r>
      <w:r w:rsidRPr="00146121">
        <w:rPr>
          <w:bCs/>
          <w:sz w:val="20"/>
          <w:szCs w:val="20"/>
        </w:rPr>
        <w:t xml:space="preserve"> University of Liverpool, Liverpool, UK</w:t>
      </w:r>
    </w:p>
    <w:p w14:paraId="6593BE90" w14:textId="55EE1B0E" w:rsidR="00ED6CCE" w:rsidRPr="00146121" w:rsidRDefault="00ED6CCE" w:rsidP="00146121">
      <w:pPr>
        <w:pStyle w:val="ListParagraph"/>
        <w:numPr>
          <w:ilvl w:val="0"/>
          <w:numId w:val="5"/>
        </w:numPr>
        <w:spacing w:line="480" w:lineRule="auto"/>
        <w:ind w:left="1077"/>
        <w:rPr>
          <w:bCs/>
          <w:sz w:val="20"/>
          <w:szCs w:val="20"/>
        </w:rPr>
      </w:pPr>
      <w:r w:rsidRPr="00146121">
        <w:rPr>
          <w:bCs/>
          <w:sz w:val="20"/>
          <w:szCs w:val="20"/>
        </w:rPr>
        <w:t>School of Medicine, University of Liverpool, Liverpool, UK</w:t>
      </w:r>
    </w:p>
    <w:p w14:paraId="5AD0C105" w14:textId="3903B5BB" w:rsidR="00ED6CCE" w:rsidRPr="00146121" w:rsidRDefault="00DA05EC" w:rsidP="00146121">
      <w:pPr>
        <w:pStyle w:val="ListParagraph"/>
        <w:numPr>
          <w:ilvl w:val="0"/>
          <w:numId w:val="5"/>
        </w:numPr>
        <w:spacing w:line="480" w:lineRule="auto"/>
        <w:ind w:left="1077"/>
        <w:rPr>
          <w:bCs/>
          <w:sz w:val="20"/>
          <w:szCs w:val="20"/>
        </w:rPr>
      </w:pPr>
      <w:r w:rsidRPr="00146121">
        <w:rPr>
          <w:bCs/>
          <w:sz w:val="20"/>
          <w:szCs w:val="20"/>
        </w:rPr>
        <w:t xml:space="preserve">Current address: </w:t>
      </w:r>
      <w:r w:rsidR="00ED6CCE" w:rsidRPr="00146121">
        <w:rPr>
          <w:bCs/>
          <w:sz w:val="20"/>
          <w:szCs w:val="20"/>
        </w:rPr>
        <w:t>Centre for Vaccine Innovation and Access, PATH, Geneva, Switzerland</w:t>
      </w:r>
    </w:p>
    <w:p w14:paraId="4C192DC7" w14:textId="29471DAD" w:rsidR="00ED6CCE" w:rsidRPr="00146121" w:rsidRDefault="00ED6CCE" w:rsidP="00146121">
      <w:pPr>
        <w:pStyle w:val="ListParagraph"/>
        <w:numPr>
          <w:ilvl w:val="0"/>
          <w:numId w:val="5"/>
        </w:numPr>
        <w:spacing w:line="480" w:lineRule="auto"/>
        <w:ind w:left="1077"/>
        <w:rPr>
          <w:bCs/>
          <w:sz w:val="20"/>
          <w:szCs w:val="20"/>
        </w:rPr>
      </w:pPr>
      <w:r w:rsidRPr="00146121">
        <w:rPr>
          <w:bCs/>
          <w:sz w:val="20"/>
          <w:szCs w:val="20"/>
        </w:rPr>
        <w:t>Institute of Infection, Veterinary &amp; Ecological Sciences, University of Liverpool, Liverpool, UK</w:t>
      </w:r>
    </w:p>
    <w:p w14:paraId="0E8A8537" w14:textId="0D9DAD68" w:rsidR="00ED6CCE" w:rsidRPr="00146121" w:rsidRDefault="00ED6CCE" w:rsidP="00146121">
      <w:pPr>
        <w:pStyle w:val="ListParagraph"/>
        <w:numPr>
          <w:ilvl w:val="0"/>
          <w:numId w:val="5"/>
        </w:numPr>
        <w:spacing w:line="480" w:lineRule="auto"/>
        <w:ind w:left="1077"/>
        <w:rPr>
          <w:bCs/>
          <w:sz w:val="20"/>
          <w:szCs w:val="20"/>
        </w:rPr>
      </w:pPr>
      <w:r w:rsidRPr="00146121">
        <w:rPr>
          <w:bCs/>
          <w:sz w:val="20"/>
          <w:szCs w:val="20"/>
        </w:rPr>
        <w:t xml:space="preserve">Real-time Syndromic Surveillance Team, Field Service, </w:t>
      </w:r>
      <w:r w:rsidR="00F93347">
        <w:rPr>
          <w:bCs/>
          <w:sz w:val="20"/>
          <w:szCs w:val="20"/>
        </w:rPr>
        <w:t>Health Protection Operations</w:t>
      </w:r>
      <w:r w:rsidRPr="00146121">
        <w:rPr>
          <w:bCs/>
          <w:sz w:val="20"/>
          <w:szCs w:val="20"/>
        </w:rPr>
        <w:t xml:space="preserve">, </w:t>
      </w:r>
      <w:r w:rsidR="00F93347">
        <w:rPr>
          <w:bCs/>
          <w:sz w:val="20"/>
          <w:szCs w:val="20"/>
        </w:rPr>
        <w:t>UK Health Security Agency</w:t>
      </w:r>
      <w:r w:rsidRPr="00146121">
        <w:rPr>
          <w:bCs/>
          <w:sz w:val="20"/>
          <w:szCs w:val="20"/>
        </w:rPr>
        <w:t>, Birmingham, U</w:t>
      </w:r>
      <w:r w:rsidR="008919B0" w:rsidRPr="00146121">
        <w:rPr>
          <w:bCs/>
          <w:sz w:val="20"/>
          <w:szCs w:val="20"/>
        </w:rPr>
        <w:t>K</w:t>
      </w:r>
    </w:p>
    <w:p w14:paraId="757DA516" w14:textId="6AB12463" w:rsidR="00BD0579" w:rsidRDefault="00BD0579" w:rsidP="00BD0579">
      <w:pPr>
        <w:pStyle w:val="ListParagraph"/>
        <w:numPr>
          <w:ilvl w:val="0"/>
          <w:numId w:val="5"/>
        </w:numPr>
        <w:spacing w:line="480" w:lineRule="auto"/>
        <w:rPr>
          <w:bCs/>
          <w:sz w:val="20"/>
          <w:szCs w:val="20"/>
        </w:rPr>
      </w:pPr>
      <w:r w:rsidRPr="00BD0579">
        <w:rPr>
          <w:bCs/>
          <w:sz w:val="20"/>
          <w:szCs w:val="20"/>
        </w:rPr>
        <w:t>National Institute for Health Research Health Protection Research Unit in Emerge</w:t>
      </w:r>
      <w:r>
        <w:rPr>
          <w:bCs/>
          <w:sz w:val="20"/>
          <w:szCs w:val="20"/>
        </w:rPr>
        <w:t>ncy Preparedness and Response,</w:t>
      </w:r>
      <w:r w:rsidRPr="00BD0579">
        <w:rPr>
          <w:bCs/>
          <w:sz w:val="20"/>
          <w:szCs w:val="20"/>
        </w:rPr>
        <w:t xml:space="preserve"> King’s College London</w:t>
      </w:r>
      <w:r>
        <w:rPr>
          <w:bCs/>
          <w:sz w:val="20"/>
          <w:szCs w:val="20"/>
        </w:rPr>
        <w:t>, London, UK</w:t>
      </w:r>
    </w:p>
    <w:p w14:paraId="1913C1BB" w14:textId="75122600" w:rsidR="00ED6CCE" w:rsidRPr="00146121" w:rsidRDefault="00ED6CCE" w:rsidP="00146121">
      <w:pPr>
        <w:pStyle w:val="ListParagraph"/>
        <w:numPr>
          <w:ilvl w:val="0"/>
          <w:numId w:val="5"/>
        </w:numPr>
        <w:spacing w:line="480" w:lineRule="auto"/>
        <w:ind w:left="1077"/>
        <w:rPr>
          <w:bCs/>
          <w:sz w:val="20"/>
          <w:szCs w:val="20"/>
        </w:rPr>
      </w:pPr>
      <w:r w:rsidRPr="00146121">
        <w:rPr>
          <w:bCs/>
          <w:sz w:val="20"/>
          <w:szCs w:val="20"/>
        </w:rPr>
        <w:t xml:space="preserve">Field Epidemiology North West, Field Service, </w:t>
      </w:r>
      <w:r w:rsidR="00F93347">
        <w:rPr>
          <w:bCs/>
          <w:sz w:val="20"/>
          <w:szCs w:val="20"/>
        </w:rPr>
        <w:t>Health Protection Operations</w:t>
      </w:r>
      <w:r w:rsidR="00F93347" w:rsidRPr="00146121">
        <w:rPr>
          <w:bCs/>
          <w:sz w:val="20"/>
          <w:szCs w:val="20"/>
        </w:rPr>
        <w:t xml:space="preserve">, </w:t>
      </w:r>
      <w:r w:rsidR="00F93347">
        <w:rPr>
          <w:bCs/>
          <w:sz w:val="20"/>
          <w:szCs w:val="20"/>
        </w:rPr>
        <w:t>UK Health Security Agency</w:t>
      </w:r>
      <w:r w:rsidRPr="00146121">
        <w:rPr>
          <w:bCs/>
          <w:sz w:val="20"/>
          <w:szCs w:val="20"/>
        </w:rPr>
        <w:t>, Liverpool</w:t>
      </w:r>
      <w:r w:rsidR="007D2C4C" w:rsidRPr="00146121">
        <w:rPr>
          <w:bCs/>
          <w:sz w:val="20"/>
          <w:szCs w:val="20"/>
        </w:rPr>
        <w:t>, UK</w:t>
      </w:r>
    </w:p>
    <w:p w14:paraId="1A77B36F" w14:textId="5448C92E" w:rsidR="007D2C4C" w:rsidRPr="00146121" w:rsidRDefault="00F93347" w:rsidP="00146121">
      <w:pPr>
        <w:pStyle w:val="ListParagraph"/>
        <w:numPr>
          <w:ilvl w:val="0"/>
          <w:numId w:val="5"/>
        </w:numPr>
        <w:spacing w:line="480" w:lineRule="auto"/>
        <w:ind w:left="1077"/>
        <w:rPr>
          <w:bCs/>
          <w:sz w:val="20"/>
          <w:szCs w:val="20"/>
        </w:rPr>
      </w:pPr>
      <w:r>
        <w:rPr>
          <w:bCs/>
          <w:sz w:val="20"/>
          <w:szCs w:val="20"/>
        </w:rPr>
        <w:t xml:space="preserve">National Institute for Health Research </w:t>
      </w:r>
      <w:r w:rsidRPr="00146121">
        <w:rPr>
          <w:bCs/>
          <w:sz w:val="20"/>
          <w:szCs w:val="20"/>
        </w:rPr>
        <w:t>H</w:t>
      </w:r>
      <w:r>
        <w:rPr>
          <w:bCs/>
          <w:sz w:val="20"/>
          <w:szCs w:val="20"/>
        </w:rPr>
        <w:t>ealth Protection Research Unit</w:t>
      </w:r>
      <w:r w:rsidRPr="00146121">
        <w:rPr>
          <w:bCs/>
          <w:sz w:val="20"/>
          <w:szCs w:val="20"/>
        </w:rPr>
        <w:t xml:space="preserve"> </w:t>
      </w:r>
      <w:r w:rsidR="007D2C4C" w:rsidRPr="00146121">
        <w:rPr>
          <w:bCs/>
          <w:sz w:val="20"/>
          <w:szCs w:val="20"/>
        </w:rPr>
        <w:t>in Emerging and Zoonotic Infections, University of Liverpool, Liverpool, UK</w:t>
      </w:r>
    </w:p>
    <w:p w14:paraId="6A2C86B3" w14:textId="690F20F9" w:rsidR="0031011C" w:rsidRPr="003124EC" w:rsidRDefault="00366F09" w:rsidP="0025459A">
      <w:pPr>
        <w:pStyle w:val="ListParagraph"/>
        <w:numPr>
          <w:ilvl w:val="0"/>
          <w:numId w:val="5"/>
        </w:numPr>
        <w:spacing w:line="480" w:lineRule="auto"/>
        <w:rPr>
          <w:bCs/>
        </w:rPr>
      </w:pPr>
      <w:r w:rsidRPr="003124EC">
        <w:rPr>
          <w:bCs/>
          <w:sz w:val="20"/>
          <w:szCs w:val="20"/>
        </w:rPr>
        <w:t>Patient and Public Involvement Representative</w:t>
      </w:r>
      <w:r w:rsidR="000271E9" w:rsidRPr="003124EC">
        <w:rPr>
          <w:bCs/>
          <w:sz w:val="20"/>
          <w:szCs w:val="20"/>
        </w:rPr>
        <w:t xml:space="preserve">, </w:t>
      </w:r>
      <w:r w:rsidR="003124EC">
        <w:rPr>
          <w:bCs/>
          <w:sz w:val="20"/>
          <w:szCs w:val="20"/>
        </w:rPr>
        <w:t>London, UK</w:t>
      </w:r>
      <w:r w:rsidR="003124EC" w:rsidRPr="003124EC">
        <w:rPr>
          <w:bCs/>
          <w:sz w:val="20"/>
          <w:szCs w:val="20"/>
        </w:rPr>
        <w:t xml:space="preserve"> </w:t>
      </w:r>
    </w:p>
    <w:p w14:paraId="5D5E78B2" w14:textId="77777777" w:rsidR="00FE0FE3" w:rsidRPr="00FE0FE3" w:rsidRDefault="00FE0FE3" w:rsidP="00FE0FE3">
      <w:pPr>
        <w:spacing w:line="480" w:lineRule="auto"/>
        <w:rPr>
          <w:bCs/>
        </w:rPr>
      </w:pPr>
      <w:r w:rsidRPr="00FE0FE3">
        <w:rPr>
          <w:b/>
          <w:bCs/>
        </w:rPr>
        <w:t>Corresponding author</w:t>
      </w:r>
      <w:r w:rsidRPr="00FE0FE3">
        <w:rPr>
          <w:bCs/>
        </w:rPr>
        <w:t>: Daniel Hungerford, Department of Clinical Infection Microbiology and Immunology, Institute of Infection, Veterinary &amp; Ecological Sciences, University of Liverpool, Liverpool, UK</w:t>
      </w:r>
    </w:p>
    <w:p w14:paraId="68B43D8F" w14:textId="0C493EE0" w:rsidR="00FD36A1" w:rsidRPr="00ED6CCE" w:rsidRDefault="00FE0FE3" w:rsidP="00FE0FE3">
      <w:pPr>
        <w:spacing w:line="480" w:lineRule="auto"/>
        <w:rPr>
          <w:bCs/>
          <w:sz w:val="28"/>
          <w:szCs w:val="28"/>
        </w:rPr>
      </w:pPr>
      <w:r w:rsidRPr="00FE0FE3">
        <w:rPr>
          <w:bCs/>
        </w:rPr>
        <w:t>d.hungerford@liverpool.ac.uk | 0151 795 1455</w:t>
      </w:r>
    </w:p>
    <w:p w14:paraId="78B2F138" w14:textId="345ABF3D" w:rsidR="00C268E2" w:rsidRPr="00BB0CB5" w:rsidRDefault="002229D1" w:rsidP="002229D1">
      <w:pPr>
        <w:spacing w:line="480" w:lineRule="auto"/>
        <w:rPr>
          <w:b/>
          <w:bCs/>
          <w:u w:val="single"/>
        </w:rPr>
      </w:pPr>
      <w:r>
        <w:rPr>
          <w:b/>
          <w:bCs/>
        </w:rPr>
        <w:br w:type="page"/>
      </w:r>
      <w:r w:rsidR="00C268E2" w:rsidRPr="00BB0CB5">
        <w:rPr>
          <w:b/>
          <w:bCs/>
          <w:u w:val="single"/>
        </w:rPr>
        <w:lastRenderedPageBreak/>
        <w:t>Abstract</w:t>
      </w:r>
    </w:p>
    <w:p w14:paraId="4093247D" w14:textId="7267E0B8" w:rsidR="00C268E2" w:rsidRDefault="000271E9" w:rsidP="002229D1">
      <w:pPr>
        <w:spacing w:line="480" w:lineRule="auto"/>
        <w:rPr>
          <w:b/>
          <w:bCs/>
        </w:rPr>
      </w:pPr>
      <w:r>
        <w:rPr>
          <w:b/>
          <w:bCs/>
        </w:rPr>
        <w:t>Background</w:t>
      </w:r>
    </w:p>
    <w:p w14:paraId="7895CABA" w14:textId="2FEB9439" w:rsidR="00047B00" w:rsidRDefault="00047B00" w:rsidP="002229D1">
      <w:pPr>
        <w:spacing w:line="480" w:lineRule="auto"/>
      </w:pPr>
      <w:r>
        <w:t xml:space="preserve">In the UK </w:t>
      </w:r>
      <w:r w:rsidR="005951D3">
        <w:t>approximately</w:t>
      </w:r>
      <w:r>
        <w:t xml:space="preserve"> a q</w:t>
      </w:r>
      <w:r w:rsidRPr="000B1A3F">
        <w:t xml:space="preserve">uarter of the population </w:t>
      </w:r>
      <w:r w:rsidR="00763EC2">
        <w:t>experience</w:t>
      </w:r>
      <w:r w:rsidRPr="000B1A3F">
        <w:t xml:space="preserve"> </w:t>
      </w:r>
      <w:r w:rsidR="00FD36A1">
        <w:t>i</w:t>
      </w:r>
      <w:r w:rsidR="005B5A7B">
        <w:t xml:space="preserve">nfectious </w:t>
      </w:r>
      <w:r w:rsidR="00FD36A1">
        <w:t>i</w:t>
      </w:r>
      <w:r w:rsidR="005B5A7B">
        <w:t xml:space="preserve">ntestinal </w:t>
      </w:r>
      <w:r w:rsidR="00FD36A1">
        <w:t>d</w:t>
      </w:r>
      <w:r w:rsidR="005B5A7B">
        <w:t xml:space="preserve">isease (IID) </w:t>
      </w:r>
      <w:r w:rsidRPr="000B1A3F">
        <w:t>each year</w:t>
      </w:r>
      <w:r w:rsidR="00EE07B7">
        <w:t>. However,</w:t>
      </w:r>
      <w:r w:rsidRPr="000B1A3F">
        <w:t xml:space="preserve"> only 2% present to primary care</w:t>
      </w:r>
      <w:r w:rsidR="00EE07B7">
        <w:t>, preventing a true determination of community burden and</w:t>
      </w:r>
      <w:r w:rsidR="005B5A7B">
        <w:t xml:space="preserve"> pathogen aetiology. </w:t>
      </w:r>
      <w:r w:rsidR="00514878">
        <w:t xml:space="preserve">The aim of this </w:t>
      </w:r>
      <w:r w:rsidR="00763EC2">
        <w:t xml:space="preserve">pilot </w:t>
      </w:r>
      <w:r w:rsidR="00514878">
        <w:t>study was to gauge public</w:t>
      </w:r>
      <w:r w:rsidRPr="000B1A3F">
        <w:t xml:space="preserve"> acceptability of </w:t>
      </w:r>
      <w:r>
        <w:t xml:space="preserve">a technology-mediated platform for reporting </w:t>
      </w:r>
      <w:r w:rsidR="009B5787">
        <w:t>episodes of IID</w:t>
      </w:r>
      <w:r>
        <w:t xml:space="preserve"> and </w:t>
      </w:r>
      <w:r w:rsidR="009B5787">
        <w:t xml:space="preserve">for </w:t>
      </w:r>
      <w:r>
        <w:t xml:space="preserve">providing stool samples. </w:t>
      </w:r>
    </w:p>
    <w:p w14:paraId="258F4BD1" w14:textId="77777777" w:rsidR="00047B00" w:rsidRDefault="00047B00" w:rsidP="002229D1">
      <w:pPr>
        <w:spacing w:line="480" w:lineRule="auto"/>
      </w:pPr>
    </w:p>
    <w:p w14:paraId="055C495A" w14:textId="4CC0C7FA" w:rsidR="00047B00" w:rsidRPr="00BB0CB5" w:rsidRDefault="00047B00" w:rsidP="002229D1">
      <w:pPr>
        <w:spacing w:line="480" w:lineRule="auto"/>
        <w:rPr>
          <w:b/>
          <w:bCs/>
        </w:rPr>
      </w:pPr>
      <w:r w:rsidRPr="00BB0CB5">
        <w:rPr>
          <w:b/>
          <w:bCs/>
        </w:rPr>
        <w:t>Methods</w:t>
      </w:r>
    </w:p>
    <w:p w14:paraId="23C69988" w14:textId="7D229511" w:rsidR="00047B00" w:rsidRDefault="00514878" w:rsidP="002229D1">
      <w:pPr>
        <w:spacing w:line="480" w:lineRule="auto"/>
      </w:pPr>
      <w:r>
        <w:t xml:space="preserve">This study employed a cross-sectional </w:t>
      </w:r>
      <w:r w:rsidR="005951D3">
        <w:t xml:space="preserve">online </w:t>
      </w:r>
      <w:r>
        <w:t>survey design</w:t>
      </w:r>
      <w:r w:rsidR="00763EC2">
        <w:t>,</w:t>
      </w:r>
      <w:r>
        <w:t xml:space="preserve"> targeting</w:t>
      </w:r>
      <w:r w:rsidR="00047B00">
        <w:t xml:space="preserve"> </w:t>
      </w:r>
      <w:r w:rsidR="009B5787">
        <w:t xml:space="preserve">individuals </w:t>
      </w:r>
      <w:r w:rsidR="00047B00">
        <w:t>16</w:t>
      </w:r>
      <w:r w:rsidR="002179DD">
        <w:t>+</w:t>
      </w:r>
      <w:r w:rsidR="00047B00">
        <w:t xml:space="preserve"> year</w:t>
      </w:r>
      <w:r w:rsidR="009B5787">
        <w:t>s</w:t>
      </w:r>
      <w:r w:rsidR="009A2B71">
        <w:t xml:space="preserve"> </w:t>
      </w:r>
      <w:r w:rsidR="00D14BCB">
        <w:t xml:space="preserve">old </w:t>
      </w:r>
      <w:r w:rsidR="009B5787">
        <w:t>within</w:t>
      </w:r>
      <w:r w:rsidR="00047B00">
        <w:t xml:space="preserve"> Liverpool City Region, UK. </w:t>
      </w:r>
      <w:r w:rsidR="009B5787">
        <w:t>Information sought included</w:t>
      </w:r>
      <w:r w:rsidR="00047B00">
        <w:t xml:space="preserve"> </w:t>
      </w:r>
      <w:r w:rsidR="008404F2">
        <w:t>demographics, comfortability</w:t>
      </w:r>
      <w:r w:rsidR="00047B00">
        <w:t xml:space="preserve"> of reporting illness and </w:t>
      </w:r>
      <w:r w:rsidR="009B5787">
        <w:t>IID</w:t>
      </w:r>
      <w:r w:rsidR="00047B00">
        <w:t xml:space="preserve"> symptoms</w:t>
      </w:r>
      <w:r w:rsidR="009B5787">
        <w:t>,</w:t>
      </w:r>
      <w:r w:rsidR="00047B00">
        <w:t xml:space="preserve"> </w:t>
      </w:r>
      <w:r w:rsidR="009B5787">
        <w:t xml:space="preserve">willingness to </w:t>
      </w:r>
      <w:r w:rsidR="00047B00">
        <w:t xml:space="preserve">provide stool, </w:t>
      </w:r>
      <w:r w:rsidR="009B5787">
        <w:t xml:space="preserve">and </w:t>
      </w:r>
      <w:r w:rsidR="00047B00">
        <w:t>favoured stool</w:t>
      </w:r>
      <w:r w:rsidR="00190D28">
        <w:t>-</w:t>
      </w:r>
      <w:r w:rsidR="00047B00">
        <w:t>provision method</w:t>
      </w:r>
      <w:r w:rsidR="009B5787">
        <w:t>.</w:t>
      </w:r>
      <w:r w:rsidR="00047B00">
        <w:t xml:space="preserve"> </w:t>
      </w:r>
      <w:r w:rsidR="003626CA">
        <w:t>U</w:t>
      </w:r>
      <w:r w:rsidR="00047B00">
        <w:t>nivariable logistic regression</w:t>
      </w:r>
      <w:r w:rsidR="001920CE">
        <w:t xml:space="preserve"> was used</w:t>
      </w:r>
      <w:r w:rsidR="00047B00">
        <w:t xml:space="preserve"> to </w:t>
      </w:r>
      <w:r w:rsidR="00600836">
        <w:t>examine associations between</w:t>
      </w:r>
      <w:r w:rsidR="00047B00">
        <w:t xml:space="preserve"> demographic variables </w:t>
      </w:r>
      <w:r w:rsidR="00600836">
        <w:t xml:space="preserve">and </w:t>
      </w:r>
      <w:r w:rsidR="00047B00">
        <w:t>providing a stool sample</w:t>
      </w:r>
      <w:r w:rsidR="00474611">
        <w:t>. Odds ratios (OR) and associated 95% confidence intervals (CIs) were produced</w:t>
      </w:r>
      <w:r w:rsidR="00047B00">
        <w:t>.</w:t>
      </w:r>
    </w:p>
    <w:p w14:paraId="14FCB6FF" w14:textId="77777777" w:rsidR="00047B00" w:rsidRDefault="00047B00" w:rsidP="002229D1">
      <w:pPr>
        <w:spacing w:line="480" w:lineRule="auto"/>
      </w:pPr>
    </w:p>
    <w:p w14:paraId="3E051E24" w14:textId="1AC49BBD" w:rsidR="00047B00" w:rsidRPr="00CB5F6F" w:rsidRDefault="00047B00" w:rsidP="002229D1">
      <w:pPr>
        <w:spacing w:line="480" w:lineRule="auto"/>
        <w:rPr>
          <w:b/>
          <w:bCs/>
        </w:rPr>
      </w:pPr>
      <w:r w:rsidRPr="00CB5F6F">
        <w:rPr>
          <w:b/>
          <w:bCs/>
        </w:rPr>
        <w:t>Results</w:t>
      </w:r>
    </w:p>
    <w:p w14:paraId="502827C7" w14:textId="0470E1D4" w:rsidR="00047B00" w:rsidRDefault="009B5787" w:rsidP="002229D1">
      <w:pPr>
        <w:spacing w:line="480" w:lineRule="auto"/>
      </w:pPr>
      <w:r>
        <w:t>A total of 174 eligible participants completed the survey</w:t>
      </w:r>
      <w:r w:rsidR="002179DD">
        <w:t>,</w:t>
      </w:r>
      <w:r w:rsidR="00591B11">
        <w:t xml:space="preserve"> with </w:t>
      </w:r>
      <w:r w:rsidR="00047B00">
        <w:t>69% female</w:t>
      </w:r>
      <w:r w:rsidR="0044771C">
        <w:t xml:space="preserve">. </w:t>
      </w:r>
      <w:r w:rsidR="00763EC2">
        <w:t xml:space="preserve">The </w:t>
      </w:r>
      <w:r w:rsidR="00047B00">
        <w:t>sample was skewed towards younger</w:t>
      </w:r>
      <w:r w:rsidR="001224E7">
        <w:t xml:space="preserve"> populations, with 2.9% </w:t>
      </w:r>
      <w:r w:rsidR="00763EC2">
        <w:t xml:space="preserve">aged </w:t>
      </w:r>
      <w:r w:rsidR="001224E7">
        <w:t>65</w:t>
      </w:r>
      <w:r w:rsidR="00763EC2">
        <w:t>+</w:t>
      </w:r>
      <w:r w:rsidR="001224E7">
        <w:t xml:space="preserve"> years</w:t>
      </w:r>
      <w:r w:rsidR="00047B00">
        <w:t>. Nearly a third (29%) had a household income of less than £30,000 per annum</w:t>
      </w:r>
      <w:r w:rsidR="00591B11">
        <w:t xml:space="preserve"> and </w:t>
      </w:r>
      <w:r w:rsidR="00047B00">
        <w:t>70% had attained a degree or higher. The major</w:t>
      </w:r>
      <w:r w:rsidR="00047B00" w:rsidRPr="001C2679">
        <w:t>ity identified as White British (81%)</w:t>
      </w:r>
      <w:r w:rsidR="00047B00">
        <w:t xml:space="preserve"> and</w:t>
      </w:r>
      <w:r w:rsidR="00047B00" w:rsidRPr="001C2679">
        <w:t xml:space="preserve"> 11%</w:t>
      </w:r>
      <w:r w:rsidR="00047B00">
        <w:t xml:space="preserve"> identified </w:t>
      </w:r>
      <w:r w:rsidR="00782255">
        <w:t xml:space="preserve">as ethnicities </w:t>
      </w:r>
      <w:r w:rsidR="00D14BCB">
        <w:t>typically grouped</w:t>
      </w:r>
      <w:r w:rsidR="00047B00" w:rsidRPr="001C2679">
        <w:t xml:space="preserve"> </w:t>
      </w:r>
      <w:r w:rsidR="00047B00" w:rsidRPr="00D4418D">
        <w:t>Black, Asian and minority ethnic</w:t>
      </w:r>
      <w:r w:rsidR="00047B00">
        <w:t xml:space="preserve"> (</w:t>
      </w:r>
      <w:r w:rsidR="00047B00" w:rsidRPr="001C2679">
        <w:t>BAME</w:t>
      </w:r>
      <w:r w:rsidR="00047B00">
        <w:t>).</w:t>
      </w:r>
      <w:r w:rsidR="00814422">
        <w:t xml:space="preserve"> </w:t>
      </w:r>
      <w:r w:rsidR="00047B00">
        <w:t xml:space="preserve">Three quarters of </w:t>
      </w:r>
      <w:r w:rsidR="00BA4C7D">
        <w:t>participants</w:t>
      </w:r>
      <w:r w:rsidR="00047B00">
        <w:t xml:space="preserve"> were either </w:t>
      </w:r>
      <w:r w:rsidR="008C4529">
        <w:t>‘</w:t>
      </w:r>
      <w:r w:rsidR="00047B00">
        <w:t>Comfortable</w:t>
      </w:r>
      <w:r w:rsidR="008C4529">
        <w:t>’</w:t>
      </w:r>
      <w:r w:rsidR="00047B00">
        <w:t xml:space="preserve"> or </w:t>
      </w:r>
      <w:r w:rsidR="008C4529">
        <w:t>‘</w:t>
      </w:r>
      <w:r w:rsidR="00047B00">
        <w:t>Very Comfortable</w:t>
      </w:r>
      <w:r w:rsidR="008C4529">
        <w:t>’</w:t>
      </w:r>
      <w:r w:rsidR="00047B00">
        <w:t xml:space="preserve"> with reporting illness (75%) and with answering symptom-related questions (79%)</w:t>
      </w:r>
      <w:r w:rsidR="00591B11">
        <w:t xml:space="preserve">; </w:t>
      </w:r>
      <w:r w:rsidR="00047B00">
        <w:t xml:space="preserve">78% </w:t>
      </w:r>
      <w:r w:rsidR="0044771C">
        <w:t>reported that</w:t>
      </w:r>
      <w:r w:rsidR="00047B00">
        <w:t xml:space="preserve"> they</w:t>
      </w:r>
      <w:r w:rsidR="002179DD">
        <w:t xml:space="preserve"> would</w:t>
      </w:r>
      <w:r w:rsidR="00047B00">
        <w:t xml:space="preserve"> provide a stool </w:t>
      </w:r>
      <w:r w:rsidR="00047B00">
        <w:lastRenderedPageBreak/>
        <w:t>sample</w:t>
      </w:r>
      <w:r w:rsidR="0044771C">
        <w:t>.</w:t>
      </w:r>
      <w:r w:rsidR="00047B00">
        <w:t xml:space="preserve"> Upon univariable analysis, </w:t>
      </w:r>
      <w:r w:rsidR="0044771C">
        <w:t>increasing age</w:t>
      </w:r>
      <w:r w:rsidR="001224E7">
        <w:t xml:space="preserve"> – being 55+</w:t>
      </w:r>
      <w:r w:rsidR="00812C9A">
        <w:t xml:space="preserve"> (OR</w:t>
      </w:r>
      <w:r w:rsidR="00474611">
        <w:t xml:space="preserve"> </w:t>
      </w:r>
      <w:r w:rsidR="001224E7" w:rsidRPr="001224E7">
        <w:t>6.28</w:t>
      </w:r>
      <w:r w:rsidR="00782255">
        <w:t>,</w:t>
      </w:r>
      <w:r w:rsidR="001224E7">
        <w:t xml:space="preserve"> </w:t>
      </w:r>
      <w:r w:rsidR="007D015E">
        <w:t xml:space="preserve">95% </w:t>
      </w:r>
      <w:r w:rsidR="001224E7">
        <w:t xml:space="preserve">CI </w:t>
      </w:r>
      <w:r w:rsidR="001224E7" w:rsidRPr="001224E7">
        <w:t>1.15-117.48</w:t>
      </w:r>
      <w:r w:rsidR="00812C9A">
        <w:t>)</w:t>
      </w:r>
      <w:r w:rsidR="00AA0EE5">
        <w:t>,</w:t>
      </w:r>
      <w:r w:rsidR="00047B00" w:rsidRPr="003A19B7">
        <w:t xml:space="preserve"> </w:t>
      </w:r>
      <w:r w:rsidR="00F04C14">
        <w:t xml:space="preserve">and </w:t>
      </w:r>
      <w:r w:rsidR="00047B00" w:rsidRPr="003A19B7">
        <w:t>lower</w:t>
      </w:r>
      <w:r w:rsidR="00812C9A">
        <w:t xml:space="preserve"> </w:t>
      </w:r>
      <w:r w:rsidR="00047B00" w:rsidRPr="003A19B7">
        <w:t>income</w:t>
      </w:r>
      <w:r w:rsidR="007B74A9">
        <w:t xml:space="preserve"> (OR </w:t>
      </w:r>
      <w:r w:rsidR="007B74A9" w:rsidRPr="001224E7">
        <w:t>2</w:t>
      </w:r>
      <w:r w:rsidR="007B74A9">
        <w:t xml:space="preserve">.5, 95% CI </w:t>
      </w:r>
      <w:r w:rsidR="007B74A9" w:rsidRPr="001224E7">
        <w:t>1.02-6.6</w:t>
      </w:r>
      <w:r w:rsidR="007B74A9">
        <w:t>0)</w:t>
      </w:r>
      <w:r w:rsidR="00AA0EE5">
        <w:t xml:space="preserve">, </w:t>
      </w:r>
      <w:r w:rsidR="00047B00" w:rsidRPr="003A19B7">
        <w:t xml:space="preserve">was associated with </w:t>
      </w:r>
      <w:r w:rsidR="00573A64">
        <w:t xml:space="preserve">willingness to </w:t>
      </w:r>
      <w:r w:rsidR="00047B00" w:rsidRPr="003A19B7">
        <w:t>provid</w:t>
      </w:r>
      <w:r w:rsidR="00573A64">
        <w:t>e</w:t>
      </w:r>
      <w:r w:rsidR="00047B00" w:rsidRPr="003A19B7">
        <w:t xml:space="preserve"> a stool sample</w:t>
      </w:r>
      <w:r w:rsidR="00047B00">
        <w:t xml:space="preserve">. Additionally, </w:t>
      </w:r>
      <w:r w:rsidR="008B6167">
        <w:t>respondents</w:t>
      </w:r>
      <w:r w:rsidR="008B6167" w:rsidRPr="00E861FB">
        <w:t xml:space="preserve"> </w:t>
      </w:r>
      <w:r w:rsidR="00047B00">
        <w:t>identifying as</w:t>
      </w:r>
      <w:r w:rsidR="00234D2E">
        <w:t xml:space="preserve"> BAME</w:t>
      </w:r>
      <w:r w:rsidR="00047B00">
        <w:t xml:space="preserve"> ethnicities </w:t>
      </w:r>
      <w:r w:rsidR="00F04C14">
        <w:t xml:space="preserve">and men </w:t>
      </w:r>
      <w:r w:rsidR="00047B00" w:rsidRPr="00E861FB">
        <w:t>may be less inclined to provide a stool sample</w:t>
      </w:r>
      <w:r w:rsidR="00047B00">
        <w:t>.</w:t>
      </w:r>
    </w:p>
    <w:p w14:paraId="2F8AEFDD" w14:textId="77777777" w:rsidR="00047B00" w:rsidRDefault="00047B00" w:rsidP="002229D1">
      <w:pPr>
        <w:spacing w:line="480" w:lineRule="auto"/>
      </w:pPr>
    </w:p>
    <w:p w14:paraId="0020B15A" w14:textId="0FBEB105" w:rsidR="00047B00" w:rsidRPr="003A19B7" w:rsidRDefault="00D76CD0" w:rsidP="002229D1">
      <w:pPr>
        <w:spacing w:line="480" w:lineRule="auto"/>
        <w:rPr>
          <w:b/>
          <w:bCs/>
        </w:rPr>
      </w:pPr>
      <w:r>
        <w:rPr>
          <w:b/>
          <w:bCs/>
        </w:rPr>
        <w:t>Conclusions</w:t>
      </w:r>
    </w:p>
    <w:p w14:paraId="014088CA" w14:textId="00F1EA3F" w:rsidR="00047B00" w:rsidRPr="001C2679" w:rsidRDefault="00047B00" w:rsidP="00EE07B7">
      <w:pPr>
        <w:spacing w:line="480" w:lineRule="auto"/>
      </w:pPr>
      <w:r w:rsidRPr="003A19B7">
        <w:t xml:space="preserve">This </w:t>
      </w:r>
      <w:r w:rsidR="00632EAA">
        <w:t xml:space="preserve">pilot </w:t>
      </w:r>
      <w:r w:rsidRPr="003A19B7">
        <w:t>stud</w:t>
      </w:r>
      <w:r w:rsidR="00591B11">
        <w:t>y</w:t>
      </w:r>
      <w:r w:rsidRPr="003A19B7">
        <w:t xml:space="preserve"> assess</w:t>
      </w:r>
      <w:r w:rsidR="00591B11">
        <w:t>ed the</w:t>
      </w:r>
      <w:r w:rsidRPr="003A19B7">
        <w:t xml:space="preserve"> acceptability of technology-mediated platforms for reporting </w:t>
      </w:r>
      <w:r w:rsidR="008919B0">
        <w:t>IID</w:t>
      </w:r>
      <w:r w:rsidR="008919B0" w:rsidRPr="003A19B7">
        <w:t xml:space="preserve"> </w:t>
      </w:r>
      <w:r w:rsidRPr="003A19B7">
        <w:t xml:space="preserve">and provision of stool samples in the community. </w:t>
      </w:r>
      <w:r w:rsidR="007A2773">
        <w:t xml:space="preserve">Respondents were biased towards </w:t>
      </w:r>
      <w:r w:rsidR="007A2773" w:rsidRPr="003A19B7">
        <w:t>younger, technologically inclined, more affluent and educated populations.</w:t>
      </w:r>
      <w:r w:rsidR="007A2773">
        <w:t xml:space="preserve"> </w:t>
      </w:r>
      <w:r w:rsidR="00B91086">
        <w:t>A</w:t>
      </w:r>
      <w:r w:rsidR="00EE07B7">
        <w:t>cceptability for reporting illness and provid</w:t>
      </w:r>
      <w:r w:rsidR="00B91BCB">
        <w:t>ing</w:t>
      </w:r>
      <w:r w:rsidR="00EE07B7">
        <w:t xml:space="preserve"> </w:t>
      </w:r>
      <w:r w:rsidR="00190D28">
        <w:t xml:space="preserve">a </w:t>
      </w:r>
      <w:r w:rsidR="00EE07B7">
        <w:t xml:space="preserve">stool sample through technology-mediated platforms </w:t>
      </w:r>
      <w:r w:rsidR="00190D28">
        <w:t xml:space="preserve">was </w:t>
      </w:r>
      <w:r w:rsidR="00EE07B7">
        <w:t>high</w:t>
      </w:r>
      <w:r w:rsidRPr="003A19B7">
        <w:t>.</w:t>
      </w:r>
      <w:r>
        <w:t xml:space="preserve"> </w:t>
      </w:r>
      <w:r w:rsidR="007A2773">
        <w:t>While</w:t>
      </w:r>
      <w:r>
        <w:t xml:space="preserve"> o</w:t>
      </w:r>
      <w:r w:rsidRPr="003A19B7">
        <w:t xml:space="preserve">lder populations were </w:t>
      </w:r>
      <w:r w:rsidR="007A2773">
        <w:t xml:space="preserve">under-represented, they were </w:t>
      </w:r>
      <w:r w:rsidRPr="003A19B7">
        <w:t xml:space="preserve">more likely to </w:t>
      </w:r>
      <w:r w:rsidR="00573A64">
        <w:t xml:space="preserve">agree to </w:t>
      </w:r>
      <w:r w:rsidRPr="003A19B7">
        <w:t xml:space="preserve">provide a </w:t>
      </w:r>
      <w:r>
        <w:t xml:space="preserve">stool </w:t>
      </w:r>
      <w:r w:rsidRPr="003A19B7">
        <w:t>sample</w:t>
      </w:r>
      <w:r w:rsidR="007A2773">
        <w:t>.</w:t>
      </w:r>
      <w:r w:rsidRPr="003A19B7">
        <w:t xml:space="preserve"> </w:t>
      </w:r>
      <w:r w:rsidR="007A2773">
        <w:t>Qualitative research is required to better reach</w:t>
      </w:r>
      <w:r>
        <w:t xml:space="preserve"> </w:t>
      </w:r>
      <w:r w:rsidRPr="003A19B7">
        <w:t>older and more deprived populations</w:t>
      </w:r>
      <w:r w:rsidR="001B04BE">
        <w:t>, and to understand potential age</w:t>
      </w:r>
      <w:r w:rsidR="00B91BCB">
        <w:t>, gender</w:t>
      </w:r>
      <w:r w:rsidR="001B04BE">
        <w:t xml:space="preserve"> and ethnic differences in compliance with stool sampling</w:t>
      </w:r>
      <w:r w:rsidR="00006322">
        <w:t>.</w:t>
      </w:r>
      <w:r>
        <w:t xml:space="preserve"> </w:t>
      </w:r>
    </w:p>
    <w:p w14:paraId="0D9555B1" w14:textId="215F64C4" w:rsidR="000B1A3F" w:rsidRPr="000B1A3F" w:rsidRDefault="000B1A3F" w:rsidP="002229D1">
      <w:pPr>
        <w:spacing w:line="480" w:lineRule="auto"/>
      </w:pPr>
    </w:p>
    <w:p w14:paraId="5721F560" w14:textId="6EFCA380" w:rsidR="00C268E2" w:rsidRDefault="002229D1" w:rsidP="002229D1">
      <w:pPr>
        <w:spacing w:line="480" w:lineRule="auto"/>
        <w:rPr>
          <w:b/>
          <w:bCs/>
        </w:rPr>
      </w:pPr>
      <w:r w:rsidRPr="002229D1">
        <w:rPr>
          <w:b/>
          <w:bCs/>
        </w:rPr>
        <w:t>Keywords</w:t>
      </w:r>
      <w:r>
        <w:rPr>
          <w:b/>
          <w:bCs/>
        </w:rPr>
        <w:t xml:space="preserve">: </w:t>
      </w:r>
      <w:r w:rsidRPr="002229D1">
        <w:rPr>
          <w:bCs/>
        </w:rPr>
        <w:t>gastrointestinal disease, diarrhoea</w:t>
      </w:r>
      <w:r>
        <w:rPr>
          <w:bCs/>
        </w:rPr>
        <w:t xml:space="preserve"> and vomiting</w:t>
      </w:r>
      <w:r w:rsidRPr="002229D1">
        <w:rPr>
          <w:bCs/>
        </w:rPr>
        <w:t xml:space="preserve">, surveillance, application, smartphone, </w:t>
      </w:r>
      <w:r w:rsidR="00F7590B">
        <w:rPr>
          <w:bCs/>
        </w:rPr>
        <w:t>patient and public</w:t>
      </w:r>
      <w:r w:rsidR="00190D28">
        <w:rPr>
          <w:bCs/>
        </w:rPr>
        <w:t xml:space="preserve"> </w:t>
      </w:r>
      <w:r w:rsidRPr="002229D1">
        <w:rPr>
          <w:bCs/>
        </w:rPr>
        <w:t>engagement</w:t>
      </w:r>
      <w:r>
        <w:rPr>
          <w:bCs/>
        </w:rPr>
        <w:t>, survey</w:t>
      </w:r>
      <w:r w:rsidR="00F7590B">
        <w:rPr>
          <w:bCs/>
        </w:rPr>
        <w:t>, telehealth, self-reporting, community</w:t>
      </w:r>
    </w:p>
    <w:p w14:paraId="48148968" w14:textId="15BF7697" w:rsidR="002229D1" w:rsidRDefault="002229D1" w:rsidP="002229D1">
      <w:pPr>
        <w:spacing w:line="480" w:lineRule="auto"/>
        <w:rPr>
          <w:b/>
          <w:bCs/>
        </w:rPr>
      </w:pPr>
      <w:r>
        <w:rPr>
          <w:b/>
          <w:bCs/>
        </w:rPr>
        <w:br w:type="page"/>
      </w:r>
    </w:p>
    <w:p w14:paraId="5F60CBDA" w14:textId="6D195178" w:rsidR="00703235" w:rsidRPr="002229D1" w:rsidRDefault="000271E9" w:rsidP="002229D1">
      <w:pPr>
        <w:spacing w:line="480" w:lineRule="auto"/>
        <w:rPr>
          <w:b/>
          <w:bCs/>
          <w:u w:val="single"/>
        </w:rPr>
      </w:pPr>
      <w:r>
        <w:rPr>
          <w:b/>
          <w:bCs/>
          <w:u w:val="single"/>
        </w:rPr>
        <w:lastRenderedPageBreak/>
        <w:t>Background</w:t>
      </w:r>
    </w:p>
    <w:p w14:paraId="6C419B6D" w14:textId="7CFDACF0" w:rsidR="00ED1CE7" w:rsidRDefault="00703235" w:rsidP="002229D1">
      <w:pPr>
        <w:spacing w:line="480" w:lineRule="auto"/>
      </w:pPr>
      <w:r>
        <w:t xml:space="preserve">Infectious </w:t>
      </w:r>
      <w:r w:rsidR="00782255">
        <w:t>i</w:t>
      </w:r>
      <w:r>
        <w:t xml:space="preserve">ntestinal </w:t>
      </w:r>
      <w:r w:rsidR="00782255">
        <w:t>d</w:t>
      </w:r>
      <w:r>
        <w:t xml:space="preserve">isease (IID) is a </w:t>
      </w:r>
      <w:r w:rsidR="00B13465">
        <w:t xml:space="preserve">major cause of morbidity among </w:t>
      </w:r>
      <w:r>
        <w:t xml:space="preserve">populations worldwide. According to the second Infectious Intestinal Disease (IID2) study (1), approximately 25% of the UK population suffer an episode of IID (diarrhoea and/or vomiting) each year – equivalent to 17 million cases annually. The IID2 study, the most recent comprehensive analysis of IID in the UK community, also identified that around 50% of people with IID reported absence from school or work, equating to nearly 11 million days lost among people of working age. </w:t>
      </w:r>
      <w:r w:rsidR="00974B54">
        <w:t>Previous studies</w:t>
      </w:r>
      <w:r w:rsidR="00553B5D">
        <w:t xml:space="preserve"> in the UK</w:t>
      </w:r>
      <w:r w:rsidR="00974B54">
        <w:t xml:space="preserve"> </w:t>
      </w:r>
      <w:r w:rsidR="00974B54" w:rsidRPr="0028083A">
        <w:t xml:space="preserve">identified </w:t>
      </w:r>
      <w:r w:rsidR="002179DD" w:rsidRPr="00146121">
        <w:rPr>
          <w:iCs/>
        </w:rPr>
        <w:t>n</w:t>
      </w:r>
      <w:r w:rsidR="0028083A" w:rsidRPr="00146121">
        <w:rPr>
          <w:iCs/>
        </w:rPr>
        <w:t>or</w:t>
      </w:r>
      <w:r w:rsidR="002179DD">
        <w:rPr>
          <w:iCs/>
        </w:rPr>
        <w:t>o</w:t>
      </w:r>
      <w:r w:rsidR="0028083A" w:rsidRPr="00146121">
        <w:rPr>
          <w:iCs/>
        </w:rPr>
        <w:t>virus</w:t>
      </w:r>
      <w:r w:rsidR="00ED1CE7" w:rsidRPr="00146121">
        <w:rPr>
          <w:iCs/>
        </w:rPr>
        <w:t xml:space="preserve">, </w:t>
      </w:r>
      <w:r w:rsidR="002179DD" w:rsidRPr="00146121">
        <w:rPr>
          <w:iCs/>
        </w:rPr>
        <w:t>r</w:t>
      </w:r>
      <w:r w:rsidR="0028083A" w:rsidRPr="00146121">
        <w:rPr>
          <w:iCs/>
        </w:rPr>
        <w:t>otavirus</w:t>
      </w:r>
      <w:r w:rsidR="00ED1CE7" w:rsidRPr="00146121">
        <w:rPr>
          <w:iCs/>
        </w:rPr>
        <w:t xml:space="preserve">, </w:t>
      </w:r>
      <w:r w:rsidR="002179DD" w:rsidRPr="00146121">
        <w:rPr>
          <w:iCs/>
        </w:rPr>
        <w:t>s</w:t>
      </w:r>
      <w:r w:rsidR="0028083A" w:rsidRPr="00146121">
        <w:rPr>
          <w:iCs/>
        </w:rPr>
        <w:t>apovirus</w:t>
      </w:r>
      <w:r w:rsidR="00ED1CE7" w:rsidRPr="0028083A">
        <w:rPr>
          <w:i/>
          <w:iCs/>
        </w:rPr>
        <w:t>,</w:t>
      </w:r>
      <w:r w:rsidR="00ED1CE7">
        <w:t xml:space="preserve"> </w:t>
      </w:r>
      <w:r w:rsidR="00553B5D">
        <w:t xml:space="preserve">and </w:t>
      </w:r>
      <w:r w:rsidR="00ED1CE7" w:rsidRPr="00FD36A1">
        <w:rPr>
          <w:i/>
        </w:rPr>
        <w:t>Campylobacter</w:t>
      </w:r>
      <w:r w:rsidR="00ED1CE7" w:rsidRPr="00FD36A1">
        <w:t xml:space="preserve"> (</w:t>
      </w:r>
      <w:r w:rsidR="0028083A">
        <w:t xml:space="preserve">1, </w:t>
      </w:r>
      <w:hyperlink r:id="rId8" w:tgtFrame="_blank" w:history="1">
        <w:r w:rsidR="00974B54" w:rsidRPr="00FD36A1">
          <w:rPr>
            <w:rStyle w:val="text"/>
            <w:lang w:val="en"/>
          </w:rPr>
          <w:t>2</w:t>
        </w:r>
      </w:hyperlink>
      <w:r w:rsidR="00ED1CE7" w:rsidRPr="00FD36A1">
        <w:rPr>
          <w:rStyle w:val="text"/>
          <w:lang w:val="en"/>
        </w:rPr>
        <w:t>)</w:t>
      </w:r>
      <w:r w:rsidR="00553B5D" w:rsidRPr="00FD36A1">
        <w:rPr>
          <w:rStyle w:val="text"/>
          <w:lang w:val="en"/>
        </w:rPr>
        <w:t xml:space="preserve"> as the</w:t>
      </w:r>
      <w:r w:rsidR="00D14BCB">
        <w:rPr>
          <w:rStyle w:val="text"/>
          <w:u w:val="single"/>
          <w:lang w:val="en"/>
        </w:rPr>
        <w:t xml:space="preserve"> </w:t>
      </w:r>
      <w:r w:rsidR="00553B5D">
        <w:t>most common pathogen</w:t>
      </w:r>
      <w:r w:rsidR="00FD36A1">
        <w:t>s responsible for community IID</w:t>
      </w:r>
      <w:r w:rsidR="00733C5F" w:rsidRPr="006F0DFA">
        <w:t>;</w:t>
      </w:r>
      <w:r w:rsidR="00553B5D" w:rsidRPr="006F0DFA">
        <w:rPr>
          <w:rStyle w:val="text"/>
          <w:lang w:val="en"/>
        </w:rPr>
        <w:t xml:space="preserve"> </w:t>
      </w:r>
      <w:r w:rsidR="00733C5F" w:rsidRPr="006F0DFA">
        <w:rPr>
          <w:rStyle w:val="text"/>
          <w:lang w:val="en"/>
        </w:rPr>
        <w:t xml:space="preserve">although, </w:t>
      </w:r>
      <w:r w:rsidR="00733C5F" w:rsidRPr="006F0DFA">
        <w:rPr>
          <w:rStyle w:val="text"/>
          <w:iCs/>
          <w:lang w:val="en"/>
        </w:rPr>
        <w:t>r</w:t>
      </w:r>
      <w:r w:rsidR="00ED1CE7" w:rsidRPr="006F0DFA">
        <w:rPr>
          <w:rStyle w:val="text"/>
          <w:iCs/>
          <w:lang w:val="en"/>
        </w:rPr>
        <w:t>otavirus</w:t>
      </w:r>
      <w:r w:rsidR="00ED1CE7" w:rsidRPr="002179DD">
        <w:rPr>
          <w:rStyle w:val="text"/>
          <w:lang w:val="en"/>
        </w:rPr>
        <w:t xml:space="preserve"> prevalence</w:t>
      </w:r>
      <w:r w:rsidR="00ED1CE7" w:rsidRPr="00FD36A1">
        <w:rPr>
          <w:rStyle w:val="text"/>
          <w:lang w:val="en"/>
        </w:rPr>
        <w:t xml:space="preserve"> has</w:t>
      </w:r>
      <w:r w:rsidR="00733C5F">
        <w:rPr>
          <w:rStyle w:val="text"/>
          <w:lang w:val="en"/>
        </w:rPr>
        <w:t xml:space="preserve"> </w:t>
      </w:r>
      <w:r w:rsidR="00ED1CE7" w:rsidRPr="00FD36A1">
        <w:rPr>
          <w:rStyle w:val="text"/>
          <w:lang w:val="en"/>
        </w:rPr>
        <w:t xml:space="preserve">dramatically reduced since the introduction of the </w:t>
      </w:r>
      <w:r w:rsidR="00553B5D" w:rsidRPr="00FD36A1">
        <w:rPr>
          <w:rStyle w:val="text"/>
          <w:lang w:val="en"/>
        </w:rPr>
        <w:t>r</w:t>
      </w:r>
      <w:r w:rsidR="00ED1CE7" w:rsidRPr="00FD36A1">
        <w:rPr>
          <w:rStyle w:val="text"/>
          <w:lang w:val="en"/>
        </w:rPr>
        <w:t>otavirus vaccin</w:t>
      </w:r>
      <w:r w:rsidR="00FD36A1" w:rsidRPr="00FD36A1">
        <w:rPr>
          <w:rStyle w:val="text"/>
          <w:lang w:val="en"/>
        </w:rPr>
        <w:t>ation in 2013</w:t>
      </w:r>
      <w:r w:rsidR="00ED1CE7" w:rsidRPr="00FD36A1">
        <w:rPr>
          <w:rStyle w:val="text"/>
          <w:lang w:val="en"/>
        </w:rPr>
        <w:t xml:space="preserve"> (</w:t>
      </w:r>
      <w:r w:rsidR="00974B54" w:rsidRPr="00FD36A1">
        <w:rPr>
          <w:rStyle w:val="text"/>
          <w:lang w:val="en"/>
        </w:rPr>
        <w:t>3</w:t>
      </w:r>
      <w:r w:rsidR="00ED1CE7" w:rsidRPr="00FD36A1">
        <w:rPr>
          <w:rStyle w:val="text"/>
          <w:lang w:val="en"/>
        </w:rPr>
        <w:t>)</w:t>
      </w:r>
      <w:r w:rsidR="00974B54" w:rsidRPr="00FD36A1">
        <w:rPr>
          <w:rStyle w:val="text"/>
          <w:lang w:val="en"/>
        </w:rPr>
        <w:t>.</w:t>
      </w:r>
    </w:p>
    <w:p w14:paraId="0C41E747" w14:textId="77777777" w:rsidR="00703235" w:rsidRDefault="00703235" w:rsidP="002229D1">
      <w:pPr>
        <w:spacing w:line="480" w:lineRule="auto"/>
      </w:pPr>
    </w:p>
    <w:p w14:paraId="57524EEE" w14:textId="4ACF7F0E" w:rsidR="00703235" w:rsidRDefault="00703235" w:rsidP="002229D1">
      <w:pPr>
        <w:spacing w:line="480" w:lineRule="auto"/>
      </w:pPr>
      <w:r>
        <w:t>Despite the ubiquitous community presence of IID, our understanding of the micro</w:t>
      </w:r>
      <w:r w:rsidR="00B74186">
        <w:t>organisms</w:t>
      </w:r>
      <w:r w:rsidR="004001F5">
        <w:t xml:space="preserve"> </w:t>
      </w:r>
      <w:r>
        <w:t xml:space="preserve">responsible for these symptoms is </w:t>
      </w:r>
      <w:r w:rsidR="00197F5E">
        <w:t>comparatively limited</w:t>
      </w:r>
      <w:r>
        <w:t xml:space="preserve">. </w:t>
      </w:r>
      <w:r w:rsidR="00B74186">
        <w:t>A</w:t>
      </w:r>
      <w:r>
        <w:t xml:space="preserve"> quarter of the population suffer with </w:t>
      </w:r>
      <w:r w:rsidR="00B13465">
        <w:t>IID</w:t>
      </w:r>
      <w:r>
        <w:t xml:space="preserve"> symptoms each year,</w:t>
      </w:r>
      <w:r w:rsidR="00B74186">
        <w:t xml:space="preserve"> </w:t>
      </w:r>
      <w:r w:rsidR="006B4EEA">
        <w:t>but only</w:t>
      </w:r>
      <w:r>
        <w:t xml:space="preserve"> 2% </w:t>
      </w:r>
      <w:r w:rsidR="00B74186">
        <w:t xml:space="preserve">of the cases </w:t>
      </w:r>
      <w:r>
        <w:t>present</w:t>
      </w:r>
      <w:r w:rsidR="00B74186">
        <w:t xml:space="preserve"> </w:t>
      </w:r>
      <w:r>
        <w:t xml:space="preserve">to primary care (1), and fewer still are reported to national surveillance programmes. Therefore, </w:t>
      </w:r>
      <w:r w:rsidR="00B13465">
        <w:t xml:space="preserve">faecal </w:t>
      </w:r>
      <w:r>
        <w:t>samp</w:t>
      </w:r>
      <w:r w:rsidR="00B13465">
        <w:t xml:space="preserve">les are obtained </w:t>
      </w:r>
      <w:r w:rsidR="00197F5E">
        <w:t>from a</w:t>
      </w:r>
      <w:r>
        <w:t xml:space="preserve"> minority of those with disease</w:t>
      </w:r>
      <w:r w:rsidR="00BE4B65">
        <w:t xml:space="preserve"> and are typically not representative of communities or populations</w:t>
      </w:r>
      <w:r>
        <w:t>.</w:t>
      </w:r>
      <w:r w:rsidR="009F2005">
        <w:t xml:space="preserve"> This limited sampling in turn limits our ability to monitor seasonal activity, timely detection of new strains and deprives us of early warning in institutional outbreaks. </w:t>
      </w:r>
    </w:p>
    <w:p w14:paraId="0BAAECE3" w14:textId="77777777" w:rsidR="00703235" w:rsidRDefault="00703235" w:rsidP="002229D1">
      <w:pPr>
        <w:spacing w:line="480" w:lineRule="auto"/>
      </w:pPr>
    </w:p>
    <w:p w14:paraId="46745964" w14:textId="2BEC04DD" w:rsidR="00703235" w:rsidRDefault="00703235" w:rsidP="002229D1">
      <w:pPr>
        <w:spacing w:line="480" w:lineRule="auto"/>
      </w:pPr>
      <w:r>
        <w:t xml:space="preserve">A self-conducted symptom reporting and stool sampling system within the community may </w:t>
      </w:r>
      <w:r w:rsidR="00843708" w:rsidRPr="004E26A4">
        <w:t xml:space="preserve">improve </w:t>
      </w:r>
      <w:r w:rsidR="00C76701">
        <w:t xml:space="preserve">the </w:t>
      </w:r>
      <w:r w:rsidR="004E26A4" w:rsidRPr="004E26A4">
        <w:t>recording</w:t>
      </w:r>
      <w:r w:rsidR="004E26A4">
        <w:t xml:space="preserve"> of cases </w:t>
      </w:r>
      <w:r w:rsidR="008F55D0">
        <w:t xml:space="preserve">and </w:t>
      </w:r>
      <w:r w:rsidR="006B4EEA">
        <w:t>facilitate faecal</w:t>
      </w:r>
      <w:r w:rsidR="008F55D0">
        <w:t xml:space="preserve"> sampling. </w:t>
      </w:r>
      <w:r>
        <w:t xml:space="preserve">However, public participation in such programmes </w:t>
      </w:r>
      <w:r w:rsidR="008F55D0">
        <w:t>is</w:t>
      </w:r>
      <w:r>
        <w:t xml:space="preserve"> </w:t>
      </w:r>
      <w:r w:rsidR="00B74186">
        <w:t xml:space="preserve">reported to be </w:t>
      </w:r>
      <w:r>
        <w:t>poor (</w:t>
      </w:r>
      <w:r w:rsidR="002370BB">
        <w:t>4</w:t>
      </w:r>
      <w:r>
        <w:t xml:space="preserve">, </w:t>
      </w:r>
      <w:r w:rsidR="002370BB">
        <w:t>6</w:t>
      </w:r>
      <w:r>
        <w:t xml:space="preserve">). Lecky et al. highlighted problems of </w:t>
      </w:r>
      <w:r>
        <w:lastRenderedPageBreak/>
        <w:t>recruitment to a community-based survey of resistant bacterial carriage in England; complete return of both stool sample and questionnaire varied by area, age, gender and ethnicity, with the overall return rate being only 3.9% (</w:t>
      </w:r>
      <w:r w:rsidR="002370BB">
        <w:t>4</w:t>
      </w:r>
      <w:r>
        <w:t>). The authors considered that a pertinent factor to explain variable participation was a lack of perceived health benefit to the individual. Ellis et al. examined factors influencing self-collection of stool samples for bowel cancer screening (</w:t>
      </w:r>
      <w:r w:rsidR="002370BB">
        <w:t>5</w:t>
      </w:r>
      <w:r>
        <w:t xml:space="preserve">). </w:t>
      </w:r>
      <w:r w:rsidR="008F55D0">
        <w:t>P</w:t>
      </w:r>
      <w:r>
        <w:t>erceived unpleasantness of collecting and potentially storing of one’s own faecal material</w:t>
      </w:r>
      <w:r w:rsidR="008F55D0">
        <w:t xml:space="preserve"> significantly affected compliance</w:t>
      </w:r>
      <w:r w:rsidR="008E1170">
        <w:t xml:space="preserve"> (</w:t>
      </w:r>
      <w:r w:rsidR="002370BB">
        <w:t>7</w:t>
      </w:r>
      <w:r w:rsidR="008E1170">
        <w:t>,</w:t>
      </w:r>
      <w:r w:rsidR="002370BB">
        <w:t>8</w:t>
      </w:r>
      <w:r w:rsidR="008E1170">
        <w:t>)</w:t>
      </w:r>
      <w:r>
        <w:t>. Studies have suggested that uptake may be enhanced by emphasising the convenience of testing kits and providing instructions on easy collection/storage methods at the start of the process (</w:t>
      </w:r>
      <w:r w:rsidR="002370BB">
        <w:t>9</w:t>
      </w:r>
      <w:r>
        <w:t>).</w:t>
      </w:r>
    </w:p>
    <w:p w14:paraId="78962612" w14:textId="77777777" w:rsidR="00703235" w:rsidRDefault="00703235" w:rsidP="002229D1">
      <w:pPr>
        <w:spacing w:line="480" w:lineRule="auto"/>
      </w:pPr>
    </w:p>
    <w:p w14:paraId="333F6B17" w14:textId="6F873C17" w:rsidR="00703235" w:rsidRDefault="008F55D0" w:rsidP="002229D1">
      <w:pPr>
        <w:spacing w:line="480" w:lineRule="auto"/>
      </w:pPr>
      <w:r>
        <w:t>There is a lack of information</w:t>
      </w:r>
      <w:r w:rsidR="00703235">
        <w:t xml:space="preserve"> on how the usage of technology-based platforms for community </w:t>
      </w:r>
      <w:r w:rsidR="006B4EEA">
        <w:t xml:space="preserve">IID </w:t>
      </w:r>
      <w:r w:rsidR="00703235">
        <w:t>surveillance and self-conducted stool</w:t>
      </w:r>
      <w:r w:rsidR="00C76701">
        <w:t xml:space="preserve"> </w:t>
      </w:r>
      <w:r w:rsidR="00703235">
        <w:t xml:space="preserve">sampling could influence public engagement with such programmes. </w:t>
      </w:r>
      <w:r>
        <w:t>W</w:t>
      </w:r>
      <w:r w:rsidR="00703235">
        <w:t>e aimed to develop and deliver a questionnaire that assesses the acceptability of a mobile application/</w:t>
      </w:r>
      <w:r w:rsidR="007663B3">
        <w:t>secure website</w:t>
      </w:r>
      <w:r w:rsidR="00703235">
        <w:t xml:space="preserve">/text message platform </w:t>
      </w:r>
      <w:r w:rsidR="00733C5F">
        <w:t>for members of the public to</w:t>
      </w:r>
      <w:r w:rsidR="00703235">
        <w:t xml:space="preserve"> report an episode of IID </w:t>
      </w:r>
      <w:r w:rsidR="00337736">
        <w:t>and</w:t>
      </w:r>
      <w:r w:rsidR="00703235">
        <w:t xml:space="preserve"> request a stool sample collection kit for use and return to </w:t>
      </w:r>
      <w:r w:rsidR="00871C25">
        <w:t>a lab</w:t>
      </w:r>
      <w:r w:rsidR="00553B5D">
        <w:t>oratory</w:t>
      </w:r>
      <w:r w:rsidR="00733C5F">
        <w:t>.</w:t>
      </w:r>
    </w:p>
    <w:p w14:paraId="22FC1039" w14:textId="77777777" w:rsidR="00703235" w:rsidRDefault="00703235" w:rsidP="002229D1">
      <w:pPr>
        <w:spacing w:line="480" w:lineRule="auto"/>
      </w:pPr>
    </w:p>
    <w:p w14:paraId="3B071D65" w14:textId="77777777" w:rsidR="00703235" w:rsidRPr="002229D1" w:rsidRDefault="00703235" w:rsidP="002229D1">
      <w:pPr>
        <w:spacing w:line="480" w:lineRule="auto"/>
        <w:rPr>
          <w:b/>
          <w:bCs/>
          <w:u w:val="single"/>
        </w:rPr>
      </w:pPr>
      <w:r w:rsidRPr="002229D1">
        <w:rPr>
          <w:b/>
          <w:bCs/>
          <w:u w:val="single"/>
        </w:rPr>
        <w:t>Methodology</w:t>
      </w:r>
    </w:p>
    <w:p w14:paraId="55BE5A94" w14:textId="20F358EB" w:rsidR="00703235" w:rsidRPr="00BA2C3F" w:rsidRDefault="00703235" w:rsidP="002229D1">
      <w:pPr>
        <w:spacing w:line="480" w:lineRule="auto"/>
        <w:rPr>
          <w:b/>
          <w:bCs/>
        </w:rPr>
      </w:pPr>
      <w:r w:rsidRPr="00BA2C3F">
        <w:rPr>
          <w:b/>
          <w:bCs/>
        </w:rPr>
        <w:t>Po</w:t>
      </w:r>
      <w:r w:rsidR="00560F1D">
        <w:rPr>
          <w:b/>
          <w:bCs/>
        </w:rPr>
        <w:t>pulation and Setting</w:t>
      </w:r>
    </w:p>
    <w:p w14:paraId="2EB693FA" w14:textId="79942EAB" w:rsidR="00703235" w:rsidRDefault="002B3AC7" w:rsidP="002229D1">
      <w:pPr>
        <w:spacing w:line="480" w:lineRule="auto"/>
      </w:pPr>
      <w:r>
        <w:t>Th</w:t>
      </w:r>
      <w:r w:rsidR="00703235">
        <w:t xml:space="preserve">e </w:t>
      </w:r>
      <w:r w:rsidR="00C65071">
        <w:t xml:space="preserve">target population </w:t>
      </w:r>
      <w:r w:rsidR="008E1170">
        <w:t>comprised adults</w:t>
      </w:r>
      <w:r w:rsidR="00703235">
        <w:t xml:space="preserve"> (16+ years of age) residing in</w:t>
      </w:r>
      <w:r w:rsidR="00C76701">
        <w:t xml:space="preserve"> the</w:t>
      </w:r>
      <w:r w:rsidR="00C67C82">
        <w:t xml:space="preserve"> Liverpool City Region. </w:t>
      </w:r>
      <w:r w:rsidR="00703235">
        <w:t xml:space="preserve">Liverpool City Region contains </w:t>
      </w:r>
      <w:r w:rsidR="009D7CBF">
        <w:t>six</w:t>
      </w:r>
      <w:r w:rsidR="00703235">
        <w:t xml:space="preserve"> local authority areas </w:t>
      </w:r>
      <w:r w:rsidR="00BD0129">
        <w:t>(</w:t>
      </w:r>
      <w:r w:rsidR="00703235">
        <w:t>Halton, Knowsley, Liverpool, St. Helens, Sefton and Wirral</w:t>
      </w:r>
      <w:r w:rsidR="00BD0129">
        <w:t>)</w:t>
      </w:r>
      <w:r w:rsidR="00703235">
        <w:t xml:space="preserve"> and has an estimated resident population of </w:t>
      </w:r>
      <w:r w:rsidR="00C67C82">
        <w:t>approximately</w:t>
      </w:r>
      <w:r w:rsidR="00703235">
        <w:t xml:space="preserve"> 1.43 million (</w:t>
      </w:r>
      <w:r w:rsidR="002370BB">
        <w:t>10</w:t>
      </w:r>
      <w:r w:rsidR="00703235">
        <w:t>)</w:t>
      </w:r>
      <w:r>
        <w:t xml:space="preserve"> [Table 1]</w:t>
      </w:r>
      <w:r w:rsidR="00703235">
        <w:t xml:space="preserve">. The region includes some of the most socioeconomically </w:t>
      </w:r>
      <w:r w:rsidR="00703235">
        <w:lastRenderedPageBreak/>
        <w:t>deprived communities in England</w:t>
      </w:r>
      <w:r>
        <w:t>, and</w:t>
      </w:r>
      <w:r w:rsidR="00703235">
        <w:t xml:space="preserve"> some neighbourhoods which are among the most affluent (</w:t>
      </w:r>
      <w:r w:rsidR="002370BB">
        <w:t>11</w:t>
      </w:r>
      <w:r w:rsidR="00703235">
        <w:t>)</w:t>
      </w:r>
      <w:r>
        <w:t>.</w:t>
      </w:r>
      <w:r w:rsidR="00703235">
        <w:t xml:space="preserve"> </w:t>
      </w:r>
    </w:p>
    <w:p w14:paraId="16E91132" w14:textId="152D4ECA" w:rsidR="00703235" w:rsidRPr="00F70A30" w:rsidRDefault="00703235" w:rsidP="002229D1">
      <w:pPr>
        <w:spacing w:line="480" w:lineRule="auto"/>
        <w:rPr>
          <w:b/>
          <w:bCs/>
        </w:rPr>
      </w:pPr>
      <w:r w:rsidRPr="00F70A30">
        <w:rPr>
          <w:b/>
          <w:bCs/>
        </w:rPr>
        <w:t xml:space="preserve">Table 1. </w:t>
      </w:r>
      <w:r w:rsidR="00F70A30">
        <w:rPr>
          <w:b/>
          <w:bCs/>
        </w:rPr>
        <w:t>B</w:t>
      </w:r>
      <w:r w:rsidRPr="00F70A30">
        <w:rPr>
          <w:b/>
          <w:bCs/>
        </w:rPr>
        <w:t xml:space="preserve">asic demographic </w:t>
      </w:r>
      <w:r w:rsidR="00F70A30">
        <w:rPr>
          <w:b/>
          <w:bCs/>
        </w:rPr>
        <w:t xml:space="preserve">details for local authorities </w:t>
      </w:r>
      <w:r w:rsidR="008B6455">
        <w:rPr>
          <w:b/>
          <w:bCs/>
        </w:rPr>
        <w:t>in</w:t>
      </w:r>
      <w:r w:rsidRPr="00F70A30">
        <w:rPr>
          <w:b/>
          <w:bCs/>
        </w:rPr>
        <w:t xml:space="preserve"> Liverpool City Region</w:t>
      </w:r>
      <w:r w:rsidR="00A97A68">
        <w:rPr>
          <w:b/>
          <w:bCs/>
        </w:rPr>
        <w:t xml:space="preserve">, and England </w:t>
      </w:r>
      <w:r w:rsidR="008B6455">
        <w:rPr>
          <w:b/>
          <w:bCs/>
        </w:rPr>
        <w:t xml:space="preserve">(derived </w:t>
      </w:r>
      <w:r w:rsidR="008B6455" w:rsidRPr="008B6455">
        <w:rPr>
          <w:b/>
          <w:bCs/>
        </w:rPr>
        <w:t>from the Office of National Statistics</w:t>
      </w:r>
      <w:r w:rsidR="008B6455">
        <w:rPr>
          <w:b/>
          <w:bCs/>
        </w:rPr>
        <w:t>)</w:t>
      </w:r>
      <w:r w:rsidR="008B6455" w:rsidRPr="008B6455">
        <w:rPr>
          <w:b/>
          <w:bCs/>
        </w:rPr>
        <w:t xml:space="preserve"> (</w:t>
      </w:r>
      <w:r w:rsidR="002370BB">
        <w:rPr>
          <w:b/>
          <w:bCs/>
        </w:rPr>
        <w:t>11</w:t>
      </w:r>
      <w:r w:rsidR="008B6455" w:rsidRPr="008B6455">
        <w:rPr>
          <w:b/>
          <w:bCs/>
        </w:rPr>
        <w:t xml:space="preserve">, </w:t>
      </w:r>
      <w:r w:rsidR="002370BB" w:rsidRPr="008B6455">
        <w:rPr>
          <w:b/>
          <w:bCs/>
        </w:rPr>
        <w:t>1</w:t>
      </w:r>
      <w:r w:rsidR="002370BB">
        <w:rPr>
          <w:b/>
          <w:bCs/>
        </w:rPr>
        <w:t>2</w:t>
      </w:r>
      <w:r w:rsidR="008B6455" w:rsidRPr="008B6455">
        <w:rPr>
          <w:b/>
          <w:bCs/>
        </w:rPr>
        <w:t xml:space="preserve">, </w:t>
      </w:r>
      <w:r w:rsidR="002370BB" w:rsidRPr="008B6455">
        <w:rPr>
          <w:b/>
          <w:bCs/>
        </w:rPr>
        <w:t>1</w:t>
      </w:r>
      <w:r w:rsidR="002370BB">
        <w:rPr>
          <w:b/>
          <w:bCs/>
        </w:rPr>
        <w:t>3</w:t>
      </w:r>
      <w:r w:rsidR="004F35E4">
        <w:rPr>
          <w:b/>
          <w:bCs/>
        </w:rPr>
        <w:t>, 14</w:t>
      </w:r>
      <w:r w:rsidR="007B5EB4">
        <w:rPr>
          <w:b/>
          <w:bCs/>
        </w:rPr>
        <w:t>,</w:t>
      </w:r>
      <w:r w:rsidR="004F35E4">
        <w:rPr>
          <w:b/>
          <w:bCs/>
        </w:rPr>
        <w:t xml:space="preserve"> 15</w:t>
      </w:r>
      <w:r w:rsidR="008B6455" w:rsidRPr="008B6455">
        <w:rPr>
          <w:b/>
          <w:bCs/>
        </w:rPr>
        <w:t>)</w:t>
      </w:r>
      <w:r w:rsidR="008B6455">
        <w:rPr>
          <w:b/>
          <w:bCs/>
        </w:rPr>
        <w:t>.</w:t>
      </w:r>
    </w:p>
    <w:tbl>
      <w:tblPr>
        <w:tblStyle w:val="TableGrid"/>
        <w:tblW w:w="0" w:type="auto"/>
        <w:tblLook w:val="04A0" w:firstRow="1" w:lastRow="0" w:firstColumn="1" w:lastColumn="0" w:noHBand="0" w:noVBand="1"/>
      </w:tblPr>
      <w:tblGrid>
        <w:gridCol w:w="2252"/>
        <w:gridCol w:w="2252"/>
        <w:gridCol w:w="2437"/>
        <w:gridCol w:w="2069"/>
      </w:tblGrid>
      <w:tr w:rsidR="00703235" w:rsidRPr="002229D1" w14:paraId="68D36238" w14:textId="77777777" w:rsidTr="002229D1">
        <w:trPr>
          <w:trHeight w:val="283"/>
        </w:trPr>
        <w:tc>
          <w:tcPr>
            <w:tcW w:w="2252" w:type="dxa"/>
          </w:tcPr>
          <w:p w14:paraId="30E48D60" w14:textId="77777777" w:rsidR="00703235" w:rsidRPr="002229D1" w:rsidRDefault="00703235" w:rsidP="005E1781">
            <w:pPr>
              <w:rPr>
                <w:rFonts w:cstheme="minorHAnsi"/>
                <w:b/>
                <w:bCs/>
                <w:sz w:val="20"/>
                <w:szCs w:val="20"/>
              </w:rPr>
            </w:pPr>
            <w:r w:rsidRPr="002229D1">
              <w:rPr>
                <w:rFonts w:cstheme="minorHAnsi"/>
                <w:b/>
                <w:bCs/>
                <w:sz w:val="20"/>
                <w:szCs w:val="20"/>
              </w:rPr>
              <w:t>Local Authority</w:t>
            </w:r>
          </w:p>
        </w:tc>
        <w:tc>
          <w:tcPr>
            <w:tcW w:w="2252" w:type="dxa"/>
          </w:tcPr>
          <w:p w14:paraId="4B107C62" w14:textId="77777777" w:rsidR="00703235" w:rsidRPr="002229D1" w:rsidRDefault="00703235" w:rsidP="005E1781">
            <w:pPr>
              <w:jc w:val="center"/>
              <w:rPr>
                <w:rFonts w:cstheme="minorHAnsi"/>
                <w:b/>
                <w:bCs/>
                <w:sz w:val="20"/>
                <w:szCs w:val="20"/>
              </w:rPr>
            </w:pPr>
            <w:r w:rsidRPr="002229D1">
              <w:rPr>
                <w:rFonts w:cstheme="minorHAnsi"/>
                <w:b/>
                <w:bCs/>
                <w:sz w:val="20"/>
                <w:szCs w:val="20"/>
              </w:rPr>
              <w:t>% White British</w:t>
            </w:r>
          </w:p>
        </w:tc>
        <w:tc>
          <w:tcPr>
            <w:tcW w:w="2437" w:type="dxa"/>
          </w:tcPr>
          <w:p w14:paraId="528093A4" w14:textId="0B4B24AB" w:rsidR="00703235" w:rsidRPr="002229D1" w:rsidRDefault="00553B5D" w:rsidP="005E1781">
            <w:pPr>
              <w:jc w:val="center"/>
              <w:rPr>
                <w:rFonts w:cstheme="minorHAnsi"/>
                <w:b/>
                <w:bCs/>
                <w:sz w:val="20"/>
                <w:szCs w:val="20"/>
              </w:rPr>
            </w:pPr>
            <w:r>
              <w:rPr>
                <w:rFonts w:cstheme="minorHAnsi"/>
                <w:b/>
                <w:bCs/>
                <w:sz w:val="20"/>
                <w:szCs w:val="20"/>
              </w:rPr>
              <w:t>Mean</w:t>
            </w:r>
            <w:r w:rsidR="00703235" w:rsidRPr="002229D1">
              <w:rPr>
                <w:rFonts w:cstheme="minorHAnsi"/>
                <w:b/>
                <w:bCs/>
                <w:sz w:val="20"/>
                <w:szCs w:val="20"/>
              </w:rPr>
              <w:t xml:space="preserve"> </w:t>
            </w:r>
            <w:r w:rsidR="008E1170" w:rsidRPr="002229D1">
              <w:rPr>
                <w:rFonts w:cstheme="minorHAnsi"/>
                <w:b/>
                <w:bCs/>
                <w:sz w:val="20"/>
                <w:szCs w:val="20"/>
              </w:rPr>
              <w:t xml:space="preserve">Household </w:t>
            </w:r>
            <w:r w:rsidR="00703235" w:rsidRPr="002229D1">
              <w:rPr>
                <w:rFonts w:cstheme="minorHAnsi"/>
                <w:b/>
                <w:bCs/>
                <w:sz w:val="20"/>
                <w:szCs w:val="20"/>
              </w:rPr>
              <w:t>Income (£)</w:t>
            </w:r>
          </w:p>
        </w:tc>
        <w:tc>
          <w:tcPr>
            <w:tcW w:w="2069" w:type="dxa"/>
          </w:tcPr>
          <w:p w14:paraId="29ACE4D4" w14:textId="77777777" w:rsidR="00703235" w:rsidRPr="002229D1" w:rsidRDefault="00703235" w:rsidP="005E1781">
            <w:pPr>
              <w:jc w:val="center"/>
              <w:rPr>
                <w:rFonts w:cstheme="minorHAnsi"/>
                <w:b/>
                <w:bCs/>
                <w:sz w:val="20"/>
                <w:szCs w:val="20"/>
              </w:rPr>
            </w:pPr>
            <w:r w:rsidRPr="002229D1">
              <w:rPr>
                <w:rFonts w:cstheme="minorHAnsi"/>
                <w:b/>
                <w:bCs/>
                <w:sz w:val="20"/>
                <w:szCs w:val="20"/>
              </w:rPr>
              <w:t>% Age &gt;65</w:t>
            </w:r>
          </w:p>
        </w:tc>
      </w:tr>
      <w:tr w:rsidR="00703235" w:rsidRPr="002229D1" w14:paraId="14A21886" w14:textId="77777777" w:rsidTr="002229D1">
        <w:trPr>
          <w:trHeight w:val="283"/>
        </w:trPr>
        <w:tc>
          <w:tcPr>
            <w:tcW w:w="2252" w:type="dxa"/>
          </w:tcPr>
          <w:p w14:paraId="106BE9F2" w14:textId="77777777" w:rsidR="00703235" w:rsidRPr="002229D1" w:rsidRDefault="00703235" w:rsidP="005E1781">
            <w:pPr>
              <w:rPr>
                <w:rFonts w:cstheme="minorHAnsi"/>
                <w:sz w:val="20"/>
                <w:szCs w:val="20"/>
              </w:rPr>
            </w:pPr>
            <w:r w:rsidRPr="002229D1">
              <w:rPr>
                <w:rFonts w:cstheme="minorHAnsi"/>
                <w:sz w:val="20"/>
                <w:szCs w:val="20"/>
              </w:rPr>
              <w:t>Halton</w:t>
            </w:r>
          </w:p>
        </w:tc>
        <w:tc>
          <w:tcPr>
            <w:tcW w:w="2252" w:type="dxa"/>
          </w:tcPr>
          <w:p w14:paraId="16FA9619" w14:textId="77777777" w:rsidR="00703235" w:rsidRPr="002229D1" w:rsidRDefault="00703235" w:rsidP="005E1781">
            <w:pPr>
              <w:jc w:val="center"/>
              <w:rPr>
                <w:rFonts w:cstheme="minorHAnsi"/>
                <w:sz w:val="20"/>
                <w:szCs w:val="20"/>
              </w:rPr>
            </w:pPr>
            <w:r w:rsidRPr="002229D1">
              <w:rPr>
                <w:rFonts w:cstheme="minorHAnsi"/>
                <w:sz w:val="20"/>
                <w:szCs w:val="20"/>
              </w:rPr>
              <w:t>96.8</w:t>
            </w:r>
          </w:p>
        </w:tc>
        <w:tc>
          <w:tcPr>
            <w:tcW w:w="2437" w:type="dxa"/>
          </w:tcPr>
          <w:p w14:paraId="265D04DD" w14:textId="77777777" w:rsidR="00703235" w:rsidRPr="002229D1" w:rsidRDefault="00703235" w:rsidP="005E1781">
            <w:pPr>
              <w:jc w:val="center"/>
              <w:rPr>
                <w:rFonts w:cstheme="minorHAnsi"/>
                <w:sz w:val="20"/>
                <w:szCs w:val="20"/>
              </w:rPr>
            </w:pPr>
            <w:r w:rsidRPr="002229D1">
              <w:rPr>
                <w:rFonts w:cstheme="minorHAnsi"/>
                <w:sz w:val="20"/>
                <w:szCs w:val="20"/>
              </w:rPr>
              <w:t>37,475</w:t>
            </w:r>
          </w:p>
        </w:tc>
        <w:tc>
          <w:tcPr>
            <w:tcW w:w="2069" w:type="dxa"/>
          </w:tcPr>
          <w:p w14:paraId="59906C93" w14:textId="77777777" w:rsidR="00703235" w:rsidRPr="002229D1" w:rsidRDefault="00703235" w:rsidP="005E1781">
            <w:pPr>
              <w:jc w:val="center"/>
              <w:rPr>
                <w:rFonts w:cstheme="minorHAnsi"/>
                <w:sz w:val="20"/>
                <w:szCs w:val="20"/>
              </w:rPr>
            </w:pPr>
            <w:r w:rsidRPr="002229D1">
              <w:rPr>
                <w:rFonts w:cstheme="minorHAnsi"/>
                <w:sz w:val="20"/>
                <w:szCs w:val="20"/>
              </w:rPr>
              <w:t>18.4</w:t>
            </w:r>
          </w:p>
        </w:tc>
      </w:tr>
      <w:tr w:rsidR="00703235" w:rsidRPr="002229D1" w14:paraId="51E4184C" w14:textId="77777777" w:rsidTr="002229D1">
        <w:trPr>
          <w:trHeight w:val="283"/>
        </w:trPr>
        <w:tc>
          <w:tcPr>
            <w:tcW w:w="2252" w:type="dxa"/>
          </w:tcPr>
          <w:p w14:paraId="29938D58" w14:textId="77777777" w:rsidR="00703235" w:rsidRPr="002229D1" w:rsidRDefault="00703235" w:rsidP="005E1781">
            <w:pPr>
              <w:rPr>
                <w:rFonts w:cstheme="minorHAnsi"/>
                <w:sz w:val="20"/>
                <w:szCs w:val="20"/>
              </w:rPr>
            </w:pPr>
            <w:r w:rsidRPr="002229D1">
              <w:rPr>
                <w:rFonts w:cstheme="minorHAnsi"/>
                <w:sz w:val="20"/>
                <w:szCs w:val="20"/>
              </w:rPr>
              <w:t xml:space="preserve">Knowsley </w:t>
            </w:r>
          </w:p>
        </w:tc>
        <w:tc>
          <w:tcPr>
            <w:tcW w:w="2252" w:type="dxa"/>
          </w:tcPr>
          <w:p w14:paraId="1CA23972" w14:textId="77777777" w:rsidR="00703235" w:rsidRPr="002229D1" w:rsidRDefault="00703235" w:rsidP="005E1781">
            <w:pPr>
              <w:jc w:val="center"/>
              <w:rPr>
                <w:rFonts w:cstheme="minorHAnsi"/>
                <w:sz w:val="20"/>
                <w:szCs w:val="20"/>
              </w:rPr>
            </w:pPr>
            <w:r w:rsidRPr="002229D1">
              <w:rPr>
                <w:rFonts w:cstheme="minorHAnsi"/>
                <w:sz w:val="20"/>
                <w:szCs w:val="20"/>
              </w:rPr>
              <w:t>95.3</w:t>
            </w:r>
          </w:p>
        </w:tc>
        <w:tc>
          <w:tcPr>
            <w:tcW w:w="2437" w:type="dxa"/>
          </w:tcPr>
          <w:p w14:paraId="1682810A" w14:textId="77777777" w:rsidR="00703235" w:rsidRPr="002229D1" w:rsidRDefault="00703235" w:rsidP="005E1781">
            <w:pPr>
              <w:jc w:val="center"/>
              <w:rPr>
                <w:rFonts w:cstheme="minorHAnsi"/>
                <w:sz w:val="20"/>
                <w:szCs w:val="20"/>
              </w:rPr>
            </w:pPr>
            <w:r w:rsidRPr="002229D1">
              <w:rPr>
                <w:rFonts w:cstheme="minorHAnsi"/>
                <w:sz w:val="20"/>
                <w:szCs w:val="20"/>
              </w:rPr>
              <w:t>33,205</w:t>
            </w:r>
          </w:p>
        </w:tc>
        <w:tc>
          <w:tcPr>
            <w:tcW w:w="2069" w:type="dxa"/>
          </w:tcPr>
          <w:p w14:paraId="279D2012" w14:textId="77777777" w:rsidR="00703235" w:rsidRPr="002229D1" w:rsidRDefault="00703235" w:rsidP="005E1781">
            <w:pPr>
              <w:jc w:val="center"/>
              <w:rPr>
                <w:rFonts w:cstheme="minorHAnsi"/>
                <w:sz w:val="20"/>
                <w:szCs w:val="20"/>
              </w:rPr>
            </w:pPr>
            <w:r w:rsidRPr="002229D1">
              <w:rPr>
                <w:rFonts w:cstheme="minorHAnsi"/>
                <w:sz w:val="20"/>
                <w:szCs w:val="20"/>
              </w:rPr>
              <w:t>17.3</w:t>
            </w:r>
          </w:p>
        </w:tc>
      </w:tr>
      <w:tr w:rsidR="00703235" w:rsidRPr="002229D1" w14:paraId="3E103BE1" w14:textId="77777777" w:rsidTr="002229D1">
        <w:trPr>
          <w:trHeight w:val="283"/>
        </w:trPr>
        <w:tc>
          <w:tcPr>
            <w:tcW w:w="2252" w:type="dxa"/>
          </w:tcPr>
          <w:p w14:paraId="3684F992" w14:textId="77777777" w:rsidR="00703235" w:rsidRPr="002229D1" w:rsidRDefault="00703235" w:rsidP="005E1781">
            <w:pPr>
              <w:rPr>
                <w:rFonts w:cstheme="minorHAnsi"/>
                <w:sz w:val="20"/>
                <w:szCs w:val="20"/>
              </w:rPr>
            </w:pPr>
            <w:r w:rsidRPr="002229D1">
              <w:rPr>
                <w:rFonts w:cstheme="minorHAnsi"/>
                <w:sz w:val="20"/>
                <w:szCs w:val="20"/>
              </w:rPr>
              <w:t>Liverpool</w:t>
            </w:r>
          </w:p>
        </w:tc>
        <w:tc>
          <w:tcPr>
            <w:tcW w:w="2252" w:type="dxa"/>
          </w:tcPr>
          <w:p w14:paraId="26672757" w14:textId="77777777" w:rsidR="00703235" w:rsidRPr="002229D1" w:rsidRDefault="00703235" w:rsidP="005E1781">
            <w:pPr>
              <w:jc w:val="center"/>
              <w:rPr>
                <w:rFonts w:cstheme="minorHAnsi"/>
                <w:sz w:val="20"/>
                <w:szCs w:val="20"/>
              </w:rPr>
            </w:pPr>
            <w:r w:rsidRPr="002229D1">
              <w:rPr>
                <w:rFonts w:cstheme="minorHAnsi"/>
                <w:sz w:val="20"/>
                <w:szCs w:val="20"/>
              </w:rPr>
              <w:t>82.8</w:t>
            </w:r>
          </w:p>
        </w:tc>
        <w:tc>
          <w:tcPr>
            <w:tcW w:w="2437" w:type="dxa"/>
          </w:tcPr>
          <w:p w14:paraId="5E5CEB27" w14:textId="77777777" w:rsidR="00703235" w:rsidRPr="002229D1" w:rsidRDefault="00703235" w:rsidP="005E1781">
            <w:pPr>
              <w:jc w:val="center"/>
              <w:rPr>
                <w:rFonts w:cstheme="minorHAnsi"/>
                <w:sz w:val="20"/>
                <w:szCs w:val="20"/>
              </w:rPr>
            </w:pPr>
            <w:r w:rsidRPr="002229D1">
              <w:rPr>
                <w:rFonts w:cstheme="minorHAnsi"/>
                <w:sz w:val="20"/>
                <w:szCs w:val="20"/>
              </w:rPr>
              <w:t>33,724</w:t>
            </w:r>
          </w:p>
        </w:tc>
        <w:tc>
          <w:tcPr>
            <w:tcW w:w="2069" w:type="dxa"/>
          </w:tcPr>
          <w:p w14:paraId="2DB61A00" w14:textId="77777777" w:rsidR="00703235" w:rsidRPr="002229D1" w:rsidRDefault="00703235" w:rsidP="005E1781">
            <w:pPr>
              <w:jc w:val="center"/>
              <w:rPr>
                <w:rFonts w:cstheme="minorHAnsi"/>
                <w:sz w:val="20"/>
                <w:szCs w:val="20"/>
              </w:rPr>
            </w:pPr>
            <w:r w:rsidRPr="002229D1">
              <w:rPr>
                <w:rFonts w:cstheme="minorHAnsi"/>
                <w:sz w:val="20"/>
                <w:szCs w:val="20"/>
              </w:rPr>
              <w:t>14.8</w:t>
            </w:r>
          </w:p>
        </w:tc>
      </w:tr>
      <w:tr w:rsidR="00703235" w:rsidRPr="002229D1" w14:paraId="303063FA" w14:textId="77777777" w:rsidTr="002229D1">
        <w:trPr>
          <w:trHeight w:val="283"/>
        </w:trPr>
        <w:tc>
          <w:tcPr>
            <w:tcW w:w="2252" w:type="dxa"/>
          </w:tcPr>
          <w:p w14:paraId="0FD60454" w14:textId="77777777" w:rsidR="00703235" w:rsidRPr="002229D1" w:rsidRDefault="00703235" w:rsidP="005E1781">
            <w:pPr>
              <w:rPr>
                <w:rFonts w:cstheme="minorHAnsi"/>
                <w:sz w:val="20"/>
                <w:szCs w:val="20"/>
              </w:rPr>
            </w:pPr>
            <w:r w:rsidRPr="002229D1">
              <w:rPr>
                <w:rFonts w:cstheme="minorHAnsi"/>
                <w:sz w:val="20"/>
                <w:szCs w:val="20"/>
              </w:rPr>
              <w:t>St. Helens</w:t>
            </w:r>
          </w:p>
        </w:tc>
        <w:tc>
          <w:tcPr>
            <w:tcW w:w="2252" w:type="dxa"/>
          </w:tcPr>
          <w:p w14:paraId="2070B8F9" w14:textId="77777777" w:rsidR="00703235" w:rsidRPr="002229D1" w:rsidRDefault="00703235" w:rsidP="005E1781">
            <w:pPr>
              <w:jc w:val="center"/>
              <w:rPr>
                <w:rFonts w:cstheme="minorHAnsi"/>
                <w:sz w:val="20"/>
                <w:szCs w:val="20"/>
              </w:rPr>
            </w:pPr>
            <w:r w:rsidRPr="002229D1">
              <w:rPr>
                <w:rFonts w:cstheme="minorHAnsi"/>
                <w:sz w:val="20"/>
                <w:szCs w:val="20"/>
              </w:rPr>
              <w:t>96.6</w:t>
            </w:r>
          </w:p>
        </w:tc>
        <w:tc>
          <w:tcPr>
            <w:tcW w:w="2437" w:type="dxa"/>
          </w:tcPr>
          <w:p w14:paraId="1F74F39D" w14:textId="77777777" w:rsidR="00703235" w:rsidRPr="002229D1" w:rsidRDefault="00703235" w:rsidP="005E1781">
            <w:pPr>
              <w:jc w:val="center"/>
              <w:rPr>
                <w:rFonts w:cstheme="minorHAnsi"/>
                <w:sz w:val="20"/>
                <w:szCs w:val="20"/>
              </w:rPr>
            </w:pPr>
            <w:r w:rsidRPr="002229D1">
              <w:rPr>
                <w:rFonts w:cstheme="minorHAnsi"/>
                <w:sz w:val="20"/>
                <w:szCs w:val="20"/>
              </w:rPr>
              <w:t>37,726</w:t>
            </w:r>
          </w:p>
        </w:tc>
        <w:tc>
          <w:tcPr>
            <w:tcW w:w="2069" w:type="dxa"/>
          </w:tcPr>
          <w:p w14:paraId="64B288A1" w14:textId="77777777" w:rsidR="00703235" w:rsidRPr="002229D1" w:rsidRDefault="00703235" w:rsidP="005E1781">
            <w:pPr>
              <w:jc w:val="center"/>
              <w:rPr>
                <w:rFonts w:cstheme="minorHAnsi"/>
                <w:sz w:val="20"/>
                <w:szCs w:val="20"/>
              </w:rPr>
            </w:pPr>
            <w:r w:rsidRPr="002229D1">
              <w:rPr>
                <w:rFonts w:cstheme="minorHAnsi"/>
                <w:sz w:val="20"/>
                <w:szCs w:val="20"/>
              </w:rPr>
              <w:t>20.6</w:t>
            </w:r>
          </w:p>
        </w:tc>
      </w:tr>
      <w:tr w:rsidR="00703235" w:rsidRPr="002229D1" w14:paraId="643E6CB6" w14:textId="77777777" w:rsidTr="002229D1">
        <w:trPr>
          <w:trHeight w:val="283"/>
        </w:trPr>
        <w:tc>
          <w:tcPr>
            <w:tcW w:w="2252" w:type="dxa"/>
          </w:tcPr>
          <w:p w14:paraId="4B783F58" w14:textId="77777777" w:rsidR="00703235" w:rsidRPr="002229D1" w:rsidRDefault="00703235" w:rsidP="005E1781">
            <w:pPr>
              <w:rPr>
                <w:rFonts w:cstheme="minorHAnsi"/>
                <w:sz w:val="20"/>
                <w:szCs w:val="20"/>
              </w:rPr>
            </w:pPr>
            <w:r w:rsidRPr="002229D1">
              <w:rPr>
                <w:rFonts w:cstheme="minorHAnsi"/>
                <w:sz w:val="20"/>
                <w:szCs w:val="20"/>
              </w:rPr>
              <w:t>Sefton</w:t>
            </w:r>
          </w:p>
        </w:tc>
        <w:tc>
          <w:tcPr>
            <w:tcW w:w="2252" w:type="dxa"/>
          </w:tcPr>
          <w:p w14:paraId="5F22DE6C" w14:textId="77777777" w:rsidR="00703235" w:rsidRPr="002229D1" w:rsidRDefault="00703235" w:rsidP="005E1781">
            <w:pPr>
              <w:jc w:val="center"/>
              <w:rPr>
                <w:rFonts w:cstheme="minorHAnsi"/>
                <w:sz w:val="20"/>
                <w:szCs w:val="20"/>
              </w:rPr>
            </w:pPr>
            <w:r w:rsidRPr="002229D1">
              <w:rPr>
                <w:rFonts w:cstheme="minorHAnsi"/>
                <w:sz w:val="20"/>
                <w:szCs w:val="20"/>
              </w:rPr>
              <w:t>94.9</w:t>
            </w:r>
          </w:p>
        </w:tc>
        <w:tc>
          <w:tcPr>
            <w:tcW w:w="2437" w:type="dxa"/>
          </w:tcPr>
          <w:p w14:paraId="57BBABB3" w14:textId="77777777" w:rsidR="00703235" w:rsidRPr="002229D1" w:rsidRDefault="00703235" w:rsidP="005E1781">
            <w:pPr>
              <w:jc w:val="center"/>
              <w:rPr>
                <w:rFonts w:cstheme="minorHAnsi"/>
                <w:sz w:val="20"/>
                <w:szCs w:val="20"/>
              </w:rPr>
            </w:pPr>
            <w:r w:rsidRPr="002229D1">
              <w:rPr>
                <w:rFonts w:cstheme="minorHAnsi"/>
                <w:sz w:val="20"/>
                <w:szCs w:val="20"/>
              </w:rPr>
              <w:t>38,363</w:t>
            </w:r>
          </w:p>
        </w:tc>
        <w:tc>
          <w:tcPr>
            <w:tcW w:w="2069" w:type="dxa"/>
          </w:tcPr>
          <w:p w14:paraId="55B6E365" w14:textId="77777777" w:rsidR="00703235" w:rsidRPr="002229D1" w:rsidRDefault="00703235" w:rsidP="005E1781">
            <w:pPr>
              <w:jc w:val="center"/>
              <w:rPr>
                <w:rFonts w:cstheme="minorHAnsi"/>
                <w:sz w:val="20"/>
                <w:szCs w:val="20"/>
              </w:rPr>
            </w:pPr>
            <w:r w:rsidRPr="002229D1">
              <w:rPr>
                <w:rFonts w:cstheme="minorHAnsi"/>
                <w:sz w:val="20"/>
                <w:szCs w:val="20"/>
              </w:rPr>
              <w:t>23.6</w:t>
            </w:r>
          </w:p>
        </w:tc>
      </w:tr>
      <w:tr w:rsidR="00703235" w:rsidRPr="002229D1" w14:paraId="5A1B016D" w14:textId="77777777" w:rsidTr="002229D1">
        <w:trPr>
          <w:trHeight w:val="283"/>
        </w:trPr>
        <w:tc>
          <w:tcPr>
            <w:tcW w:w="2252" w:type="dxa"/>
          </w:tcPr>
          <w:p w14:paraId="49DD65D9" w14:textId="77777777" w:rsidR="00703235" w:rsidRPr="002229D1" w:rsidRDefault="00703235" w:rsidP="005E1781">
            <w:pPr>
              <w:rPr>
                <w:rFonts w:cstheme="minorHAnsi"/>
                <w:sz w:val="20"/>
                <w:szCs w:val="20"/>
              </w:rPr>
            </w:pPr>
            <w:r w:rsidRPr="002229D1">
              <w:rPr>
                <w:rFonts w:cstheme="minorHAnsi"/>
                <w:sz w:val="20"/>
                <w:szCs w:val="20"/>
              </w:rPr>
              <w:t>Wirral</w:t>
            </w:r>
          </w:p>
        </w:tc>
        <w:tc>
          <w:tcPr>
            <w:tcW w:w="2252" w:type="dxa"/>
          </w:tcPr>
          <w:p w14:paraId="4D99069B" w14:textId="77777777" w:rsidR="00703235" w:rsidRPr="002229D1" w:rsidRDefault="00703235" w:rsidP="005E1781">
            <w:pPr>
              <w:jc w:val="center"/>
              <w:rPr>
                <w:rFonts w:cstheme="minorHAnsi"/>
                <w:sz w:val="20"/>
                <w:szCs w:val="20"/>
              </w:rPr>
            </w:pPr>
            <w:r w:rsidRPr="002229D1">
              <w:rPr>
                <w:rFonts w:cstheme="minorHAnsi"/>
                <w:sz w:val="20"/>
                <w:szCs w:val="20"/>
              </w:rPr>
              <w:t>94.4</w:t>
            </w:r>
          </w:p>
        </w:tc>
        <w:tc>
          <w:tcPr>
            <w:tcW w:w="2437" w:type="dxa"/>
          </w:tcPr>
          <w:p w14:paraId="029F3ACF" w14:textId="77777777" w:rsidR="00703235" w:rsidRPr="002229D1" w:rsidRDefault="00703235" w:rsidP="005E1781">
            <w:pPr>
              <w:jc w:val="center"/>
              <w:rPr>
                <w:rFonts w:cstheme="minorHAnsi"/>
                <w:sz w:val="20"/>
                <w:szCs w:val="20"/>
              </w:rPr>
            </w:pPr>
            <w:r w:rsidRPr="002229D1">
              <w:rPr>
                <w:rFonts w:cstheme="minorHAnsi"/>
                <w:sz w:val="20"/>
                <w:szCs w:val="20"/>
              </w:rPr>
              <w:t>39,207</w:t>
            </w:r>
          </w:p>
        </w:tc>
        <w:tc>
          <w:tcPr>
            <w:tcW w:w="2069" w:type="dxa"/>
          </w:tcPr>
          <w:p w14:paraId="319FCA27" w14:textId="77777777" w:rsidR="00703235" w:rsidRPr="002229D1" w:rsidRDefault="00703235" w:rsidP="005E1781">
            <w:pPr>
              <w:jc w:val="center"/>
              <w:rPr>
                <w:rFonts w:cstheme="minorHAnsi"/>
                <w:sz w:val="20"/>
                <w:szCs w:val="20"/>
              </w:rPr>
            </w:pPr>
            <w:r w:rsidRPr="002229D1">
              <w:rPr>
                <w:rFonts w:cstheme="minorHAnsi"/>
                <w:sz w:val="20"/>
                <w:szCs w:val="20"/>
              </w:rPr>
              <w:t>21.9</w:t>
            </w:r>
          </w:p>
        </w:tc>
      </w:tr>
      <w:tr w:rsidR="00DB1775" w:rsidRPr="002229D1" w14:paraId="78CC5511" w14:textId="77777777" w:rsidTr="002229D1">
        <w:trPr>
          <w:trHeight w:val="283"/>
        </w:trPr>
        <w:tc>
          <w:tcPr>
            <w:tcW w:w="2252" w:type="dxa"/>
          </w:tcPr>
          <w:p w14:paraId="2034C10D" w14:textId="5E7BED27" w:rsidR="00DB1775" w:rsidRPr="00A97A68" w:rsidRDefault="00DB1775" w:rsidP="00553B5D">
            <w:pPr>
              <w:rPr>
                <w:rFonts w:cstheme="minorHAnsi"/>
                <w:i/>
                <w:iCs/>
                <w:sz w:val="20"/>
                <w:szCs w:val="20"/>
              </w:rPr>
            </w:pPr>
            <w:r w:rsidRPr="00A97A68">
              <w:rPr>
                <w:rFonts w:cstheme="minorHAnsi"/>
                <w:i/>
                <w:iCs/>
                <w:sz w:val="20"/>
                <w:szCs w:val="20"/>
              </w:rPr>
              <w:t>England</w:t>
            </w:r>
          </w:p>
        </w:tc>
        <w:tc>
          <w:tcPr>
            <w:tcW w:w="2252" w:type="dxa"/>
          </w:tcPr>
          <w:p w14:paraId="22DED57C" w14:textId="34D10016" w:rsidR="00DB1775" w:rsidRPr="00A97A68" w:rsidRDefault="00DB1775" w:rsidP="005E1781">
            <w:pPr>
              <w:jc w:val="center"/>
              <w:rPr>
                <w:rFonts w:cstheme="minorHAnsi"/>
                <w:i/>
                <w:iCs/>
                <w:sz w:val="20"/>
                <w:szCs w:val="20"/>
              </w:rPr>
            </w:pPr>
            <w:r w:rsidRPr="00A97A68">
              <w:rPr>
                <w:rFonts w:cstheme="minorHAnsi"/>
                <w:i/>
                <w:iCs/>
                <w:sz w:val="20"/>
                <w:szCs w:val="20"/>
              </w:rPr>
              <w:t>78.4</w:t>
            </w:r>
          </w:p>
        </w:tc>
        <w:tc>
          <w:tcPr>
            <w:tcW w:w="2437" w:type="dxa"/>
          </w:tcPr>
          <w:p w14:paraId="59B0ADA4" w14:textId="465F9FD8" w:rsidR="00DB1775" w:rsidRPr="00A97A68" w:rsidRDefault="00DB1775" w:rsidP="005E1781">
            <w:pPr>
              <w:jc w:val="center"/>
              <w:rPr>
                <w:rFonts w:cstheme="minorHAnsi"/>
                <w:i/>
                <w:iCs/>
                <w:sz w:val="20"/>
                <w:szCs w:val="20"/>
              </w:rPr>
            </w:pPr>
            <w:r w:rsidRPr="00A97A68">
              <w:rPr>
                <w:rFonts w:cstheme="minorHAnsi"/>
                <w:i/>
                <w:iCs/>
                <w:sz w:val="20"/>
                <w:szCs w:val="20"/>
              </w:rPr>
              <w:t>34,200</w:t>
            </w:r>
          </w:p>
        </w:tc>
        <w:tc>
          <w:tcPr>
            <w:tcW w:w="2069" w:type="dxa"/>
          </w:tcPr>
          <w:p w14:paraId="6A02643D" w14:textId="7C3CEF6F" w:rsidR="00DB1775" w:rsidRPr="00A97A68" w:rsidRDefault="0095525B" w:rsidP="005E1781">
            <w:pPr>
              <w:jc w:val="center"/>
              <w:rPr>
                <w:rFonts w:cstheme="minorHAnsi"/>
                <w:i/>
                <w:iCs/>
                <w:sz w:val="20"/>
                <w:szCs w:val="20"/>
              </w:rPr>
            </w:pPr>
            <w:r w:rsidRPr="00A97A68">
              <w:rPr>
                <w:rFonts w:cstheme="minorHAnsi"/>
                <w:i/>
                <w:iCs/>
                <w:sz w:val="20"/>
                <w:szCs w:val="20"/>
              </w:rPr>
              <w:t>18.5</w:t>
            </w:r>
          </w:p>
        </w:tc>
      </w:tr>
    </w:tbl>
    <w:p w14:paraId="627F79C9" w14:textId="77777777" w:rsidR="00703235" w:rsidRDefault="00703235" w:rsidP="00DF7B41">
      <w:pPr>
        <w:spacing w:line="480" w:lineRule="auto"/>
      </w:pPr>
    </w:p>
    <w:p w14:paraId="3FA3246B" w14:textId="77777777" w:rsidR="00560F1D" w:rsidRDefault="00703235" w:rsidP="002229D1">
      <w:pPr>
        <w:spacing w:line="480" w:lineRule="auto"/>
      </w:pPr>
      <w:r w:rsidRPr="00BA2C3F">
        <w:rPr>
          <w:b/>
          <w:bCs/>
        </w:rPr>
        <w:t>Study design and questionnaire</w:t>
      </w:r>
    </w:p>
    <w:p w14:paraId="4F6FFD12" w14:textId="4750C46E" w:rsidR="00703235" w:rsidRDefault="00703235" w:rsidP="002229D1">
      <w:pPr>
        <w:spacing w:line="480" w:lineRule="auto"/>
      </w:pPr>
      <w:r>
        <w:t xml:space="preserve">The study utilised a cross-sectional community survey conducted between December 2020 and March 2021. All data were collected via an online questionnaire designed and delivered using ‘JISC Online Surveys’ </w:t>
      </w:r>
      <w:r w:rsidR="00BC418F">
        <w:t xml:space="preserve">(Additional File 1) </w:t>
      </w:r>
      <w:r>
        <w:t>(</w:t>
      </w:r>
      <w:r w:rsidR="002370BB">
        <w:t>1</w:t>
      </w:r>
      <w:r w:rsidR="007B5EB4">
        <w:t>6</w:t>
      </w:r>
      <w:r>
        <w:t xml:space="preserve">). </w:t>
      </w:r>
      <w:r w:rsidR="002B3AC7">
        <w:t>A</w:t>
      </w:r>
      <w:r>
        <w:t xml:space="preserve"> summary of the study’s purpose, inclusion criteria</w:t>
      </w:r>
      <w:r w:rsidR="009D7CBF">
        <w:t xml:space="preserve"> (adults 16+ years of age resident in Liverpool City Region)</w:t>
      </w:r>
      <w:r>
        <w:t>, voluntary nature, confidentiality and right to withdraw was presented</w:t>
      </w:r>
      <w:r w:rsidR="002B3AC7">
        <w:t xml:space="preserve"> prior to obtaining participant</w:t>
      </w:r>
      <w:r w:rsidR="005951D3">
        <w:t xml:space="preserve"> informed valid</w:t>
      </w:r>
      <w:r w:rsidR="002B3AC7">
        <w:t xml:space="preserve"> consent to complete the survey</w:t>
      </w:r>
      <w:r w:rsidR="00BC418F">
        <w:t>.</w:t>
      </w:r>
      <w:r w:rsidR="008E1170">
        <w:t xml:space="preserve"> </w:t>
      </w:r>
    </w:p>
    <w:p w14:paraId="164C6858" w14:textId="77777777" w:rsidR="00703235" w:rsidRDefault="00703235" w:rsidP="002229D1">
      <w:pPr>
        <w:spacing w:line="480" w:lineRule="auto"/>
      </w:pPr>
    </w:p>
    <w:p w14:paraId="0C4BB26B" w14:textId="65312F7E" w:rsidR="00703235" w:rsidRDefault="00703235" w:rsidP="002229D1">
      <w:pPr>
        <w:spacing w:line="480" w:lineRule="auto"/>
      </w:pPr>
      <w:r>
        <w:t xml:space="preserve">Participants </w:t>
      </w:r>
      <w:r w:rsidR="00415897">
        <w:t>were asked</w:t>
      </w:r>
      <w:r>
        <w:t xml:space="preserve"> to provide anonymous information to establish demographic characteristics</w:t>
      </w:r>
      <w:r w:rsidR="00BE4B65">
        <w:t xml:space="preserve"> including</w:t>
      </w:r>
      <w:r>
        <w:t xml:space="preserve"> age, gender, </w:t>
      </w:r>
      <w:r w:rsidR="00600836">
        <w:t>ethnicity</w:t>
      </w:r>
      <w:r>
        <w:t>, highest level of education, postcode</w:t>
      </w:r>
      <w:r w:rsidR="00BE4B65">
        <w:t xml:space="preserve"> district</w:t>
      </w:r>
      <w:r>
        <w:t xml:space="preserve"> and household income. Options for ethnicity were given in accordance with the Office for National Statistics (ONS) classification system for coding ethnicity in the UK (</w:t>
      </w:r>
      <w:r w:rsidR="002370BB">
        <w:t>12</w:t>
      </w:r>
      <w:r>
        <w:t xml:space="preserve">). The following sections of the questionnaire then asked questions pertaining to the acceptability of the various stages of engaging with this service. The remainder of the questionnaire was </w:t>
      </w:r>
      <w:r>
        <w:lastRenderedPageBreak/>
        <w:t xml:space="preserve">split into </w:t>
      </w:r>
      <w:r w:rsidR="00430948">
        <w:t xml:space="preserve">four </w:t>
      </w:r>
      <w:r>
        <w:t>sections: ‘Provision of data (concerning illness)’, ‘Poo (stool) sample collection’, ‘Poo (stool) sample storage and return’ and ‘Receiving results’.</w:t>
      </w:r>
    </w:p>
    <w:p w14:paraId="4F085A0F" w14:textId="77777777" w:rsidR="00703235" w:rsidRDefault="00703235" w:rsidP="002229D1">
      <w:pPr>
        <w:spacing w:line="480" w:lineRule="auto"/>
      </w:pPr>
    </w:p>
    <w:p w14:paraId="0E73CB37" w14:textId="4AED048B" w:rsidR="00703235" w:rsidRDefault="00703235" w:rsidP="002229D1">
      <w:pPr>
        <w:spacing w:line="480" w:lineRule="auto"/>
      </w:pPr>
      <w:r>
        <w:t>The question response format primarily comprised a 5-point ordinal scale (Likert scale), consistent with previous questionnaires aiming to ascertain public opinion regarding community stool sampling (</w:t>
      </w:r>
      <w:r w:rsidR="002370BB">
        <w:t>5</w:t>
      </w:r>
      <w:r>
        <w:t xml:space="preserve">, </w:t>
      </w:r>
      <w:r w:rsidR="002370BB">
        <w:t>10</w:t>
      </w:r>
      <w:r>
        <w:t xml:space="preserve">). Responses were in most cases a choice of a 1-5 graded answer, with 1 representing ‘Very comfortable/Strongly agree/Very likely’ and 5 representing ‘Very uncomfortable/Strongly disagree/Very unlikely’. </w:t>
      </w:r>
      <w:r w:rsidR="001920CE">
        <w:t>Two questions had binary outcomes; whether they would provide stool (yes/no), and their preferred method of stool sampling</w:t>
      </w:r>
      <w:r w:rsidR="00CF6FD7">
        <w:t xml:space="preserve"> (Method A or Method B).</w:t>
      </w:r>
      <w:r w:rsidR="006B4F3E">
        <w:t xml:space="preserve"> Method A presented the instructions for the current FIT kit used for bowel cancer screening in the National Health Service (NHS) </w:t>
      </w:r>
      <w:hyperlink r:id="rId9" w:history="1">
        <w:r w:rsidR="009A4F0A" w:rsidRPr="00F043E4">
          <w:rPr>
            <w:rStyle w:val="Hyperlink"/>
            <w:color w:val="auto"/>
            <w:u w:val="none"/>
          </w:rPr>
          <w:t>(17)</w:t>
        </w:r>
      </w:hyperlink>
      <w:r w:rsidR="00CC5CE1">
        <w:t xml:space="preserve"> and </w:t>
      </w:r>
      <w:r w:rsidR="00CC5CE1" w:rsidRPr="00CC5CE1">
        <w:t>in</w:t>
      </w:r>
      <w:r w:rsidR="00952473">
        <w:t>volved using a</w:t>
      </w:r>
      <w:r w:rsidR="00952473" w:rsidRPr="00952473">
        <w:t xml:space="preserve"> container or laye</w:t>
      </w:r>
      <w:r w:rsidR="00952473">
        <w:t>rs of toilet paper to catch</w:t>
      </w:r>
      <w:r w:rsidR="00952473" w:rsidRPr="00952473">
        <w:t xml:space="preserve"> </w:t>
      </w:r>
      <w:r w:rsidR="00952473">
        <w:t xml:space="preserve">stool first before sampling with a </w:t>
      </w:r>
      <w:r w:rsidR="00572A2D">
        <w:t xml:space="preserve">small </w:t>
      </w:r>
      <w:r w:rsidR="00952473">
        <w:t>scoop</w:t>
      </w:r>
      <w:r w:rsidR="00572A2D">
        <w:t xml:space="preserve"> attached to the inside lid of the sample tube</w:t>
      </w:r>
      <w:r w:rsidR="00CF6FD7">
        <w:t>.</w:t>
      </w:r>
      <w:r w:rsidR="006B4F3E">
        <w:t xml:space="preserve"> Method B presented the use of</w:t>
      </w:r>
      <w:r w:rsidR="006B4F3E" w:rsidRPr="006B4F3E">
        <w:t xml:space="preserve"> </w:t>
      </w:r>
      <w:r w:rsidR="006B4F3E">
        <w:t>t</w:t>
      </w:r>
      <w:r w:rsidR="006B4F3E" w:rsidRPr="006B4F3E">
        <w:t>he Fe-Col® faecal collection device</w:t>
      </w:r>
      <w:r w:rsidR="00CC5CE1" w:rsidRPr="00CC5CE1">
        <w:t xml:space="preserve"> </w:t>
      </w:r>
      <w:r w:rsidR="00572A2D" w:rsidRPr="0025459A">
        <w:t>[https://www.faecal-immunochemical-test.co.uk/products/faecal-collection/],</w:t>
      </w:r>
      <w:r w:rsidR="00572A2D">
        <w:rPr>
          <w:sz w:val="21"/>
          <w:szCs w:val="21"/>
        </w:rPr>
        <w:t xml:space="preserve"> </w:t>
      </w:r>
      <w:r w:rsidR="00CC5CE1">
        <w:t>which u</w:t>
      </w:r>
      <w:r w:rsidR="00952473">
        <w:t>tilises</w:t>
      </w:r>
      <w:r w:rsidR="00CC5CE1" w:rsidRPr="00CC5CE1">
        <w:t xml:space="preserve"> a </w:t>
      </w:r>
      <w:r w:rsidR="00952473">
        <w:t xml:space="preserve">biodegradable </w:t>
      </w:r>
      <w:r w:rsidR="00CC5CE1" w:rsidRPr="00CC5CE1">
        <w:t xml:space="preserve">‘poo hammock’ </w:t>
      </w:r>
      <w:r w:rsidR="00CC5CE1">
        <w:t xml:space="preserve">device </w:t>
      </w:r>
      <w:r w:rsidR="00952473">
        <w:t xml:space="preserve">which can be attached to the toilet seat </w:t>
      </w:r>
      <w:r w:rsidR="00CC5CE1">
        <w:t>to catch stool before sampling</w:t>
      </w:r>
      <w:r w:rsidR="00952473">
        <w:t xml:space="preserve"> in the same way as Method A</w:t>
      </w:r>
      <w:r w:rsidR="006B4F3E" w:rsidRPr="006B4F3E">
        <w:t>.</w:t>
      </w:r>
      <w:r w:rsidR="006B4F3E">
        <w:t xml:space="preserve"> </w:t>
      </w:r>
      <w:r>
        <w:t xml:space="preserve">The </w:t>
      </w:r>
      <w:r w:rsidR="00CF6FD7">
        <w:t xml:space="preserve">remaining </w:t>
      </w:r>
      <w:r>
        <w:t>questions</w:t>
      </w:r>
      <w:r w:rsidR="00CF6FD7">
        <w:t xml:space="preserve"> were</w:t>
      </w:r>
      <w:r>
        <w:t xml:space="preserve"> aim</w:t>
      </w:r>
      <w:r w:rsidR="00A97A68">
        <w:t xml:space="preserve">ed at determining </w:t>
      </w:r>
      <w:r>
        <w:t xml:space="preserve">participant motives </w:t>
      </w:r>
      <w:r w:rsidR="00A97A68">
        <w:t xml:space="preserve">for </w:t>
      </w:r>
      <w:r>
        <w:t xml:space="preserve">agreeing or disagreeing with a previous statement/question. These few questions featured dropdown choices of common causal factors i.e. when disagreeing with providing a stool sample, options included </w:t>
      </w:r>
      <w:r w:rsidR="00430948">
        <w:t>‘</w:t>
      </w:r>
      <w:r>
        <w:t>perceived unpleasantness of the activity</w:t>
      </w:r>
      <w:r w:rsidR="00430948">
        <w:t xml:space="preserve">’ </w:t>
      </w:r>
      <w:r>
        <w:t xml:space="preserve">or </w:t>
      </w:r>
      <w:r w:rsidR="00430948">
        <w:t>‘</w:t>
      </w:r>
      <w:r>
        <w:t>too time</w:t>
      </w:r>
      <w:r w:rsidR="00C76701">
        <w:t>-</w:t>
      </w:r>
      <w:r>
        <w:t>consuming</w:t>
      </w:r>
      <w:r w:rsidR="00430948">
        <w:t>’.</w:t>
      </w:r>
    </w:p>
    <w:p w14:paraId="0B47C7B0" w14:textId="77777777" w:rsidR="00703235" w:rsidRDefault="00703235" w:rsidP="002229D1">
      <w:pPr>
        <w:spacing w:line="480" w:lineRule="auto"/>
      </w:pPr>
    </w:p>
    <w:p w14:paraId="17F3B3D8" w14:textId="0CB00B5A" w:rsidR="00703235" w:rsidRDefault="00430948" w:rsidP="002229D1">
      <w:pPr>
        <w:spacing w:line="480" w:lineRule="auto"/>
      </w:pPr>
      <w:r>
        <w:t xml:space="preserve">Both the structure and the terminology used in the </w:t>
      </w:r>
      <w:r w:rsidR="00703235">
        <w:t xml:space="preserve">questionnaire was refined </w:t>
      </w:r>
      <w:r w:rsidR="00400EFB">
        <w:t xml:space="preserve">following review by </w:t>
      </w:r>
      <w:r w:rsidR="0043320A">
        <w:t>a patient</w:t>
      </w:r>
      <w:r w:rsidR="00703235">
        <w:t xml:space="preserve"> and public involvement (PPI) panel</w:t>
      </w:r>
      <w:r>
        <w:t xml:space="preserve">, so as to encourage maximum </w:t>
      </w:r>
      <w:r>
        <w:lastRenderedPageBreak/>
        <w:t>response from participants</w:t>
      </w:r>
      <w:r w:rsidR="00703235">
        <w:t>.</w:t>
      </w:r>
      <w:r w:rsidR="008404F2">
        <w:t xml:space="preserve"> </w:t>
      </w:r>
      <w:r w:rsidR="00400EFB">
        <w:t>Following</w:t>
      </w:r>
      <w:r w:rsidR="00703235">
        <w:t xml:space="preserve"> completion of the questionnaire, participants were presented with a link to the NHS information on </w:t>
      </w:r>
      <w:r w:rsidR="00834E68">
        <w:t>diarrhoea and vomiting (18).</w:t>
      </w:r>
    </w:p>
    <w:p w14:paraId="7B4734BD" w14:textId="77777777" w:rsidR="00703235" w:rsidRDefault="00703235" w:rsidP="002229D1">
      <w:pPr>
        <w:spacing w:line="480" w:lineRule="auto"/>
      </w:pPr>
    </w:p>
    <w:p w14:paraId="09F3F190" w14:textId="77777777" w:rsidR="00560F1D" w:rsidRDefault="00703533" w:rsidP="002229D1">
      <w:pPr>
        <w:spacing w:line="480" w:lineRule="auto"/>
        <w:rPr>
          <w:b/>
          <w:bCs/>
        </w:rPr>
      </w:pPr>
      <w:r>
        <w:rPr>
          <w:b/>
          <w:bCs/>
        </w:rPr>
        <w:t>Recruitment</w:t>
      </w:r>
    </w:p>
    <w:p w14:paraId="44AB4265" w14:textId="6E86E1E6" w:rsidR="00703235" w:rsidRDefault="00703235" w:rsidP="002229D1">
      <w:pPr>
        <w:spacing w:line="480" w:lineRule="auto"/>
      </w:pPr>
      <w:r>
        <w:t xml:space="preserve">Participants were recruited </w:t>
      </w:r>
      <w:r w:rsidR="008E1170">
        <w:t>through multiple</w:t>
      </w:r>
      <w:r>
        <w:t xml:space="preserve"> online sources to capture the most demographically diverse r</w:t>
      </w:r>
      <w:r w:rsidR="00C67C82">
        <w:t xml:space="preserve">ange of participants possible. </w:t>
      </w:r>
      <w:r>
        <w:t xml:space="preserve">These sources </w:t>
      </w:r>
      <w:r w:rsidR="00AA0EE5">
        <w:t>included</w:t>
      </w:r>
      <w:r w:rsidR="00801903">
        <w:t>:</w:t>
      </w:r>
      <w:r w:rsidR="008E1170">
        <w:t xml:space="preserve"> </w:t>
      </w:r>
      <w:r>
        <w:t>advert</w:t>
      </w:r>
      <w:r w:rsidR="00732C83">
        <w:t>s</w:t>
      </w:r>
      <w:r>
        <w:t xml:space="preserve"> to community centres via email </w:t>
      </w:r>
      <w:r w:rsidR="008404F2">
        <w:t>and social</w:t>
      </w:r>
      <w:r>
        <w:t xml:space="preserve"> media (Facebook message)</w:t>
      </w:r>
      <w:r w:rsidR="00801903">
        <w:t>;</w:t>
      </w:r>
      <w:r>
        <w:t xml:space="preserve"> sharing by local council groups on webpages and social media; distribution through NIHR Collaboration for Leadership in Applied Health Research and Care (CLAHRC, now ARC) contrib</w:t>
      </w:r>
      <w:r w:rsidR="00C67C82">
        <w:t xml:space="preserve">utors; University of Liverpool </w:t>
      </w:r>
      <w:r w:rsidR="007048CC">
        <w:t>email/</w:t>
      </w:r>
      <w:r>
        <w:t>webpage</w:t>
      </w:r>
      <w:r w:rsidR="007048CC">
        <w:t>s</w:t>
      </w:r>
      <w:r>
        <w:t xml:space="preserve"> for staff and students</w:t>
      </w:r>
      <w:r w:rsidR="00801903">
        <w:t>;</w:t>
      </w:r>
      <w:r>
        <w:t xml:space="preserve"> </w:t>
      </w:r>
      <w:r w:rsidR="00732C83">
        <w:t xml:space="preserve">and </w:t>
      </w:r>
      <w:r>
        <w:t xml:space="preserve">social media followers of </w:t>
      </w:r>
      <w:r w:rsidR="00732C83">
        <w:t>the F</w:t>
      </w:r>
      <w:r w:rsidR="00C67C82">
        <w:t>aculty of Health and</w:t>
      </w:r>
      <w:r>
        <w:t xml:space="preserve"> Life Sciences. </w:t>
      </w:r>
    </w:p>
    <w:p w14:paraId="791EE37F" w14:textId="77777777" w:rsidR="00703235" w:rsidRPr="00691D88" w:rsidRDefault="00703235" w:rsidP="002229D1">
      <w:pPr>
        <w:spacing w:line="480" w:lineRule="auto"/>
        <w:rPr>
          <w:b/>
          <w:bCs/>
        </w:rPr>
      </w:pPr>
    </w:p>
    <w:p w14:paraId="13601D33" w14:textId="77777777" w:rsidR="00560F1D" w:rsidRDefault="00560F1D" w:rsidP="002229D1">
      <w:pPr>
        <w:spacing w:line="480" w:lineRule="auto"/>
        <w:rPr>
          <w:b/>
          <w:bCs/>
        </w:rPr>
      </w:pPr>
      <w:r>
        <w:rPr>
          <w:b/>
          <w:bCs/>
        </w:rPr>
        <w:t>Data Analysis</w:t>
      </w:r>
    </w:p>
    <w:p w14:paraId="30C2B8C1" w14:textId="694CEA38" w:rsidR="00703235" w:rsidRDefault="00703235" w:rsidP="002229D1">
      <w:pPr>
        <w:spacing w:line="480" w:lineRule="auto"/>
      </w:pPr>
      <w:r>
        <w:t xml:space="preserve">All analyses were conducted using R and Rstudio (Version 1.4.1106). </w:t>
      </w:r>
      <w:r w:rsidR="00732C83">
        <w:t>We excluded from the analysis those p</w:t>
      </w:r>
      <w:r>
        <w:t xml:space="preserve">articipants </w:t>
      </w:r>
      <w:r w:rsidR="00732C83">
        <w:t xml:space="preserve">who </w:t>
      </w:r>
      <w:r>
        <w:t xml:space="preserve">provided consent only for demographic </w:t>
      </w:r>
      <w:r w:rsidR="0043320A">
        <w:t>variables, and</w:t>
      </w:r>
      <w:r w:rsidR="00732C83">
        <w:t xml:space="preserve"> t</w:t>
      </w:r>
      <w:r>
        <w:t xml:space="preserve">hose who entered a first part postcode from outside of </w:t>
      </w:r>
      <w:r w:rsidR="00F75D88">
        <w:t>Liverpool City Region</w:t>
      </w:r>
      <w:r w:rsidR="00732C83">
        <w:t>.</w:t>
      </w:r>
      <w:r>
        <w:t xml:space="preserve"> </w:t>
      </w:r>
    </w:p>
    <w:p w14:paraId="39369C28" w14:textId="77777777" w:rsidR="00703235" w:rsidRDefault="00703235" w:rsidP="002229D1">
      <w:pPr>
        <w:spacing w:line="480" w:lineRule="auto"/>
      </w:pPr>
    </w:p>
    <w:p w14:paraId="7F116E6A" w14:textId="01D43213" w:rsidR="00703235" w:rsidRDefault="00703235" w:rsidP="002229D1">
      <w:pPr>
        <w:spacing w:line="480" w:lineRule="auto"/>
      </w:pPr>
      <w:r>
        <w:t>Due to</w:t>
      </w:r>
      <w:r w:rsidR="00C76701">
        <w:t xml:space="preserve"> </w:t>
      </w:r>
      <w:r w:rsidR="003354C3">
        <w:t xml:space="preserve">the </w:t>
      </w:r>
      <w:r w:rsidR="00CF6FD7">
        <w:t>small</w:t>
      </w:r>
      <w:r w:rsidR="00E51DCF">
        <w:t xml:space="preserve"> </w:t>
      </w:r>
      <w:r w:rsidR="003354C3">
        <w:t>sample size</w:t>
      </w:r>
      <w:r>
        <w:t xml:space="preserve">, all </w:t>
      </w:r>
      <w:r w:rsidR="00F043E4">
        <w:t xml:space="preserve">those </w:t>
      </w:r>
      <w:r w:rsidR="00750852">
        <w:t xml:space="preserve">persons </w:t>
      </w:r>
      <w:r w:rsidR="00F043E4">
        <w:t>identifying as</w:t>
      </w:r>
      <w:r w:rsidR="008C4529">
        <w:t xml:space="preserve"> non-white British</w:t>
      </w:r>
      <w:r w:rsidR="00F043E4">
        <w:t xml:space="preserve"> </w:t>
      </w:r>
      <w:r w:rsidR="00750852">
        <w:t>white ethnicities, including</w:t>
      </w:r>
      <w:r w:rsidR="00750852" w:rsidRPr="003354C3">
        <w:t xml:space="preserve"> </w:t>
      </w:r>
      <w:r w:rsidR="00750852">
        <w:t xml:space="preserve">white other, </w:t>
      </w:r>
      <w:r w:rsidR="00750852" w:rsidRPr="003354C3">
        <w:t>I</w:t>
      </w:r>
      <w:r w:rsidR="00750852">
        <w:t xml:space="preserve">rish, Gypsy or Irish Traveller were coded into the larger group ‘White Other’. Persons identifying as non-white ethnicities, including: </w:t>
      </w:r>
      <w:r w:rsidR="003354C3">
        <w:t>‘Mixed/Multiple Ethnic Groups’</w:t>
      </w:r>
      <w:r w:rsidR="003354C3" w:rsidRPr="003354C3">
        <w:t>; White and Asian, White and Black African, White and Black Caribbe</w:t>
      </w:r>
      <w:r w:rsidR="003354C3">
        <w:t>an, Other; ‘Asian British/Asian’</w:t>
      </w:r>
      <w:r w:rsidR="003354C3" w:rsidRPr="003354C3">
        <w:t>; Chinese, Pakistan</w:t>
      </w:r>
      <w:r w:rsidR="00750852">
        <w:t>i, Indian, Bangladeshi, Other; ‘</w:t>
      </w:r>
      <w:r w:rsidR="003354C3" w:rsidRPr="003354C3">
        <w:t>Black British/Blac</w:t>
      </w:r>
      <w:r w:rsidR="00750852">
        <w:t>k’,</w:t>
      </w:r>
      <w:r w:rsidR="003354C3">
        <w:t xml:space="preserve"> African, Caribbean, Other; </w:t>
      </w:r>
      <w:r w:rsidR="00750852">
        <w:t xml:space="preserve">and </w:t>
      </w:r>
      <w:r w:rsidR="003354C3">
        <w:t>‘Other Ethnic Group’</w:t>
      </w:r>
      <w:r w:rsidR="003354C3" w:rsidRPr="003354C3">
        <w:t>; Arab, Other</w:t>
      </w:r>
      <w:r w:rsidR="003354C3">
        <w:t xml:space="preserve"> </w:t>
      </w:r>
      <w:r>
        <w:t xml:space="preserve">were coded into the larger group </w:t>
      </w:r>
      <w:r w:rsidR="00801903">
        <w:t>‘</w:t>
      </w:r>
      <w:r w:rsidR="00782255" w:rsidRPr="00D4418D">
        <w:t>Black, Asian and minority ethnic</w:t>
      </w:r>
      <w:r w:rsidR="00C67C82">
        <w:t>’</w:t>
      </w:r>
      <w:r w:rsidR="008C4529">
        <w:t xml:space="preserve"> (BAME)</w:t>
      </w:r>
      <w:r>
        <w:t xml:space="preserve">. Similarly, </w:t>
      </w:r>
      <w:r w:rsidR="008404F2">
        <w:t>amongst ‘</w:t>
      </w:r>
      <w:r>
        <w:t xml:space="preserve">Number </w:t>
      </w:r>
      <w:r>
        <w:lastRenderedPageBreak/>
        <w:t>of Children</w:t>
      </w:r>
      <w:r w:rsidR="00801903">
        <w:t>’</w:t>
      </w:r>
      <w:r w:rsidR="007663B3">
        <w:t>, all</w:t>
      </w:r>
      <w:r>
        <w:t xml:space="preserve"> responses with a number of children of 3 or higher were coded into the larger group </w:t>
      </w:r>
      <w:r w:rsidR="00801903">
        <w:t>‘</w:t>
      </w:r>
      <w:r>
        <w:t>3 or more</w:t>
      </w:r>
      <w:r w:rsidR="00801903">
        <w:t>’</w:t>
      </w:r>
      <w:r>
        <w:t xml:space="preserve"> and all responses with a number of children that was 1 or 2 were coded into the larger group </w:t>
      </w:r>
      <w:r w:rsidR="00801903">
        <w:t>‘</w:t>
      </w:r>
      <w:r>
        <w:t>1-2</w:t>
      </w:r>
      <w:r w:rsidR="00801903">
        <w:t>’</w:t>
      </w:r>
      <w:r>
        <w:t>.</w:t>
      </w:r>
    </w:p>
    <w:p w14:paraId="5AC5C813" w14:textId="77777777" w:rsidR="00703235" w:rsidRDefault="00703235" w:rsidP="002229D1">
      <w:pPr>
        <w:spacing w:line="480" w:lineRule="auto"/>
      </w:pPr>
    </w:p>
    <w:p w14:paraId="70996C92" w14:textId="40CE22E4" w:rsidR="00703235" w:rsidRDefault="00026CBF" w:rsidP="002229D1">
      <w:pPr>
        <w:spacing w:line="480" w:lineRule="auto"/>
      </w:pPr>
      <w:r>
        <w:t>D</w:t>
      </w:r>
      <w:r w:rsidR="00703235">
        <w:t>escriptive analysis of the responses including the variable</w:t>
      </w:r>
      <w:r w:rsidR="00F71053">
        <w:t>s</w:t>
      </w:r>
      <w:r w:rsidR="00703235">
        <w:t xml:space="preserve"> of interest was conducted and summary statistics calculated and tabulated. </w:t>
      </w:r>
    </w:p>
    <w:p w14:paraId="48E71DEA" w14:textId="77777777" w:rsidR="00703235" w:rsidRDefault="00703235" w:rsidP="002229D1">
      <w:pPr>
        <w:spacing w:line="480" w:lineRule="auto"/>
      </w:pPr>
    </w:p>
    <w:p w14:paraId="1B9D0192" w14:textId="188599C3" w:rsidR="00703235" w:rsidRDefault="00703235" w:rsidP="002229D1">
      <w:pPr>
        <w:spacing w:line="480" w:lineRule="auto"/>
      </w:pPr>
      <w:r>
        <w:t>Univariable logistic regression analysis was conducted to assess any associations between demographics/background questions (independent variables) and whether a participant would be happy to provide a stool sample (dependent: yes/no). Some categories were collapsed for the purposes of the univariable analysis</w:t>
      </w:r>
      <w:r w:rsidR="00CB7FC4">
        <w:t xml:space="preserve">. Age groups </w:t>
      </w:r>
      <w:r w:rsidR="00801903">
        <w:t>‘</w:t>
      </w:r>
      <w:r w:rsidR="00CB7FC4">
        <w:t>55-64</w:t>
      </w:r>
      <w:r w:rsidR="00801903">
        <w:t>’</w:t>
      </w:r>
      <w:r w:rsidR="00CB7FC4">
        <w:t xml:space="preserve"> and </w:t>
      </w:r>
      <w:r w:rsidR="00801903">
        <w:t>‘</w:t>
      </w:r>
      <w:r w:rsidR="00CB7FC4">
        <w:t>65+</w:t>
      </w:r>
      <w:r w:rsidR="00801903">
        <w:t>’</w:t>
      </w:r>
      <w:r w:rsidR="00CB7FC4">
        <w:t xml:space="preserve"> were </w:t>
      </w:r>
      <w:r w:rsidR="00C16A27">
        <w:t xml:space="preserve">aggregated </w:t>
      </w:r>
      <w:r w:rsidR="00CB7FC4">
        <w:t xml:space="preserve">to </w:t>
      </w:r>
      <w:r w:rsidR="00801903">
        <w:t>‘</w:t>
      </w:r>
      <w:r w:rsidR="00CB7FC4">
        <w:t>55+</w:t>
      </w:r>
      <w:r w:rsidR="00801903">
        <w:t>’</w:t>
      </w:r>
      <w:r w:rsidR="00CB7FC4">
        <w:t xml:space="preserve"> and </w:t>
      </w:r>
      <w:r w:rsidR="00801903">
        <w:t>‘</w:t>
      </w:r>
      <w:r w:rsidR="00CB7FC4">
        <w:t>16-17</w:t>
      </w:r>
      <w:r w:rsidR="00801903">
        <w:t>’</w:t>
      </w:r>
      <w:r w:rsidR="00CB7FC4">
        <w:t xml:space="preserve"> was included with </w:t>
      </w:r>
      <w:r w:rsidR="00F3636B">
        <w:t>‘</w:t>
      </w:r>
      <w:r w:rsidR="00CB7FC4">
        <w:t>18-24</w:t>
      </w:r>
      <w:r w:rsidR="00F3636B">
        <w:t>’</w:t>
      </w:r>
      <w:r w:rsidR="00CB7FC4">
        <w:t xml:space="preserve"> to form the group </w:t>
      </w:r>
      <w:r w:rsidR="00801903">
        <w:t>‘</w:t>
      </w:r>
      <w:r w:rsidR="00CB7FC4">
        <w:t>16-24</w:t>
      </w:r>
      <w:r w:rsidR="00801903">
        <w:t>’</w:t>
      </w:r>
      <w:r w:rsidR="00CB7FC4">
        <w:t>.</w:t>
      </w:r>
      <w:r>
        <w:t xml:space="preserve"> Household Income groups </w:t>
      </w:r>
      <w:r w:rsidR="00801903">
        <w:t>‘</w:t>
      </w:r>
      <w:r>
        <w:t>&lt;£10,000</w:t>
      </w:r>
      <w:r w:rsidR="00801903">
        <w:t>’</w:t>
      </w:r>
      <w:r>
        <w:t xml:space="preserve">, </w:t>
      </w:r>
      <w:r w:rsidR="00801903">
        <w:t>‘</w:t>
      </w:r>
      <w:r>
        <w:t>£10,001-20,000</w:t>
      </w:r>
      <w:r w:rsidR="00801903">
        <w:t>’</w:t>
      </w:r>
      <w:r>
        <w:t xml:space="preserve"> and </w:t>
      </w:r>
      <w:r w:rsidR="00801903">
        <w:t>‘</w:t>
      </w:r>
      <w:r>
        <w:t>£20,001-30,000</w:t>
      </w:r>
      <w:r w:rsidR="00801903">
        <w:t>’</w:t>
      </w:r>
      <w:r>
        <w:t xml:space="preserve"> were collapsed to </w:t>
      </w:r>
      <w:r w:rsidR="00801903">
        <w:t>‘</w:t>
      </w:r>
      <w:r>
        <w:t>&lt;£30,000</w:t>
      </w:r>
      <w:r w:rsidR="00801903">
        <w:t>’</w:t>
      </w:r>
      <w:r>
        <w:t xml:space="preserve">, as well as </w:t>
      </w:r>
      <w:r w:rsidR="00801903">
        <w:t>‘</w:t>
      </w:r>
      <w:r>
        <w:t>30,001-45,000</w:t>
      </w:r>
      <w:r w:rsidR="00801903">
        <w:t>’</w:t>
      </w:r>
      <w:r>
        <w:t xml:space="preserve"> and </w:t>
      </w:r>
      <w:r w:rsidR="00801903">
        <w:t>‘</w:t>
      </w:r>
      <w:r>
        <w:t>£45,001-60,000</w:t>
      </w:r>
      <w:r w:rsidR="00801903">
        <w:t>’</w:t>
      </w:r>
      <w:r>
        <w:t xml:space="preserve"> to </w:t>
      </w:r>
      <w:r w:rsidR="00801903">
        <w:t>‘</w:t>
      </w:r>
      <w:r>
        <w:t>£30,000-60,000</w:t>
      </w:r>
      <w:r w:rsidR="00801903">
        <w:t>’</w:t>
      </w:r>
      <w:r>
        <w:t xml:space="preserve">. Educational Attainment groups </w:t>
      </w:r>
      <w:r w:rsidR="00801903">
        <w:t>‘</w:t>
      </w:r>
      <w:r>
        <w:t>Masters</w:t>
      </w:r>
      <w:r w:rsidR="00801903">
        <w:t>’</w:t>
      </w:r>
      <w:r>
        <w:t xml:space="preserve"> and </w:t>
      </w:r>
      <w:r w:rsidR="00801903">
        <w:t>‘</w:t>
      </w:r>
      <w:r>
        <w:t>PhD</w:t>
      </w:r>
      <w:r w:rsidR="00801903">
        <w:t>’</w:t>
      </w:r>
      <w:r>
        <w:t xml:space="preserve"> were collapsed to </w:t>
      </w:r>
      <w:r w:rsidR="00801903">
        <w:t>‘</w:t>
      </w:r>
      <w:r>
        <w:t>Masters/PhD</w:t>
      </w:r>
      <w:r w:rsidR="00801903">
        <w:t>’</w:t>
      </w:r>
      <w:r w:rsidR="00F75D88">
        <w:t xml:space="preserve">, </w:t>
      </w:r>
      <w:r w:rsidR="00801903">
        <w:t>‘</w:t>
      </w:r>
      <w:r w:rsidR="00F75D88">
        <w:t>NVQ/GCSE/O Level</w:t>
      </w:r>
      <w:r w:rsidR="00801903">
        <w:t>’</w:t>
      </w:r>
      <w:r w:rsidR="00F75D88">
        <w:t xml:space="preserve"> and </w:t>
      </w:r>
      <w:r w:rsidR="00801903">
        <w:t>‘</w:t>
      </w:r>
      <w:r w:rsidR="00F75D88">
        <w:t>A levels/BTEC/level 3 diploma</w:t>
      </w:r>
      <w:r w:rsidR="00801903">
        <w:t>’</w:t>
      </w:r>
      <w:r w:rsidR="00F75D88">
        <w:t xml:space="preserve"> were collapsed to </w:t>
      </w:r>
      <w:r w:rsidR="00801903">
        <w:t>‘</w:t>
      </w:r>
      <w:r w:rsidR="00F75D88">
        <w:t>Lower than Degree</w:t>
      </w:r>
      <w:r w:rsidR="00801903">
        <w:t>’</w:t>
      </w:r>
      <w:r w:rsidR="00F75D88">
        <w:t xml:space="preserve">, </w:t>
      </w:r>
      <w:r>
        <w:t xml:space="preserve">as well as </w:t>
      </w:r>
      <w:r w:rsidR="00801903">
        <w:t>‘</w:t>
      </w:r>
      <w:r>
        <w:t>Degree/PGDips</w:t>
      </w:r>
      <w:r w:rsidR="00801903">
        <w:t>’</w:t>
      </w:r>
      <w:r>
        <w:t xml:space="preserve"> and </w:t>
      </w:r>
      <w:r w:rsidR="00801903">
        <w:t>‘</w:t>
      </w:r>
      <w:r>
        <w:t>Other</w:t>
      </w:r>
      <w:r w:rsidR="00801903">
        <w:t>’</w:t>
      </w:r>
      <w:r>
        <w:t xml:space="preserve"> to </w:t>
      </w:r>
      <w:r w:rsidR="00801903">
        <w:t>‘</w:t>
      </w:r>
      <w:r>
        <w:t>Degree/HND/PGDips</w:t>
      </w:r>
      <w:r w:rsidR="00801903">
        <w:t>’</w:t>
      </w:r>
      <w:r>
        <w:t xml:space="preserve">. </w:t>
      </w:r>
      <w:r w:rsidR="00F71053" w:rsidRPr="00F71053">
        <w:t>The mod</w:t>
      </w:r>
      <w:r w:rsidR="00F71053">
        <w:t>els enabled the calculation of odds ratios</w:t>
      </w:r>
      <w:r w:rsidR="00C16A27">
        <w:t xml:space="preserve"> (ORs)</w:t>
      </w:r>
      <w:r w:rsidR="00F71053" w:rsidRPr="00F71053">
        <w:t xml:space="preserve"> and robust 95% </w:t>
      </w:r>
      <w:r w:rsidR="00C16A27">
        <w:t>confidence intervals (</w:t>
      </w:r>
      <w:r w:rsidR="00F71053" w:rsidRPr="00F71053">
        <w:t>C</w:t>
      </w:r>
      <w:r w:rsidR="00600836">
        <w:t>I</w:t>
      </w:r>
      <w:r w:rsidR="00F71053" w:rsidRPr="00F71053">
        <w:t>s</w:t>
      </w:r>
      <w:r w:rsidR="00C16A27">
        <w:t>)</w:t>
      </w:r>
      <w:r w:rsidR="00F71053">
        <w:t xml:space="preserve">. </w:t>
      </w:r>
    </w:p>
    <w:p w14:paraId="4C0DE5D1" w14:textId="77777777" w:rsidR="00560F1D" w:rsidRDefault="00560F1D" w:rsidP="002229D1">
      <w:pPr>
        <w:spacing w:line="480" w:lineRule="auto"/>
        <w:rPr>
          <w:b/>
        </w:rPr>
      </w:pPr>
    </w:p>
    <w:p w14:paraId="73566DB4" w14:textId="78FD7AFB" w:rsidR="00560F1D" w:rsidRPr="00560F1D" w:rsidRDefault="00560F1D" w:rsidP="002229D1">
      <w:pPr>
        <w:spacing w:line="480" w:lineRule="auto"/>
        <w:rPr>
          <w:b/>
        </w:rPr>
      </w:pPr>
      <w:r w:rsidRPr="00560F1D">
        <w:rPr>
          <w:b/>
        </w:rPr>
        <w:t>Ethics</w:t>
      </w:r>
      <w:r>
        <w:rPr>
          <w:b/>
        </w:rPr>
        <w:t>, consent and data privacy</w:t>
      </w:r>
    </w:p>
    <w:p w14:paraId="55BB997C" w14:textId="3E035DA2" w:rsidR="00560F1D" w:rsidRDefault="00560F1D" w:rsidP="002229D1">
      <w:pPr>
        <w:spacing w:line="480" w:lineRule="auto"/>
      </w:pPr>
      <w:r>
        <w:t xml:space="preserve">The survey was anonymous, as </w:t>
      </w:r>
      <w:r w:rsidR="001837F0">
        <w:t>participants</w:t>
      </w:r>
      <w:r>
        <w:t xml:space="preserve"> did not have to provide names, date of birth or contact information</w:t>
      </w:r>
      <w:r w:rsidR="001837F0">
        <w:t xml:space="preserve">. </w:t>
      </w:r>
      <w:r w:rsidR="005951D3">
        <w:t>V</w:t>
      </w:r>
      <w:r w:rsidR="005951D3" w:rsidRPr="005951D3">
        <w:t xml:space="preserve">alid informed consent was gained from study participants prior to completion of the questionnaire; recorded using clear affirmative action by use of a consent </w:t>
      </w:r>
      <w:r w:rsidR="005951D3" w:rsidRPr="005951D3">
        <w:lastRenderedPageBreak/>
        <w:t>checkbox.</w:t>
      </w:r>
      <w:r w:rsidR="00BB50A9">
        <w:t xml:space="preserve"> Participants who did not tick the consent box were not included in the subsequent data analysis</w:t>
      </w:r>
      <w:r w:rsidR="009D7CBF">
        <w:t xml:space="preserve"> and only adults aged 16+ years were eligible</w:t>
      </w:r>
      <w:r w:rsidR="00BB50A9">
        <w:t>.</w:t>
      </w:r>
      <w:r w:rsidR="005951D3" w:rsidRPr="005951D3">
        <w:t xml:space="preserve"> </w:t>
      </w:r>
      <w:r>
        <w:t>A</w:t>
      </w:r>
      <w:r w:rsidRPr="00560F1D">
        <w:t xml:space="preserve">ll methods were performed in accordance with the relevant guidelines and regulations </w:t>
      </w:r>
      <w:r>
        <w:t>and conformed to the</w:t>
      </w:r>
      <w:r w:rsidRPr="00560F1D">
        <w:t xml:space="preserve"> general ethical principles of Helsinki Declaration.</w:t>
      </w:r>
      <w:r w:rsidR="005951D3" w:rsidRPr="005951D3">
        <w:t xml:space="preserve"> </w:t>
      </w:r>
      <w:r w:rsidR="005951D3" w:rsidRPr="00560F1D">
        <w:t>The study received ethical approval from the University of Liverpool Health and Life Sciences Research Ethics Committee (Human participants, tissues and databases) (approval number: HLS-7962)</w:t>
      </w:r>
      <w:r w:rsidR="005951D3">
        <w:t>.</w:t>
      </w:r>
    </w:p>
    <w:p w14:paraId="742EB2A2" w14:textId="77777777" w:rsidR="00703235" w:rsidRDefault="00703235" w:rsidP="002229D1">
      <w:pPr>
        <w:spacing w:line="480" w:lineRule="auto"/>
      </w:pPr>
    </w:p>
    <w:p w14:paraId="2FF32BFA" w14:textId="18CC8E23" w:rsidR="008F0652" w:rsidRPr="002229D1" w:rsidRDefault="008F0652" w:rsidP="002229D1">
      <w:pPr>
        <w:spacing w:line="480" w:lineRule="auto"/>
      </w:pPr>
    </w:p>
    <w:p w14:paraId="3E87E990" w14:textId="77777777" w:rsidR="00703235" w:rsidRPr="002229D1" w:rsidRDefault="00703235" w:rsidP="002229D1">
      <w:pPr>
        <w:spacing w:line="480" w:lineRule="auto"/>
        <w:rPr>
          <w:b/>
          <w:bCs/>
          <w:u w:val="single"/>
        </w:rPr>
      </w:pPr>
      <w:r w:rsidRPr="002229D1">
        <w:rPr>
          <w:b/>
          <w:bCs/>
          <w:u w:val="single"/>
        </w:rPr>
        <w:t>Results</w:t>
      </w:r>
    </w:p>
    <w:p w14:paraId="577BA9AB" w14:textId="212E67FB" w:rsidR="00703235" w:rsidRDefault="00703235" w:rsidP="002229D1">
      <w:pPr>
        <w:spacing w:line="480" w:lineRule="auto"/>
      </w:pPr>
      <w:r>
        <w:t>In total, 182 individuals responded to the survey, of wh</w:t>
      </w:r>
      <w:r w:rsidR="00CF2A5A">
        <w:t>om</w:t>
      </w:r>
      <w:r>
        <w:t xml:space="preserve">, </w:t>
      </w:r>
      <w:r w:rsidR="00CF2A5A">
        <w:t>two</w:t>
      </w:r>
      <w:r>
        <w:t xml:space="preserve"> </w:t>
      </w:r>
      <w:r w:rsidR="00847AA0">
        <w:t>did not</w:t>
      </w:r>
      <w:r>
        <w:t xml:space="preserve"> provide consent </w:t>
      </w:r>
      <w:r w:rsidR="00847AA0">
        <w:t xml:space="preserve">for their data </w:t>
      </w:r>
      <w:r>
        <w:t xml:space="preserve">to be analysed and a further </w:t>
      </w:r>
      <w:r w:rsidR="00847AA0">
        <w:t>six</w:t>
      </w:r>
      <w:r>
        <w:t xml:space="preserve"> participants had first part postcodes which indicated they were not living in the designated study area. These </w:t>
      </w:r>
      <w:r w:rsidR="00847AA0">
        <w:t xml:space="preserve">eight </w:t>
      </w:r>
      <w:r>
        <w:t xml:space="preserve">individuals were excluded from the </w:t>
      </w:r>
      <w:r w:rsidR="007663B3">
        <w:t>analysis, providing</w:t>
      </w:r>
      <w:r>
        <w:t xml:space="preserve"> a final sample of 174 participants.</w:t>
      </w:r>
    </w:p>
    <w:p w14:paraId="3E28F6A3" w14:textId="77777777" w:rsidR="00703235" w:rsidRDefault="00703235" w:rsidP="002229D1">
      <w:pPr>
        <w:spacing w:line="480" w:lineRule="auto"/>
      </w:pPr>
    </w:p>
    <w:p w14:paraId="448AAC2C" w14:textId="77777777" w:rsidR="00703235" w:rsidRDefault="00703235" w:rsidP="002229D1">
      <w:pPr>
        <w:spacing w:line="480" w:lineRule="auto"/>
        <w:rPr>
          <w:b/>
          <w:bCs/>
        </w:rPr>
      </w:pPr>
      <w:r w:rsidRPr="004237C8">
        <w:rPr>
          <w:b/>
          <w:bCs/>
        </w:rPr>
        <w:t>Sample characteristics</w:t>
      </w:r>
      <w:r>
        <w:rPr>
          <w:b/>
          <w:bCs/>
        </w:rPr>
        <w:t>:</w:t>
      </w:r>
    </w:p>
    <w:p w14:paraId="16FBEF7A" w14:textId="77777777" w:rsidR="00703235" w:rsidRPr="004237C8" w:rsidRDefault="00703235" w:rsidP="002229D1">
      <w:pPr>
        <w:spacing w:line="480" w:lineRule="auto"/>
      </w:pPr>
    </w:p>
    <w:p w14:paraId="5A1EC67A" w14:textId="4CCC4090" w:rsidR="00703235" w:rsidRDefault="00703235" w:rsidP="002229D1">
      <w:pPr>
        <w:spacing w:line="480" w:lineRule="auto"/>
      </w:pPr>
      <w:r w:rsidRPr="004237C8">
        <w:t>The majority of participants were female (</w:t>
      </w:r>
      <w:r>
        <w:t>69</w:t>
      </w:r>
      <w:r w:rsidRPr="004237C8">
        <w:t>%)</w:t>
      </w:r>
      <w:r>
        <w:t xml:space="preserve"> (Table 2</w:t>
      </w:r>
      <w:r w:rsidR="00D97236">
        <w:t>, Figure 1</w:t>
      </w:r>
      <w:r>
        <w:t>)</w:t>
      </w:r>
      <w:r w:rsidRPr="004237C8">
        <w:t xml:space="preserve">. </w:t>
      </w:r>
      <w:r>
        <w:t>The majority of the sample w</w:t>
      </w:r>
      <w:r w:rsidR="00847AA0">
        <w:t>as represented by</w:t>
      </w:r>
      <w:r>
        <w:t xml:space="preserve"> younger age groups, </w:t>
      </w:r>
      <w:r w:rsidR="00847AA0">
        <w:t xml:space="preserve">in </w:t>
      </w:r>
      <w:r>
        <w:t xml:space="preserve">particular 25-34 </w:t>
      </w:r>
      <w:r w:rsidR="007663B3">
        <w:t>year</w:t>
      </w:r>
      <w:r w:rsidR="00801903">
        <w:t xml:space="preserve"> </w:t>
      </w:r>
      <w:r>
        <w:t>olds (36.2%</w:t>
      </w:r>
      <w:r w:rsidR="00847AA0">
        <w:t xml:space="preserve"> of the total</w:t>
      </w:r>
      <w:r>
        <w:t xml:space="preserve">), with 89.6% being &lt;55 years, and only 2.9% being &gt;65 years. </w:t>
      </w:r>
      <w:r w:rsidR="00847AA0">
        <w:t>E</w:t>
      </w:r>
      <w:r>
        <w:t xml:space="preserve">thnicity in the sample was approximately representative of the wider Liverpool region (Table 1), with 89% identifying as White (including British, Irish, Gypsy or Irish Traveller, Other). </w:t>
      </w:r>
      <w:r w:rsidR="00847AA0">
        <w:t>M</w:t>
      </w:r>
      <w:r>
        <w:t>ore socioeconomically advantaged groups</w:t>
      </w:r>
      <w:r w:rsidR="00847AA0">
        <w:t xml:space="preserve"> were over-represented</w:t>
      </w:r>
      <w:r>
        <w:t xml:space="preserve">, with 70.7% </w:t>
      </w:r>
      <w:r w:rsidR="00847AA0">
        <w:t xml:space="preserve">of the sample </w:t>
      </w:r>
      <w:r>
        <w:t xml:space="preserve">having attained a Degree or higher and 32.8% having a household income of greater than £60,000 per annum. </w:t>
      </w:r>
      <w:r w:rsidR="00847AA0">
        <w:t>T</w:t>
      </w:r>
      <w:r>
        <w:t xml:space="preserve">he entire sample owned a smartphone. </w:t>
      </w:r>
      <w:r w:rsidR="00C67C82">
        <w:t>Over a third</w:t>
      </w:r>
      <w:r w:rsidR="00851070">
        <w:t xml:space="preserve"> (37.9</w:t>
      </w:r>
      <w:r w:rsidR="00C67C82">
        <w:t xml:space="preserve">%) </w:t>
      </w:r>
      <w:r>
        <w:t xml:space="preserve">of the </w:t>
      </w:r>
      <w:r>
        <w:lastRenderedPageBreak/>
        <w:t xml:space="preserve">sample did not access </w:t>
      </w:r>
      <w:r w:rsidR="00C67C82">
        <w:t>their G</w:t>
      </w:r>
      <w:r w:rsidR="00CC5CE1">
        <w:t xml:space="preserve">eneral </w:t>
      </w:r>
      <w:r w:rsidR="00C67C82">
        <w:t>P</w:t>
      </w:r>
      <w:r w:rsidR="00CC5CE1">
        <w:t>ractitioner (GP)</w:t>
      </w:r>
      <w:r w:rsidR="00C67C82">
        <w:t xml:space="preserve"> online for any service. </w:t>
      </w:r>
      <w:r w:rsidR="005C3111">
        <w:t>In t</w:t>
      </w:r>
      <w:r w:rsidR="00851070">
        <w:t>hose that did access</w:t>
      </w:r>
      <w:r w:rsidR="005C3111">
        <w:t xml:space="preserve"> their GP online,</w:t>
      </w:r>
      <w:r w:rsidR="00851070">
        <w:t xml:space="preserve"> </w:t>
      </w:r>
      <w:r w:rsidR="005C3111">
        <w:t xml:space="preserve">the </w:t>
      </w:r>
      <w:r>
        <w:t>most common cause</w:t>
      </w:r>
      <w:r w:rsidR="005C3111">
        <w:t>s</w:t>
      </w:r>
      <w:r>
        <w:t xml:space="preserve"> for accessing their GP online </w:t>
      </w:r>
      <w:r w:rsidR="005C3111">
        <w:t xml:space="preserve">were, </w:t>
      </w:r>
      <w:r>
        <w:t>book</w:t>
      </w:r>
      <w:r w:rsidR="005C3111">
        <w:t>ing</w:t>
      </w:r>
      <w:r>
        <w:t xml:space="preserve"> appointments</w:t>
      </w:r>
      <w:r w:rsidR="005C3111">
        <w:t xml:space="preserve"> (76.9%) and requesting prescriptions (65.7%)</w:t>
      </w:r>
      <w:r>
        <w:t>.</w:t>
      </w:r>
    </w:p>
    <w:p w14:paraId="69B12822" w14:textId="4AD19FE7" w:rsidR="00703235" w:rsidRDefault="00703235" w:rsidP="002229D1">
      <w:pPr>
        <w:spacing w:line="480" w:lineRule="auto"/>
      </w:pPr>
    </w:p>
    <w:p w14:paraId="43C333A7" w14:textId="6119CA1E" w:rsidR="00F71053" w:rsidRDefault="00F71053" w:rsidP="002229D1">
      <w:pPr>
        <w:spacing w:line="480" w:lineRule="auto"/>
      </w:pPr>
      <w:r>
        <w:t xml:space="preserve">The majority of the sample </w:t>
      </w:r>
      <w:r w:rsidR="00CD3C3C">
        <w:t>responded as being</w:t>
      </w:r>
      <w:r>
        <w:t xml:space="preserve"> either </w:t>
      </w:r>
      <w:r w:rsidR="005C3111">
        <w:t>‘</w:t>
      </w:r>
      <w:r>
        <w:t>comfortable</w:t>
      </w:r>
      <w:r w:rsidR="005C3111">
        <w:t>’</w:t>
      </w:r>
      <w:r>
        <w:t xml:space="preserve"> or </w:t>
      </w:r>
      <w:r w:rsidR="005C3111">
        <w:t>‘</w:t>
      </w:r>
      <w:r>
        <w:t>very comfortable</w:t>
      </w:r>
      <w:r w:rsidR="005C3111">
        <w:t>’</w:t>
      </w:r>
      <w:r>
        <w:t xml:space="preserve"> (74.8%) with reporting an episode of illness to a non-GP based, technology-mediated service</w:t>
      </w:r>
      <w:r w:rsidR="00CD3C3C">
        <w:t xml:space="preserve"> (Table 3</w:t>
      </w:r>
      <w:r w:rsidR="00634E28">
        <w:t xml:space="preserve">). </w:t>
      </w:r>
      <w:r w:rsidR="00CD3C3C">
        <w:t>A</w:t>
      </w:r>
      <w:r>
        <w:t xml:space="preserve"> similar proportion </w:t>
      </w:r>
      <w:r w:rsidR="00CD3C3C">
        <w:t>was</w:t>
      </w:r>
      <w:r>
        <w:t xml:space="preserve"> either </w:t>
      </w:r>
      <w:r w:rsidR="005C3111">
        <w:t>‘</w:t>
      </w:r>
      <w:r>
        <w:t>comfortable</w:t>
      </w:r>
      <w:r w:rsidR="005C3111">
        <w:t>’</w:t>
      </w:r>
      <w:r>
        <w:t xml:space="preserve"> or </w:t>
      </w:r>
      <w:r w:rsidR="005C3111">
        <w:t>‘</w:t>
      </w:r>
      <w:r>
        <w:t>very comfortable</w:t>
      </w:r>
      <w:r w:rsidR="005C3111">
        <w:t>’</w:t>
      </w:r>
      <w:r>
        <w:t xml:space="preserve"> with answering additional questions related to their symptoms (78.8%). </w:t>
      </w:r>
    </w:p>
    <w:p w14:paraId="5EED1BB6" w14:textId="77777777" w:rsidR="00D97236" w:rsidRDefault="00D97236" w:rsidP="002229D1">
      <w:pPr>
        <w:spacing w:line="480" w:lineRule="auto"/>
      </w:pPr>
    </w:p>
    <w:p w14:paraId="4D209F49" w14:textId="77777777" w:rsidR="00D97236" w:rsidRDefault="00D97236" w:rsidP="002229D1">
      <w:pPr>
        <w:spacing w:line="480" w:lineRule="auto"/>
      </w:pPr>
      <w:r>
        <w:rPr>
          <w:noProof/>
          <w:lang w:eastAsia="en-GB"/>
        </w:rPr>
        <w:drawing>
          <wp:inline distT="0" distB="0" distL="0" distR="0" wp14:anchorId="370B41A7" wp14:editId="058AA366">
            <wp:extent cx="4151311" cy="4981575"/>
            <wp:effectExtent l="0" t="0" r="1905"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3457" cy="4996150"/>
                    </a:xfrm>
                    <a:prstGeom prst="rect">
                      <a:avLst/>
                    </a:prstGeom>
                  </pic:spPr>
                </pic:pic>
              </a:graphicData>
            </a:graphic>
          </wp:inline>
        </w:drawing>
      </w:r>
    </w:p>
    <w:p w14:paraId="283D23C0" w14:textId="1AC4F3CF" w:rsidR="00F71053" w:rsidRPr="00F04C14" w:rsidRDefault="00D97236" w:rsidP="002229D1">
      <w:pPr>
        <w:spacing w:line="480" w:lineRule="auto"/>
        <w:rPr>
          <w:b/>
          <w:iCs/>
          <w:sz w:val="22"/>
          <w:szCs w:val="22"/>
        </w:rPr>
      </w:pPr>
      <w:r w:rsidRPr="00F04C14">
        <w:rPr>
          <w:b/>
          <w:iCs/>
          <w:sz w:val="22"/>
          <w:szCs w:val="22"/>
        </w:rPr>
        <w:t xml:space="preserve">Figure 1. </w:t>
      </w:r>
      <w:r w:rsidR="00A40E0B">
        <w:rPr>
          <w:b/>
          <w:iCs/>
          <w:sz w:val="22"/>
          <w:szCs w:val="22"/>
        </w:rPr>
        <w:t>N</w:t>
      </w:r>
      <w:r w:rsidRPr="00F04C14">
        <w:rPr>
          <w:b/>
          <w:iCs/>
          <w:sz w:val="22"/>
          <w:szCs w:val="22"/>
        </w:rPr>
        <w:t>umber of respondents in each age group, and gender.</w:t>
      </w:r>
      <w:r w:rsidR="00F71053" w:rsidRPr="00F04C14">
        <w:rPr>
          <w:b/>
          <w:iCs/>
          <w:sz w:val="22"/>
          <w:szCs w:val="22"/>
        </w:rPr>
        <w:br w:type="page"/>
      </w:r>
    </w:p>
    <w:p w14:paraId="4C5D9D2F" w14:textId="7E525A9F" w:rsidR="00703235" w:rsidRPr="00BA2C3F" w:rsidRDefault="00703235" w:rsidP="00703235">
      <w:pPr>
        <w:rPr>
          <w:b/>
          <w:bCs/>
        </w:rPr>
      </w:pPr>
      <w:r w:rsidRPr="00BA2C3F">
        <w:rPr>
          <w:b/>
          <w:bCs/>
        </w:rPr>
        <w:lastRenderedPageBreak/>
        <w:t xml:space="preserve">Table 2. </w:t>
      </w:r>
      <w:r w:rsidR="00F75D88">
        <w:rPr>
          <w:b/>
          <w:bCs/>
        </w:rPr>
        <w:t>Survey Participant demographics</w:t>
      </w:r>
      <w:r w:rsidRPr="00BA2C3F">
        <w:rPr>
          <w:b/>
          <w:bCs/>
        </w:rPr>
        <w:t>.</w:t>
      </w:r>
    </w:p>
    <w:p w14:paraId="3E63DF14" w14:textId="77777777" w:rsidR="00703235" w:rsidRDefault="00703235" w:rsidP="00703235"/>
    <w:tbl>
      <w:tblPr>
        <w:tblW w:w="0" w:type="auto"/>
        <w:tblLook w:val="04A0" w:firstRow="1" w:lastRow="0" w:firstColumn="1" w:lastColumn="0" w:noHBand="0" w:noVBand="1"/>
      </w:tblPr>
      <w:tblGrid>
        <w:gridCol w:w="2638"/>
        <w:gridCol w:w="1520"/>
        <w:gridCol w:w="222"/>
      </w:tblGrid>
      <w:tr w:rsidR="00703235" w:rsidRPr="002229D1" w14:paraId="22D7A906" w14:textId="77777777" w:rsidTr="002229D1">
        <w:trPr>
          <w:gridAfter w:val="1"/>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1D54A"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Demographic Variables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0353F"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Overall (N=174)</w:t>
            </w:r>
          </w:p>
        </w:tc>
      </w:tr>
      <w:tr w:rsidR="00703235" w:rsidRPr="002229D1" w14:paraId="2F6E28D4" w14:textId="77777777" w:rsidTr="002229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C1DAD" w14:textId="77777777" w:rsidR="00703235" w:rsidRPr="002229D1" w:rsidRDefault="00703235" w:rsidP="005E1781">
            <w:pPr>
              <w:rPr>
                <w:rFonts w:eastAsia="Times New Roman" w:cstheme="minorHAnsi"/>
                <w:b/>
                <w:bCs/>
                <w:color w:val="000000"/>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B4F2A" w14:textId="77777777" w:rsidR="00703235" w:rsidRPr="002229D1" w:rsidRDefault="00703235" w:rsidP="005E1781">
            <w:pPr>
              <w:jc w:val="center"/>
              <w:rPr>
                <w:rFonts w:eastAsia="Times New Roman" w:cstheme="minorHAns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568C583" w14:textId="77777777" w:rsidR="00703235" w:rsidRPr="002229D1" w:rsidRDefault="00703235" w:rsidP="005E1781">
            <w:pPr>
              <w:jc w:val="center"/>
              <w:rPr>
                <w:rFonts w:eastAsia="Times New Roman" w:cstheme="minorHAnsi"/>
                <w:b/>
                <w:bCs/>
                <w:color w:val="000000"/>
                <w:sz w:val="20"/>
                <w:szCs w:val="20"/>
                <w:lang w:eastAsia="en-GB"/>
              </w:rPr>
            </w:pPr>
          </w:p>
        </w:tc>
      </w:tr>
      <w:tr w:rsidR="00703235" w:rsidRPr="002229D1" w14:paraId="050B8F5B"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21189F"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 xml:space="preserve">Gender </w:t>
            </w:r>
          </w:p>
        </w:tc>
        <w:tc>
          <w:tcPr>
            <w:tcW w:w="0" w:type="auto"/>
            <w:tcBorders>
              <w:top w:val="nil"/>
              <w:left w:val="nil"/>
              <w:bottom w:val="single" w:sz="4" w:space="0" w:color="auto"/>
              <w:right w:val="single" w:sz="4" w:space="0" w:color="auto"/>
            </w:tcBorders>
            <w:shd w:val="clear" w:color="auto" w:fill="auto"/>
            <w:noWrap/>
            <w:vAlign w:val="bottom"/>
            <w:hideMark/>
          </w:tcPr>
          <w:p w14:paraId="00BA49CE"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b/>
                <w:bCs/>
                <w:color w:val="000000"/>
                <w:sz w:val="20"/>
                <w:szCs w:val="20"/>
                <w:lang w:eastAsia="en-GB"/>
              </w:rPr>
              <w:t>(N=174)</w:t>
            </w:r>
          </w:p>
        </w:tc>
        <w:tc>
          <w:tcPr>
            <w:tcW w:w="0" w:type="auto"/>
            <w:vAlign w:val="center"/>
            <w:hideMark/>
          </w:tcPr>
          <w:p w14:paraId="05AE269A" w14:textId="77777777" w:rsidR="00703235" w:rsidRPr="002229D1" w:rsidRDefault="00703235" w:rsidP="005E1781">
            <w:pPr>
              <w:rPr>
                <w:rFonts w:eastAsia="Times New Roman" w:cstheme="minorHAnsi"/>
                <w:sz w:val="20"/>
                <w:szCs w:val="20"/>
                <w:lang w:eastAsia="en-GB"/>
              </w:rPr>
            </w:pPr>
          </w:p>
        </w:tc>
      </w:tr>
      <w:tr w:rsidR="00703235" w:rsidRPr="002229D1" w14:paraId="24911B16"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8757E1"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0E4327B0"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120 (69.0%)</w:t>
            </w:r>
          </w:p>
        </w:tc>
        <w:tc>
          <w:tcPr>
            <w:tcW w:w="0" w:type="auto"/>
            <w:vAlign w:val="center"/>
            <w:hideMark/>
          </w:tcPr>
          <w:p w14:paraId="41563DE4" w14:textId="77777777" w:rsidR="00703235" w:rsidRPr="002229D1" w:rsidRDefault="00703235" w:rsidP="005E1781">
            <w:pPr>
              <w:rPr>
                <w:rFonts w:eastAsia="Times New Roman" w:cstheme="minorHAnsi"/>
                <w:sz w:val="20"/>
                <w:szCs w:val="20"/>
                <w:lang w:eastAsia="en-GB"/>
              </w:rPr>
            </w:pPr>
          </w:p>
        </w:tc>
      </w:tr>
      <w:tr w:rsidR="00703235" w:rsidRPr="002229D1" w14:paraId="0B4CA0AB"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C8EADD"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Male</w:t>
            </w:r>
          </w:p>
        </w:tc>
        <w:tc>
          <w:tcPr>
            <w:tcW w:w="0" w:type="auto"/>
            <w:tcBorders>
              <w:top w:val="nil"/>
              <w:left w:val="nil"/>
              <w:bottom w:val="single" w:sz="4" w:space="0" w:color="auto"/>
              <w:right w:val="single" w:sz="4" w:space="0" w:color="auto"/>
            </w:tcBorders>
            <w:shd w:val="clear" w:color="auto" w:fill="auto"/>
            <w:noWrap/>
            <w:vAlign w:val="bottom"/>
            <w:hideMark/>
          </w:tcPr>
          <w:p w14:paraId="4FE71240"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53 (30.5%)</w:t>
            </w:r>
          </w:p>
        </w:tc>
        <w:tc>
          <w:tcPr>
            <w:tcW w:w="0" w:type="auto"/>
            <w:vAlign w:val="center"/>
            <w:hideMark/>
          </w:tcPr>
          <w:p w14:paraId="6EB405BA" w14:textId="77777777" w:rsidR="00703235" w:rsidRPr="002229D1" w:rsidRDefault="00703235" w:rsidP="005E1781">
            <w:pPr>
              <w:rPr>
                <w:rFonts w:eastAsia="Times New Roman" w:cstheme="minorHAnsi"/>
                <w:sz w:val="20"/>
                <w:szCs w:val="20"/>
                <w:lang w:eastAsia="en-GB"/>
              </w:rPr>
            </w:pPr>
          </w:p>
        </w:tc>
      </w:tr>
      <w:tr w:rsidR="00703235" w:rsidRPr="002229D1" w14:paraId="2FBB6A17"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BC6969"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Prefer not to say</w:t>
            </w:r>
          </w:p>
        </w:tc>
        <w:tc>
          <w:tcPr>
            <w:tcW w:w="0" w:type="auto"/>
            <w:tcBorders>
              <w:top w:val="nil"/>
              <w:left w:val="nil"/>
              <w:bottom w:val="single" w:sz="4" w:space="0" w:color="auto"/>
              <w:right w:val="single" w:sz="4" w:space="0" w:color="auto"/>
            </w:tcBorders>
            <w:shd w:val="clear" w:color="auto" w:fill="auto"/>
            <w:noWrap/>
            <w:vAlign w:val="bottom"/>
            <w:hideMark/>
          </w:tcPr>
          <w:p w14:paraId="782497D7"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 (0.6%)</w:t>
            </w:r>
          </w:p>
        </w:tc>
        <w:tc>
          <w:tcPr>
            <w:tcW w:w="0" w:type="auto"/>
            <w:vAlign w:val="center"/>
            <w:hideMark/>
          </w:tcPr>
          <w:p w14:paraId="2EE203E0" w14:textId="77777777" w:rsidR="00703235" w:rsidRPr="002229D1" w:rsidRDefault="00703235" w:rsidP="005E1781">
            <w:pPr>
              <w:rPr>
                <w:rFonts w:eastAsia="Times New Roman" w:cstheme="minorHAnsi"/>
                <w:sz w:val="20"/>
                <w:szCs w:val="20"/>
                <w:lang w:eastAsia="en-GB"/>
              </w:rPr>
            </w:pPr>
          </w:p>
        </w:tc>
      </w:tr>
      <w:tr w:rsidR="00703235" w:rsidRPr="002229D1" w14:paraId="3DDED9C9"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E1B34C" w14:textId="53B8AF41"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Age</w:t>
            </w:r>
            <w:r w:rsidR="00CC5CE1">
              <w:rPr>
                <w:rFonts w:eastAsia="Times New Roman" w:cstheme="minorHAnsi"/>
                <w:b/>
                <w:bCs/>
                <w:color w:val="000000"/>
                <w:sz w:val="20"/>
                <w:szCs w:val="20"/>
                <w:lang w:eastAsia="en-GB"/>
              </w:rPr>
              <w:t xml:space="preserve"> group</w:t>
            </w:r>
            <w:r w:rsidRPr="002229D1">
              <w:rPr>
                <w:rFonts w:eastAsia="Times New Roman" w:cstheme="minorHAnsi"/>
                <w:b/>
                <w:bCs/>
                <w:color w:val="000000"/>
                <w:sz w:val="20"/>
                <w:szCs w:val="20"/>
                <w:lang w:eastAsia="en-GB"/>
              </w:rPr>
              <w:t xml:space="preserve"> </w:t>
            </w:r>
            <w:r w:rsidR="00DA360D">
              <w:rPr>
                <w:rFonts w:eastAsia="Times New Roman" w:cstheme="minorHAnsi"/>
                <w:b/>
                <w:bCs/>
                <w:color w:val="000000"/>
                <w:sz w:val="20"/>
                <w:szCs w:val="20"/>
                <w:lang w:eastAsia="en-GB"/>
              </w:rPr>
              <w:t>(in years)</w:t>
            </w:r>
          </w:p>
        </w:tc>
        <w:tc>
          <w:tcPr>
            <w:tcW w:w="0" w:type="auto"/>
            <w:tcBorders>
              <w:top w:val="nil"/>
              <w:left w:val="nil"/>
              <w:bottom w:val="single" w:sz="4" w:space="0" w:color="auto"/>
              <w:right w:val="single" w:sz="4" w:space="0" w:color="auto"/>
            </w:tcBorders>
            <w:shd w:val="clear" w:color="auto" w:fill="auto"/>
            <w:noWrap/>
            <w:vAlign w:val="bottom"/>
            <w:hideMark/>
          </w:tcPr>
          <w:p w14:paraId="44A83444"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b/>
                <w:bCs/>
                <w:color w:val="000000"/>
                <w:sz w:val="20"/>
                <w:szCs w:val="20"/>
                <w:lang w:eastAsia="en-GB"/>
              </w:rPr>
              <w:t>(N=174)</w:t>
            </w:r>
          </w:p>
        </w:tc>
        <w:tc>
          <w:tcPr>
            <w:tcW w:w="0" w:type="auto"/>
            <w:vAlign w:val="center"/>
            <w:hideMark/>
          </w:tcPr>
          <w:p w14:paraId="03E9DD63" w14:textId="77777777" w:rsidR="00703235" w:rsidRPr="002229D1" w:rsidRDefault="00703235" w:rsidP="005E1781">
            <w:pPr>
              <w:rPr>
                <w:rFonts w:eastAsia="Times New Roman" w:cstheme="minorHAnsi"/>
                <w:sz w:val="20"/>
                <w:szCs w:val="20"/>
                <w:lang w:eastAsia="en-GB"/>
              </w:rPr>
            </w:pPr>
          </w:p>
        </w:tc>
      </w:tr>
      <w:tr w:rsidR="00703235" w:rsidRPr="002229D1" w14:paraId="721C061C"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5BE0D"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16-17</w:t>
            </w:r>
          </w:p>
        </w:tc>
        <w:tc>
          <w:tcPr>
            <w:tcW w:w="0" w:type="auto"/>
            <w:tcBorders>
              <w:top w:val="nil"/>
              <w:left w:val="nil"/>
              <w:bottom w:val="single" w:sz="4" w:space="0" w:color="auto"/>
              <w:right w:val="single" w:sz="4" w:space="0" w:color="auto"/>
            </w:tcBorders>
            <w:shd w:val="clear" w:color="auto" w:fill="auto"/>
            <w:noWrap/>
            <w:vAlign w:val="bottom"/>
            <w:hideMark/>
          </w:tcPr>
          <w:p w14:paraId="5968BDE1"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 (0.6%)</w:t>
            </w:r>
          </w:p>
        </w:tc>
        <w:tc>
          <w:tcPr>
            <w:tcW w:w="0" w:type="auto"/>
            <w:vAlign w:val="center"/>
            <w:hideMark/>
          </w:tcPr>
          <w:p w14:paraId="224953AE" w14:textId="77777777" w:rsidR="00703235" w:rsidRPr="002229D1" w:rsidRDefault="00703235" w:rsidP="005E1781">
            <w:pPr>
              <w:rPr>
                <w:rFonts w:eastAsia="Times New Roman" w:cstheme="minorHAnsi"/>
                <w:sz w:val="20"/>
                <w:szCs w:val="20"/>
                <w:lang w:eastAsia="en-GB"/>
              </w:rPr>
            </w:pPr>
          </w:p>
        </w:tc>
      </w:tr>
      <w:tr w:rsidR="00703235" w:rsidRPr="002229D1" w14:paraId="04956DAF"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36073"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18-24</w:t>
            </w:r>
          </w:p>
        </w:tc>
        <w:tc>
          <w:tcPr>
            <w:tcW w:w="0" w:type="auto"/>
            <w:tcBorders>
              <w:top w:val="nil"/>
              <w:left w:val="nil"/>
              <w:bottom w:val="single" w:sz="4" w:space="0" w:color="auto"/>
              <w:right w:val="single" w:sz="4" w:space="0" w:color="auto"/>
            </w:tcBorders>
            <w:shd w:val="clear" w:color="auto" w:fill="auto"/>
            <w:noWrap/>
            <w:vAlign w:val="bottom"/>
            <w:hideMark/>
          </w:tcPr>
          <w:p w14:paraId="4037F46B"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19 (10.9%)</w:t>
            </w:r>
          </w:p>
        </w:tc>
        <w:tc>
          <w:tcPr>
            <w:tcW w:w="0" w:type="auto"/>
            <w:vAlign w:val="center"/>
            <w:hideMark/>
          </w:tcPr>
          <w:p w14:paraId="3DA88224" w14:textId="77777777" w:rsidR="00703235" w:rsidRPr="002229D1" w:rsidRDefault="00703235" w:rsidP="005E1781">
            <w:pPr>
              <w:rPr>
                <w:rFonts w:eastAsia="Times New Roman" w:cstheme="minorHAnsi"/>
                <w:sz w:val="20"/>
                <w:szCs w:val="20"/>
                <w:lang w:eastAsia="en-GB"/>
              </w:rPr>
            </w:pPr>
          </w:p>
        </w:tc>
      </w:tr>
      <w:tr w:rsidR="00703235" w:rsidRPr="002229D1" w14:paraId="3AA74226"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9D7470"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25-34</w:t>
            </w:r>
          </w:p>
        </w:tc>
        <w:tc>
          <w:tcPr>
            <w:tcW w:w="0" w:type="auto"/>
            <w:tcBorders>
              <w:top w:val="nil"/>
              <w:left w:val="nil"/>
              <w:bottom w:val="single" w:sz="4" w:space="0" w:color="auto"/>
              <w:right w:val="single" w:sz="4" w:space="0" w:color="auto"/>
            </w:tcBorders>
            <w:shd w:val="clear" w:color="auto" w:fill="auto"/>
            <w:noWrap/>
            <w:vAlign w:val="bottom"/>
            <w:hideMark/>
          </w:tcPr>
          <w:p w14:paraId="7A88F0C8"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63 (36.2%)</w:t>
            </w:r>
          </w:p>
        </w:tc>
        <w:tc>
          <w:tcPr>
            <w:tcW w:w="0" w:type="auto"/>
            <w:vAlign w:val="center"/>
            <w:hideMark/>
          </w:tcPr>
          <w:p w14:paraId="728A31D9" w14:textId="77777777" w:rsidR="00703235" w:rsidRPr="002229D1" w:rsidRDefault="00703235" w:rsidP="005E1781">
            <w:pPr>
              <w:rPr>
                <w:rFonts w:eastAsia="Times New Roman" w:cstheme="minorHAnsi"/>
                <w:sz w:val="20"/>
                <w:szCs w:val="20"/>
                <w:lang w:eastAsia="en-GB"/>
              </w:rPr>
            </w:pPr>
          </w:p>
        </w:tc>
      </w:tr>
      <w:tr w:rsidR="00703235" w:rsidRPr="002229D1" w14:paraId="78A9DD18"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A1906F"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35-44</w:t>
            </w:r>
          </w:p>
        </w:tc>
        <w:tc>
          <w:tcPr>
            <w:tcW w:w="0" w:type="auto"/>
            <w:tcBorders>
              <w:top w:val="nil"/>
              <w:left w:val="nil"/>
              <w:bottom w:val="single" w:sz="4" w:space="0" w:color="auto"/>
              <w:right w:val="single" w:sz="4" w:space="0" w:color="auto"/>
            </w:tcBorders>
            <w:shd w:val="clear" w:color="auto" w:fill="auto"/>
            <w:noWrap/>
            <w:vAlign w:val="bottom"/>
            <w:hideMark/>
          </w:tcPr>
          <w:p w14:paraId="7A2EC9FD"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38 (21.8%)</w:t>
            </w:r>
          </w:p>
        </w:tc>
        <w:tc>
          <w:tcPr>
            <w:tcW w:w="0" w:type="auto"/>
            <w:vAlign w:val="center"/>
            <w:hideMark/>
          </w:tcPr>
          <w:p w14:paraId="7007DCAD" w14:textId="77777777" w:rsidR="00703235" w:rsidRPr="002229D1" w:rsidRDefault="00703235" w:rsidP="005E1781">
            <w:pPr>
              <w:rPr>
                <w:rFonts w:eastAsia="Times New Roman" w:cstheme="minorHAnsi"/>
                <w:sz w:val="20"/>
                <w:szCs w:val="20"/>
                <w:lang w:eastAsia="en-GB"/>
              </w:rPr>
            </w:pPr>
          </w:p>
        </w:tc>
      </w:tr>
      <w:tr w:rsidR="00703235" w:rsidRPr="002229D1" w14:paraId="30F2E555"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3D27D"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45-54</w:t>
            </w:r>
          </w:p>
        </w:tc>
        <w:tc>
          <w:tcPr>
            <w:tcW w:w="0" w:type="auto"/>
            <w:tcBorders>
              <w:top w:val="nil"/>
              <w:left w:val="nil"/>
              <w:bottom w:val="single" w:sz="4" w:space="0" w:color="auto"/>
              <w:right w:val="single" w:sz="4" w:space="0" w:color="auto"/>
            </w:tcBorders>
            <w:shd w:val="clear" w:color="auto" w:fill="auto"/>
            <w:noWrap/>
            <w:vAlign w:val="bottom"/>
            <w:hideMark/>
          </w:tcPr>
          <w:p w14:paraId="6CFEC71F"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35 (20.1%)</w:t>
            </w:r>
          </w:p>
        </w:tc>
        <w:tc>
          <w:tcPr>
            <w:tcW w:w="0" w:type="auto"/>
            <w:vAlign w:val="center"/>
            <w:hideMark/>
          </w:tcPr>
          <w:p w14:paraId="0529D592" w14:textId="77777777" w:rsidR="00703235" w:rsidRPr="002229D1" w:rsidRDefault="00703235" w:rsidP="005E1781">
            <w:pPr>
              <w:rPr>
                <w:rFonts w:eastAsia="Times New Roman" w:cstheme="minorHAnsi"/>
                <w:sz w:val="20"/>
                <w:szCs w:val="20"/>
                <w:lang w:eastAsia="en-GB"/>
              </w:rPr>
            </w:pPr>
          </w:p>
        </w:tc>
      </w:tr>
      <w:tr w:rsidR="00703235" w:rsidRPr="002229D1" w14:paraId="124403A2"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54B68F"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55-64</w:t>
            </w:r>
          </w:p>
        </w:tc>
        <w:tc>
          <w:tcPr>
            <w:tcW w:w="0" w:type="auto"/>
            <w:tcBorders>
              <w:top w:val="nil"/>
              <w:left w:val="nil"/>
              <w:bottom w:val="single" w:sz="4" w:space="0" w:color="auto"/>
              <w:right w:val="single" w:sz="4" w:space="0" w:color="auto"/>
            </w:tcBorders>
            <w:shd w:val="clear" w:color="auto" w:fill="auto"/>
            <w:noWrap/>
            <w:vAlign w:val="bottom"/>
            <w:hideMark/>
          </w:tcPr>
          <w:p w14:paraId="59EC6D21"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13 (7.5%)</w:t>
            </w:r>
          </w:p>
        </w:tc>
        <w:tc>
          <w:tcPr>
            <w:tcW w:w="0" w:type="auto"/>
            <w:vAlign w:val="center"/>
            <w:hideMark/>
          </w:tcPr>
          <w:p w14:paraId="5E237B74" w14:textId="77777777" w:rsidR="00703235" w:rsidRPr="002229D1" w:rsidRDefault="00703235" w:rsidP="005E1781">
            <w:pPr>
              <w:rPr>
                <w:rFonts w:eastAsia="Times New Roman" w:cstheme="minorHAnsi"/>
                <w:sz w:val="20"/>
                <w:szCs w:val="20"/>
                <w:lang w:eastAsia="en-GB"/>
              </w:rPr>
            </w:pPr>
          </w:p>
        </w:tc>
      </w:tr>
      <w:tr w:rsidR="00703235" w:rsidRPr="002229D1" w14:paraId="46E6EB04"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4C264E"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65+</w:t>
            </w:r>
          </w:p>
        </w:tc>
        <w:tc>
          <w:tcPr>
            <w:tcW w:w="0" w:type="auto"/>
            <w:tcBorders>
              <w:top w:val="nil"/>
              <w:left w:val="nil"/>
              <w:bottom w:val="single" w:sz="4" w:space="0" w:color="auto"/>
              <w:right w:val="single" w:sz="4" w:space="0" w:color="auto"/>
            </w:tcBorders>
            <w:shd w:val="clear" w:color="auto" w:fill="auto"/>
            <w:noWrap/>
            <w:vAlign w:val="bottom"/>
            <w:hideMark/>
          </w:tcPr>
          <w:p w14:paraId="426670FA"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5 (2.9%)</w:t>
            </w:r>
          </w:p>
        </w:tc>
        <w:tc>
          <w:tcPr>
            <w:tcW w:w="0" w:type="auto"/>
            <w:vAlign w:val="center"/>
            <w:hideMark/>
          </w:tcPr>
          <w:p w14:paraId="6F08FD36" w14:textId="77777777" w:rsidR="00703235" w:rsidRPr="002229D1" w:rsidRDefault="00703235" w:rsidP="005E1781">
            <w:pPr>
              <w:rPr>
                <w:rFonts w:eastAsia="Times New Roman" w:cstheme="minorHAnsi"/>
                <w:sz w:val="20"/>
                <w:szCs w:val="20"/>
                <w:lang w:eastAsia="en-GB"/>
              </w:rPr>
            </w:pPr>
          </w:p>
        </w:tc>
      </w:tr>
      <w:tr w:rsidR="00703235" w:rsidRPr="002229D1" w14:paraId="1EABA7C5"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2CF99"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 xml:space="preserve">Household Income </w:t>
            </w:r>
          </w:p>
        </w:tc>
        <w:tc>
          <w:tcPr>
            <w:tcW w:w="0" w:type="auto"/>
            <w:tcBorders>
              <w:top w:val="nil"/>
              <w:left w:val="nil"/>
              <w:bottom w:val="single" w:sz="4" w:space="0" w:color="auto"/>
              <w:right w:val="single" w:sz="4" w:space="0" w:color="auto"/>
            </w:tcBorders>
            <w:shd w:val="clear" w:color="auto" w:fill="auto"/>
            <w:noWrap/>
            <w:vAlign w:val="bottom"/>
            <w:hideMark/>
          </w:tcPr>
          <w:p w14:paraId="6972DD92"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b/>
                <w:bCs/>
                <w:color w:val="000000"/>
                <w:sz w:val="20"/>
                <w:szCs w:val="20"/>
                <w:lang w:eastAsia="en-GB"/>
              </w:rPr>
              <w:t>(N=172)</w:t>
            </w:r>
          </w:p>
        </w:tc>
        <w:tc>
          <w:tcPr>
            <w:tcW w:w="0" w:type="auto"/>
            <w:vAlign w:val="center"/>
            <w:hideMark/>
          </w:tcPr>
          <w:p w14:paraId="76AB24B2" w14:textId="77777777" w:rsidR="00703235" w:rsidRPr="002229D1" w:rsidRDefault="00703235" w:rsidP="005E1781">
            <w:pPr>
              <w:rPr>
                <w:rFonts w:eastAsia="Times New Roman" w:cstheme="minorHAnsi"/>
                <w:sz w:val="20"/>
                <w:szCs w:val="20"/>
                <w:lang w:eastAsia="en-GB"/>
              </w:rPr>
            </w:pPr>
          </w:p>
        </w:tc>
      </w:tr>
      <w:tr w:rsidR="00703235" w:rsidRPr="002229D1" w14:paraId="736C4153"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4FE1A5"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&lt;£10,000</w:t>
            </w:r>
          </w:p>
        </w:tc>
        <w:tc>
          <w:tcPr>
            <w:tcW w:w="0" w:type="auto"/>
            <w:tcBorders>
              <w:top w:val="nil"/>
              <w:left w:val="nil"/>
              <w:bottom w:val="single" w:sz="4" w:space="0" w:color="auto"/>
              <w:right w:val="single" w:sz="4" w:space="0" w:color="auto"/>
            </w:tcBorders>
            <w:shd w:val="clear" w:color="auto" w:fill="auto"/>
            <w:noWrap/>
            <w:vAlign w:val="bottom"/>
            <w:hideMark/>
          </w:tcPr>
          <w:p w14:paraId="25904FCF"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9 (5.2%)</w:t>
            </w:r>
          </w:p>
        </w:tc>
        <w:tc>
          <w:tcPr>
            <w:tcW w:w="0" w:type="auto"/>
            <w:vAlign w:val="center"/>
            <w:hideMark/>
          </w:tcPr>
          <w:p w14:paraId="2C527C03" w14:textId="77777777" w:rsidR="00703235" w:rsidRPr="002229D1" w:rsidRDefault="00703235" w:rsidP="005E1781">
            <w:pPr>
              <w:rPr>
                <w:rFonts w:eastAsia="Times New Roman" w:cstheme="minorHAnsi"/>
                <w:sz w:val="20"/>
                <w:szCs w:val="20"/>
                <w:lang w:eastAsia="en-GB"/>
              </w:rPr>
            </w:pPr>
          </w:p>
        </w:tc>
      </w:tr>
      <w:tr w:rsidR="00703235" w:rsidRPr="002229D1" w14:paraId="1EAE13A9"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2FCDF"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£10,001-20,000</w:t>
            </w:r>
          </w:p>
        </w:tc>
        <w:tc>
          <w:tcPr>
            <w:tcW w:w="0" w:type="auto"/>
            <w:tcBorders>
              <w:top w:val="nil"/>
              <w:left w:val="nil"/>
              <w:bottom w:val="single" w:sz="4" w:space="0" w:color="auto"/>
              <w:right w:val="single" w:sz="4" w:space="0" w:color="auto"/>
            </w:tcBorders>
            <w:shd w:val="clear" w:color="auto" w:fill="auto"/>
            <w:noWrap/>
            <w:vAlign w:val="bottom"/>
            <w:hideMark/>
          </w:tcPr>
          <w:p w14:paraId="427BCA42"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10 (5.7%)</w:t>
            </w:r>
          </w:p>
        </w:tc>
        <w:tc>
          <w:tcPr>
            <w:tcW w:w="0" w:type="auto"/>
            <w:vAlign w:val="center"/>
            <w:hideMark/>
          </w:tcPr>
          <w:p w14:paraId="220B1840" w14:textId="77777777" w:rsidR="00703235" w:rsidRPr="002229D1" w:rsidRDefault="00703235" w:rsidP="005E1781">
            <w:pPr>
              <w:rPr>
                <w:rFonts w:eastAsia="Times New Roman" w:cstheme="minorHAnsi"/>
                <w:sz w:val="20"/>
                <w:szCs w:val="20"/>
                <w:lang w:eastAsia="en-GB"/>
              </w:rPr>
            </w:pPr>
          </w:p>
        </w:tc>
      </w:tr>
      <w:tr w:rsidR="00703235" w:rsidRPr="002229D1" w14:paraId="2DBB7FF2"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350E04"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£20,001-30,000</w:t>
            </w:r>
          </w:p>
        </w:tc>
        <w:tc>
          <w:tcPr>
            <w:tcW w:w="0" w:type="auto"/>
            <w:tcBorders>
              <w:top w:val="nil"/>
              <w:left w:val="nil"/>
              <w:bottom w:val="single" w:sz="4" w:space="0" w:color="auto"/>
              <w:right w:val="single" w:sz="4" w:space="0" w:color="auto"/>
            </w:tcBorders>
            <w:shd w:val="clear" w:color="auto" w:fill="auto"/>
            <w:noWrap/>
            <w:vAlign w:val="bottom"/>
            <w:hideMark/>
          </w:tcPr>
          <w:p w14:paraId="69677E33"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32 (18.4%)</w:t>
            </w:r>
          </w:p>
        </w:tc>
        <w:tc>
          <w:tcPr>
            <w:tcW w:w="0" w:type="auto"/>
            <w:vAlign w:val="center"/>
            <w:hideMark/>
          </w:tcPr>
          <w:p w14:paraId="4261670F" w14:textId="77777777" w:rsidR="00703235" w:rsidRPr="002229D1" w:rsidRDefault="00703235" w:rsidP="005E1781">
            <w:pPr>
              <w:rPr>
                <w:rFonts w:eastAsia="Times New Roman" w:cstheme="minorHAnsi"/>
                <w:sz w:val="20"/>
                <w:szCs w:val="20"/>
                <w:lang w:eastAsia="en-GB"/>
              </w:rPr>
            </w:pPr>
          </w:p>
        </w:tc>
      </w:tr>
      <w:tr w:rsidR="00703235" w:rsidRPr="002229D1" w14:paraId="067449B7"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28240F"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£30,001-45,000</w:t>
            </w:r>
          </w:p>
        </w:tc>
        <w:tc>
          <w:tcPr>
            <w:tcW w:w="0" w:type="auto"/>
            <w:tcBorders>
              <w:top w:val="nil"/>
              <w:left w:val="nil"/>
              <w:bottom w:val="single" w:sz="4" w:space="0" w:color="auto"/>
              <w:right w:val="single" w:sz="4" w:space="0" w:color="auto"/>
            </w:tcBorders>
            <w:shd w:val="clear" w:color="auto" w:fill="auto"/>
            <w:noWrap/>
            <w:vAlign w:val="bottom"/>
            <w:hideMark/>
          </w:tcPr>
          <w:p w14:paraId="57FC0F51"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29 (16.7%)</w:t>
            </w:r>
          </w:p>
        </w:tc>
        <w:tc>
          <w:tcPr>
            <w:tcW w:w="0" w:type="auto"/>
            <w:vAlign w:val="center"/>
            <w:hideMark/>
          </w:tcPr>
          <w:p w14:paraId="7BE47548" w14:textId="77777777" w:rsidR="00703235" w:rsidRPr="002229D1" w:rsidRDefault="00703235" w:rsidP="005E1781">
            <w:pPr>
              <w:rPr>
                <w:rFonts w:eastAsia="Times New Roman" w:cstheme="minorHAnsi"/>
                <w:sz w:val="20"/>
                <w:szCs w:val="20"/>
                <w:lang w:eastAsia="en-GB"/>
              </w:rPr>
            </w:pPr>
          </w:p>
        </w:tc>
      </w:tr>
      <w:tr w:rsidR="00703235" w:rsidRPr="002229D1" w14:paraId="5A91A6E4"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3C9D04"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£45,001-60,000</w:t>
            </w:r>
          </w:p>
        </w:tc>
        <w:tc>
          <w:tcPr>
            <w:tcW w:w="0" w:type="auto"/>
            <w:tcBorders>
              <w:top w:val="nil"/>
              <w:left w:val="nil"/>
              <w:bottom w:val="single" w:sz="4" w:space="0" w:color="auto"/>
              <w:right w:val="single" w:sz="4" w:space="0" w:color="auto"/>
            </w:tcBorders>
            <w:shd w:val="clear" w:color="auto" w:fill="auto"/>
            <w:noWrap/>
            <w:vAlign w:val="bottom"/>
            <w:hideMark/>
          </w:tcPr>
          <w:p w14:paraId="4E606A62"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35 (20.1%)</w:t>
            </w:r>
          </w:p>
        </w:tc>
        <w:tc>
          <w:tcPr>
            <w:tcW w:w="0" w:type="auto"/>
            <w:vAlign w:val="center"/>
            <w:hideMark/>
          </w:tcPr>
          <w:p w14:paraId="63DE19D3" w14:textId="77777777" w:rsidR="00703235" w:rsidRPr="002229D1" w:rsidRDefault="00703235" w:rsidP="005E1781">
            <w:pPr>
              <w:rPr>
                <w:rFonts w:eastAsia="Times New Roman" w:cstheme="minorHAnsi"/>
                <w:sz w:val="20"/>
                <w:szCs w:val="20"/>
                <w:lang w:eastAsia="en-GB"/>
              </w:rPr>
            </w:pPr>
          </w:p>
        </w:tc>
      </w:tr>
      <w:tr w:rsidR="00703235" w:rsidRPr="002229D1" w14:paraId="26D3B6BB"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BC609B"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&gt;£60,000</w:t>
            </w:r>
          </w:p>
        </w:tc>
        <w:tc>
          <w:tcPr>
            <w:tcW w:w="0" w:type="auto"/>
            <w:tcBorders>
              <w:top w:val="nil"/>
              <w:left w:val="nil"/>
              <w:bottom w:val="single" w:sz="4" w:space="0" w:color="auto"/>
              <w:right w:val="single" w:sz="4" w:space="0" w:color="auto"/>
            </w:tcBorders>
            <w:shd w:val="clear" w:color="auto" w:fill="auto"/>
            <w:noWrap/>
            <w:vAlign w:val="bottom"/>
            <w:hideMark/>
          </w:tcPr>
          <w:p w14:paraId="75D2E3BC"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57 (32.8%)</w:t>
            </w:r>
          </w:p>
        </w:tc>
        <w:tc>
          <w:tcPr>
            <w:tcW w:w="0" w:type="auto"/>
            <w:vAlign w:val="center"/>
            <w:hideMark/>
          </w:tcPr>
          <w:p w14:paraId="3677A3CD" w14:textId="77777777" w:rsidR="00703235" w:rsidRPr="002229D1" w:rsidRDefault="00703235" w:rsidP="005E1781">
            <w:pPr>
              <w:rPr>
                <w:rFonts w:eastAsia="Times New Roman" w:cstheme="minorHAnsi"/>
                <w:sz w:val="20"/>
                <w:szCs w:val="20"/>
                <w:lang w:eastAsia="en-GB"/>
              </w:rPr>
            </w:pPr>
          </w:p>
        </w:tc>
      </w:tr>
      <w:tr w:rsidR="00703235" w:rsidRPr="002229D1" w14:paraId="6F6A357F"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15F3CF"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 xml:space="preserve">Educational Attainment </w:t>
            </w:r>
          </w:p>
        </w:tc>
        <w:tc>
          <w:tcPr>
            <w:tcW w:w="0" w:type="auto"/>
            <w:tcBorders>
              <w:top w:val="nil"/>
              <w:left w:val="nil"/>
              <w:bottom w:val="single" w:sz="4" w:space="0" w:color="auto"/>
              <w:right w:val="single" w:sz="4" w:space="0" w:color="auto"/>
            </w:tcBorders>
            <w:shd w:val="clear" w:color="auto" w:fill="auto"/>
            <w:noWrap/>
            <w:vAlign w:val="bottom"/>
            <w:hideMark/>
          </w:tcPr>
          <w:p w14:paraId="1C3717CE"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b/>
                <w:bCs/>
                <w:color w:val="000000"/>
                <w:sz w:val="20"/>
                <w:szCs w:val="20"/>
                <w:lang w:eastAsia="en-GB"/>
              </w:rPr>
              <w:t>(N=173)</w:t>
            </w:r>
          </w:p>
        </w:tc>
        <w:tc>
          <w:tcPr>
            <w:tcW w:w="0" w:type="auto"/>
            <w:vAlign w:val="center"/>
            <w:hideMark/>
          </w:tcPr>
          <w:p w14:paraId="0898F7E1" w14:textId="77777777" w:rsidR="00703235" w:rsidRPr="002229D1" w:rsidRDefault="00703235" w:rsidP="005E1781">
            <w:pPr>
              <w:rPr>
                <w:rFonts w:eastAsia="Times New Roman" w:cstheme="minorHAnsi"/>
                <w:sz w:val="20"/>
                <w:szCs w:val="20"/>
                <w:lang w:eastAsia="en-GB"/>
              </w:rPr>
            </w:pPr>
          </w:p>
        </w:tc>
      </w:tr>
      <w:tr w:rsidR="00703235" w:rsidRPr="002229D1" w14:paraId="7A7615A7"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934345"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A levels/BTEC/level 3 diploma</w:t>
            </w:r>
          </w:p>
        </w:tc>
        <w:tc>
          <w:tcPr>
            <w:tcW w:w="0" w:type="auto"/>
            <w:tcBorders>
              <w:top w:val="nil"/>
              <w:left w:val="nil"/>
              <w:bottom w:val="single" w:sz="4" w:space="0" w:color="auto"/>
              <w:right w:val="single" w:sz="4" w:space="0" w:color="auto"/>
            </w:tcBorders>
            <w:shd w:val="clear" w:color="auto" w:fill="auto"/>
            <w:noWrap/>
            <w:vAlign w:val="bottom"/>
            <w:hideMark/>
          </w:tcPr>
          <w:p w14:paraId="24888AE8"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36 (20.7%)</w:t>
            </w:r>
          </w:p>
        </w:tc>
        <w:tc>
          <w:tcPr>
            <w:tcW w:w="0" w:type="auto"/>
            <w:vAlign w:val="center"/>
            <w:hideMark/>
          </w:tcPr>
          <w:p w14:paraId="25459BC8" w14:textId="77777777" w:rsidR="00703235" w:rsidRPr="002229D1" w:rsidRDefault="00703235" w:rsidP="005E1781">
            <w:pPr>
              <w:rPr>
                <w:rFonts w:eastAsia="Times New Roman" w:cstheme="minorHAnsi"/>
                <w:sz w:val="20"/>
                <w:szCs w:val="20"/>
                <w:lang w:eastAsia="en-GB"/>
              </w:rPr>
            </w:pPr>
          </w:p>
        </w:tc>
      </w:tr>
      <w:tr w:rsidR="00703235" w:rsidRPr="002229D1" w14:paraId="625AD414"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29AB3F"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Degree/PGDips</w:t>
            </w:r>
          </w:p>
        </w:tc>
        <w:tc>
          <w:tcPr>
            <w:tcW w:w="0" w:type="auto"/>
            <w:tcBorders>
              <w:top w:val="nil"/>
              <w:left w:val="nil"/>
              <w:bottom w:val="single" w:sz="4" w:space="0" w:color="auto"/>
              <w:right w:val="single" w:sz="4" w:space="0" w:color="auto"/>
            </w:tcBorders>
            <w:shd w:val="clear" w:color="auto" w:fill="auto"/>
            <w:noWrap/>
            <w:vAlign w:val="bottom"/>
            <w:hideMark/>
          </w:tcPr>
          <w:p w14:paraId="1C9B41DE"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68 (39.1%)</w:t>
            </w:r>
          </w:p>
        </w:tc>
        <w:tc>
          <w:tcPr>
            <w:tcW w:w="0" w:type="auto"/>
            <w:vAlign w:val="center"/>
            <w:hideMark/>
          </w:tcPr>
          <w:p w14:paraId="0B3A9B0C" w14:textId="77777777" w:rsidR="00703235" w:rsidRPr="002229D1" w:rsidRDefault="00703235" w:rsidP="005E1781">
            <w:pPr>
              <w:rPr>
                <w:rFonts w:eastAsia="Times New Roman" w:cstheme="minorHAnsi"/>
                <w:sz w:val="20"/>
                <w:szCs w:val="20"/>
                <w:lang w:eastAsia="en-GB"/>
              </w:rPr>
            </w:pPr>
          </w:p>
        </w:tc>
      </w:tr>
      <w:tr w:rsidR="00703235" w:rsidRPr="002229D1" w14:paraId="1B6A293E"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6F05C"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Masters</w:t>
            </w:r>
          </w:p>
        </w:tc>
        <w:tc>
          <w:tcPr>
            <w:tcW w:w="0" w:type="auto"/>
            <w:tcBorders>
              <w:top w:val="nil"/>
              <w:left w:val="nil"/>
              <w:bottom w:val="single" w:sz="4" w:space="0" w:color="auto"/>
              <w:right w:val="single" w:sz="4" w:space="0" w:color="auto"/>
            </w:tcBorders>
            <w:shd w:val="clear" w:color="auto" w:fill="auto"/>
            <w:noWrap/>
            <w:vAlign w:val="bottom"/>
            <w:hideMark/>
          </w:tcPr>
          <w:p w14:paraId="40BFE53E"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35 (20.1%)</w:t>
            </w:r>
          </w:p>
        </w:tc>
        <w:tc>
          <w:tcPr>
            <w:tcW w:w="0" w:type="auto"/>
            <w:vAlign w:val="center"/>
            <w:hideMark/>
          </w:tcPr>
          <w:p w14:paraId="1CCA63FA" w14:textId="77777777" w:rsidR="00703235" w:rsidRPr="002229D1" w:rsidRDefault="00703235" w:rsidP="005E1781">
            <w:pPr>
              <w:rPr>
                <w:rFonts w:eastAsia="Times New Roman" w:cstheme="minorHAnsi"/>
                <w:sz w:val="20"/>
                <w:szCs w:val="20"/>
                <w:lang w:eastAsia="en-GB"/>
              </w:rPr>
            </w:pPr>
          </w:p>
        </w:tc>
      </w:tr>
      <w:tr w:rsidR="00703235" w:rsidRPr="002229D1" w14:paraId="63783EDB"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BCE492"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NVQ/GCSE/O Level</w:t>
            </w:r>
          </w:p>
        </w:tc>
        <w:tc>
          <w:tcPr>
            <w:tcW w:w="0" w:type="auto"/>
            <w:tcBorders>
              <w:top w:val="nil"/>
              <w:left w:val="nil"/>
              <w:bottom w:val="single" w:sz="4" w:space="0" w:color="auto"/>
              <w:right w:val="single" w:sz="4" w:space="0" w:color="auto"/>
            </w:tcBorders>
            <w:shd w:val="clear" w:color="auto" w:fill="auto"/>
            <w:noWrap/>
            <w:vAlign w:val="bottom"/>
            <w:hideMark/>
          </w:tcPr>
          <w:p w14:paraId="3399A5F5"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12 (6.9%)</w:t>
            </w:r>
          </w:p>
        </w:tc>
        <w:tc>
          <w:tcPr>
            <w:tcW w:w="0" w:type="auto"/>
            <w:vAlign w:val="center"/>
            <w:hideMark/>
          </w:tcPr>
          <w:p w14:paraId="28807794" w14:textId="77777777" w:rsidR="00703235" w:rsidRPr="002229D1" w:rsidRDefault="00703235" w:rsidP="005E1781">
            <w:pPr>
              <w:rPr>
                <w:rFonts w:eastAsia="Times New Roman" w:cstheme="minorHAnsi"/>
                <w:sz w:val="20"/>
                <w:szCs w:val="20"/>
                <w:lang w:eastAsia="en-GB"/>
              </w:rPr>
            </w:pPr>
          </w:p>
        </w:tc>
      </w:tr>
      <w:tr w:rsidR="00703235" w:rsidRPr="002229D1" w14:paraId="15C4FBCB"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104C73"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6751990A"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2 (1.1%)</w:t>
            </w:r>
          </w:p>
        </w:tc>
        <w:tc>
          <w:tcPr>
            <w:tcW w:w="0" w:type="auto"/>
            <w:vAlign w:val="center"/>
            <w:hideMark/>
          </w:tcPr>
          <w:p w14:paraId="4068F67D" w14:textId="77777777" w:rsidR="00703235" w:rsidRPr="002229D1" w:rsidRDefault="00703235" w:rsidP="005E1781">
            <w:pPr>
              <w:rPr>
                <w:rFonts w:eastAsia="Times New Roman" w:cstheme="minorHAnsi"/>
                <w:sz w:val="20"/>
                <w:szCs w:val="20"/>
                <w:lang w:eastAsia="en-GB"/>
              </w:rPr>
            </w:pPr>
          </w:p>
        </w:tc>
      </w:tr>
      <w:tr w:rsidR="00703235" w:rsidRPr="002229D1" w14:paraId="1F9D8E04"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C612E"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PhD</w:t>
            </w:r>
          </w:p>
        </w:tc>
        <w:tc>
          <w:tcPr>
            <w:tcW w:w="0" w:type="auto"/>
            <w:tcBorders>
              <w:top w:val="nil"/>
              <w:left w:val="nil"/>
              <w:bottom w:val="single" w:sz="4" w:space="0" w:color="auto"/>
              <w:right w:val="single" w:sz="4" w:space="0" w:color="auto"/>
            </w:tcBorders>
            <w:shd w:val="clear" w:color="auto" w:fill="auto"/>
            <w:noWrap/>
            <w:vAlign w:val="bottom"/>
            <w:hideMark/>
          </w:tcPr>
          <w:p w14:paraId="2D28F1A9"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20 (11.5%)</w:t>
            </w:r>
          </w:p>
        </w:tc>
        <w:tc>
          <w:tcPr>
            <w:tcW w:w="0" w:type="auto"/>
            <w:vAlign w:val="center"/>
            <w:hideMark/>
          </w:tcPr>
          <w:p w14:paraId="16CBB2F8" w14:textId="77777777" w:rsidR="00703235" w:rsidRPr="002229D1" w:rsidRDefault="00703235" w:rsidP="005E1781">
            <w:pPr>
              <w:rPr>
                <w:rFonts w:eastAsia="Times New Roman" w:cstheme="minorHAnsi"/>
                <w:sz w:val="20"/>
                <w:szCs w:val="20"/>
                <w:lang w:eastAsia="en-GB"/>
              </w:rPr>
            </w:pPr>
          </w:p>
        </w:tc>
      </w:tr>
      <w:tr w:rsidR="00703235" w:rsidRPr="002229D1" w14:paraId="76C6F47F"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DF296"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 xml:space="preserve">Ethnicity </w:t>
            </w:r>
          </w:p>
        </w:tc>
        <w:tc>
          <w:tcPr>
            <w:tcW w:w="0" w:type="auto"/>
            <w:tcBorders>
              <w:top w:val="nil"/>
              <w:left w:val="nil"/>
              <w:bottom w:val="single" w:sz="4" w:space="0" w:color="auto"/>
              <w:right w:val="single" w:sz="4" w:space="0" w:color="auto"/>
            </w:tcBorders>
            <w:shd w:val="clear" w:color="auto" w:fill="auto"/>
            <w:noWrap/>
            <w:vAlign w:val="bottom"/>
            <w:hideMark/>
          </w:tcPr>
          <w:p w14:paraId="01305B1C"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b/>
                <w:bCs/>
                <w:color w:val="000000"/>
                <w:sz w:val="20"/>
                <w:szCs w:val="20"/>
                <w:lang w:eastAsia="en-GB"/>
              </w:rPr>
              <w:t>(N=174)</w:t>
            </w:r>
          </w:p>
        </w:tc>
        <w:tc>
          <w:tcPr>
            <w:tcW w:w="0" w:type="auto"/>
            <w:vAlign w:val="center"/>
            <w:hideMark/>
          </w:tcPr>
          <w:p w14:paraId="3723E2F7" w14:textId="77777777" w:rsidR="00703235" w:rsidRPr="002229D1" w:rsidRDefault="00703235" w:rsidP="005E1781">
            <w:pPr>
              <w:rPr>
                <w:rFonts w:eastAsia="Times New Roman" w:cstheme="minorHAnsi"/>
                <w:sz w:val="20"/>
                <w:szCs w:val="20"/>
                <w:lang w:eastAsia="en-GB"/>
              </w:rPr>
            </w:pPr>
          </w:p>
        </w:tc>
      </w:tr>
      <w:tr w:rsidR="00703235" w:rsidRPr="002229D1" w14:paraId="57066F91"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E9E7A" w14:textId="2D466CE2" w:rsidR="00703235" w:rsidRPr="002229D1" w:rsidRDefault="003354C3" w:rsidP="005E1781">
            <w:pPr>
              <w:rPr>
                <w:rFonts w:eastAsia="Times New Roman" w:cstheme="minorHAnsi"/>
                <w:color w:val="000000"/>
                <w:sz w:val="20"/>
                <w:szCs w:val="20"/>
                <w:lang w:eastAsia="en-GB"/>
              </w:rPr>
            </w:pPr>
            <w:r>
              <w:rPr>
                <w:rFonts w:eastAsia="Times New Roman" w:cstheme="minorHAnsi"/>
                <w:color w:val="000000"/>
                <w:sz w:val="20"/>
                <w:szCs w:val="20"/>
                <w:lang w:eastAsia="en-GB"/>
              </w:rPr>
              <w:t>BAME</w:t>
            </w:r>
          </w:p>
        </w:tc>
        <w:tc>
          <w:tcPr>
            <w:tcW w:w="0" w:type="auto"/>
            <w:tcBorders>
              <w:top w:val="nil"/>
              <w:left w:val="nil"/>
              <w:bottom w:val="single" w:sz="4" w:space="0" w:color="auto"/>
              <w:right w:val="single" w:sz="4" w:space="0" w:color="auto"/>
            </w:tcBorders>
            <w:shd w:val="clear" w:color="auto" w:fill="auto"/>
            <w:noWrap/>
            <w:vAlign w:val="bottom"/>
            <w:hideMark/>
          </w:tcPr>
          <w:p w14:paraId="65328F5A"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19 (10.9%)</w:t>
            </w:r>
          </w:p>
        </w:tc>
        <w:tc>
          <w:tcPr>
            <w:tcW w:w="0" w:type="auto"/>
            <w:vAlign w:val="center"/>
            <w:hideMark/>
          </w:tcPr>
          <w:p w14:paraId="5FB25226" w14:textId="77777777" w:rsidR="00703235" w:rsidRPr="002229D1" w:rsidRDefault="00703235" w:rsidP="005E1781">
            <w:pPr>
              <w:rPr>
                <w:rFonts w:eastAsia="Times New Roman" w:cstheme="minorHAnsi"/>
                <w:sz w:val="20"/>
                <w:szCs w:val="20"/>
                <w:lang w:eastAsia="en-GB"/>
              </w:rPr>
            </w:pPr>
          </w:p>
        </w:tc>
      </w:tr>
      <w:tr w:rsidR="00703235" w:rsidRPr="002229D1" w14:paraId="2D78B314"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2FFDE"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White British</w:t>
            </w:r>
          </w:p>
        </w:tc>
        <w:tc>
          <w:tcPr>
            <w:tcW w:w="0" w:type="auto"/>
            <w:tcBorders>
              <w:top w:val="nil"/>
              <w:left w:val="nil"/>
              <w:bottom w:val="single" w:sz="4" w:space="0" w:color="auto"/>
              <w:right w:val="single" w:sz="4" w:space="0" w:color="auto"/>
            </w:tcBorders>
            <w:shd w:val="clear" w:color="auto" w:fill="auto"/>
            <w:noWrap/>
            <w:vAlign w:val="bottom"/>
            <w:hideMark/>
          </w:tcPr>
          <w:p w14:paraId="014EBA99"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141 (81.0%)</w:t>
            </w:r>
          </w:p>
        </w:tc>
        <w:tc>
          <w:tcPr>
            <w:tcW w:w="0" w:type="auto"/>
            <w:vAlign w:val="center"/>
            <w:hideMark/>
          </w:tcPr>
          <w:p w14:paraId="445935FB" w14:textId="77777777" w:rsidR="00703235" w:rsidRPr="002229D1" w:rsidRDefault="00703235" w:rsidP="005E1781">
            <w:pPr>
              <w:rPr>
                <w:rFonts w:eastAsia="Times New Roman" w:cstheme="minorHAnsi"/>
                <w:sz w:val="20"/>
                <w:szCs w:val="20"/>
                <w:lang w:eastAsia="en-GB"/>
              </w:rPr>
            </w:pPr>
          </w:p>
        </w:tc>
      </w:tr>
      <w:tr w:rsidR="00703235" w:rsidRPr="002229D1" w14:paraId="28D15E44"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7AE3DB"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White Other</w:t>
            </w:r>
          </w:p>
        </w:tc>
        <w:tc>
          <w:tcPr>
            <w:tcW w:w="0" w:type="auto"/>
            <w:tcBorders>
              <w:top w:val="nil"/>
              <w:left w:val="nil"/>
              <w:bottom w:val="single" w:sz="4" w:space="0" w:color="auto"/>
              <w:right w:val="single" w:sz="4" w:space="0" w:color="auto"/>
            </w:tcBorders>
            <w:shd w:val="clear" w:color="auto" w:fill="auto"/>
            <w:noWrap/>
            <w:vAlign w:val="bottom"/>
            <w:hideMark/>
          </w:tcPr>
          <w:p w14:paraId="2783F704"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14 (8.0%)</w:t>
            </w:r>
          </w:p>
        </w:tc>
        <w:tc>
          <w:tcPr>
            <w:tcW w:w="0" w:type="auto"/>
            <w:vAlign w:val="center"/>
            <w:hideMark/>
          </w:tcPr>
          <w:p w14:paraId="0CA81F9C" w14:textId="77777777" w:rsidR="00703235" w:rsidRPr="002229D1" w:rsidRDefault="00703235" w:rsidP="005E1781">
            <w:pPr>
              <w:rPr>
                <w:rFonts w:eastAsia="Times New Roman" w:cstheme="minorHAnsi"/>
                <w:sz w:val="20"/>
                <w:szCs w:val="20"/>
                <w:lang w:eastAsia="en-GB"/>
              </w:rPr>
            </w:pPr>
          </w:p>
        </w:tc>
      </w:tr>
      <w:tr w:rsidR="00703235" w:rsidRPr="002229D1" w14:paraId="2ABCC1C8"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A3232"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 xml:space="preserve">Number of Children </w:t>
            </w:r>
          </w:p>
        </w:tc>
        <w:tc>
          <w:tcPr>
            <w:tcW w:w="0" w:type="auto"/>
            <w:tcBorders>
              <w:top w:val="nil"/>
              <w:left w:val="nil"/>
              <w:bottom w:val="single" w:sz="4" w:space="0" w:color="auto"/>
              <w:right w:val="single" w:sz="4" w:space="0" w:color="auto"/>
            </w:tcBorders>
            <w:shd w:val="clear" w:color="auto" w:fill="auto"/>
            <w:noWrap/>
            <w:vAlign w:val="bottom"/>
            <w:hideMark/>
          </w:tcPr>
          <w:p w14:paraId="1F045353"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b/>
                <w:bCs/>
                <w:color w:val="000000"/>
                <w:sz w:val="20"/>
                <w:szCs w:val="20"/>
                <w:lang w:eastAsia="en-GB"/>
              </w:rPr>
              <w:t>(N=168)</w:t>
            </w:r>
          </w:p>
        </w:tc>
        <w:tc>
          <w:tcPr>
            <w:tcW w:w="0" w:type="auto"/>
            <w:vAlign w:val="center"/>
            <w:hideMark/>
          </w:tcPr>
          <w:p w14:paraId="03FD629D" w14:textId="77777777" w:rsidR="00703235" w:rsidRPr="002229D1" w:rsidRDefault="00703235" w:rsidP="005E1781">
            <w:pPr>
              <w:rPr>
                <w:rFonts w:eastAsia="Times New Roman" w:cstheme="minorHAnsi"/>
                <w:sz w:val="20"/>
                <w:szCs w:val="20"/>
                <w:lang w:eastAsia="en-GB"/>
              </w:rPr>
            </w:pPr>
          </w:p>
        </w:tc>
      </w:tr>
      <w:tr w:rsidR="00703235" w:rsidRPr="002229D1" w14:paraId="1ECC3067"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62D798"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14:paraId="38F5B610"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102 (58.6%)</w:t>
            </w:r>
          </w:p>
        </w:tc>
        <w:tc>
          <w:tcPr>
            <w:tcW w:w="0" w:type="auto"/>
            <w:vAlign w:val="center"/>
            <w:hideMark/>
          </w:tcPr>
          <w:p w14:paraId="45566778" w14:textId="77777777" w:rsidR="00703235" w:rsidRPr="002229D1" w:rsidRDefault="00703235" w:rsidP="005E1781">
            <w:pPr>
              <w:rPr>
                <w:rFonts w:eastAsia="Times New Roman" w:cstheme="minorHAnsi"/>
                <w:sz w:val="20"/>
                <w:szCs w:val="20"/>
                <w:lang w:eastAsia="en-GB"/>
              </w:rPr>
            </w:pPr>
          </w:p>
        </w:tc>
      </w:tr>
      <w:tr w:rsidR="00703235" w:rsidRPr="002229D1" w14:paraId="15ED895B"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698FAD"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1 to 2</w:t>
            </w:r>
          </w:p>
        </w:tc>
        <w:tc>
          <w:tcPr>
            <w:tcW w:w="0" w:type="auto"/>
            <w:tcBorders>
              <w:top w:val="nil"/>
              <w:left w:val="nil"/>
              <w:bottom w:val="single" w:sz="4" w:space="0" w:color="auto"/>
              <w:right w:val="single" w:sz="4" w:space="0" w:color="auto"/>
            </w:tcBorders>
            <w:shd w:val="clear" w:color="auto" w:fill="auto"/>
            <w:noWrap/>
            <w:vAlign w:val="bottom"/>
            <w:hideMark/>
          </w:tcPr>
          <w:p w14:paraId="5EB9926C"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59 (33.9%)</w:t>
            </w:r>
          </w:p>
        </w:tc>
        <w:tc>
          <w:tcPr>
            <w:tcW w:w="0" w:type="auto"/>
            <w:vAlign w:val="center"/>
            <w:hideMark/>
          </w:tcPr>
          <w:p w14:paraId="10332A61" w14:textId="77777777" w:rsidR="00703235" w:rsidRPr="002229D1" w:rsidRDefault="00703235" w:rsidP="005E1781">
            <w:pPr>
              <w:rPr>
                <w:rFonts w:eastAsia="Times New Roman" w:cstheme="minorHAnsi"/>
                <w:sz w:val="20"/>
                <w:szCs w:val="20"/>
                <w:lang w:eastAsia="en-GB"/>
              </w:rPr>
            </w:pPr>
          </w:p>
        </w:tc>
      </w:tr>
      <w:tr w:rsidR="005C3111" w:rsidRPr="002229D1" w14:paraId="23577A71" w14:textId="77777777" w:rsidTr="002229D1">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09B92D0D" w14:textId="37AC67A3" w:rsidR="005C3111" w:rsidRPr="002229D1" w:rsidRDefault="005C3111" w:rsidP="005C311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3 or more</w:t>
            </w:r>
          </w:p>
        </w:tc>
        <w:tc>
          <w:tcPr>
            <w:tcW w:w="0" w:type="auto"/>
            <w:tcBorders>
              <w:top w:val="nil"/>
              <w:left w:val="nil"/>
              <w:bottom w:val="single" w:sz="4" w:space="0" w:color="auto"/>
              <w:right w:val="single" w:sz="4" w:space="0" w:color="auto"/>
            </w:tcBorders>
            <w:shd w:val="clear" w:color="auto" w:fill="auto"/>
            <w:noWrap/>
            <w:vAlign w:val="bottom"/>
          </w:tcPr>
          <w:p w14:paraId="20020BDD" w14:textId="6C1097FA" w:rsidR="005C3111" w:rsidRPr="002229D1" w:rsidRDefault="005C3111" w:rsidP="005C311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7 (4.0%)</w:t>
            </w:r>
          </w:p>
        </w:tc>
        <w:tc>
          <w:tcPr>
            <w:tcW w:w="0" w:type="auto"/>
            <w:vAlign w:val="center"/>
          </w:tcPr>
          <w:p w14:paraId="098DE359" w14:textId="77777777" w:rsidR="005C3111" w:rsidRPr="002229D1" w:rsidRDefault="005C3111" w:rsidP="005C3111">
            <w:pPr>
              <w:rPr>
                <w:rFonts w:eastAsia="Times New Roman" w:cstheme="minorHAnsi"/>
                <w:sz w:val="20"/>
                <w:szCs w:val="20"/>
                <w:lang w:eastAsia="en-GB"/>
              </w:rPr>
            </w:pPr>
          </w:p>
        </w:tc>
      </w:tr>
    </w:tbl>
    <w:p w14:paraId="5363C523" w14:textId="77777777" w:rsidR="00703235" w:rsidRDefault="00703235" w:rsidP="00703235"/>
    <w:p w14:paraId="358EAE0D" w14:textId="0F9E4476" w:rsidR="00703235" w:rsidRPr="00BA2C3F" w:rsidRDefault="00F75D88" w:rsidP="002229D1">
      <w:pPr>
        <w:spacing w:line="480" w:lineRule="auto"/>
        <w:rPr>
          <w:i/>
          <w:iCs/>
          <w:sz w:val="18"/>
          <w:szCs w:val="18"/>
        </w:rPr>
      </w:pPr>
      <w:r>
        <w:rPr>
          <w:i/>
          <w:iCs/>
          <w:sz w:val="18"/>
          <w:szCs w:val="18"/>
        </w:rPr>
        <w:t>P</w:t>
      </w:r>
      <w:r w:rsidR="00703235" w:rsidRPr="00BA2C3F">
        <w:rPr>
          <w:i/>
          <w:iCs/>
          <w:sz w:val="18"/>
          <w:szCs w:val="18"/>
        </w:rPr>
        <w:t>roportions expressed as percentages account for (include) missing data from survey.</w:t>
      </w:r>
    </w:p>
    <w:p w14:paraId="3DB7F680" w14:textId="77777777" w:rsidR="00703235" w:rsidRPr="00BA2C3F" w:rsidRDefault="00703235" w:rsidP="002229D1">
      <w:pPr>
        <w:spacing w:line="480" w:lineRule="auto"/>
        <w:rPr>
          <w:i/>
          <w:iCs/>
          <w:sz w:val="18"/>
          <w:szCs w:val="18"/>
        </w:rPr>
      </w:pPr>
      <w:r w:rsidRPr="00BA2C3F">
        <w:rPr>
          <w:i/>
          <w:iCs/>
          <w:sz w:val="18"/>
          <w:szCs w:val="18"/>
        </w:rPr>
        <w:t>*White Other: included those who identified as; Irish, Gypsy or Irish Traveller, Other,</w:t>
      </w:r>
    </w:p>
    <w:p w14:paraId="045A478B" w14:textId="732A9795" w:rsidR="00703235" w:rsidRPr="00703235" w:rsidRDefault="00703235" w:rsidP="002229D1">
      <w:pPr>
        <w:spacing w:line="480" w:lineRule="auto"/>
        <w:rPr>
          <w:i/>
          <w:iCs/>
          <w:sz w:val="18"/>
          <w:szCs w:val="18"/>
        </w:rPr>
      </w:pPr>
      <w:r w:rsidRPr="00BA2C3F">
        <w:rPr>
          <w:i/>
          <w:iCs/>
          <w:sz w:val="18"/>
          <w:szCs w:val="18"/>
        </w:rPr>
        <w:t>*</w:t>
      </w:r>
      <w:r w:rsidR="00F043E4" w:rsidRPr="00F043E4">
        <w:t xml:space="preserve"> </w:t>
      </w:r>
      <w:r w:rsidR="003354C3">
        <w:rPr>
          <w:i/>
          <w:iCs/>
          <w:sz w:val="18"/>
          <w:szCs w:val="18"/>
        </w:rPr>
        <w:t>BAME</w:t>
      </w:r>
      <w:r w:rsidRPr="00BA2C3F">
        <w:rPr>
          <w:i/>
          <w:iCs/>
          <w:sz w:val="18"/>
          <w:szCs w:val="18"/>
        </w:rPr>
        <w:t xml:space="preserve">: included those who identified as; </w:t>
      </w:r>
      <w:r w:rsidR="008C4529">
        <w:rPr>
          <w:i/>
          <w:iCs/>
          <w:sz w:val="18"/>
          <w:szCs w:val="18"/>
        </w:rPr>
        <w:t>‘</w:t>
      </w:r>
      <w:r w:rsidRPr="00BA2C3F">
        <w:rPr>
          <w:i/>
          <w:iCs/>
          <w:sz w:val="18"/>
          <w:szCs w:val="18"/>
        </w:rPr>
        <w:t>Mixed/Multiple Ethnic Groups</w:t>
      </w:r>
      <w:r w:rsidR="008C4529">
        <w:rPr>
          <w:i/>
          <w:iCs/>
          <w:sz w:val="18"/>
          <w:szCs w:val="18"/>
        </w:rPr>
        <w:t>’</w:t>
      </w:r>
      <w:r w:rsidRPr="00BA2C3F">
        <w:rPr>
          <w:i/>
          <w:iCs/>
          <w:sz w:val="18"/>
          <w:szCs w:val="18"/>
        </w:rPr>
        <w:t xml:space="preserve">; White and Asian, White and Black African, White and Black Caribbean, Other; </w:t>
      </w:r>
      <w:r w:rsidR="008C4529">
        <w:rPr>
          <w:i/>
          <w:iCs/>
          <w:sz w:val="18"/>
          <w:szCs w:val="18"/>
        </w:rPr>
        <w:t>‘</w:t>
      </w:r>
      <w:r w:rsidRPr="00BA2C3F">
        <w:rPr>
          <w:i/>
          <w:iCs/>
          <w:sz w:val="18"/>
          <w:szCs w:val="18"/>
        </w:rPr>
        <w:t>Asian British/Asian</w:t>
      </w:r>
      <w:r w:rsidR="008C4529">
        <w:rPr>
          <w:i/>
          <w:iCs/>
          <w:sz w:val="18"/>
          <w:szCs w:val="18"/>
        </w:rPr>
        <w:t>’</w:t>
      </w:r>
      <w:r w:rsidRPr="00BA2C3F">
        <w:rPr>
          <w:i/>
          <w:iCs/>
          <w:sz w:val="18"/>
          <w:szCs w:val="18"/>
        </w:rPr>
        <w:t xml:space="preserve">; Chinese, Pakistani, Indian, Bangladeshi, Other; </w:t>
      </w:r>
      <w:r w:rsidR="008C4529">
        <w:rPr>
          <w:i/>
          <w:iCs/>
          <w:sz w:val="18"/>
          <w:szCs w:val="18"/>
        </w:rPr>
        <w:t>‘</w:t>
      </w:r>
      <w:r w:rsidRPr="00BA2C3F">
        <w:rPr>
          <w:i/>
          <w:iCs/>
          <w:sz w:val="18"/>
          <w:szCs w:val="18"/>
        </w:rPr>
        <w:t>Black British/Black</w:t>
      </w:r>
      <w:r w:rsidR="008C4529">
        <w:rPr>
          <w:i/>
          <w:iCs/>
          <w:sz w:val="18"/>
          <w:szCs w:val="18"/>
        </w:rPr>
        <w:t>’</w:t>
      </w:r>
      <w:r w:rsidRPr="00BA2C3F">
        <w:rPr>
          <w:i/>
          <w:iCs/>
          <w:sz w:val="18"/>
          <w:szCs w:val="18"/>
        </w:rPr>
        <w:t xml:space="preserve">; African, Caribbean, Other; </w:t>
      </w:r>
      <w:r w:rsidR="008C4529">
        <w:rPr>
          <w:i/>
          <w:iCs/>
          <w:sz w:val="18"/>
          <w:szCs w:val="18"/>
        </w:rPr>
        <w:t>‘</w:t>
      </w:r>
      <w:r w:rsidRPr="00BA2C3F">
        <w:rPr>
          <w:i/>
          <w:iCs/>
          <w:sz w:val="18"/>
          <w:szCs w:val="18"/>
        </w:rPr>
        <w:t>Other Ethnic Group</w:t>
      </w:r>
      <w:r w:rsidR="008C4529">
        <w:rPr>
          <w:i/>
          <w:iCs/>
          <w:sz w:val="18"/>
          <w:szCs w:val="18"/>
        </w:rPr>
        <w:t>’</w:t>
      </w:r>
      <w:r w:rsidRPr="00BA2C3F">
        <w:rPr>
          <w:i/>
          <w:iCs/>
          <w:sz w:val="18"/>
          <w:szCs w:val="18"/>
        </w:rPr>
        <w:t>; Arab, Other</w:t>
      </w:r>
    </w:p>
    <w:p w14:paraId="3F21E4F2" w14:textId="77777777" w:rsidR="002229D1" w:rsidRDefault="002229D1" w:rsidP="002229D1">
      <w:pPr>
        <w:spacing w:line="480" w:lineRule="auto"/>
      </w:pPr>
    </w:p>
    <w:p w14:paraId="149E4D08" w14:textId="77777777" w:rsidR="00E90CA2" w:rsidRDefault="00E90CA2" w:rsidP="002229D1">
      <w:pPr>
        <w:spacing w:line="480" w:lineRule="auto"/>
      </w:pPr>
      <w:r>
        <w:t>Over three quarters (77.6%) of the sample said they would provide a stool sample if prompted (Table 3).</w:t>
      </w:r>
      <w:r w:rsidRPr="00163F47">
        <w:t xml:space="preserve"> </w:t>
      </w:r>
      <w:r>
        <w:t xml:space="preserve">Method A was the preferred method of stool sample collection (66.1%). </w:t>
      </w:r>
      <w:r>
        <w:lastRenderedPageBreak/>
        <w:t xml:space="preserve">This was the method that involved direct sampling of stool, rather than utilising a ‘poo hammock’ as in Method B (Appendix 1). Among those who stated that they would refuse to provide a stool sample, more than 40% said that they could change their mind, most commonly through being provided with a ‘diagnosis’ of causative microbes. </w:t>
      </w:r>
    </w:p>
    <w:p w14:paraId="7B6EE3D9" w14:textId="77777777" w:rsidR="00703235" w:rsidRDefault="00703235" w:rsidP="002229D1">
      <w:pPr>
        <w:spacing w:line="480" w:lineRule="auto"/>
      </w:pPr>
    </w:p>
    <w:p w14:paraId="68280061" w14:textId="7F8554AD" w:rsidR="00703235" w:rsidRPr="00074C4C" w:rsidRDefault="00703235" w:rsidP="002229D1">
      <w:pPr>
        <w:spacing w:line="480" w:lineRule="auto"/>
        <w:rPr>
          <w:b/>
          <w:bCs/>
        </w:rPr>
      </w:pPr>
      <w:r w:rsidRPr="00074C4C">
        <w:rPr>
          <w:b/>
          <w:bCs/>
        </w:rPr>
        <w:t xml:space="preserve">Table 3. </w:t>
      </w:r>
      <w:r w:rsidR="00F75D88">
        <w:rPr>
          <w:b/>
          <w:bCs/>
        </w:rPr>
        <w:t>Participant responses to each of the survey’s main outcomes</w:t>
      </w:r>
      <w:r w:rsidRPr="00074C4C">
        <w:rPr>
          <w:b/>
          <w:bCs/>
        </w:rPr>
        <w:t>.</w:t>
      </w:r>
    </w:p>
    <w:p w14:paraId="61A36F83" w14:textId="77777777" w:rsidR="00703235" w:rsidRPr="00182FD4" w:rsidRDefault="00703235" w:rsidP="00703235"/>
    <w:tbl>
      <w:tblPr>
        <w:tblW w:w="9020" w:type="dxa"/>
        <w:tblLook w:val="04A0" w:firstRow="1" w:lastRow="0" w:firstColumn="1" w:lastColumn="0" w:noHBand="0" w:noVBand="1"/>
      </w:tblPr>
      <w:tblGrid>
        <w:gridCol w:w="6941"/>
        <w:gridCol w:w="1843"/>
        <w:gridCol w:w="236"/>
      </w:tblGrid>
      <w:tr w:rsidR="00703235" w:rsidRPr="002229D1" w14:paraId="20BDCCA7" w14:textId="77777777" w:rsidTr="002229D1">
        <w:trPr>
          <w:gridAfter w:val="1"/>
          <w:wAfter w:w="236" w:type="dxa"/>
          <w:trHeight w:val="293"/>
        </w:trPr>
        <w:tc>
          <w:tcPr>
            <w:tcW w:w="69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9F278"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Main Survey Outcomes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7C56D" w14:textId="105F2858"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 xml:space="preserve">Overall </w:t>
            </w:r>
            <w:r w:rsidR="00F75D88" w:rsidRPr="002229D1">
              <w:rPr>
                <w:rFonts w:eastAsia="Times New Roman" w:cstheme="minorHAnsi"/>
                <w:b/>
                <w:bCs/>
                <w:color w:val="000000"/>
                <w:sz w:val="20"/>
                <w:szCs w:val="20"/>
                <w:lang w:eastAsia="en-GB"/>
              </w:rPr>
              <w:t xml:space="preserve">N= </w:t>
            </w:r>
            <w:r w:rsidRPr="002229D1">
              <w:rPr>
                <w:rFonts w:eastAsia="Times New Roman" w:cstheme="minorHAnsi"/>
                <w:b/>
                <w:bCs/>
                <w:color w:val="000000"/>
                <w:sz w:val="20"/>
                <w:szCs w:val="20"/>
                <w:lang w:eastAsia="en-GB"/>
              </w:rPr>
              <w:t>174</w:t>
            </w:r>
          </w:p>
        </w:tc>
      </w:tr>
      <w:tr w:rsidR="00703235" w:rsidRPr="002229D1" w14:paraId="38AD3BB0" w14:textId="77777777" w:rsidTr="002229D1">
        <w:trPr>
          <w:trHeight w:val="283"/>
        </w:trPr>
        <w:tc>
          <w:tcPr>
            <w:tcW w:w="6941" w:type="dxa"/>
            <w:vMerge/>
            <w:tcBorders>
              <w:top w:val="single" w:sz="4" w:space="0" w:color="auto"/>
              <w:left w:val="single" w:sz="4" w:space="0" w:color="auto"/>
              <w:bottom w:val="single" w:sz="4" w:space="0" w:color="auto"/>
              <w:right w:val="single" w:sz="4" w:space="0" w:color="auto"/>
            </w:tcBorders>
            <w:vAlign w:val="center"/>
            <w:hideMark/>
          </w:tcPr>
          <w:p w14:paraId="2C60E56E" w14:textId="77777777" w:rsidR="00703235" w:rsidRPr="002229D1" w:rsidRDefault="00703235" w:rsidP="005E1781">
            <w:pPr>
              <w:rPr>
                <w:rFonts w:eastAsia="Times New Roman" w:cstheme="minorHAnsi"/>
                <w:b/>
                <w:bCs/>
                <w:color w:val="000000"/>
                <w:sz w:val="20"/>
                <w:szCs w:val="20"/>
                <w:lang w:eastAsia="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4E80BC" w14:textId="77777777" w:rsidR="00703235" w:rsidRPr="002229D1" w:rsidRDefault="00703235" w:rsidP="005E1781">
            <w:pPr>
              <w:jc w:val="center"/>
              <w:rPr>
                <w:rFonts w:eastAsia="Times New Roman" w:cstheme="minorHAnsi"/>
                <w:b/>
                <w:bCs/>
                <w:color w:val="000000"/>
                <w:sz w:val="20"/>
                <w:szCs w:val="20"/>
                <w:lang w:eastAsia="en-GB"/>
              </w:rPr>
            </w:pPr>
          </w:p>
        </w:tc>
        <w:tc>
          <w:tcPr>
            <w:tcW w:w="236" w:type="dxa"/>
            <w:tcBorders>
              <w:top w:val="nil"/>
              <w:left w:val="nil"/>
              <w:bottom w:val="nil"/>
              <w:right w:val="nil"/>
            </w:tcBorders>
            <w:shd w:val="clear" w:color="auto" w:fill="auto"/>
            <w:noWrap/>
            <w:vAlign w:val="bottom"/>
            <w:hideMark/>
          </w:tcPr>
          <w:p w14:paraId="0AAD62A0" w14:textId="77777777" w:rsidR="00703235" w:rsidRPr="002229D1" w:rsidRDefault="00703235" w:rsidP="005E1781">
            <w:pPr>
              <w:jc w:val="center"/>
              <w:rPr>
                <w:rFonts w:eastAsia="Times New Roman" w:cstheme="minorHAnsi"/>
                <w:b/>
                <w:bCs/>
                <w:color w:val="000000"/>
                <w:sz w:val="20"/>
                <w:szCs w:val="20"/>
                <w:lang w:eastAsia="en-GB"/>
              </w:rPr>
            </w:pPr>
          </w:p>
        </w:tc>
      </w:tr>
      <w:tr w:rsidR="00703235" w:rsidRPr="002229D1" w14:paraId="2FF4F5C1"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8D7A52E"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Comfortability Reporting Illness Online</w:t>
            </w:r>
          </w:p>
        </w:tc>
        <w:tc>
          <w:tcPr>
            <w:tcW w:w="1843" w:type="dxa"/>
            <w:tcBorders>
              <w:top w:val="nil"/>
              <w:left w:val="nil"/>
              <w:bottom w:val="single" w:sz="4" w:space="0" w:color="auto"/>
              <w:right w:val="single" w:sz="4" w:space="0" w:color="auto"/>
            </w:tcBorders>
            <w:shd w:val="clear" w:color="auto" w:fill="auto"/>
            <w:noWrap/>
            <w:vAlign w:val="bottom"/>
            <w:hideMark/>
          </w:tcPr>
          <w:p w14:paraId="33E8B22C"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N=173</w:t>
            </w:r>
          </w:p>
        </w:tc>
        <w:tc>
          <w:tcPr>
            <w:tcW w:w="236" w:type="dxa"/>
            <w:vAlign w:val="center"/>
            <w:hideMark/>
          </w:tcPr>
          <w:p w14:paraId="0108215F" w14:textId="77777777" w:rsidR="00703235" w:rsidRPr="002229D1" w:rsidRDefault="00703235" w:rsidP="005E1781">
            <w:pPr>
              <w:rPr>
                <w:rFonts w:eastAsia="Times New Roman" w:cstheme="minorHAnsi"/>
                <w:sz w:val="20"/>
                <w:szCs w:val="20"/>
                <w:lang w:eastAsia="en-GB"/>
              </w:rPr>
            </w:pPr>
          </w:p>
        </w:tc>
      </w:tr>
      <w:tr w:rsidR="00703235" w:rsidRPr="002229D1" w14:paraId="4F7D10B4"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384C873"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Very Comfortable</w:t>
            </w:r>
          </w:p>
        </w:tc>
        <w:tc>
          <w:tcPr>
            <w:tcW w:w="1843" w:type="dxa"/>
            <w:tcBorders>
              <w:top w:val="nil"/>
              <w:left w:val="nil"/>
              <w:bottom w:val="single" w:sz="4" w:space="0" w:color="auto"/>
              <w:right w:val="single" w:sz="4" w:space="0" w:color="auto"/>
            </w:tcBorders>
            <w:shd w:val="clear" w:color="auto" w:fill="auto"/>
            <w:noWrap/>
            <w:vAlign w:val="bottom"/>
            <w:hideMark/>
          </w:tcPr>
          <w:p w14:paraId="780AD939"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61 (35.1%)</w:t>
            </w:r>
          </w:p>
        </w:tc>
        <w:tc>
          <w:tcPr>
            <w:tcW w:w="236" w:type="dxa"/>
            <w:vAlign w:val="center"/>
            <w:hideMark/>
          </w:tcPr>
          <w:p w14:paraId="533C6860" w14:textId="77777777" w:rsidR="00703235" w:rsidRPr="002229D1" w:rsidRDefault="00703235" w:rsidP="005E1781">
            <w:pPr>
              <w:rPr>
                <w:rFonts w:eastAsia="Times New Roman" w:cstheme="minorHAnsi"/>
                <w:sz w:val="20"/>
                <w:szCs w:val="20"/>
                <w:lang w:eastAsia="en-GB"/>
              </w:rPr>
            </w:pPr>
          </w:p>
        </w:tc>
      </w:tr>
      <w:tr w:rsidR="00703235" w:rsidRPr="002229D1" w14:paraId="11316425"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BF69D77"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Comfortable</w:t>
            </w:r>
          </w:p>
        </w:tc>
        <w:tc>
          <w:tcPr>
            <w:tcW w:w="1843" w:type="dxa"/>
            <w:tcBorders>
              <w:top w:val="nil"/>
              <w:left w:val="nil"/>
              <w:bottom w:val="single" w:sz="4" w:space="0" w:color="auto"/>
              <w:right w:val="single" w:sz="4" w:space="0" w:color="auto"/>
            </w:tcBorders>
            <w:shd w:val="clear" w:color="auto" w:fill="auto"/>
            <w:noWrap/>
            <w:vAlign w:val="bottom"/>
            <w:hideMark/>
          </w:tcPr>
          <w:p w14:paraId="0F038A11"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69 (39.7%)</w:t>
            </w:r>
          </w:p>
        </w:tc>
        <w:tc>
          <w:tcPr>
            <w:tcW w:w="236" w:type="dxa"/>
            <w:vAlign w:val="center"/>
            <w:hideMark/>
          </w:tcPr>
          <w:p w14:paraId="15D46B9F" w14:textId="77777777" w:rsidR="00703235" w:rsidRPr="002229D1" w:rsidRDefault="00703235" w:rsidP="005E1781">
            <w:pPr>
              <w:rPr>
                <w:rFonts w:eastAsia="Times New Roman" w:cstheme="minorHAnsi"/>
                <w:sz w:val="20"/>
                <w:szCs w:val="20"/>
                <w:lang w:eastAsia="en-GB"/>
              </w:rPr>
            </w:pPr>
          </w:p>
        </w:tc>
      </w:tr>
      <w:tr w:rsidR="00703235" w:rsidRPr="002229D1" w14:paraId="6E53C32A"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EDB8774"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Neither Comfortable or Uncomfortable</w:t>
            </w:r>
          </w:p>
        </w:tc>
        <w:tc>
          <w:tcPr>
            <w:tcW w:w="1843" w:type="dxa"/>
            <w:tcBorders>
              <w:top w:val="nil"/>
              <w:left w:val="nil"/>
              <w:bottom w:val="single" w:sz="4" w:space="0" w:color="auto"/>
              <w:right w:val="single" w:sz="4" w:space="0" w:color="auto"/>
            </w:tcBorders>
            <w:shd w:val="clear" w:color="auto" w:fill="auto"/>
            <w:noWrap/>
            <w:vAlign w:val="bottom"/>
            <w:hideMark/>
          </w:tcPr>
          <w:p w14:paraId="36E846D5"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22 (12.6%)</w:t>
            </w:r>
          </w:p>
        </w:tc>
        <w:tc>
          <w:tcPr>
            <w:tcW w:w="236" w:type="dxa"/>
            <w:vAlign w:val="center"/>
            <w:hideMark/>
          </w:tcPr>
          <w:p w14:paraId="07F21D1E" w14:textId="77777777" w:rsidR="00703235" w:rsidRPr="002229D1" w:rsidRDefault="00703235" w:rsidP="005E1781">
            <w:pPr>
              <w:rPr>
                <w:rFonts w:eastAsia="Times New Roman" w:cstheme="minorHAnsi"/>
                <w:sz w:val="20"/>
                <w:szCs w:val="20"/>
                <w:lang w:eastAsia="en-GB"/>
              </w:rPr>
            </w:pPr>
          </w:p>
        </w:tc>
      </w:tr>
      <w:tr w:rsidR="00703235" w:rsidRPr="002229D1" w14:paraId="0CF83A3C"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E731619"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Uncomfortable</w:t>
            </w:r>
          </w:p>
        </w:tc>
        <w:tc>
          <w:tcPr>
            <w:tcW w:w="1843" w:type="dxa"/>
            <w:tcBorders>
              <w:top w:val="nil"/>
              <w:left w:val="nil"/>
              <w:bottom w:val="single" w:sz="4" w:space="0" w:color="auto"/>
              <w:right w:val="single" w:sz="4" w:space="0" w:color="auto"/>
            </w:tcBorders>
            <w:shd w:val="clear" w:color="auto" w:fill="auto"/>
            <w:noWrap/>
            <w:vAlign w:val="bottom"/>
            <w:hideMark/>
          </w:tcPr>
          <w:p w14:paraId="40239007"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20 (11.5%)</w:t>
            </w:r>
          </w:p>
        </w:tc>
        <w:tc>
          <w:tcPr>
            <w:tcW w:w="236" w:type="dxa"/>
            <w:vAlign w:val="center"/>
            <w:hideMark/>
          </w:tcPr>
          <w:p w14:paraId="2F59394E" w14:textId="77777777" w:rsidR="00703235" w:rsidRPr="002229D1" w:rsidRDefault="00703235" w:rsidP="005E1781">
            <w:pPr>
              <w:rPr>
                <w:rFonts w:eastAsia="Times New Roman" w:cstheme="minorHAnsi"/>
                <w:sz w:val="20"/>
                <w:szCs w:val="20"/>
                <w:lang w:eastAsia="en-GB"/>
              </w:rPr>
            </w:pPr>
          </w:p>
        </w:tc>
      </w:tr>
      <w:tr w:rsidR="00703235" w:rsidRPr="002229D1" w14:paraId="17137716"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9DEBB8F"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Very Uncomfortable</w:t>
            </w:r>
          </w:p>
        </w:tc>
        <w:tc>
          <w:tcPr>
            <w:tcW w:w="1843" w:type="dxa"/>
            <w:tcBorders>
              <w:top w:val="nil"/>
              <w:left w:val="nil"/>
              <w:bottom w:val="single" w:sz="4" w:space="0" w:color="auto"/>
              <w:right w:val="single" w:sz="4" w:space="0" w:color="auto"/>
            </w:tcBorders>
            <w:shd w:val="clear" w:color="auto" w:fill="auto"/>
            <w:noWrap/>
            <w:vAlign w:val="bottom"/>
            <w:hideMark/>
          </w:tcPr>
          <w:p w14:paraId="60CE136C"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 (0.6%)</w:t>
            </w:r>
          </w:p>
        </w:tc>
        <w:tc>
          <w:tcPr>
            <w:tcW w:w="236" w:type="dxa"/>
            <w:vAlign w:val="center"/>
            <w:hideMark/>
          </w:tcPr>
          <w:p w14:paraId="5CCBF218" w14:textId="77777777" w:rsidR="00703235" w:rsidRPr="002229D1" w:rsidRDefault="00703235" w:rsidP="005E1781">
            <w:pPr>
              <w:rPr>
                <w:rFonts w:eastAsia="Times New Roman" w:cstheme="minorHAnsi"/>
                <w:sz w:val="20"/>
                <w:szCs w:val="20"/>
                <w:lang w:eastAsia="en-GB"/>
              </w:rPr>
            </w:pPr>
          </w:p>
        </w:tc>
      </w:tr>
      <w:tr w:rsidR="00703235" w:rsidRPr="002229D1" w14:paraId="2D2A3912"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0CC3DD7"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Comfortability Describing Symptoms Online</w:t>
            </w:r>
          </w:p>
        </w:tc>
        <w:tc>
          <w:tcPr>
            <w:tcW w:w="1843" w:type="dxa"/>
            <w:tcBorders>
              <w:top w:val="nil"/>
              <w:left w:val="nil"/>
              <w:bottom w:val="single" w:sz="4" w:space="0" w:color="auto"/>
              <w:right w:val="single" w:sz="4" w:space="0" w:color="auto"/>
            </w:tcBorders>
            <w:shd w:val="clear" w:color="auto" w:fill="auto"/>
            <w:noWrap/>
            <w:vAlign w:val="bottom"/>
            <w:hideMark/>
          </w:tcPr>
          <w:p w14:paraId="166D3973"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N=172</w:t>
            </w:r>
          </w:p>
        </w:tc>
        <w:tc>
          <w:tcPr>
            <w:tcW w:w="236" w:type="dxa"/>
            <w:vAlign w:val="center"/>
            <w:hideMark/>
          </w:tcPr>
          <w:p w14:paraId="7741AA2B" w14:textId="77777777" w:rsidR="00703235" w:rsidRPr="002229D1" w:rsidRDefault="00703235" w:rsidP="005E1781">
            <w:pPr>
              <w:rPr>
                <w:rFonts w:eastAsia="Times New Roman" w:cstheme="minorHAnsi"/>
                <w:sz w:val="20"/>
                <w:szCs w:val="20"/>
                <w:lang w:eastAsia="en-GB"/>
              </w:rPr>
            </w:pPr>
          </w:p>
        </w:tc>
      </w:tr>
      <w:tr w:rsidR="00703235" w:rsidRPr="002229D1" w14:paraId="79C9B6FD"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7DC2E59"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Very Comfortable</w:t>
            </w:r>
          </w:p>
        </w:tc>
        <w:tc>
          <w:tcPr>
            <w:tcW w:w="1843" w:type="dxa"/>
            <w:tcBorders>
              <w:top w:val="nil"/>
              <w:left w:val="nil"/>
              <w:bottom w:val="single" w:sz="4" w:space="0" w:color="auto"/>
              <w:right w:val="single" w:sz="4" w:space="0" w:color="auto"/>
            </w:tcBorders>
            <w:shd w:val="clear" w:color="auto" w:fill="auto"/>
            <w:noWrap/>
            <w:vAlign w:val="bottom"/>
            <w:hideMark/>
          </w:tcPr>
          <w:p w14:paraId="64EAD8C2"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64 (36.8%)</w:t>
            </w:r>
          </w:p>
        </w:tc>
        <w:tc>
          <w:tcPr>
            <w:tcW w:w="236" w:type="dxa"/>
            <w:vAlign w:val="center"/>
            <w:hideMark/>
          </w:tcPr>
          <w:p w14:paraId="208A6ECF" w14:textId="77777777" w:rsidR="00703235" w:rsidRPr="002229D1" w:rsidRDefault="00703235" w:rsidP="005E1781">
            <w:pPr>
              <w:rPr>
                <w:rFonts w:eastAsia="Times New Roman" w:cstheme="minorHAnsi"/>
                <w:sz w:val="20"/>
                <w:szCs w:val="20"/>
                <w:lang w:eastAsia="en-GB"/>
              </w:rPr>
            </w:pPr>
          </w:p>
        </w:tc>
      </w:tr>
      <w:tr w:rsidR="00703235" w:rsidRPr="002229D1" w14:paraId="656750C9"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A7E062A"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Comfortable</w:t>
            </w:r>
          </w:p>
        </w:tc>
        <w:tc>
          <w:tcPr>
            <w:tcW w:w="1843" w:type="dxa"/>
            <w:tcBorders>
              <w:top w:val="nil"/>
              <w:left w:val="nil"/>
              <w:bottom w:val="single" w:sz="4" w:space="0" w:color="auto"/>
              <w:right w:val="single" w:sz="4" w:space="0" w:color="auto"/>
            </w:tcBorders>
            <w:shd w:val="clear" w:color="auto" w:fill="auto"/>
            <w:noWrap/>
            <w:vAlign w:val="bottom"/>
            <w:hideMark/>
          </w:tcPr>
          <w:p w14:paraId="5FBF55A5"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73 (42.0%)</w:t>
            </w:r>
          </w:p>
        </w:tc>
        <w:tc>
          <w:tcPr>
            <w:tcW w:w="236" w:type="dxa"/>
            <w:vAlign w:val="center"/>
            <w:hideMark/>
          </w:tcPr>
          <w:p w14:paraId="4A45735B" w14:textId="77777777" w:rsidR="00703235" w:rsidRPr="002229D1" w:rsidRDefault="00703235" w:rsidP="005E1781">
            <w:pPr>
              <w:rPr>
                <w:rFonts w:eastAsia="Times New Roman" w:cstheme="minorHAnsi"/>
                <w:sz w:val="20"/>
                <w:szCs w:val="20"/>
                <w:lang w:eastAsia="en-GB"/>
              </w:rPr>
            </w:pPr>
          </w:p>
        </w:tc>
      </w:tr>
      <w:tr w:rsidR="00703235" w:rsidRPr="002229D1" w14:paraId="69C4FAF0"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79309FB"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Neither Comfortable or Uncomfortable</w:t>
            </w:r>
          </w:p>
        </w:tc>
        <w:tc>
          <w:tcPr>
            <w:tcW w:w="1843" w:type="dxa"/>
            <w:tcBorders>
              <w:top w:val="nil"/>
              <w:left w:val="nil"/>
              <w:bottom w:val="single" w:sz="4" w:space="0" w:color="auto"/>
              <w:right w:val="single" w:sz="4" w:space="0" w:color="auto"/>
            </w:tcBorders>
            <w:shd w:val="clear" w:color="auto" w:fill="auto"/>
            <w:noWrap/>
            <w:vAlign w:val="bottom"/>
            <w:hideMark/>
          </w:tcPr>
          <w:p w14:paraId="6EF2CFA7"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21 (12.1%)</w:t>
            </w:r>
          </w:p>
        </w:tc>
        <w:tc>
          <w:tcPr>
            <w:tcW w:w="236" w:type="dxa"/>
            <w:vAlign w:val="center"/>
            <w:hideMark/>
          </w:tcPr>
          <w:p w14:paraId="741521F7" w14:textId="77777777" w:rsidR="00703235" w:rsidRPr="002229D1" w:rsidRDefault="00703235" w:rsidP="005E1781">
            <w:pPr>
              <w:rPr>
                <w:rFonts w:eastAsia="Times New Roman" w:cstheme="minorHAnsi"/>
                <w:sz w:val="20"/>
                <w:szCs w:val="20"/>
                <w:lang w:eastAsia="en-GB"/>
              </w:rPr>
            </w:pPr>
          </w:p>
        </w:tc>
      </w:tr>
      <w:tr w:rsidR="00703235" w:rsidRPr="002229D1" w14:paraId="2BF33D81"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4DBACEB"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Uncomfortable</w:t>
            </w:r>
          </w:p>
        </w:tc>
        <w:tc>
          <w:tcPr>
            <w:tcW w:w="1843" w:type="dxa"/>
            <w:tcBorders>
              <w:top w:val="nil"/>
              <w:left w:val="nil"/>
              <w:bottom w:val="single" w:sz="4" w:space="0" w:color="auto"/>
              <w:right w:val="single" w:sz="4" w:space="0" w:color="auto"/>
            </w:tcBorders>
            <w:shd w:val="clear" w:color="auto" w:fill="auto"/>
            <w:noWrap/>
            <w:vAlign w:val="bottom"/>
            <w:hideMark/>
          </w:tcPr>
          <w:p w14:paraId="3A858425"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14 (8.0%)</w:t>
            </w:r>
          </w:p>
        </w:tc>
        <w:tc>
          <w:tcPr>
            <w:tcW w:w="236" w:type="dxa"/>
            <w:vAlign w:val="center"/>
            <w:hideMark/>
          </w:tcPr>
          <w:p w14:paraId="2F2B51F0" w14:textId="77777777" w:rsidR="00703235" w:rsidRPr="002229D1" w:rsidRDefault="00703235" w:rsidP="005E1781">
            <w:pPr>
              <w:rPr>
                <w:rFonts w:eastAsia="Times New Roman" w:cstheme="minorHAnsi"/>
                <w:sz w:val="20"/>
                <w:szCs w:val="20"/>
                <w:lang w:eastAsia="en-GB"/>
              </w:rPr>
            </w:pPr>
          </w:p>
        </w:tc>
      </w:tr>
      <w:tr w:rsidR="00703235" w:rsidRPr="002229D1" w14:paraId="1DD8DFD5"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D8B451F" w14:textId="5E15B40B"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 xml:space="preserve">Would </w:t>
            </w:r>
            <w:r w:rsidR="00F04C14" w:rsidRPr="002229D1">
              <w:rPr>
                <w:rFonts w:eastAsia="Times New Roman" w:cstheme="minorHAnsi"/>
                <w:b/>
                <w:bCs/>
                <w:color w:val="000000"/>
                <w:sz w:val="20"/>
                <w:szCs w:val="20"/>
                <w:lang w:eastAsia="en-GB"/>
              </w:rPr>
              <w:t>p</w:t>
            </w:r>
            <w:r w:rsidRPr="002229D1">
              <w:rPr>
                <w:rFonts w:eastAsia="Times New Roman" w:cstheme="minorHAnsi"/>
                <w:b/>
                <w:bCs/>
                <w:color w:val="000000"/>
                <w:sz w:val="20"/>
                <w:szCs w:val="20"/>
                <w:lang w:eastAsia="en-GB"/>
              </w:rPr>
              <w:t xml:space="preserve">rovide </w:t>
            </w:r>
            <w:r w:rsidR="00F04C14" w:rsidRPr="002229D1">
              <w:rPr>
                <w:rFonts w:eastAsia="Times New Roman" w:cstheme="minorHAnsi"/>
                <w:b/>
                <w:bCs/>
                <w:color w:val="000000"/>
                <w:sz w:val="20"/>
                <w:szCs w:val="20"/>
                <w:lang w:eastAsia="en-GB"/>
              </w:rPr>
              <w:t>a s</w:t>
            </w:r>
            <w:r w:rsidRPr="002229D1">
              <w:rPr>
                <w:rFonts w:eastAsia="Times New Roman" w:cstheme="minorHAnsi"/>
                <w:b/>
                <w:bCs/>
                <w:color w:val="000000"/>
                <w:sz w:val="20"/>
                <w:szCs w:val="20"/>
                <w:lang w:eastAsia="en-GB"/>
              </w:rPr>
              <w:t>tool</w:t>
            </w:r>
            <w:r w:rsidR="00F04C14" w:rsidRPr="002229D1">
              <w:rPr>
                <w:rFonts w:eastAsia="Times New Roman" w:cstheme="minorHAnsi"/>
                <w:b/>
                <w:bCs/>
                <w:color w:val="000000"/>
                <w:sz w:val="20"/>
                <w:szCs w:val="20"/>
                <w:lang w:eastAsia="en-GB"/>
              </w:rPr>
              <w:t xml:space="preserve"> sample if asked</w:t>
            </w:r>
            <w:r w:rsidRPr="002229D1">
              <w:rPr>
                <w:rFonts w:eastAsia="Times New Roman" w:cstheme="minorHAnsi"/>
                <w:b/>
                <w:bCs/>
                <w:color w:val="000000"/>
                <w:sz w:val="20"/>
                <w:szCs w:val="20"/>
                <w:lang w:eastAsia="en-GB"/>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52E78622"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N=174</w:t>
            </w:r>
          </w:p>
        </w:tc>
        <w:tc>
          <w:tcPr>
            <w:tcW w:w="236" w:type="dxa"/>
            <w:vAlign w:val="center"/>
            <w:hideMark/>
          </w:tcPr>
          <w:p w14:paraId="1711B852" w14:textId="77777777" w:rsidR="00703235" w:rsidRPr="002229D1" w:rsidRDefault="00703235" w:rsidP="005E1781">
            <w:pPr>
              <w:rPr>
                <w:rFonts w:eastAsia="Times New Roman" w:cstheme="minorHAnsi"/>
                <w:sz w:val="20"/>
                <w:szCs w:val="20"/>
                <w:lang w:eastAsia="en-GB"/>
              </w:rPr>
            </w:pPr>
          </w:p>
        </w:tc>
      </w:tr>
      <w:tr w:rsidR="00703235" w:rsidRPr="002229D1" w14:paraId="0D3F663F"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40FB124"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No</w:t>
            </w:r>
          </w:p>
        </w:tc>
        <w:tc>
          <w:tcPr>
            <w:tcW w:w="1843" w:type="dxa"/>
            <w:tcBorders>
              <w:top w:val="nil"/>
              <w:left w:val="nil"/>
              <w:bottom w:val="single" w:sz="4" w:space="0" w:color="auto"/>
              <w:right w:val="single" w:sz="4" w:space="0" w:color="auto"/>
            </w:tcBorders>
            <w:shd w:val="clear" w:color="auto" w:fill="auto"/>
            <w:noWrap/>
            <w:vAlign w:val="bottom"/>
            <w:hideMark/>
          </w:tcPr>
          <w:p w14:paraId="090B85DA"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39 (22.4%)</w:t>
            </w:r>
          </w:p>
        </w:tc>
        <w:tc>
          <w:tcPr>
            <w:tcW w:w="236" w:type="dxa"/>
            <w:vAlign w:val="center"/>
            <w:hideMark/>
          </w:tcPr>
          <w:p w14:paraId="1A1AB285" w14:textId="77777777" w:rsidR="00703235" w:rsidRPr="002229D1" w:rsidRDefault="00703235" w:rsidP="005E1781">
            <w:pPr>
              <w:rPr>
                <w:rFonts w:eastAsia="Times New Roman" w:cstheme="minorHAnsi"/>
                <w:sz w:val="20"/>
                <w:szCs w:val="20"/>
                <w:lang w:eastAsia="en-GB"/>
              </w:rPr>
            </w:pPr>
          </w:p>
        </w:tc>
      </w:tr>
      <w:tr w:rsidR="00703235" w:rsidRPr="002229D1" w14:paraId="7328D5AE"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4422EC4"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Yes</w:t>
            </w:r>
          </w:p>
        </w:tc>
        <w:tc>
          <w:tcPr>
            <w:tcW w:w="1843" w:type="dxa"/>
            <w:tcBorders>
              <w:top w:val="nil"/>
              <w:left w:val="nil"/>
              <w:bottom w:val="single" w:sz="4" w:space="0" w:color="auto"/>
              <w:right w:val="single" w:sz="4" w:space="0" w:color="auto"/>
            </w:tcBorders>
            <w:shd w:val="clear" w:color="auto" w:fill="auto"/>
            <w:noWrap/>
            <w:vAlign w:val="bottom"/>
            <w:hideMark/>
          </w:tcPr>
          <w:p w14:paraId="0A08F1AB"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135 (77.6%)</w:t>
            </w:r>
          </w:p>
        </w:tc>
        <w:tc>
          <w:tcPr>
            <w:tcW w:w="236" w:type="dxa"/>
            <w:vAlign w:val="center"/>
            <w:hideMark/>
          </w:tcPr>
          <w:p w14:paraId="142BE625" w14:textId="77777777" w:rsidR="00703235" w:rsidRPr="002229D1" w:rsidRDefault="00703235" w:rsidP="005E1781">
            <w:pPr>
              <w:rPr>
                <w:rFonts w:eastAsia="Times New Roman" w:cstheme="minorHAnsi"/>
                <w:sz w:val="20"/>
                <w:szCs w:val="20"/>
                <w:lang w:eastAsia="en-GB"/>
              </w:rPr>
            </w:pPr>
          </w:p>
        </w:tc>
      </w:tr>
      <w:tr w:rsidR="00703235" w:rsidRPr="002229D1" w14:paraId="1FBF0B15"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tcPr>
          <w:p w14:paraId="009A75EA"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If No to stool; what factor might change your mind? (multi-response)</w:t>
            </w:r>
          </w:p>
        </w:tc>
        <w:tc>
          <w:tcPr>
            <w:tcW w:w="1843" w:type="dxa"/>
            <w:tcBorders>
              <w:top w:val="nil"/>
              <w:left w:val="nil"/>
              <w:bottom w:val="single" w:sz="4" w:space="0" w:color="auto"/>
              <w:right w:val="single" w:sz="4" w:space="0" w:color="auto"/>
            </w:tcBorders>
            <w:shd w:val="clear" w:color="auto" w:fill="auto"/>
            <w:noWrap/>
            <w:vAlign w:val="bottom"/>
          </w:tcPr>
          <w:p w14:paraId="40AA55AB"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N=39</w:t>
            </w:r>
          </w:p>
        </w:tc>
        <w:tc>
          <w:tcPr>
            <w:tcW w:w="236" w:type="dxa"/>
            <w:vAlign w:val="center"/>
          </w:tcPr>
          <w:p w14:paraId="61A55BC9" w14:textId="77777777" w:rsidR="00703235" w:rsidRPr="002229D1" w:rsidRDefault="00703235" w:rsidP="005E1781">
            <w:pPr>
              <w:rPr>
                <w:rFonts w:eastAsia="Times New Roman" w:cstheme="minorHAnsi"/>
                <w:sz w:val="20"/>
                <w:szCs w:val="20"/>
                <w:lang w:eastAsia="en-GB"/>
              </w:rPr>
            </w:pPr>
          </w:p>
        </w:tc>
      </w:tr>
      <w:tr w:rsidR="00703235" w:rsidRPr="002229D1" w14:paraId="0DF76A41"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tcPr>
          <w:p w14:paraId="7F18EF07"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Being provided with ‘diagnosis’ of causative microbes</w:t>
            </w:r>
          </w:p>
        </w:tc>
        <w:tc>
          <w:tcPr>
            <w:tcW w:w="1843" w:type="dxa"/>
            <w:tcBorders>
              <w:top w:val="nil"/>
              <w:left w:val="nil"/>
              <w:bottom w:val="single" w:sz="4" w:space="0" w:color="auto"/>
              <w:right w:val="single" w:sz="4" w:space="0" w:color="auto"/>
            </w:tcBorders>
            <w:shd w:val="clear" w:color="auto" w:fill="auto"/>
            <w:noWrap/>
            <w:vAlign w:val="bottom"/>
          </w:tcPr>
          <w:p w14:paraId="7A96EDE7"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16 (41%)</w:t>
            </w:r>
          </w:p>
        </w:tc>
        <w:tc>
          <w:tcPr>
            <w:tcW w:w="236" w:type="dxa"/>
            <w:vAlign w:val="center"/>
          </w:tcPr>
          <w:p w14:paraId="0B31BB9F" w14:textId="77777777" w:rsidR="00703235" w:rsidRPr="002229D1" w:rsidRDefault="00703235" w:rsidP="005E1781">
            <w:pPr>
              <w:rPr>
                <w:rFonts w:eastAsia="Times New Roman" w:cstheme="minorHAnsi"/>
                <w:sz w:val="20"/>
                <w:szCs w:val="20"/>
                <w:lang w:eastAsia="en-GB"/>
              </w:rPr>
            </w:pPr>
          </w:p>
        </w:tc>
      </w:tr>
      <w:tr w:rsidR="00703235" w:rsidRPr="002229D1" w14:paraId="1187C676"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tcPr>
          <w:p w14:paraId="67B3E886"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Helping to aid in scientific research</w:t>
            </w:r>
          </w:p>
        </w:tc>
        <w:tc>
          <w:tcPr>
            <w:tcW w:w="1843" w:type="dxa"/>
            <w:tcBorders>
              <w:top w:val="nil"/>
              <w:left w:val="nil"/>
              <w:bottom w:val="single" w:sz="4" w:space="0" w:color="auto"/>
              <w:right w:val="single" w:sz="4" w:space="0" w:color="auto"/>
            </w:tcBorders>
            <w:shd w:val="clear" w:color="auto" w:fill="auto"/>
            <w:noWrap/>
            <w:vAlign w:val="bottom"/>
          </w:tcPr>
          <w:p w14:paraId="7BEC3D42"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6 (15.4%)</w:t>
            </w:r>
          </w:p>
        </w:tc>
        <w:tc>
          <w:tcPr>
            <w:tcW w:w="236" w:type="dxa"/>
            <w:vAlign w:val="center"/>
          </w:tcPr>
          <w:p w14:paraId="30F7125A" w14:textId="77777777" w:rsidR="00703235" w:rsidRPr="002229D1" w:rsidRDefault="00703235" w:rsidP="005E1781">
            <w:pPr>
              <w:rPr>
                <w:rFonts w:eastAsia="Times New Roman" w:cstheme="minorHAnsi"/>
                <w:sz w:val="20"/>
                <w:szCs w:val="20"/>
                <w:lang w:eastAsia="en-GB"/>
              </w:rPr>
            </w:pPr>
          </w:p>
        </w:tc>
      </w:tr>
      <w:tr w:rsidR="00703235" w:rsidRPr="002229D1" w14:paraId="4694F923"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tcPr>
          <w:p w14:paraId="20D56673"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Helping to identify disease outbreaks</w:t>
            </w:r>
          </w:p>
        </w:tc>
        <w:tc>
          <w:tcPr>
            <w:tcW w:w="1843" w:type="dxa"/>
            <w:tcBorders>
              <w:top w:val="nil"/>
              <w:left w:val="nil"/>
              <w:bottom w:val="single" w:sz="4" w:space="0" w:color="auto"/>
              <w:right w:val="single" w:sz="4" w:space="0" w:color="auto"/>
            </w:tcBorders>
            <w:shd w:val="clear" w:color="auto" w:fill="auto"/>
            <w:noWrap/>
            <w:vAlign w:val="bottom"/>
          </w:tcPr>
          <w:p w14:paraId="35C80B7E"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11 (28.2%)</w:t>
            </w:r>
          </w:p>
        </w:tc>
        <w:tc>
          <w:tcPr>
            <w:tcW w:w="236" w:type="dxa"/>
            <w:vAlign w:val="center"/>
          </w:tcPr>
          <w:p w14:paraId="566D9FB6" w14:textId="77777777" w:rsidR="00703235" w:rsidRPr="002229D1" w:rsidRDefault="00703235" w:rsidP="005E1781">
            <w:pPr>
              <w:rPr>
                <w:rFonts w:eastAsia="Times New Roman" w:cstheme="minorHAnsi"/>
                <w:sz w:val="20"/>
                <w:szCs w:val="20"/>
                <w:lang w:eastAsia="en-GB"/>
              </w:rPr>
            </w:pPr>
          </w:p>
        </w:tc>
      </w:tr>
      <w:tr w:rsidR="00703235" w:rsidRPr="002229D1" w14:paraId="224B30F1"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tcPr>
          <w:p w14:paraId="5C267C65"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Other</w:t>
            </w:r>
          </w:p>
        </w:tc>
        <w:tc>
          <w:tcPr>
            <w:tcW w:w="1843" w:type="dxa"/>
            <w:tcBorders>
              <w:top w:val="nil"/>
              <w:left w:val="nil"/>
              <w:bottom w:val="single" w:sz="4" w:space="0" w:color="auto"/>
              <w:right w:val="single" w:sz="4" w:space="0" w:color="auto"/>
            </w:tcBorders>
            <w:shd w:val="clear" w:color="auto" w:fill="auto"/>
            <w:noWrap/>
            <w:vAlign w:val="bottom"/>
          </w:tcPr>
          <w:p w14:paraId="4B7F0FDF"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 (2.6%)</w:t>
            </w:r>
          </w:p>
        </w:tc>
        <w:tc>
          <w:tcPr>
            <w:tcW w:w="236" w:type="dxa"/>
            <w:vAlign w:val="center"/>
          </w:tcPr>
          <w:p w14:paraId="6490CE67" w14:textId="77777777" w:rsidR="00703235" w:rsidRPr="002229D1" w:rsidRDefault="00703235" w:rsidP="005E1781">
            <w:pPr>
              <w:rPr>
                <w:rFonts w:eastAsia="Times New Roman" w:cstheme="minorHAnsi"/>
                <w:sz w:val="20"/>
                <w:szCs w:val="20"/>
                <w:lang w:eastAsia="en-GB"/>
              </w:rPr>
            </w:pPr>
          </w:p>
        </w:tc>
      </w:tr>
      <w:tr w:rsidR="00703235" w:rsidRPr="002229D1" w14:paraId="2EC2ECAA"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9A15A21" w14:textId="5A6B94C9"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Chosen Stool Collection Method</w:t>
            </w:r>
            <w:r w:rsidR="00F9447F">
              <w:rPr>
                <w:rFonts w:eastAsia="Times New Roman" w:cstheme="minorHAnsi"/>
                <w:color w:val="000000"/>
                <w:sz w:val="20"/>
                <w:szCs w:val="20"/>
                <w:vertAlign w:val="superscript"/>
                <w:lang w:eastAsia="en-GB"/>
              </w:rPr>
              <w:t>1</w:t>
            </w:r>
          </w:p>
        </w:tc>
        <w:tc>
          <w:tcPr>
            <w:tcW w:w="1843" w:type="dxa"/>
            <w:tcBorders>
              <w:top w:val="nil"/>
              <w:left w:val="nil"/>
              <w:bottom w:val="single" w:sz="4" w:space="0" w:color="auto"/>
              <w:right w:val="single" w:sz="4" w:space="0" w:color="auto"/>
            </w:tcBorders>
            <w:shd w:val="clear" w:color="auto" w:fill="auto"/>
            <w:noWrap/>
            <w:vAlign w:val="bottom"/>
            <w:hideMark/>
          </w:tcPr>
          <w:p w14:paraId="7E0B6FE3"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N=169</w:t>
            </w:r>
          </w:p>
        </w:tc>
        <w:tc>
          <w:tcPr>
            <w:tcW w:w="236" w:type="dxa"/>
            <w:vAlign w:val="center"/>
            <w:hideMark/>
          </w:tcPr>
          <w:p w14:paraId="17D057BF" w14:textId="77777777" w:rsidR="00703235" w:rsidRPr="002229D1" w:rsidRDefault="00703235" w:rsidP="005E1781">
            <w:pPr>
              <w:rPr>
                <w:rFonts w:eastAsia="Times New Roman" w:cstheme="minorHAnsi"/>
                <w:sz w:val="20"/>
                <w:szCs w:val="20"/>
                <w:lang w:eastAsia="en-GB"/>
              </w:rPr>
            </w:pPr>
          </w:p>
        </w:tc>
      </w:tr>
      <w:tr w:rsidR="00703235" w:rsidRPr="002229D1" w14:paraId="333EF539"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6FE0B08" w14:textId="12762B66" w:rsidR="00703235" w:rsidRPr="00F9447F" w:rsidRDefault="00703235" w:rsidP="00F9447F">
            <w:pPr>
              <w:rPr>
                <w:rFonts w:eastAsia="Times New Roman" w:cstheme="minorHAnsi"/>
                <w:color w:val="000000"/>
                <w:sz w:val="20"/>
                <w:szCs w:val="20"/>
                <w:vertAlign w:val="superscript"/>
                <w:lang w:eastAsia="en-GB"/>
              </w:rPr>
            </w:pPr>
            <w:r w:rsidRPr="002229D1">
              <w:rPr>
                <w:rFonts w:eastAsia="Times New Roman" w:cstheme="minorHAnsi"/>
                <w:color w:val="000000"/>
                <w:sz w:val="20"/>
                <w:szCs w:val="20"/>
                <w:lang w:eastAsia="en-GB"/>
              </w:rPr>
              <w:t>Method A</w:t>
            </w:r>
          </w:p>
        </w:tc>
        <w:tc>
          <w:tcPr>
            <w:tcW w:w="1843" w:type="dxa"/>
            <w:tcBorders>
              <w:top w:val="nil"/>
              <w:left w:val="nil"/>
              <w:bottom w:val="single" w:sz="4" w:space="0" w:color="auto"/>
              <w:right w:val="single" w:sz="4" w:space="0" w:color="auto"/>
            </w:tcBorders>
            <w:shd w:val="clear" w:color="auto" w:fill="auto"/>
            <w:noWrap/>
            <w:vAlign w:val="bottom"/>
            <w:hideMark/>
          </w:tcPr>
          <w:p w14:paraId="5AF9DA24"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115 (66.1%)</w:t>
            </w:r>
          </w:p>
        </w:tc>
        <w:tc>
          <w:tcPr>
            <w:tcW w:w="236" w:type="dxa"/>
            <w:vAlign w:val="center"/>
            <w:hideMark/>
          </w:tcPr>
          <w:p w14:paraId="3E3285AC" w14:textId="77777777" w:rsidR="00703235" w:rsidRPr="002229D1" w:rsidRDefault="00703235" w:rsidP="005E1781">
            <w:pPr>
              <w:rPr>
                <w:rFonts w:eastAsia="Times New Roman" w:cstheme="minorHAnsi"/>
                <w:sz w:val="20"/>
                <w:szCs w:val="20"/>
                <w:lang w:eastAsia="en-GB"/>
              </w:rPr>
            </w:pPr>
          </w:p>
        </w:tc>
      </w:tr>
      <w:tr w:rsidR="00703235" w:rsidRPr="002229D1" w14:paraId="3E5B77A6"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152481A" w14:textId="140D5316" w:rsidR="00703235" w:rsidRPr="00F9447F" w:rsidRDefault="00703235" w:rsidP="00F9447F">
            <w:pPr>
              <w:rPr>
                <w:rFonts w:eastAsia="Times New Roman" w:cstheme="minorHAnsi"/>
                <w:color w:val="000000"/>
                <w:sz w:val="20"/>
                <w:szCs w:val="20"/>
                <w:vertAlign w:val="superscript"/>
                <w:lang w:eastAsia="en-GB"/>
              </w:rPr>
            </w:pPr>
            <w:r w:rsidRPr="002229D1">
              <w:rPr>
                <w:rFonts w:eastAsia="Times New Roman" w:cstheme="minorHAnsi"/>
                <w:color w:val="000000"/>
                <w:sz w:val="20"/>
                <w:szCs w:val="20"/>
                <w:lang w:eastAsia="en-GB"/>
              </w:rPr>
              <w:t>Method B</w:t>
            </w:r>
          </w:p>
        </w:tc>
        <w:tc>
          <w:tcPr>
            <w:tcW w:w="1843" w:type="dxa"/>
            <w:tcBorders>
              <w:top w:val="nil"/>
              <w:left w:val="nil"/>
              <w:bottom w:val="single" w:sz="4" w:space="0" w:color="auto"/>
              <w:right w:val="single" w:sz="4" w:space="0" w:color="auto"/>
            </w:tcBorders>
            <w:shd w:val="clear" w:color="auto" w:fill="auto"/>
            <w:noWrap/>
            <w:vAlign w:val="bottom"/>
            <w:hideMark/>
          </w:tcPr>
          <w:p w14:paraId="1CA4D05C"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54 (31.0%)</w:t>
            </w:r>
          </w:p>
        </w:tc>
        <w:tc>
          <w:tcPr>
            <w:tcW w:w="236" w:type="dxa"/>
            <w:vAlign w:val="center"/>
            <w:hideMark/>
          </w:tcPr>
          <w:p w14:paraId="79DA14C3" w14:textId="77777777" w:rsidR="00703235" w:rsidRPr="002229D1" w:rsidRDefault="00703235" w:rsidP="005E1781">
            <w:pPr>
              <w:rPr>
                <w:rFonts w:eastAsia="Times New Roman" w:cstheme="minorHAnsi"/>
                <w:sz w:val="20"/>
                <w:szCs w:val="20"/>
                <w:lang w:eastAsia="en-GB"/>
              </w:rPr>
            </w:pPr>
          </w:p>
        </w:tc>
      </w:tr>
      <w:tr w:rsidR="00703235" w:rsidRPr="002229D1" w14:paraId="2D448F51"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609EA0E"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Wanted Informing of Test Outcome</w:t>
            </w:r>
          </w:p>
        </w:tc>
        <w:tc>
          <w:tcPr>
            <w:tcW w:w="1843" w:type="dxa"/>
            <w:tcBorders>
              <w:top w:val="nil"/>
              <w:left w:val="nil"/>
              <w:bottom w:val="single" w:sz="4" w:space="0" w:color="auto"/>
              <w:right w:val="single" w:sz="4" w:space="0" w:color="auto"/>
            </w:tcBorders>
            <w:shd w:val="clear" w:color="auto" w:fill="auto"/>
            <w:noWrap/>
            <w:vAlign w:val="bottom"/>
            <w:hideMark/>
          </w:tcPr>
          <w:p w14:paraId="5564F141"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N=173</w:t>
            </w:r>
          </w:p>
        </w:tc>
        <w:tc>
          <w:tcPr>
            <w:tcW w:w="236" w:type="dxa"/>
            <w:vAlign w:val="center"/>
            <w:hideMark/>
          </w:tcPr>
          <w:p w14:paraId="1C88201C" w14:textId="77777777" w:rsidR="00703235" w:rsidRPr="002229D1" w:rsidRDefault="00703235" w:rsidP="005E1781">
            <w:pPr>
              <w:rPr>
                <w:rFonts w:eastAsia="Times New Roman" w:cstheme="minorHAnsi"/>
                <w:sz w:val="20"/>
                <w:szCs w:val="20"/>
                <w:lang w:eastAsia="en-GB"/>
              </w:rPr>
            </w:pPr>
          </w:p>
        </w:tc>
      </w:tr>
      <w:tr w:rsidR="00703235" w:rsidRPr="002229D1" w14:paraId="15D7BBE6"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A3AD24B"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No</w:t>
            </w:r>
          </w:p>
        </w:tc>
        <w:tc>
          <w:tcPr>
            <w:tcW w:w="1843" w:type="dxa"/>
            <w:tcBorders>
              <w:top w:val="nil"/>
              <w:left w:val="nil"/>
              <w:bottom w:val="single" w:sz="4" w:space="0" w:color="auto"/>
              <w:right w:val="single" w:sz="4" w:space="0" w:color="auto"/>
            </w:tcBorders>
            <w:shd w:val="clear" w:color="auto" w:fill="auto"/>
            <w:noWrap/>
            <w:vAlign w:val="bottom"/>
            <w:hideMark/>
          </w:tcPr>
          <w:p w14:paraId="7DA2661A"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3 (1.7%)</w:t>
            </w:r>
          </w:p>
        </w:tc>
        <w:tc>
          <w:tcPr>
            <w:tcW w:w="236" w:type="dxa"/>
            <w:vAlign w:val="center"/>
            <w:hideMark/>
          </w:tcPr>
          <w:p w14:paraId="5A33F1FF" w14:textId="77777777" w:rsidR="00703235" w:rsidRPr="002229D1" w:rsidRDefault="00703235" w:rsidP="005E1781">
            <w:pPr>
              <w:rPr>
                <w:rFonts w:eastAsia="Times New Roman" w:cstheme="minorHAnsi"/>
                <w:sz w:val="20"/>
                <w:szCs w:val="20"/>
                <w:lang w:eastAsia="en-GB"/>
              </w:rPr>
            </w:pPr>
          </w:p>
        </w:tc>
      </w:tr>
      <w:tr w:rsidR="00703235" w:rsidRPr="002229D1" w14:paraId="150D8544"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0502E7D"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Yes</w:t>
            </w:r>
          </w:p>
        </w:tc>
        <w:tc>
          <w:tcPr>
            <w:tcW w:w="1843" w:type="dxa"/>
            <w:tcBorders>
              <w:top w:val="nil"/>
              <w:left w:val="nil"/>
              <w:bottom w:val="single" w:sz="4" w:space="0" w:color="auto"/>
              <w:right w:val="single" w:sz="4" w:space="0" w:color="auto"/>
            </w:tcBorders>
            <w:shd w:val="clear" w:color="auto" w:fill="auto"/>
            <w:noWrap/>
            <w:vAlign w:val="bottom"/>
            <w:hideMark/>
          </w:tcPr>
          <w:p w14:paraId="6F143345"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170 (97.7%)</w:t>
            </w:r>
          </w:p>
        </w:tc>
        <w:tc>
          <w:tcPr>
            <w:tcW w:w="236" w:type="dxa"/>
            <w:vAlign w:val="center"/>
            <w:hideMark/>
          </w:tcPr>
          <w:p w14:paraId="74FFD14E" w14:textId="77777777" w:rsidR="00703235" w:rsidRPr="002229D1" w:rsidRDefault="00703235" w:rsidP="005E1781">
            <w:pPr>
              <w:rPr>
                <w:rFonts w:eastAsia="Times New Roman" w:cstheme="minorHAnsi"/>
                <w:sz w:val="20"/>
                <w:szCs w:val="20"/>
                <w:lang w:eastAsia="en-GB"/>
              </w:rPr>
            </w:pPr>
          </w:p>
        </w:tc>
      </w:tr>
      <w:tr w:rsidR="00703235" w:rsidRPr="002229D1" w14:paraId="50D02F02"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2BE32C8" w14:textId="77777777" w:rsidR="00703235" w:rsidRPr="002229D1" w:rsidRDefault="00703235" w:rsidP="005E1781">
            <w:pP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Wanted further information on microbes</w:t>
            </w:r>
          </w:p>
        </w:tc>
        <w:tc>
          <w:tcPr>
            <w:tcW w:w="1843" w:type="dxa"/>
            <w:tcBorders>
              <w:top w:val="nil"/>
              <w:left w:val="nil"/>
              <w:bottom w:val="single" w:sz="4" w:space="0" w:color="auto"/>
              <w:right w:val="single" w:sz="4" w:space="0" w:color="auto"/>
            </w:tcBorders>
            <w:shd w:val="clear" w:color="auto" w:fill="auto"/>
            <w:noWrap/>
            <w:vAlign w:val="bottom"/>
            <w:hideMark/>
          </w:tcPr>
          <w:p w14:paraId="15AEFB86" w14:textId="77777777" w:rsidR="00703235" w:rsidRPr="002229D1" w:rsidRDefault="00703235" w:rsidP="005E1781">
            <w:pPr>
              <w:jc w:val="center"/>
              <w:rPr>
                <w:rFonts w:eastAsia="Times New Roman" w:cstheme="minorHAnsi"/>
                <w:b/>
                <w:bCs/>
                <w:color w:val="000000"/>
                <w:sz w:val="20"/>
                <w:szCs w:val="20"/>
                <w:lang w:eastAsia="en-GB"/>
              </w:rPr>
            </w:pPr>
            <w:r w:rsidRPr="002229D1">
              <w:rPr>
                <w:rFonts w:eastAsia="Times New Roman" w:cstheme="minorHAnsi"/>
                <w:b/>
                <w:bCs/>
                <w:color w:val="000000"/>
                <w:sz w:val="20"/>
                <w:szCs w:val="20"/>
                <w:lang w:eastAsia="en-GB"/>
              </w:rPr>
              <w:t>N=173</w:t>
            </w:r>
          </w:p>
        </w:tc>
        <w:tc>
          <w:tcPr>
            <w:tcW w:w="236" w:type="dxa"/>
            <w:vAlign w:val="center"/>
            <w:hideMark/>
          </w:tcPr>
          <w:p w14:paraId="74F4077D" w14:textId="77777777" w:rsidR="00703235" w:rsidRPr="002229D1" w:rsidRDefault="00703235" w:rsidP="005E1781">
            <w:pPr>
              <w:rPr>
                <w:rFonts w:eastAsia="Times New Roman" w:cstheme="minorHAnsi"/>
                <w:sz w:val="20"/>
                <w:szCs w:val="20"/>
                <w:lang w:eastAsia="en-GB"/>
              </w:rPr>
            </w:pPr>
          </w:p>
        </w:tc>
      </w:tr>
      <w:tr w:rsidR="00703235" w:rsidRPr="002229D1" w14:paraId="18FE1EA5"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DA84F71"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No</w:t>
            </w:r>
          </w:p>
        </w:tc>
        <w:tc>
          <w:tcPr>
            <w:tcW w:w="1843" w:type="dxa"/>
            <w:tcBorders>
              <w:top w:val="nil"/>
              <w:left w:val="nil"/>
              <w:bottom w:val="single" w:sz="4" w:space="0" w:color="auto"/>
              <w:right w:val="single" w:sz="4" w:space="0" w:color="auto"/>
            </w:tcBorders>
            <w:shd w:val="clear" w:color="auto" w:fill="auto"/>
            <w:noWrap/>
            <w:vAlign w:val="bottom"/>
            <w:hideMark/>
          </w:tcPr>
          <w:p w14:paraId="1CFC9B96"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5 (2.9%)</w:t>
            </w:r>
          </w:p>
        </w:tc>
        <w:tc>
          <w:tcPr>
            <w:tcW w:w="236" w:type="dxa"/>
            <w:vAlign w:val="center"/>
            <w:hideMark/>
          </w:tcPr>
          <w:p w14:paraId="21E994CC" w14:textId="77777777" w:rsidR="00703235" w:rsidRPr="002229D1" w:rsidRDefault="00703235" w:rsidP="005E1781">
            <w:pPr>
              <w:rPr>
                <w:rFonts w:eastAsia="Times New Roman" w:cstheme="minorHAnsi"/>
                <w:sz w:val="20"/>
                <w:szCs w:val="20"/>
                <w:lang w:eastAsia="en-GB"/>
              </w:rPr>
            </w:pPr>
          </w:p>
        </w:tc>
      </w:tr>
      <w:tr w:rsidR="00703235" w:rsidRPr="002229D1" w14:paraId="11E1E2DA" w14:textId="77777777" w:rsidTr="002229D1">
        <w:trPr>
          <w:trHeight w:val="283"/>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7EA4CD2" w14:textId="77777777" w:rsidR="00703235" w:rsidRPr="002229D1" w:rsidRDefault="00703235" w:rsidP="005E1781">
            <w:pPr>
              <w:rPr>
                <w:rFonts w:eastAsia="Times New Roman" w:cstheme="minorHAnsi"/>
                <w:color w:val="000000"/>
                <w:sz w:val="20"/>
                <w:szCs w:val="20"/>
                <w:lang w:eastAsia="en-GB"/>
              </w:rPr>
            </w:pPr>
            <w:r w:rsidRPr="002229D1">
              <w:rPr>
                <w:rFonts w:eastAsia="Times New Roman" w:cstheme="minorHAnsi"/>
                <w:color w:val="000000"/>
                <w:sz w:val="20"/>
                <w:szCs w:val="20"/>
                <w:lang w:eastAsia="en-GB"/>
              </w:rPr>
              <w:t>Yes</w:t>
            </w:r>
          </w:p>
        </w:tc>
        <w:tc>
          <w:tcPr>
            <w:tcW w:w="1843" w:type="dxa"/>
            <w:tcBorders>
              <w:top w:val="nil"/>
              <w:left w:val="nil"/>
              <w:bottom w:val="single" w:sz="4" w:space="0" w:color="auto"/>
              <w:right w:val="single" w:sz="4" w:space="0" w:color="auto"/>
            </w:tcBorders>
            <w:shd w:val="clear" w:color="auto" w:fill="auto"/>
            <w:noWrap/>
            <w:vAlign w:val="bottom"/>
            <w:hideMark/>
          </w:tcPr>
          <w:p w14:paraId="22920CED" w14:textId="77777777" w:rsidR="00703235" w:rsidRPr="002229D1" w:rsidRDefault="00703235" w:rsidP="005E1781">
            <w:pPr>
              <w:jc w:val="center"/>
              <w:rPr>
                <w:rFonts w:eastAsia="Times New Roman" w:cstheme="minorHAnsi"/>
                <w:color w:val="000000"/>
                <w:sz w:val="20"/>
                <w:szCs w:val="20"/>
                <w:lang w:eastAsia="en-GB"/>
              </w:rPr>
            </w:pPr>
            <w:r w:rsidRPr="002229D1">
              <w:rPr>
                <w:rFonts w:eastAsia="Times New Roman" w:cstheme="minorHAnsi"/>
                <w:color w:val="000000"/>
                <w:sz w:val="20"/>
                <w:szCs w:val="20"/>
                <w:lang w:eastAsia="en-GB"/>
              </w:rPr>
              <w:t>168 (96.6%)</w:t>
            </w:r>
          </w:p>
        </w:tc>
        <w:tc>
          <w:tcPr>
            <w:tcW w:w="236" w:type="dxa"/>
            <w:vAlign w:val="center"/>
            <w:hideMark/>
          </w:tcPr>
          <w:p w14:paraId="5806A482" w14:textId="77777777" w:rsidR="00703235" w:rsidRPr="002229D1" w:rsidRDefault="00703235" w:rsidP="005E1781">
            <w:pPr>
              <w:rPr>
                <w:rFonts w:eastAsia="Times New Roman" w:cstheme="minorHAnsi"/>
                <w:sz w:val="20"/>
                <w:szCs w:val="20"/>
                <w:lang w:eastAsia="en-GB"/>
              </w:rPr>
            </w:pPr>
          </w:p>
        </w:tc>
      </w:tr>
    </w:tbl>
    <w:p w14:paraId="2120C34C" w14:textId="403631E9" w:rsidR="00703235" w:rsidRPr="00BA2C3F" w:rsidRDefault="00F75D88" w:rsidP="002229D1">
      <w:pPr>
        <w:spacing w:line="480" w:lineRule="auto"/>
        <w:rPr>
          <w:i/>
          <w:iCs/>
          <w:sz w:val="18"/>
          <w:szCs w:val="18"/>
        </w:rPr>
      </w:pPr>
      <w:r>
        <w:rPr>
          <w:i/>
          <w:iCs/>
          <w:sz w:val="18"/>
          <w:szCs w:val="18"/>
        </w:rPr>
        <w:t>P</w:t>
      </w:r>
      <w:r w:rsidR="00703235" w:rsidRPr="00BA2C3F">
        <w:rPr>
          <w:i/>
          <w:iCs/>
          <w:sz w:val="18"/>
          <w:szCs w:val="18"/>
        </w:rPr>
        <w:t xml:space="preserve">roportions expressed as percentages account for (include) missing data from survey. </w:t>
      </w:r>
    </w:p>
    <w:p w14:paraId="00F1101B" w14:textId="16436061" w:rsidR="00703235" w:rsidRPr="00F9447F" w:rsidRDefault="00DA360D" w:rsidP="002229D1">
      <w:pPr>
        <w:spacing w:line="480" w:lineRule="auto"/>
        <w:rPr>
          <w:sz w:val="18"/>
          <w:szCs w:val="18"/>
        </w:rPr>
      </w:pPr>
      <w:r w:rsidRPr="00DA360D">
        <w:rPr>
          <w:vertAlign w:val="superscript"/>
        </w:rPr>
        <w:t>1</w:t>
      </w:r>
      <w:r w:rsidRPr="00F9447F">
        <w:t xml:space="preserve"> </w:t>
      </w:r>
      <w:r w:rsidRPr="00DA360D">
        <w:rPr>
          <w:sz w:val="18"/>
          <w:szCs w:val="18"/>
        </w:rPr>
        <w:t>Method A - presented the instructions for the current FIT kit used for bowel cancer screening in the National Health Service (NHS) (17), and Method B - presented the use of the Fe-Col® faecal collection device</w:t>
      </w:r>
      <w:r>
        <w:rPr>
          <w:sz w:val="18"/>
          <w:szCs w:val="18"/>
        </w:rPr>
        <w:t>.</w:t>
      </w:r>
    </w:p>
    <w:p w14:paraId="325B598D" w14:textId="49ABE2BE" w:rsidR="00703235" w:rsidRDefault="009A2E91" w:rsidP="002229D1">
      <w:pPr>
        <w:spacing w:line="480" w:lineRule="auto"/>
      </w:pPr>
      <w:r>
        <w:lastRenderedPageBreak/>
        <w:t>A</w:t>
      </w:r>
      <w:r w:rsidR="00A97A68">
        <w:t>lmost all</w:t>
      </w:r>
      <w:r w:rsidR="00634E28">
        <w:t xml:space="preserve"> </w:t>
      </w:r>
      <w:r w:rsidR="00A97A68">
        <w:t>(</w:t>
      </w:r>
      <w:r w:rsidR="00634E28">
        <w:t>97.7</w:t>
      </w:r>
      <w:r w:rsidR="00703235">
        <w:t>%</w:t>
      </w:r>
      <w:r w:rsidR="00A97A68">
        <w:t>)</w:t>
      </w:r>
      <w:r w:rsidR="00703235">
        <w:t xml:space="preserve"> of </w:t>
      </w:r>
      <w:r>
        <w:t>respondents</w:t>
      </w:r>
      <w:r w:rsidR="00703235">
        <w:t xml:space="preserve"> indicated that they would want to be informed of the results of the tests carried out on their stool sample. </w:t>
      </w:r>
      <w:r w:rsidR="00A97A68">
        <w:t xml:space="preserve">Similarly, almost </w:t>
      </w:r>
      <w:r w:rsidR="00703235">
        <w:t>all (96.6%) respondents said they</w:t>
      </w:r>
      <w:r>
        <w:t xml:space="preserve"> would</w:t>
      </w:r>
      <w:r w:rsidR="00703235">
        <w:t xml:space="preserve"> want more information about the microbe if one was </w:t>
      </w:r>
      <w:r w:rsidR="00703235" w:rsidRPr="00072EBE">
        <w:t>identified. Generally, the number of respondents (N) to questions throughout the survey was relatively consistent.</w:t>
      </w:r>
      <w:r w:rsidR="00703235">
        <w:t xml:space="preserve"> </w:t>
      </w:r>
    </w:p>
    <w:p w14:paraId="37A8491C" w14:textId="77777777" w:rsidR="00A97A68" w:rsidRDefault="00A97A68" w:rsidP="002229D1">
      <w:pPr>
        <w:spacing w:line="480" w:lineRule="auto"/>
      </w:pPr>
    </w:p>
    <w:p w14:paraId="611DF767" w14:textId="4D7A8D2E" w:rsidR="00F04C14" w:rsidRDefault="00F04C14" w:rsidP="002229D1">
      <w:pPr>
        <w:spacing w:line="480" w:lineRule="auto"/>
      </w:pPr>
      <w:r>
        <w:t>In descriptive analysis of stool sample provision, men were less likely to provide a stool sample than women (Table 4). When compared with those who identified as White British, those who identified with BAME ethnicities were less likely to provide a stool sample and those who identified as other White ethnicities were more likely to provide a stool sample. Additionally, those with the highest educational attainment were more likely to provide a stool sample</w:t>
      </w:r>
    </w:p>
    <w:p w14:paraId="52906D11" w14:textId="77777777" w:rsidR="00F04C14" w:rsidRDefault="00F04C14" w:rsidP="002229D1">
      <w:pPr>
        <w:spacing w:line="480" w:lineRule="auto"/>
      </w:pPr>
    </w:p>
    <w:p w14:paraId="4D81C7F7" w14:textId="0D4F36EA" w:rsidR="00F0337C" w:rsidRDefault="00F0337C" w:rsidP="002229D1">
      <w:pPr>
        <w:spacing w:line="480" w:lineRule="auto"/>
      </w:pPr>
      <w:r>
        <w:t>Upon univariable logistic regression</w:t>
      </w:r>
      <w:r w:rsidR="00A97A68">
        <w:t>,</w:t>
      </w:r>
      <w:r>
        <w:t xml:space="preserve"> only age and income</w:t>
      </w:r>
      <w:r w:rsidR="001F1FF6">
        <w:t xml:space="preserve"> </w:t>
      </w:r>
      <w:r>
        <w:t>were associated with agreeing to provide a stool sample if asked (Table 4). The variable with the strongest association was age, with those more than 55 years old having more than 6 times the odds of providing a stool sample compared to those aged 25</w:t>
      </w:r>
      <w:r w:rsidRPr="0069190C">
        <w:t>-34</w:t>
      </w:r>
      <w:r w:rsidR="007B5EB4" w:rsidRPr="0069190C">
        <w:t xml:space="preserve"> (</w:t>
      </w:r>
      <w:r w:rsidR="0069190C" w:rsidRPr="0069190C">
        <w:t>OR 6.28</w:t>
      </w:r>
      <w:r w:rsidR="00553B5D">
        <w:t>,</w:t>
      </w:r>
      <w:r w:rsidR="0069190C" w:rsidRPr="0069190C">
        <w:t xml:space="preserve"> </w:t>
      </w:r>
      <w:r w:rsidR="00553B5D">
        <w:t xml:space="preserve">95% </w:t>
      </w:r>
      <w:r w:rsidR="0069190C" w:rsidRPr="0069190C">
        <w:t>CI</w:t>
      </w:r>
      <w:r w:rsidR="00553B5D">
        <w:t xml:space="preserve"> </w:t>
      </w:r>
      <w:r w:rsidR="0069190C" w:rsidRPr="0069190C">
        <w:t>1.15-117.48</w:t>
      </w:r>
      <w:r w:rsidR="00C43FB7">
        <w:t>; p=0.085</w:t>
      </w:r>
      <w:r w:rsidR="0069190C" w:rsidRPr="0069190C">
        <w:t>)</w:t>
      </w:r>
      <w:r w:rsidRPr="0069190C">
        <w:t xml:space="preserve">. Those with a household income less than £30,000 </w:t>
      </w:r>
      <w:r w:rsidR="0069190C" w:rsidRPr="0069190C">
        <w:t xml:space="preserve">(OR 2.5, </w:t>
      </w:r>
      <w:r w:rsidR="00553B5D">
        <w:t xml:space="preserve">95% </w:t>
      </w:r>
      <w:r w:rsidR="0069190C" w:rsidRPr="0069190C">
        <w:t>CI 1.02-6.6</w:t>
      </w:r>
      <w:r w:rsidR="00C43FB7">
        <w:t>; p=0.052</w:t>
      </w:r>
      <w:r w:rsidR="0069190C" w:rsidRPr="0069190C">
        <w:t xml:space="preserve">) </w:t>
      </w:r>
      <w:r w:rsidRPr="0069190C">
        <w:t>and those with a household income of more than £60,000</w:t>
      </w:r>
      <w:r w:rsidR="0069190C" w:rsidRPr="0069190C">
        <w:t xml:space="preserve"> (OR</w:t>
      </w:r>
      <w:r w:rsidR="00553B5D">
        <w:t xml:space="preserve"> </w:t>
      </w:r>
      <w:r w:rsidR="0069190C" w:rsidRPr="0069190C">
        <w:t xml:space="preserve">2.28, </w:t>
      </w:r>
      <w:r w:rsidR="00553B5D">
        <w:t xml:space="preserve">95% </w:t>
      </w:r>
      <w:r w:rsidR="0069190C" w:rsidRPr="0069190C">
        <w:t>CI</w:t>
      </w:r>
      <w:r w:rsidR="00553B5D">
        <w:t xml:space="preserve"> </w:t>
      </w:r>
      <w:r w:rsidR="0069190C" w:rsidRPr="0069190C">
        <w:t>0.98-5.58</w:t>
      </w:r>
      <w:r w:rsidR="00C43FB7">
        <w:t>; p=0.061</w:t>
      </w:r>
      <w:r w:rsidR="0069190C" w:rsidRPr="0069190C">
        <w:t>)</w:t>
      </w:r>
      <w:r w:rsidRPr="0069190C">
        <w:t xml:space="preserve">, </w:t>
      </w:r>
      <w:r w:rsidR="00A97A68" w:rsidRPr="0069190C">
        <w:t>ha</w:t>
      </w:r>
      <w:r w:rsidR="00A97A68">
        <w:t>d</w:t>
      </w:r>
      <w:r w:rsidR="00A97A68" w:rsidRPr="0069190C">
        <w:t xml:space="preserve"> </w:t>
      </w:r>
      <w:r w:rsidRPr="0069190C">
        <w:t>more</w:t>
      </w:r>
      <w:r>
        <w:t xml:space="preserve"> than twice the odds of providing a stool sample than those who</w:t>
      </w:r>
      <w:r w:rsidR="00A97A68">
        <w:t>se household income was</w:t>
      </w:r>
      <w:r>
        <w:t xml:space="preserve"> £30,000-</w:t>
      </w:r>
      <w:r w:rsidR="00B974F6">
        <w:t>£</w:t>
      </w:r>
      <w:r>
        <w:t>60,000</w:t>
      </w:r>
      <w:r w:rsidR="00F04C14">
        <w:t>.</w:t>
      </w:r>
      <w:r>
        <w:t xml:space="preserve"> </w:t>
      </w:r>
    </w:p>
    <w:p w14:paraId="7DA2DD9D" w14:textId="77777777" w:rsidR="00703235" w:rsidRDefault="00703235" w:rsidP="002229D1">
      <w:pPr>
        <w:spacing w:line="480" w:lineRule="auto"/>
      </w:pPr>
    </w:p>
    <w:p w14:paraId="367A523F" w14:textId="77777777" w:rsidR="008F0652" w:rsidRDefault="008F0652" w:rsidP="002229D1">
      <w:pPr>
        <w:spacing w:line="480" w:lineRule="auto"/>
      </w:pPr>
    </w:p>
    <w:p w14:paraId="0DB21AA6" w14:textId="77777777" w:rsidR="008F0652" w:rsidRDefault="008F0652" w:rsidP="002229D1">
      <w:pPr>
        <w:spacing w:line="480" w:lineRule="auto"/>
      </w:pPr>
    </w:p>
    <w:p w14:paraId="355B4753" w14:textId="10084086" w:rsidR="00703235" w:rsidRPr="00074C4C" w:rsidRDefault="00703235" w:rsidP="002229D1">
      <w:pPr>
        <w:spacing w:line="480" w:lineRule="auto"/>
      </w:pPr>
      <w:r w:rsidRPr="00074C4C">
        <w:rPr>
          <w:b/>
          <w:bCs/>
        </w:rPr>
        <w:lastRenderedPageBreak/>
        <w:t xml:space="preserve">Table 4. Univariable analysis of </w:t>
      </w:r>
      <w:r w:rsidR="00F04C14">
        <w:rPr>
          <w:b/>
          <w:bCs/>
        </w:rPr>
        <w:t>the association between</w:t>
      </w:r>
      <w:r w:rsidRPr="00074C4C">
        <w:rPr>
          <w:b/>
          <w:bCs/>
        </w:rPr>
        <w:t xml:space="preserve"> demographic factors </w:t>
      </w:r>
      <w:r w:rsidR="00F04C14">
        <w:rPr>
          <w:b/>
          <w:bCs/>
        </w:rPr>
        <w:t xml:space="preserve">and </w:t>
      </w:r>
      <w:r w:rsidRPr="00074C4C">
        <w:rPr>
          <w:b/>
          <w:bCs/>
        </w:rPr>
        <w:t>provid</w:t>
      </w:r>
      <w:r w:rsidR="00F04C14">
        <w:rPr>
          <w:b/>
          <w:bCs/>
        </w:rPr>
        <w:t>ing</w:t>
      </w:r>
      <w:r w:rsidRPr="00074C4C">
        <w:rPr>
          <w:b/>
          <w:bCs/>
        </w:rPr>
        <w:t xml:space="preserve"> a stool sample.</w:t>
      </w:r>
    </w:p>
    <w:p w14:paraId="09CC0A35" w14:textId="77777777" w:rsidR="00703235" w:rsidRDefault="00703235" w:rsidP="00703235"/>
    <w:tbl>
      <w:tblPr>
        <w:tblStyle w:val="TableGrid"/>
        <w:tblW w:w="9010" w:type="dxa"/>
        <w:tblLook w:val="04A0" w:firstRow="1" w:lastRow="0" w:firstColumn="1" w:lastColumn="0" w:noHBand="0" w:noVBand="1"/>
      </w:tblPr>
      <w:tblGrid>
        <w:gridCol w:w="2689"/>
        <w:gridCol w:w="1390"/>
        <w:gridCol w:w="1565"/>
        <w:gridCol w:w="642"/>
        <w:gridCol w:w="1664"/>
        <w:gridCol w:w="1060"/>
      </w:tblGrid>
      <w:tr w:rsidR="00E90CA2" w:rsidRPr="006D62F8" w14:paraId="2AF0E5DD" w14:textId="77777777" w:rsidTr="00BE4B65">
        <w:trPr>
          <w:trHeight w:val="320"/>
        </w:trPr>
        <w:tc>
          <w:tcPr>
            <w:tcW w:w="2689" w:type="dxa"/>
            <w:vMerge w:val="restart"/>
            <w:noWrap/>
            <w:hideMark/>
          </w:tcPr>
          <w:p w14:paraId="73B04411" w14:textId="77777777" w:rsidR="00E90CA2" w:rsidRPr="006D62F8" w:rsidRDefault="00E90CA2" w:rsidP="005E1781">
            <w:pPr>
              <w:rPr>
                <w:b/>
                <w:bCs/>
                <w:sz w:val="20"/>
                <w:szCs w:val="20"/>
              </w:rPr>
            </w:pPr>
            <w:r w:rsidRPr="006D62F8">
              <w:rPr>
                <w:b/>
                <w:bCs/>
                <w:sz w:val="20"/>
                <w:szCs w:val="20"/>
              </w:rPr>
              <w:t xml:space="preserve">Independent variable </w:t>
            </w:r>
          </w:p>
        </w:tc>
        <w:tc>
          <w:tcPr>
            <w:tcW w:w="2955" w:type="dxa"/>
            <w:gridSpan w:val="2"/>
          </w:tcPr>
          <w:p w14:paraId="6A627778" w14:textId="3C7D3409" w:rsidR="00E90CA2" w:rsidRPr="006D62F8" w:rsidRDefault="005C3111" w:rsidP="005C3111">
            <w:pPr>
              <w:jc w:val="center"/>
              <w:rPr>
                <w:b/>
                <w:bCs/>
                <w:sz w:val="20"/>
                <w:szCs w:val="20"/>
              </w:rPr>
            </w:pPr>
            <w:r>
              <w:rPr>
                <w:b/>
                <w:bCs/>
                <w:sz w:val="20"/>
                <w:szCs w:val="20"/>
              </w:rPr>
              <w:t>Would p</w:t>
            </w:r>
            <w:r w:rsidR="00E90CA2" w:rsidRPr="006D62F8">
              <w:rPr>
                <w:b/>
                <w:bCs/>
                <w:sz w:val="20"/>
                <w:szCs w:val="20"/>
              </w:rPr>
              <w:t>rovide a stool sample</w:t>
            </w:r>
          </w:p>
        </w:tc>
        <w:tc>
          <w:tcPr>
            <w:tcW w:w="3366" w:type="dxa"/>
            <w:gridSpan w:val="3"/>
            <w:noWrap/>
            <w:hideMark/>
          </w:tcPr>
          <w:p w14:paraId="4C303A32" w14:textId="0D755C4C" w:rsidR="00E90CA2" w:rsidRPr="006D62F8" w:rsidRDefault="00E90CA2" w:rsidP="00A40E0B">
            <w:pPr>
              <w:jc w:val="center"/>
              <w:rPr>
                <w:b/>
                <w:bCs/>
                <w:sz w:val="20"/>
                <w:szCs w:val="20"/>
              </w:rPr>
            </w:pPr>
            <w:r w:rsidRPr="006D62F8">
              <w:rPr>
                <w:b/>
                <w:bCs/>
                <w:sz w:val="20"/>
                <w:szCs w:val="20"/>
              </w:rPr>
              <w:t>Univariable Analysis</w:t>
            </w:r>
          </w:p>
        </w:tc>
      </w:tr>
      <w:tr w:rsidR="00E90CA2" w:rsidRPr="006D62F8" w14:paraId="74CB28FC" w14:textId="77777777" w:rsidTr="006D62F8">
        <w:trPr>
          <w:trHeight w:val="320"/>
        </w:trPr>
        <w:tc>
          <w:tcPr>
            <w:tcW w:w="2689" w:type="dxa"/>
            <w:vMerge/>
            <w:hideMark/>
          </w:tcPr>
          <w:p w14:paraId="76AF0BC0" w14:textId="77777777" w:rsidR="00E90CA2" w:rsidRPr="006D62F8" w:rsidRDefault="00E90CA2" w:rsidP="005E1781">
            <w:pPr>
              <w:rPr>
                <w:b/>
                <w:bCs/>
                <w:sz w:val="20"/>
                <w:szCs w:val="20"/>
              </w:rPr>
            </w:pPr>
          </w:p>
        </w:tc>
        <w:tc>
          <w:tcPr>
            <w:tcW w:w="1390" w:type="dxa"/>
          </w:tcPr>
          <w:p w14:paraId="03381CA7" w14:textId="6FEB1935" w:rsidR="00E90CA2" w:rsidRPr="006D62F8" w:rsidRDefault="0025680B" w:rsidP="00A40E0B">
            <w:pPr>
              <w:jc w:val="center"/>
              <w:rPr>
                <w:b/>
                <w:bCs/>
                <w:sz w:val="20"/>
                <w:szCs w:val="20"/>
              </w:rPr>
            </w:pPr>
            <w:r w:rsidRPr="006D62F8">
              <w:rPr>
                <w:b/>
                <w:bCs/>
                <w:sz w:val="20"/>
                <w:szCs w:val="20"/>
              </w:rPr>
              <w:t>No</w:t>
            </w:r>
            <w:r w:rsidR="00E90CA2" w:rsidRPr="006D62F8">
              <w:rPr>
                <w:b/>
                <w:bCs/>
                <w:sz w:val="20"/>
                <w:szCs w:val="20"/>
              </w:rPr>
              <w:t xml:space="preserve"> (%)</w:t>
            </w:r>
          </w:p>
        </w:tc>
        <w:tc>
          <w:tcPr>
            <w:tcW w:w="1565" w:type="dxa"/>
          </w:tcPr>
          <w:p w14:paraId="0EBC9A19" w14:textId="2C4BA016" w:rsidR="00E90CA2" w:rsidRPr="006D62F8" w:rsidRDefault="0025680B" w:rsidP="00A40E0B">
            <w:pPr>
              <w:jc w:val="center"/>
              <w:rPr>
                <w:b/>
                <w:bCs/>
                <w:sz w:val="20"/>
                <w:szCs w:val="20"/>
              </w:rPr>
            </w:pPr>
            <w:r w:rsidRPr="006D62F8">
              <w:rPr>
                <w:b/>
                <w:bCs/>
                <w:sz w:val="20"/>
                <w:szCs w:val="20"/>
              </w:rPr>
              <w:t>Yes</w:t>
            </w:r>
            <w:r w:rsidR="006D62F8" w:rsidRPr="006D62F8">
              <w:rPr>
                <w:b/>
                <w:bCs/>
                <w:sz w:val="20"/>
                <w:szCs w:val="20"/>
              </w:rPr>
              <w:t xml:space="preserve"> </w:t>
            </w:r>
            <w:r w:rsidR="00E90CA2" w:rsidRPr="006D62F8">
              <w:rPr>
                <w:b/>
                <w:bCs/>
                <w:sz w:val="20"/>
                <w:szCs w:val="20"/>
              </w:rPr>
              <w:t>(%)</w:t>
            </w:r>
          </w:p>
        </w:tc>
        <w:tc>
          <w:tcPr>
            <w:tcW w:w="642" w:type="dxa"/>
            <w:noWrap/>
            <w:hideMark/>
          </w:tcPr>
          <w:p w14:paraId="3462B4FE" w14:textId="5E8E28B5" w:rsidR="00E90CA2" w:rsidRPr="006D62F8" w:rsidRDefault="00E90CA2" w:rsidP="00A40E0B">
            <w:pPr>
              <w:jc w:val="center"/>
              <w:rPr>
                <w:b/>
                <w:bCs/>
                <w:sz w:val="20"/>
                <w:szCs w:val="20"/>
              </w:rPr>
            </w:pPr>
            <w:r w:rsidRPr="006D62F8">
              <w:rPr>
                <w:b/>
                <w:bCs/>
                <w:sz w:val="20"/>
                <w:szCs w:val="20"/>
              </w:rPr>
              <w:t>OR</w:t>
            </w:r>
          </w:p>
        </w:tc>
        <w:tc>
          <w:tcPr>
            <w:tcW w:w="1664" w:type="dxa"/>
            <w:noWrap/>
            <w:hideMark/>
          </w:tcPr>
          <w:p w14:paraId="49C65202" w14:textId="77777777" w:rsidR="00E90CA2" w:rsidRPr="006D62F8" w:rsidRDefault="00E90CA2" w:rsidP="00A40E0B">
            <w:pPr>
              <w:jc w:val="center"/>
              <w:rPr>
                <w:b/>
                <w:bCs/>
                <w:sz w:val="20"/>
                <w:szCs w:val="20"/>
              </w:rPr>
            </w:pPr>
            <w:r w:rsidRPr="006D62F8">
              <w:rPr>
                <w:b/>
                <w:bCs/>
                <w:sz w:val="20"/>
                <w:szCs w:val="20"/>
              </w:rPr>
              <w:t>95% CI</w:t>
            </w:r>
          </w:p>
        </w:tc>
        <w:tc>
          <w:tcPr>
            <w:tcW w:w="1060" w:type="dxa"/>
            <w:noWrap/>
            <w:hideMark/>
          </w:tcPr>
          <w:p w14:paraId="5844F97B" w14:textId="2DE79D52" w:rsidR="00E90CA2" w:rsidRPr="006D62F8" w:rsidRDefault="006D62F8" w:rsidP="00A40E0B">
            <w:pPr>
              <w:jc w:val="center"/>
              <w:rPr>
                <w:b/>
                <w:bCs/>
                <w:sz w:val="20"/>
                <w:szCs w:val="20"/>
              </w:rPr>
            </w:pPr>
            <w:r>
              <w:rPr>
                <w:b/>
                <w:bCs/>
                <w:sz w:val="20"/>
                <w:szCs w:val="20"/>
              </w:rPr>
              <w:t>P</w:t>
            </w:r>
            <w:r w:rsidR="00E90CA2" w:rsidRPr="006D62F8">
              <w:rPr>
                <w:b/>
                <w:bCs/>
                <w:sz w:val="20"/>
                <w:szCs w:val="20"/>
              </w:rPr>
              <w:t xml:space="preserve"> value</w:t>
            </w:r>
          </w:p>
        </w:tc>
      </w:tr>
      <w:tr w:rsidR="0025680B" w:rsidRPr="006D62F8" w14:paraId="46CF9D02" w14:textId="77777777" w:rsidTr="00BE4B65">
        <w:trPr>
          <w:trHeight w:val="320"/>
        </w:trPr>
        <w:tc>
          <w:tcPr>
            <w:tcW w:w="2689" w:type="dxa"/>
            <w:noWrap/>
          </w:tcPr>
          <w:p w14:paraId="4ED02489" w14:textId="018E8E1B" w:rsidR="0025680B" w:rsidRPr="006D62F8" w:rsidRDefault="0025680B" w:rsidP="0025680B">
            <w:pPr>
              <w:rPr>
                <w:sz w:val="20"/>
                <w:szCs w:val="20"/>
              </w:rPr>
            </w:pPr>
            <w:r w:rsidRPr="006D62F8">
              <w:rPr>
                <w:sz w:val="20"/>
                <w:szCs w:val="20"/>
              </w:rPr>
              <w:t>Age</w:t>
            </w:r>
            <w:r w:rsidR="00CC5CE1">
              <w:rPr>
                <w:sz w:val="20"/>
                <w:szCs w:val="20"/>
              </w:rPr>
              <w:t xml:space="preserve"> group</w:t>
            </w:r>
            <w:r w:rsidRPr="006D62F8">
              <w:rPr>
                <w:sz w:val="20"/>
                <w:szCs w:val="20"/>
              </w:rPr>
              <w:t xml:space="preserve"> (25-34</w:t>
            </w:r>
            <w:r w:rsidR="00CC5CE1">
              <w:rPr>
                <w:sz w:val="20"/>
                <w:szCs w:val="20"/>
              </w:rPr>
              <w:t xml:space="preserve"> years</w:t>
            </w:r>
            <w:r w:rsidRPr="006D62F8">
              <w:rPr>
                <w:sz w:val="20"/>
                <w:szCs w:val="20"/>
              </w:rPr>
              <w:t>)</w:t>
            </w:r>
          </w:p>
        </w:tc>
        <w:tc>
          <w:tcPr>
            <w:tcW w:w="1390" w:type="dxa"/>
          </w:tcPr>
          <w:p w14:paraId="2216892B" w14:textId="2F6AD4C9" w:rsidR="0025680B" w:rsidRPr="006D62F8" w:rsidRDefault="0025680B" w:rsidP="00A40E0B">
            <w:pPr>
              <w:jc w:val="center"/>
              <w:rPr>
                <w:sz w:val="20"/>
                <w:szCs w:val="20"/>
              </w:rPr>
            </w:pPr>
            <w:r w:rsidRPr="006D62F8">
              <w:rPr>
                <w:sz w:val="20"/>
                <w:szCs w:val="20"/>
              </w:rPr>
              <w:t>17 (43.6%)</w:t>
            </w:r>
          </w:p>
        </w:tc>
        <w:tc>
          <w:tcPr>
            <w:tcW w:w="1565" w:type="dxa"/>
          </w:tcPr>
          <w:p w14:paraId="5598F197" w14:textId="3071E82E" w:rsidR="0025680B" w:rsidRPr="006D62F8" w:rsidRDefault="0025680B" w:rsidP="00A40E0B">
            <w:pPr>
              <w:jc w:val="center"/>
              <w:rPr>
                <w:sz w:val="20"/>
                <w:szCs w:val="20"/>
              </w:rPr>
            </w:pPr>
            <w:r w:rsidRPr="006D62F8">
              <w:rPr>
                <w:sz w:val="20"/>
                <w:szCs w:val="20"/>
              </w:rPr>
              <w:t>46 (34.1%)</w:t>
            </w:r>
          </w:p>
        </w:tc>
        <w:tc>
          <w:tcPr>
            <w:tcW w:w="642" w:type="dxa"/>
            <w:noWrap/>
          </w:tcPr>
          <w:p w14:paraId="677905D2" w14:textId="77777777" w:rsidR="0025680B" w:rsidRPr="006D62F8" w:rsidRDefault="0025680B" w:rsidP="00A40E0B">
            <w:pPr>
              <w:jc w:val="center"/>
              <w:rPr>
                <w:sz w:val="20"/>
                <w:szCs w:val="20"/>
              </w:rPr>
            </w:pPr>
            <w:r w:rsidRPr="006D62F8">
              <w:rPr>
                <w:sz w:val="20"/>
                <w:szCs w:val="20"/>
              </w:rPr>
              <w:t>Ref</w:t>
            </w:r>
          </w:p>
        </w:tc>
        <w:tc>
          <w:tcPr>
            <w:tcW w:w="1664" w:type="dxa"/>
            <w:noWrap/>
          </w:tcPr>
          <w:p w14:paraId="28E12C92" w14:textId="77777777" w:rsidR="0025680B" w:rsidRPr="006D62F8" w:rsidRDefault="0025680B" w:rsidP="00A40E0B">
            <w:pPr>
              <w:jc w:val="center"/>
              <w:rPr>
                <w:sz w:val="20"/>
                <w:szCs w:val="20"/>
              </w:rPr>
            </w:pPr>
            <w:r w:rsidRPr="006D62F8">
              <w:rPr>
                <w:sz w:val="20"/>
                <w:szCs w:val="20"/>
              </w:rPr>
              <w:t>NA</w:t>
            </w:r>
          </w:p>
        </w:tc>
        <w:tc>
          <w:tcPr>
            <w:tcW w:w="1060" w:type="dxa"/>
            <w:noWrap/>
          </w:tcPr>
          <w:p w14:paraId="6177AA5D" w14:textId="77777777" w:rsidR="0025680B" w:rsidRPr="006D62F8" w:rsidRDefault="0025680B" w:rsidP="00A40E0B">
            <w:pPr>
              <w:jc w:val="center"/>
              <w:rPr>
                <w:sz w:val="20"/>
                <w:szCs w:val="20"/>
              </w:rPr>
            </w:pPr>
            <w:r w:rsidRPr="006D62F8">
              <w:rPr>
                <w:sz w:val="20"/>
                <w:szCs w:val="20"/>
              </w:rPr>
              <w:t>NA</w:t>
            </w:r>
          </w:p>
        </w:tc>
      </w:tr>
      <w:tr w:rsidR="0025680B" w:rsidRPr="006D62F8" w14:paraId="7D6C5919" w14:textId="77777777" w:rsidTr="006D62F8">
        <w:trPr>
          <w:trHeight w:val="320"/>
        </w:trPr>
        <w:tc>
          <w:tcPr>
            <w:tcW w:w="2689" w:type="dxa"/>
            <w:noWrap/>
            <w:hideMark/>
          </w:tcPr>
          <w:p w14:paraId="30F0411C" w14:textId="54EE4805" w:rsidR="0025680B" w:rsidRPr="006D62F8" w:rsidRDefault="0025680B" w:rsidP="0025680B">
            <w:pPr>
              <w:rPr>
                <w:sz w:val="20"/>
                <w:szCs w:val="20"/>
              </w:rPr>
            </w:pPr>
            <w:r w:rsidRPr="006D62F8">
              <w:rPr>
                <w:sz w:val="20"/>
                <w:szCs w:val="20"/>
              </w:rPr>
              <w:t>Age</w:t>
            </w:r>
            <w:r w:rsidR="00CC5CE1">
              <w:rPr>
                <w:sz w:val="20"/>
                <w:szCs w:val="20"/>
              </w:rPr>
              <w:t xml:space="preserve"> group</w:t>
            </w:r>
            <w:r w:rsidRPr="006D62F8">
              <w:rPr>
                <w:sz w:val="20"/>
                <w:szCs w:val="20"/>
              </w:rPr>
              <w:t xml:space="preserve"> (16-24</w:t>
            </w:r>
            <w:r w:rsidR="00CC5CE1">
              <w:rPr>
                <w:sz w:val="20"/>
                <w:szCs w:val="20"/>
              </w:rPr>
              <w:t xml:space="preserve"> years</w:t>
            </w:r>
            <w:r w:rsidRPr="006D62F8">
              <w:rPr>
                <w:sz w:val="20"/>
                <w:szCs w:val="20"/>
              </w:rPr>
              <w:t>)</w:t>
            </w:r>
          </w:p>
        </w:tc>
        <w:tc>
          <w:tcPr>
            <w:tcW w:w="1390" w:type="dxa"/>
          </w:tcPr>
          <w:p w14:paraId="68CC6EBC" w14:textId="173C57CA" w:rsidR="0025680B" w:rsidRPr="006D62F8" w:rsidRDefault="0025680B" w:rsidP="00A40E0B">
            <w:pPr>
              <w:jc w:val="center"/>
              <w:rPr>
                <w:sz w:val="20"/>
                <w:szCs w:val="20"/>
              </w:rPr>
            </w:pPr>
            <w:r w:rsidRPr="006D62F8">
              <w:rPr>
                <w:sz w:val="20"/>
                <w:szCs w:val="20"/>
              </w:rPr>
              <w:t>7 (17.9%)</w:t>
            </w:r>
          </w:p>
        </w:tc>
        <w:tc>
          <w:tcPr>
            <w:tcW w:w="1565" w:type="dxa"/>
          </w:tcPr>
          <w:p w14:paraId="17DCC778" w14:textId="0E381078" w:rsidR="0025680B" w:rsidRPr="006D62F8" w:rsidRDefault="0025680B" w:rsidP="00A40E0B">
            <w:pPr>
              <w:jc w:val="center"/>
              <w:rPr>
                <w:sz w:val="20"/>
                <w:szCs w:val="20"/>
              </w:rPr>
            </w:pPr>
            <w:r w:rsidRPr="006D62F8">
              <w:rPr>
                <w:sz w:val="20"/>
                <w:szCs w:val="20"/>
              </w:rPr>
              <w:t>13 (9.6%)</w:t>
            </w:r>
          </w:p>
        </w:tc>
        <w:tc>
          <w:tcPr>
            <w:tcW w:w="642" w:type="dxa"/>
            <w:noWrap/>
            <w:hideMark/>
          </w:tcPr>
          <w:p w14:paraId="0BFEA8DD" w14:textId="74706B99" w:rsidR="0025680B" w:rsidRPr="006D62F8" w:rsidRDefault="0025680B" w:rsidP="00A40E0B">
            <w:pPr>
              <w:jc w:val="center"/>
              <w:rPr>
                <w:sz w:val="20"/>
                <w:szCs w:val="20"/>
              </w:rPr>
            </w:pPr>
            <w:r w:rsidRPr="006D62F8">
              <w:rPr>
                <w:sz w:val="20"/>
                <w:szCs w:val="20"/>
              </w:rPr>
              <w:t>0.8</w:t>
            </w:r>
          </w:p>
        </w:tc>
        <w:tc>
          <w:tcPr>
            <w:tcW w:w="1664" w:type="dxa"/>
            <w:noWrap/>
            <w:hideMark/>
          </w:tcPr>
          <w:p w14:paraId="43A0EA05" w14:textId="77777777" w:rsidR="0025680B" w:rsidRPr="006D62F8" w:rsidRDefault="0025680B" w:rsidP="00A40E0B">
            <w:pPr>
              <w:jc w:val="center"/>
              <w:rPr>
                <w:sz w:val="20"/>
                <w:szCs w:val="20"/>
              </w:rPr>
            </w:pPr>
            <w:r w:rsidRPr="006D62F8">
              <w:rPr>
                <w:sz w:val="20"/>
                <w:szCs w:val="20"/>
              </w:rPr>
              <w:t>0.27-2.58</w:t>
            </w:r>
          </w:p>
        </w:tc>
        <w:tc>
          <w:tcPr>
            <w:tcW w:w="1060" w:type="dxa"/>
            <w:noWrap/>
            <w:hideMark/>
          </w:tcPr>
          <w:p w14:paraId="0F3EA374" w14:textId="77777777" w:rsidR="0025680B" w:rsidRPr="006D62F8" w:rsidRDefault="0025680B" w:rsidP="00A40E0B">
            <w:pPr>
              <w:jc w:val="center"/>
              <w:rPr>
                <w:sz w:val="20"/>
                <w:szCs w:val="20"/>
              </w:rPr>
            </w:pPr>
            <w:r w:rsidRPr="006D62F8">
              <w:rPr>
                <w:sz w:val="20"/>
                <w:szCs w:val="20"/>
              </w:rPr>
              <w:t>0.696</w:t>
            </w:r>
          </w:p>
        </w:tc>
      </w:tr>
      <w:tr w:rsidR="0025680B" w:rsidRPr="006D62F8" w14:paraId="08DEA379" w14:textId="77777777" w:rsidTr="006D62F8">
        <w:trPr>
          <w:trHeight w:val="320"/>
        </w:trPr>
        <w:tc>
          <w:tcPr>
            <w:tcW w:w="2689" w:type="dxa"/>
            <w:noWrap/>
            <w:hideMark/>
          </w:tcPr>
          <w:p w14:paraId="40A307B2" w14:textId="544DDA15" w:rsidR="0025680B" w:rsidRPr="006D62F8" w:rsidRDefault="0025680B" w:rsidP="0025680B">
            <w:pPr>
              <w:rPr>
                <w:sz w:val="20"/>
                <w:szCs w:val="20"/>
              </w:rPr>
            </w:pPr>
            <w:r w:rsidRPr="006D62F8">
              <w:rPr>
                <w:sz w:val="20"/>
                <w:szCs w:val="20"/>
              </w:rPr>
              <w:t>Age</w:t>
            </w:r>
            <w:r w:rsidR="00CC5CE1">
              <w:rPr>
                <w:sz w:val="20"/>
                <w:szCs w:val="20"/>
              </w:rPr>
              <w:t xml:space="preserve"> group</w:t>
            </w:r>
            <w:r w:rsidRPr="006D62F8">
              <w:rPr>
                <w:sz w:val="20"/>
                <w:szCs w:val="20"/>
              </w:rPr>
              <w:t xml:space="preserve"> (35-44</w:t>
            </w:r>
            <w:r w:rsidR="00CC5CE1">
              <w:rPr>
                <w:sz w:val="20"/>
                <w:szCs w:val="20"/>
              </w:rPr>
              <w:t xml:space="preserve"> years</w:t>
            </w:r>
            <w:r w:rsidRPr="006D62F8">
              <w:rPr>
                <w:sz w:val="20"/>
                <w:szCs w:val="20"/>
              </w:rPr>
              <w:t>)</w:t>
            </w:r>
          </w:p>
        </w:tc>
        <w:tc>
          <w:tcPr>
            <w:tcW w:w="1390" w:type="dxa"/>
          </w:tcPr>
          <w:p w14:paraId="5B0254F1" w14:textId="00545A9B" w:rsidR="0025680B" w:rsidRPr="006D62F8" w:rsidRDefault="0025680B" w:rsidP="00A40E0B">
            <w:pPr>
              <w:jc w:val="center"/>
              <w:rPr>
                <w:sz w:val="20"/>
                <w:szCs w:val="20"/>
              </w:rPr>
            </w:pPr>
            <w:r w:rsidRPr="006D62F8">
              <w:rPr>
                <w:sz w:val="20"/>
                <w:szCs w:val="20"/>
              </w:rPr>
              <w:t>9 (23.1%)</w:t>
            </w:r>
          </w:p>
        </w:tc>
        <w:tc>
          <w:tcPr>
            <w:tcW w:w="1565" w:type="dxa"/>
          </w:tcPr>
          <w:p w14:paraId="36D15D74" w14:textId="3F249CD3" w:rsidR="0025680B" w:rsidRPr="006D62F8" w:rsidRDefault="0025680B" w:rsidP="00A40E0B">
            <w:pPr>
              <w:jc w:val="center"/>
              <w:rPr>
                <w:sz w:val="20"/>
                <w:szCs w:val="20"/>
              </w:rPr>
            </w:pPr>
            <w:r w:rsidRPr="006D62F8">
              <w:rPr>
                <w:sz w:val="20"/>
                <w:szCs w:val="20"/>
              </w:rPr>
              <w:t>29 (21.5%)</w:t>
            </w:r>
          </w:p>
        </w:tc>
        <w:tc>
          <w:tcPr>
            <w:tcW w:w="642" w:type="dxa"/>
            <w:noWrap/>
            <w:hideMark/>
          </w:tcPr>
          <w:p w14:paraId="496B1BFE" w14:textId="0BDCF5E1" w:rsidR="0025680B" w:rsidRPr="006D62F8" w:rsidRDefault="0025680B" w:rsidP="00A40E0B">
            <w:pPr>
              <w:jc w:val="center"/>
              <w:rPr>
                <w:sz w:val="20"/>
                <w:szCs w:val="20"/>
              </w:rPr>
            </w:pPr>
            <w:r w:rsidRPr="006D62F8">
              <w:rPr>
                <w:sz w:val="20"/>
                <w:szCs w:val="20"/>
              </w:rPr>
              <w:t>1.19</w:t>
            </w:r>
          </w:p>
        </w:tc>
        <w:tc>
          <w:tcPr>
            <w:tcW w:w="1664" w:type="dxa"/>
            <w:noWrap/>
            <w:hideMark/>
          </w:tcPr>
          <w:p w14:paraId="2D1DC16E" w14:textId="77777777" w:rsidR="0025680B" w:rsidRPr="006D62F8" w:rsidRDefault="0025680B" w:rsidP="00A40E0B">
            <w:pPr>
              <w:jc w:val="center"/>
              <w:rPr>
                <w:sz w:val="20"/>
                <w:szCs w:val="20"/>
              </w:rPr>
            </w:pPr>
            <w:r w:rsidRPr="006D62F8">
              <w:rPr>
                <w:sz w:val="20"/>
                <w:szCs w:val="20"/>
              </w:rPr>
              <w:t>0.48-3.12</w:t>
            </w:r>
          </w:p>
        </w:tc>
        <w:tc>
          <w:tcPr>
            <w:tcW w:w="1060" w:type="dxa"/>
            <w:noWrap/>
            <w:hideMark/>
          </w:tcPr>
          <w:p w14:paraId="699270DA" w14:textId="77777777" w:rsidR="0025680B" w:rsidRPr="006D62F8" w:rsidRDefault="0025680B" w:rsidP="00A40E0B">
            <w:pPr>
              <w:jc w:val="center"/>
              <w:rPr>
                <w:sz w:val="20"/>
                <w:szCs w:val="20"/>
              </w:rPr>
            </w:pPr>
            <w:r w:rsidRPr="006D62F8">
              <w:rPr>
                <w:sz w:val="20"/>
                <w:szCs w:val="20"/>
              </w:rPr>
              <w:t>0.713</w:t>
            </w:r>
          </w:p>
        </w:tc>
      </w:tr>
      <w:tr w:rsidR="0025680B" w:rsidRPr="006D62F8" w14:paraId="363502DC" w14:textId="77777777" w:rsidTr="006D62F8">
        <w:trPr>
          <w:trHeight w:val="320"/>
        </w:trPr>
        <w:tc>
          <w:tcPr>
            <w:tcW w:w="2689" w:type="dxa"/>
            <w:noWrap/>
            <w:hideMark/>
          </w:tcPr>
          <w:p w14:paraId="6031FD38" w14:textId="49B43D02" w:rsidR="0025680B" w:rsidRPr="006D62F8" w:rsidRDefault="0025680B" w:rsidP="0025680B">
            <w:pPr>
              <w:rPr>
                <w:sz w:val="20"/>
                <w:szCs w:val="20"/>
              </w:rPr>
            </w:pPr>
            <w:r w:rsidRPr="006D62F8">
              <w:rPr>
                <w:sz w:val="20"/>
                <w:szCs w:val="20"/>
              </w:rPr>
              <w:t>Age</w:t>
            </w:r>
            <w:r w:rsidR="00CC5CE1">
              <w:rPr>
                <w:sz w:val="20"/>
                <w:szCs w:val="20"/>
              </w:rPr>
              <w:t xml:space="preserve"> group</w:t>
            </w:r>
            <w:r w:rsidRPr="006D62F8">
              <w:rPr>
                <w:sz w:val="20"/>
                <w:szCs w:val="20"/>
              </w:rPr>
              <w:t xml:space="preserve"> (45-54</w:t>
            </w:r>
            <w:r w:rsidR="00CC5CE1">
              <w:rPr>
                <w:sz w:val="20"/>
                <w:szCs w:val="20"/>
              </w:rPr>
              <w:t xml:space="preserve"> years</w:t>
            </w:r>
            <w:r w:rsidRPr="006D62F8">
              <w:rPr>
                <w:sz w:val="20"/>
                <w:szCs w:val="20"/>
              </w:rPr>
              <w:t>)</w:t>
            </w:r>
          </w:p>
        </w:tc>
        <w:tc>
          <w:tcPr>
            <w:tcW w:w="1390" w:type="dxa"/>
          </w:tcPr>
          <w:p w14:paraId="1AB20E21" w14:textId="7AA128CC" w:rsidR="0025680B" w:rsidRPr="006D62F8" w:rsidRDefault="0025680B" w:rsidP="00A40E0B">
            <w:pPr>
              <w:jc w:val="center"/>
              <w:rPr>
                <w:sz w:val="20"/>
                <w:szCs w:val="20"/>
              </w:rPr>
            </w:pPr>
            <w:r w:rsidRPr="006D62F8">
              <w:rPr>
                <w:sz w:val="20"/>
                <w:szCs w:val="20"/>
              </w:rPr>
              <w:t>5 (12.8%)</w:t>
            </w:r>
          </w:p>
        </w:tc>
        <w:tc>
          <w:tcPr>
            <w:tcW w:w="1565" w:type="dxa"/>
          </w:tcPr>
          <w:p w14:paraId="7100A298" w14:textId="13A71E5C" w:rsidR="0025680B" w:rsidRPr="006D62F8" w:rsidRDefault="0025680B" w:rsidP="00A40E0B">
            <w:pPr>
              <w:jc w:val="center"/>
              <w:rPr>
                <w:sz w:val="20"/>
                <w:szCs w:val="20"/>
              </w:rPr>
            </w:pPr>
            <w:r w:rsidRPr="006D62F8">
              <w:rPr>
                <w:sz w:val="20"/>
                <w:szCs w:val="20"/>
              </w:rPr>
              <w:t>30 (22.2%)</w:t>
            </w:r>
          </w:p>
        </w:tc>
        <w:tc>
          <w:tcPr>
            <w:tcW w:w="642" w:type="dxa"/>
            <w:noWrap/>
            <w:hideMark/>
          </w:tcPr>
          <w:p w14:paraId="78CC4A3F" w14:textId="18FB0522" w:rsidR="0025680B" w:rsidRPr="006D62F8" w:rsidRDefault="0025680B" w:rsidP="00A40E0B">
            <w:pPr>
              <w:jc w:val="center"/>
              <w:rPr>
                <w:sz w:val="20"/>
                <w:szCs w:val="20"/>
              </w:rPr>
            </w:pPr>
            <w:r w:rsidRPr="006D62F8">
              <w:rPr>
                <w:sz w:val="20"/>
                <w:szCs w:val="20"/>
              </w:rPr>
              <w:t>2.22</w:t>
            </w:r>
          </w:p>
        </w:tc>
        <w:tc>
          <w:tcPr>
            <w:tcW w:w="1664" w:type="dxa"/>
            <w:noWrap/>
            <w:hideMark/>
          </w:tcPr>
          <w:p w14:paraId="50494B39" w14:textId="77777777" w:rsidR="0025680B" w:rsidRPr="006D62F8" w:rsidRDefault="0025680B" w:rsidP="00A40E0B">
            <w:pPr>
              <w:jc w:val="center"/>
              <w:rPr>
                <w:sz w:val="20"/>
                <w:szCs w:val="20"/>
              </w:rPr>
            </w:pPr>
            <w:r w:rsidRPr="006D62F8">
              <w:rPr>
                <w:sz w:val="20"/>
                <w:szCs w:val="20"/>
              </w:rPr>
              <w:t>0.78-7.32</w:t>
            </w:r>
          </w:p>
        </w:tc>
        <w:tc>
          <w:tcPr>
            <w:tcW w:w="1060" w:type="dxa"/>
            <w:noWrap/>
            <w:hideMark/>
          </w:tcPr>
          <w:p w14:paraId="26D798C2" w14:textId="77777777" w:rsidR="0025680B" w:rsidRPr="006D62F8" w:rsidRDefault="0025680B" w:rsidP="00A40E0B">
            <w:pPr>
              <w:jc w:val="center"/>
              <w:rPr>
                <w:sz w:val="20"/>
                <w:szCs w:val="20"/>
              </w:rPr>
            </w:pPr>
            <w:r w:rsidRPr="006D62F8">
              <w:rPr>
                <w:sz w:val="20"/>
                <w:szCs w:val="20"/>
              </w:rPr>
              <w:t>0.155</w:t>
            </w:r>
          </w:p>
        </w:tc>
      </w:tr>
      <w:tr w:rsidR="0025680B" w:rsidRPr="006D62F8" w14:paraId="3466BD18" w14:textId="77777777" w:rsidTr="006D62F8">
        <w:trPr>
          <w:trHeight w:val="320"/>
        </w:trPr>
        <w:tc>
          <w:tcPr>
            <w:tcW w:w="2689" w:type="dxa"/>
            <w:noWrap/>
            <w:hideMark/>
          </w:tcPr>
          <w:p w14:paraId="2ABB8B17" w14:textId="2295465A" w:rsidR="0025680B" w:rsidRPr="006D62F8" w:rsidRDefault="0025680B" w:rsidP="0025680B">
            <w:pPr>
              <w:rPr>
                <w:sz w:val="20"/>
                <w:szCs w:val="20"/>
              </w:rPr>
            </w:pPr>
            <w:r w:rsidRPr="006D62F8">
              <w:rPr>
                <w:sz w:val="20"/>
                <w:szCs w:val="20"/>
              </w:rPr>
              <w:t xml:space="preserve">Age </w:t>
            </w:r>
            <w:r w:rsidR="00CC5CE1">
              <w:rPr>
                <w:sz w:val="20"/>
                <w:szCs w:val="20"/>
              </w:rPr>
              <w:t xml:space="preserve">group </w:t>
            </w:r>
            <w:r w:rsidRPr="006D62F8">
              <w:rPr>
                <w:sz w:val="20"/>
                <w:szCs w:val="20"/>
              </w:rPr>
              <w:t>(55+</w:t>
            </w:r>
            <w:r w:rsidR="00CC5CE1">
              <w:rPr>
                <w:sz w:val="20"/>
                <w:szCs w:val="20"/>
              </w:rPr>
              <w:t xml:space="preserve"> years</w:t>
            </w:r>
            <w:r w:rsidRPr="006D62F8">
              <w:rPr>
                <w:sz w:val="20"/>
                <w:szCs w:val="20"/>
              </w:rPr>
              <w:t>)</w:t>
            </w:r>
          </w:p>
        </w:tc>
        <w:tc>
          <w:tcPr>
            <w:tcW w:w="1390" w:type="dxa"/>
          </w:tcPr>
          <w:p w14:paraId="6ECECBDE" w14:textId="0D4479D4" w:rsidR="0025680B" w:rsidRPr="006D62F8" w:rsidRDefault="0025680B" w:rsidP="00A40E0B">
            <w:pPr>
              <w:jc w:val="center"/>
              <w:rPr>
                <w:sz w:val="20"/>
                <w:szCs w:val="20"/>
              </w:rPr>
            </w:pPr>
            <w:r w:rsidRPr="006D62F8">
              <w:rPr>
                <w:sz w:val="20"/>
                <w:szCs w:val="20"/>
              </w:rPr>
              <w:t>1 (2.6%)</w:t>
            </w:r>
          </w:p>
        </w:tc>
        <w:tc>
          <w:tcPr>
            <w:tcW w:w="1565" w:type="dxa"/>
          </w:tcPr>
          <w:p w14:paraId="54720CFB" w14:textId="17027BA8" w:rsidR="0025680B" w:rsidRPr="006D62F8" w:rsidRDefault="0025680B" w:rsidP="00A40E0B">
            <w:pPr>
              <w:jc w:val="center"/>
              <w:rPr>
                <w:sz w:val="20"/>
                <w:szCs w:val="20"/>
              </w:rPr>
            </w:pPr>
            <w:r w:rsidRPr="006D62F8">
              <w:rPr>
                <w:sz w:val="20"/>
                <w:szCs w:val="20"/>
              </w:rPr>
              <w:t>17 (12.6%)</w:t>
            </w:r>
          </w:p>
        </w:tc>
        <w:tc>
          <w:tcPr>
            <w:tcW w:w="642" w:type="dxa"/>
            <w:noWrap/>
            <w:hideMark/>
          </w:tcPr>
          <w:p w14:paraId="77D3AAAC" w14:textId="406A98BB" w:rsidR="0025680B" w:rsidRPr="006D62F8" w:rsidRDefault="0025680B" w:rsidP="00A40E0B">
            <w:pPr>
              <w:jc w:val="center"/>
              <w:rPr>
                <w:sz w:val="20"/>
                <w:szCs w:val="20"/>
              </w:rPr>
            </w:pPr>
            <w:r w:rsidRPr="006D62F8">
              <w:rPr>
                <w:sz w:val="20"/>
                <w:szCs w:val="20"/>
              </w:rPr>
              <w:t>6.28</w:t>
            </w:r>
          </w:p>
        </w:tc>
        <w:tc>
          <w:tcPr>
            <w:tcW w:w="1664" w:type="dxa"/>
            <w:noWrap/>
            <w:hideMark/>
          </w:tcPr>
          <w:p w14:paraId="0E4786F7" w14:textId="77777777" w:rsidR="0025680B" w:rsidRPr="006D62F8" w:rsidRDefault="0025680B" w:rsidP="00A40E0B">
            <w:pPr>
              <w:jc w:val="center"/>
              <w:rPr>
                <w:sz w:val="20"/>
                <w:szCs w:val="20"/>
              </w:rPr>
            </w:pPr>
            <w:r w:rsidRPr="006D62F8">
              <w:rPr>
                <w:sz w:val="20"/>
                <w:szCs w:val="20"/>
              </w:rPr>
              <w:t>1.15-117.48</w:t>
            </w:r>
          </w:p>
        </w:tc>
        <w:tc>
          <w:tcPr>
            <w:tcW w:w="1060" w:type="dxa"/>
            <w:noWrap/>
            <w:hideMark/>
          </w:tcPr>
          <w:p w14:paraId="69117C95" w14:textId="77777777" w:rsidR="0025680B" w:rsidRPr="006D62F8" w:rsidRDefault="0025680B" w:rsidP="00A40E0B">
            <w:pPr>
              <w:jc w:val="center"/>
              <w:rPr>
                <w:sz w:val="20"/>
                <w:szCs w:val="20"/>
              </w:rPr>
            </w:pPr>
            <w:r w:rsidRPr="006D62F8">
              <w:rPr>
                <w:sz w:val="20"/>
                <w:szCs w:val="20"/>
              </w:rPr>
              <w:t>0.085</w:t>
            </w:r>
          </w:p>
        </w:tc>
      </w:tr>
      <w:tr w:rsidR="0025680B" w:rsidRPr="006D62F8" w14:paraId="06CCBB13" w14:textId="77777777" w:rsidTr="00E90CA2">
        <w:trPr>
          <w:trHeight w:val="320"/>
        </w:trPr>
        <w:tc>
          <w:tcPr>
            <w:tcW w:w="2689" w:type="dxa"/>
            <w:noWrap/>
          </w:tcPr>
          <w:p w14:paraId="0D52827F" w14:textId="77317AC7" w:rsidR="0025680B" w:rsidRPr="006D62F8" w:rsidRDefault="0025680B" w:rsidP="0025680B">
            <w:pPr>
              <w:rPr>
                <w:sz w:val="20"/>
                <w:szCs w:val="20"/>
              </w:rPr>
            </w:pPr>
            <w:r w:rsidRPr="006D62F8">
              <w:rPr>
                <w:sz w:val="20"/>
                <w:szCs w:val="20"/>
              </w:rPr>
              <w:t>Gender (Female)</w:t>
            </w:r>
          </w:p>
        </w:tc>
        <w:tc>
          <w:tcPr>
            <w:tcW w:w="1390" w:type="dxa"/>
          </w:tcPr>
          <w:p w14:paraId="3164E907" w14:textId="36497A32" w:rsidR="0025680B" w:rsidRPr="006D62F8" w:rsidRDefault="0025680B" w:rsidP="00A40E0B">
            <w:pPr>
              <w:jc w:val="center"/>
              <w:rPr>
                <w:sz w:val="20"/>
                <w:szCs w:val="20"/>
              </w:rPr>
            </w:pPr>
            <w:r w:rsidRPr="006D62F8">
              <w:rPr>
                <w:sz w:val="20"/>
                <w:szCs w:val="20"/>
              </w:rPr>
              <w:t>24 (61.5%)</w:t>
            </w:r>
          </w:p>
        </w:tc>
        <w:tc>
          <w:tcPr>
            <w:tcW w:w="1565" w:type="dxa"/>
          </w:tcPr>
          <w:p w14:paraId="074C6F70" w14:textId="3BE1A6B5" w:rsidR="0025680B" w:rsidRPr="006D62F8" w:rsidRDefault="0025680B" w:rsidP="00A40E0B">
            <w:pPr>
              <w:jc w:val="center"/>
              <w:rPr>
                <w:sz w:val="20"/>
                <w:szCs w:val="20"/>
              </w:rPr>
            </w:pPr>
            <w:r w:rsidRPr="006D62F8">
              <w:rPr>
                <w:sz w:val="20"/>
                <w:szCs w:val="20"/>
              </w:rPr>
              <w:t>96 (71.1%)</w:t>
            </w:r>
          </w:p>
        </w:tc>
        <w:tc>
          <w:tcPr>
            <w:tcW w:w="642" w:type="dxa"/>
            <w:noWrap/>
          </w:tcPr>
          <w:p w14:paraId="1A5BD084" w14:textId="40400AF2" w:rsidR="0025680B" w:rsidRPr="006D62F8" w:rsidRDefault="0025680B" w:rsidP="00A40E0B">
            <w:pPr>
              <w:jc w:val="center"/>
              <w:rPr>
                <w:sz w:val="20"/>
                <w:szCs w:val="20"/>
              </w:rPr>
            </w:pPr>
            <w:r w:rsidRPr="006D62F8">
              <w:rPr>
                <w:sz w:val="20"/>
                <w:szCs w:val="20"/>
              </w:rPr>
              <w:t>Ref</w:t>
            </w:r>
          </w:p>
        </w:tc>
        <w:tc>
          <w:tcPr>
            <w:tcW w:w="1664" w:type="dxa"/>
            <w:noWrap/>
          </w:tcPr>
          <w:p w14:paraId="4F5B0D9A" w14:textId="348428DF" w:rsidR="0025680B" w:rsidRPr="006D62F8" w:rsidRDefault="0025680B" w:rsidP="00A40E0B">
            <w:pPr>
              <w:jc w:val="center"/>
              <w:rPr>
                <w:sz w:val="20"/>
                <w:szCs w:val="20"/>
              </w:rPr>
            </w:pPr>
            <w:r w:rsidRPr="006D62F8">
              <w:rPr>
                <w:sz w:val="20"/>
                <w:szCs w:val="20"/>
              </w:rPr>
              <w:t>NA</w:t>
            </w:r>
          </w:p>
        </w:tc>
        <w:tc>
          <w:tcPr>
            <w:tcW w:w="1060" w:type="dxa"/>
            <w:noWrap/>
          </w:tcPr>
          <w:p w14:paraId="7325A8E1" w14:textId="4D20B2C6" w:rsidR="0025680B" w:rsidRPr="006D62F8" w:rsidRDefault="0025680B" w:rsidP="00A40E0B">
            <w:pPr>
              <w:jc w:val="center"/>
              <w:rPr>
                <w:sz w:val="20"/>
                <w:szCs w:val="20"/>
              </w:rPr>
            </w:pPr>
            <w:r w:rsidRPr="006D62F8">
              <w:rPr>
                <w:sz w:val="20"/>
                <w:szCs w:val="20"/>
              </w:rPr>
              <w:t>NA</w:t>
            </w:r>
          </w:p>
        </w:tc>
      </w:tr>
      <w:tr w:rsidR="0025680B" w:rsidRPr="006D62F8" w14:paraId="20AB5589" w14:textId="77777777" w:rsidTr="006D62F8">
        <w:trPr>
          <w:trHeight w:val="320"/>
        </w:trPr>
        <w:tc>
          <w:tcPr>
            <w:tcW w:w="2689" w:type="dxa"/>
            <w:noWrap/>
            <w:hideMark/>
          </w:tcPr>
          <w:p w14:paraId="64711DE1" w14:textId="77777777" w:rsidR="0025680B" w:rsidRPr="006D62F8" w:rsidRDefault="0025680B" w:rsidP="0025680B">
            <w:pPr>
              <w:rPr>
                <w:sz w:val="20"/>
                <w:szCs w:val="20"/>
              </w:rPr>
            </w:pPr>
            <w:r w:rsidRPr="006D62F8">
              <w:rPr>
                <w:sz w:val="20"/>
                <w:szCs w:val="20"/>
              </w:rPr>
              <w:t>Gender (Male)</w:t>
            </w:r>
          </w:p>
        </w:tc>
        <w:tc>
          <w:tcPr>
            <w:tcW w:w="1390" w:type="dxa"/>
          </w:tcPr>
          <w:p w14:paraId="7AC0AEF8" w14:textId="5C2A9178" w:rsidR="0025680B" w:rsidRPr="006D62F8" w:rsidRDefault="0025680B" w:rsidP="00A40E0B">
            <w:pPr>
              <w:jc w:val="center"/>
              <w:rPr>
                <w:sz w:val="20"/>
                <w:szCs w:val="20"/>
              </w:rPr>
            </w:pPr>
            <w:r w:rsidRPr="006D62F8">
              <w:rPr>
                <w:sz w:val="20"/>
                <w:szCs w:val="20"/>
              </w:rPr>
              <w:t>14 (35.9%)</w:t>
            </w:r>
          </w:p>
        </w:tc>
        <w:tc>
          <w:tcPr>
            <w:tcW w:w="1565" w:type="dxa"/>
          </w:tcPr>
          <w:p w14:paraId="7214D514" w14:textId="03F17C48" w:rsidR="0025680B" w:rsidRPr="006D62F8" w:rsidRDefault="0025680B" w:rsidP="00A40E0B">
            <w:pPr>
              <w:jc w:val="center"/>
              <w:rPr>
                <w:sz w:val="20"/>
                <w:szCs w:val="20"/>
              </w:rPr>
            </w:pPr>
            <w:r w:rsidRPr="006D62F8">
              <w:rPr>
                <w:sz w:val="20"/>
                <w:szCs w:val="20"/>
              </w:rPr>
              <w:t>39 (28.9%)</w:t>
            </w:r>
          </w:p>
        </w:tc>
        <w:tc>
          <w:tcPr>
            <w:tcW w:w="642" w:type="dxa"/>
            <w:noWrap/>
            <w:hideMark/>
          </w:tcPr>
          <w:p w14:paraId="62942A9C" w14:textId="3668EB3A" w:rsidR="0025680B" w:rsidRPr="006D62F8" w:rsidRDefault="0025680B" w:rsidP="00A40E0B">
            <w:pPr>
              <w:jc w:val="center"/>
              <w:rPr>
                <w:sz w:val="20"/>
                <w:szCs w:val="20"/>
              </w:rPr>
            </w:pPr>
            <w:r w:rsidRPr="006D62F8">
              <w:rPr>
                <w:sz w:val="20"/>
                <w:szCs w:val="20"/>
              </w:rPr>
              <w:t>0.7</w:t>
            </w:r>
          </w:p>
        </w:tc>
        <w:tc>
          <w:tcPr>
            <w:tcW w:w="1664" w:type="dxa"/>
            <w:noWrap/>
            <w:hideMark/>
          </w:tcPr>
          <w:p w14:paraId="693395C2" w14:textId="77777777" w:rsidR="0025680B" w:rsidRPr="006D62F8" w:rsidRDefault="0025680B" w:rsidP="00A40E0B">
            <w:pPr>
              <w:jc w:val="center"/>
              <w:rPr>
                <w:sz w:val="20"/>
                <w:szCs w:val="20"/>
              </w:rPr>
            </w:pPr>
            <w:r w:rsidRPr="006D62F8">
              <w:rPr>
                <w:sz w:val="20"/>
                <w:szCs w:val="20"/>
              </w:rPr>
              <w:t>0.33-1.51</w:t>
            </w:r>
          </w:p>
        </w:tc>
        <w:tc>
          <w:tcPr>
            <w:tcW w:w="1060" w:type="dxa"/>
            <w:noWrap/>
            <w:hideMark/>
          </w:tcPr>
          <w:p w14:paraId="7B0533AD" w14:textId="77777777" w:rsidR="0025680B" w:rsidRPr="006D62F8" w:rsidRDefault="0025680B" w:rsidP="00A40E0B">
            <w:pPr>
              <w:jc w:val="center"/>
              <w:rPr>
                <w:sz w:val="20"/>
                <w:szCs w:val="20"/>
              </w:rPr>
            </w:pPr>
            <w:r w:rsidRPr="006D62F8">
              <w:rPr>
                <w:sz w:val="20"/>
                <w:szCs w:val="20"/>
              </w:rPr>
              <w:t>0.349</w:t>
            </w:r>
          </w:p>
        </w:tc>
      </w:tr>
      <w:tr w:rsidR="0025680B" w:rsidRPr="006D62F8" w14:paraId="0D8366CA" w14:textId="77777777" w:rsidTr="00E90CA2">
        <w:trPr>
          <w:trHeight w:val="320"/>
        </w:trPr>
        <w:tc>
          <w:tcPr>
            <w:tcW w:w="2689" w:type="dxa"/>
            <w:noWrap/>
          </w:tcPr>
          <w:p w14:paraId="547FB535" w14:textId="47A766E0" w:rsidR="0025680B" w:rsidRPr="006D62F8" w:rsidRDefault="0025680B" w:rsidP="0025680B">
            <w:pPr>
              <w:rPr>
                <w:sz w:val="20"/>
                <w:szCs w:val="20"/>
              </w:rPr>
            </w:pPr>
            <w:r w:rsidRPr="006D62F8">
              <w:rPr>
                <w:sz w:val="20"/>
                <w:szCs w:val="20"/>
              </w:rPr>
              <w:t>Income (£30,001-60,000)</w:t>
            </w:r>
          </w:p>
        </w:tc>
        <w:tc>
          <w:tcPr>
            <w:tcW w:w="1390" w:type="dxa"/>
          </w:tcPr>
          <w:p w14:paraId="42579875" w14:textId="34B40B4E" w:rsidR="0025680B" w:rsidRPr="006D62F8" w:rsidRDefault="0025680B" w:rsidP="00A40E0B">
            <w:pPr>
              <w:jc w:val="center"/>
              <w:rPr>
                <w:sz w:val="20"/>
                <w:szCs w:val="20"/>
              </w:rPr>
            </w:pPr>
            <w:r w:rsidRPr="006D62F8">
              <w:rPr>
                <w:sz w:val="20"/>
                <w:szCs w:val="20"/>
              </w:rPr>
              <w:t>21 (53.8%)</w:t>
            </w:r>
          </w:p>
        </w:tc>
        <w:tc>
          <w:tcPr>
            <w:tcW w:w="1565" w:type="dxa"/>
          </w:tcPr>
          <w:p w14:paraId="3580910E" w14:textId="7A226D4C" w:rsidR="0025680B" w:rsidRPr="006D62F8" w:rsidRDefault="0025680B" w:rsidP="00A40E0B">
            <w:pPr>
              <w:jc w:val="center"/>
              <w:rPr>
                <w:sz w:val="20"/>
                <w:szCs w:val="20"/>
              </w:rPr>
            </w:pPr>
            <w:r w:rsidRPr="006D62F8">
              <w:rPr>
                <w:sz w:val="20"/>
                <w:szCs w:val="20"/>
              </w:rPr>
              <w:t>43 (31.9%)</w:t>
            </w:r>
          </w:p>
        </w:tc>
        <w:tc>
          <w:tcPr>
            <w:tcW w:w="642" w:type="dxa"/>
            <w:noWrap/>
          </w:tcPr>
          <w:p w14:paraId="204983AE" w14:textId="7C2272EB" w:rsidR="0025680B" w:rsidRPr="006D62F8" w:rsidRDefault="0025680B" w:rsidP="00A40E0B">
            <w:pPr>
              <w:jc w:val="center"/>
              <w:rPr>
                <w:sz w:val="20"/>
                <w:szCs w:val="20"/>
              </w:rPr>
            </w:pPr>
            <w:r w:rsidRPr="006D62F8">
              <w:rPr>
                <w:sz w:val="20"/>
                <w:szCs w:val="20"/>
              </w:rPr>
              <w:t>Ref</w:t>
            </w:r>
          </w:p>
        </w:tc>
        <w:tc>
          <w:tcPr>
            <w:tcW w:w="1664" w:type="dxa"/>
            <w:noWrap/>
          </w:tcPr>
          <w:p w14:paraId="3F4D6987" w14:textId="77777777" w:rsidR="0025680B" w:rsidRPr="006D62F8" w:rsidRDefault="0025680B" w:rsidP="00A40E0B">
            <w:pPr>
              <w:jc w:val="center"/>
              <w:rPr>
                <w:sz w:val="20"/>
                <w:szCs w:val="20"/>
              </w:rPr>
            </w:pPr>
          </w:p>
        </w:tc>
        <w:tc>
          <w:tcPr>
            <w:tcW w:w="1060" w:type="dxa"/>
            <w:noWrap/>
          </w:tcPr>
          <w:p w14:paraId="17D6262E" w14:textId="77777777" w:rsidR="0025680B" w:rsidRPr="006D62F8" w:rsidRDefault="0025680B" w:rsidP="00A40E0B">
            <w:pPr>
              <w:jc w:val="center"/>
              <w:rPr>
                <w:sz w:val="20"/>
                <w:szCs w:val="20"/>
              </w:rPr>
            </w:pPr>
          </w:p>
        </w:tc>
      </w:tr>
      <w:tr w:rsidR="0025680B" w:rsidRPr="006D62F8" w14:paraId="10CF4167" w14:textId="77777777" w:rsidTr="006D62F8">
        <w:trPr>
          <w:trHeight w:val="320"/>
        </w:trPr>
        <w:tc>
          <w:tcPr>
            <w:tcW w:w="2689" w:type="dxa"/>
            <w:noWrap/>
            <w:hideMark/>
          </w:tcPr>
          <w:p w14:paraId="67FD357E" w14:textId="77777777" w:rsidR="0025680B" w:rsidRPr="006D62F8" w:rsidRDefault="0025680B" w:rsidP="0025680B">
            <w:pPr>
              <w:rPr>
                <w:sz w:val="20"/>
                <w:szCs w:val="20"/>
              </w:rPr>
            </w:pPr>
            <w:r w:rsidRPr="006D62F8">
              <w:rPr>
                <w:sz w:val="20"/>
                <w:szCs w:val="20"/>
              </w:rPr>
              <w:t>Income (&lt;£30,000)</w:t>
            </w:r>
          </w:p>
        </w:tc>
        <w:tc>
          <w:tcPr>
            <w:tcW w:w="1390" w:type="dxa"/>
          </w:tcPr>
          <w:p w14:paraId="633AAAB2" w14:textId="15C80522" w:rsidR="0025680B" w:rsidRPr="006D62F8" w:rsidRDefault="0025680B" w:rsidP="00A40E0B">
            <w:pPr>
              <w:jc w:val="center"/>
              <w:rPr>
                <w:sz w:val="20"/>
                <w:szCs w:val="20"/>
              </w:rPr>
            </w:pPr>
            <w:r w:rsidRPr="006D62F8">
              <w:rPr>
                <w:sz w:val="20"/>
                <w:szCs w:val="20"/>
              </w:rPr>
              <w:t>8 (20.5%)</w:t>
            </w:r>
          </w:p>
        </w:tc>
        <w:tc>
          <w:tcPr>
            <w:tcW w:w="1565" w:type="dxa"/>
          </w:tcPr>
          <w:p w14:paraId="2A513C36" w14:textId="35799B08" w:rsidR="0025680B" w:rsidRPr="006D62F8" w:rsidRDefault="0025680B" w:rsidP="00A40E0B">
            <w:pPr>
              <w:jc w:val="center"/>
              <w:rPr>
                <w:sz w:val="20"/>
                <w:szCs w:val="20"/>
              </w:rPr>
            </w:pPr>
            <w:r w:rsidRPr="006D62F8">
              <w:rPr>
                <w:sz w:val="20"/>
                <w:szCs w:val="20"/>
              </w:rPr>
              <w:t>43 (31.9%)</w:t>
            </w:r>
          </w:p>
        </w:tc>
        <w:tc>
          <w:tcPr>
            <w:tcW w:w="642" w:type="dxa"/>
            <w:noWrap/>
            <w:hideMark/>
          </w:tcPr>
          <w:p w14:paraId="77FA22F9" w14:textId="55202069" w:rsidR="0025680B" w:rsidRPr="006D62F8" w:rsidRDefault="0025680B" w:rsidP="00A40E0B">
            <w:pPr>
              <w:jc w:val="center"/>
              <w:rPr>
                <w:sz w:val="20"/>
                <w:szCs w:val="20"/>
              </w:rPr>
            </w:pPr>
            <w:r w:rsidRPr="006D62F8">
              <w:rPr>
                <w:sz w:val="20"/>
                <w:szCs w:val="20"/>
              </w:rPr>
              <w:t>2.5</w:t>
            </w:r>
            <w:r w:rsidR="00782255">
              <w:rPr>
                <w:sz w:val="20"/>
                <w:szCs w:val="20"/>
              </w:rPr>
              <w:t>0</w:t>
            </w:r>
          </w:p>
        </w:tc>
        <w:tc>
          <w:tcPr>
            <w:tcW w:w="1664" w:type="dxa"/>
            <w:noWrap/>
            <w:hideMark/>
          </w:tcPr>
          <w:p w14:paraId="521CA27E" w14:textId="77777777" w:rsidR="0025680B" w:rsidRPr="006D62F8" w:rsidRDefault="0025680B" w:rsidP="00A40E0B">
            <w:pPr>
              <w:jc w:val="center"/>
              <w:rPr>
                <w:sz w:val="20"/>
                <w:szCs w:val="20"/>
              </w:rPr>
            </w:pPr>
            <w:r w:rsidRPr="006D62F8">
              <w:rPr>
                <w:sz w:val="20"/>
                <w:szCs w:val="20"/>
              </w:rPr>
              <w:t>1.02-6.6</w:t>
            </w:r>
          </w:p>
        </w:tc>
        <w:tc>
          <w:tcPr>
            <w:tcW w:w="1060" w:type="dxa"/>
            <w:noWrap/>
            <w:hideMark/>
          </w:tcPr>
          <w:p w14:paraId="2F929550" w14:textId="77777777" w:rsidR="0025680B" w:rsidRPr="006D62F8" w:rsidRDefault="0025680B" w:rsidP="00A40E0B">
            <w:pPr>
              <w:jc w:val="center"/>
              <w:rPr>
                <w:sz w:val="20"/>
                <w:szCs w:val="20"/>
              </w:rPr>
            </w:pPr>
            <w:r w:rsidRPr="006D62F8">
              <w:rPr>
                <w:sz w:val="20"/>
                <w:szCs w:val="20"/>
              </w:rPr>
              <w:t>0.052</w:t>
            </w:r>
          </w:p>
        </w:tc>
      </w:tr>
      <w:tr w:rsidR="0025680B" w:rsidRPr="006D62F8" w14:paraId="3E6D388E" w14:textId="77777777" w:rsidTr="006D62F8">
        <w:trPr>
          <w:trHeight w:val="320"/>
        </w:trPr>
        <w:tc>
          <w:tcPr>
            <w:tcW w:w="2689" w:type="dxa"/>
            <w:noWrap/>
            <w:hideMark/>
          </w:tcPr>
          <w:p w14:paraId="7A0CB7B9" w14:textId="77777777" w:rsidR="0025680B" w:rsidRPr="006D62F8" w:rsidRDefault="0025680B" w:rsidP="0025680B">
            <w:pPr>
              <w:rPr>
                <w:sz w:val="20"/>
                <w:szCs w:val="20"/>
              </w:rPr>
            </w:pPr>
            <w:r w:rsidRPr="006D62F8">
              <w:rPr>
                <w:sz w:val="20"/>
                <w:szCs w:val="20"/>
              </w:rPr>
              <w:t>Income (&gt;£60,000)</w:t>
            </w:r>
          </w:p>
        </w:tc>
        <w:tc>
          <w:tcPr>
            <w:tcW w:w="1390" w:type="dxa"/>
          </w:tcPr>
          <w:p w14:paraId="677251B2" w14:textId="153D45CB" w:rsidR="0025680B" w:rsidRPr="006D62F8" w:rsidRDefault="0025680B" w:rsidP="00A40E0B">
            <w:pPr>
              <w:jc w:val="center"/>
              <w:rPr>
                <w:sz w:val="20"/>
                <w:szCs w:val="20"/>
              </w:rPr>
            </w:pPr>
            <w:r w:rsidRPr="006D62F8">
              <w:rPr>
                <w:sz w:val="20"/>
                <w:szCs w:val="20"/>
              </w:rPr>
              <w:t>10 (25.6%)</w:t>
            </w:r>
          </w:p>
        </w:tc>
        <w:tc>
          <w:tcPr>
            <w:tcW w:w="1565" w:type="dxa"/>
          </w:tcPr>
          <w:p w14:paraId="047A2458" w14:textId="6AAB45F3" w:rsidR="0025680B" w:rsidRPr="006D62F8" w:rsidRDefault="0025680B" w:rsidP="00A40E0B">
            <w:pPr>
              <w:jc w:val="center"/>
              <w:rPr>
                <w:sz w:val="20"/>
                <w:szCs w:val="20"/>
              </w:rPr>
            </w:pPr>
            <w:r w:rsidRPr="006D62F8">
              <w:rPr>
                <w:sz w:val="20"/>
                <w:szCs w:val="20"/>
              </w:rPr>
              <w:t>47 (34.8%)</w:t>
            </w:r>
          </w:p>
        </w:tc>
        <w:tc>
          <w:tcPr>
            <w:tcW w:w="642" w:type="dxa"/>
            <w:noWrap/>
            <w:hideMark/>
          </w:tcPr>
          <w:p w14:paraId="54F133F5" w14:textId="097FBCC9" w:rsidR="0025680B" w:rsidRPr="006D62F8" w:rsidRDefault="0025680B" w:rsidP="00A40E0B">
            <w:pPr>
              <w:jc w:val="center"/>
              <w:rPr>
                <w:sz w:val="20"/>
                <w:szCs w:val="20"/>
              </w:rPr>
            </w:pPr>
            <w:r w:rsidRPr="006D62F8">
              <w:rPr>
                <w:sz w:val="20"/>
                <w:szCs w:val="20"/>
              </w:rPr>
              <w:t>2.28</w:t>
            </w:r>
          </w:p>
        </w:tc>
        <w:tc>
          <w:tcPr>
            <w:tcW w:w="1664" w:type="dxa"/>
            <w:noWrap/>
            <w:hideMark/>
          </w:tcPr>
          <w:p w14:paraId="446332AB" w14:textId="77777777" w:rsidR="0025680B" w:rsidRPr="006D62F8" w:rsidRDefault="0025680B" w:rsidP="00A40E0B">
            <w:pPr>
              <w:jc w:val="center"/>
              <w:rPr>
                <w:sz w:val="20"/>
                <w:szCs w:val="20"/>
              </w:rPr>
            </w:pPr>
            <w:r w:rsidRPr="006D62F8">
              <w:rPr>
                <w:sz w:val="20"/>
                <w:szCs w:val="20"/>
              </w:rPr>
              <w:t>0.98-5.58</w:t>
            </w:r>
          </w:p>
        </w:tc>
        <w:tc>
          <w:tcPr>
            <w:tcW w:w="1060" w:type="dxa"/>
            <w:noWrap/>
            <w:hideMark/>
          </w:tcPr>
          <w:p w14:paraId="2C9B9CD8" w14:textId="77777777" w:rsidR="0025680B" w:rsidRPr="006D62F8" w:rsidRDefault="0025680B" w:rsidP="00A40E0B">
            <w:pPr>
              <w:jc w:val="center"/>
              <w:rPr>
                <w:sz w:val="20"/>
                <w:szCs w:val="20"/>
              </w:rPr>
            </w:pPr>
            <w:r w:rsidRPr="006D62F8">
              <w:rPr>
                <w:sz w:val="20"/>
                <w:szCs w:val="20"/>
              </w:rPr>
              <w:t>0.061</w:t>
            </w:r>
          </w:p>
        </w:tc>
      </w:tr>
      <w:tr w:rsidR="0025680B" w:rsidRPr="006D62F8" w14:paraId="105CAA1F" w14:textId="77777777" w:rsidTr="00E90CA2">
        <w:trPr>
          <w:trHeight w:val="320"/>
        </w:trPr>
        <w:tc>
          <w:tcPr>
            <w:tcW w:w="2689" w:type="dxa"/>
            <w:noWrap/>
          </w:tcPr>
          <w:p w14:paraId="0653E032" w14:textId="47E2A671" w:rsidR="0025680B" w:rsidRPr="006D62F8" w:rsidRDefault="0025680B" w:rsidP="0025680B">
            <w:pPr>
              <w:rPr>
                <w:sz w:val="20"/>
                <w:szCs w:val="20"/>
              </w:rPr>
            </w:pPr>
            <w:r w:rsidRPr="006D62F8">
              <w:rPr>
                <w:sz w:val="20"/>
                <w:szCs w:val="20"/>
              </w:rPr>
              <w:t>Education (Degree/HND PGDips)</w:t>
            </w:r>
          </w:p>
        </w:tc>
        <w:tc>
          <w:tcPr>
            <w:tcW w:w="1390" w:type="dxa"/>
          </w:tcPr>
          <w:p w14:paraId="5ACC814E" w14:textId="6845924C" w:rsidR="0025680B" w:rsidRPr="006D62F8" w:rsidRDefault="0025680B" w:rsidP="00A40E0B">
            <w:pPr>
              <w:jc w:val="center"/>
              <w:rPr>
                <w:sz w:val="20"/>
                <w:szCs w:val="20"/>
              </w:rPr>
            </w:pPr>
            <w:r w:rsidRPr="006D62F8">
              <w:rPr>
                <w:sz w:val="20"/>
                <w:szCs w:val="20"/>
              </w:rPr>
              <w:t>17 (43.6%)</w:t>
            </w:r>
          </w:p>
        </w:tc>
        <w:tc>
          <w:tcPr>
            <w:tcW w:w="1565" w:type="dxa"/>
          </w:tcPr>
          <w:p w14:paraId="72896E71" w14:textId="500A6711" w:rsidR="0025680B" w:rsidRPr="006D62F8" w:rsidRDefault="0025680B" w:rsidP="00A40E0B">
            <w:pPr>
              <w:jc w:val="center"/>
              <w:rPr>
                <w:sz w:val="20"/>
                <w:szCs w:val="20"/>
              </w:rPr>
            </w:pPr>
            <w:r w:rsidRPr="006D62F8">
              <w:rPr>
                <w:sz w:val="20"/>
                <w:szCs w:val="20"/>
              </w:rPr>
              <w:t>53 (39.3%)</w:t>
            </w:r>
          </w:p>
        </w:tc>
        <w:tc>
          <w:tcPr>
            <w:tcW w:w="642" w:type="dxa"/>
            <w:noWrap/>
          </w:tcPr>
          <w:p w14:paraId="1D5ECE7A" w14:textId="5D181F48" w:rsidR="0025680B" w:rsidRPr="006D62F8" w:rsidRDefault="0025680B" w:rsidP="00A40E0B">
            <w:pPr>
              <w:jc w:val="center"/>
              <w:rPr>
                <w:sz w:val="20"/>
                <w:szCs w:val="20"/>
              </w:rPr>
            </w:pPr>
            <w:r w:rsidRPr="006D62F8">
              <w:rPr>
                <w:sz w:val="20"/>
                <w:szCs w:val="20"/>
              </w:rPr>
              <w:t>REF</w:t>
            </w:r>
          </w:p>
        </w:tc>
        <w:tc>
          <w:tcPr>
            <w:tcW w:w="1664" w:type="dxa"/>
            <w:noWrap/>
          </w:tcPr>
          <w:p w14:paraId="5923E7AD" w14:textId="20A5C808" w:rsidR="0025680B" w:rsidRPr="006D62F8" w:rsidRDefault="006D62F8" w:rsidP="00A40E0B">
            <w:pPr>
              <w:jc w:val="center"/>
              <w:rPr>
                <w:sz w:val="20"/>
                <w:szCs w:val="20"/>
              </w:rPr>
            </w:pPr>
            <w:r w:rsidRPr="006D62F8">
              <w:rPr>
                <w:sz w:val="20"/>
                <w:szCs w:val="20"/>
              </w:rPr>
              <w:t>NA</w:t>
            </w:r>
          </w:p>
        </w:tc>
        <w:tc>
          <w:tcPr>
            <w:tcW w:w="1060" w:type="dxa"/>
            <w:noWrap/>
          </w:tcPr>
          <w:p w14:paraId="517BAB04" w14:textId="12F79667" w:rsidR="0025680B" w:rsidRPr="006D62F8" w:rsidRDefault="006D62F8" w:rsidP="00A40E0B">
            <w:pPr>
              <w:jc w:val="center"/>
              <w:rPr>
                <w:sz w:val="20"/>
                <w:szCs w:val="20"/>
              </w:rPr>
            </w:pPr>
            <w:r w:rsidRPr="006D62F8">
              <w:rPr>
                <w:sz w:val="20"/>
                <w:szCs w:val="20"/>
              </w:rPr>
              <w:t>NA</w:t>
            </w:r>
          </w:p>
        </w:tc>
      </w:tr>
      <w:tr w:rsidR="0025680B" w:rsidRPr="006D62F8" w14:paraId="4EAE83B2" w14:textId="77777777" w:rsidTr="006D62F8">
        <w:trPr>
          <w:trHeight w:val="320"/>
        </w:trPr>
        <w:tc>
          <w:tcPr>
            <w:tcW w:w="2689" w:type="dxa"/>
            <w:noWrap/>
            <w:hideMark/>
          </w:tcPr>
          <w:p w14:paraId="7F1F7381" w14:textId="77777777" w:rsidR="0025680B" w:rsidRPr="006D62F8" w:rsidRDefault="0025680B" w:rsidP="0025680B">
            <w:pPr>
              <w:rPr>
                <w:sz w:val="20"/>
                <w:szCs w:val="20"/>
              </w:rPr>
            </w:pPr>
            <w:r w:rsidRPr="006D62F8">
              <w:rPr>
                <w:sz w:val="20"/>
                <w:szCs w:val="20"/>
              </w:rPr>
              <w:t>Education (&lt;Degree)</w:t>
            </w:r>
          </w:p>
        </w:tc>
        <w:tc>
          <w:tcPr>
            <w:tcW w:w="1390" w:type="dxa"/>
          </w:tcPr>
          <w:p w14:paraId="641F4B56" w14:textId="3A20E1E0" w:rsidR="0025680B" w:rsidRPr="006D62F8" w:rsidRDefault="0025680B" w:rsidP="00A40E0B">
            <w:pPr>
              <w:jc w:val="center"/>
              <w:rPr>
                <w:sz w:val="20"/>
                <w:szCs w:val="20"/>
              </w:rPr>
            </w:pPr>
            <w:r w:rsidRPr="006D62F8">
              <w:rPr>
                <w:sz w:val="20"/>
                <w:szCs w:val="20"/>
              </w:rPr>
              <w:t>14 (35.9%)</w:t>
            </w:r>
          </w:p>
        </w:tc>
        <w:tc>
          <w:tcPr>
            <w:tcW w:w="1565" w:type="dxa"/>
          </w:tcPr>
          <w:p w14:paraId="576F850F" w14:textId="1A861B07" w:rsidR="0025680B" w:rsidRPr="006D62F8" w:rsidRDefault="0025680B" w:rsidP="00A40E0B">
            <w:pPr>
              <w:jc w:val="center"/>
              <w:rPr>
                <w:sz w:val="20"/>
                <w:szCs w:val="20"/>
              </w:rPr>
            </w:pPr>
            <w:r w:rsidRPr="006D62F8">
              <w:rPr>
                <w:sz w:val="20"/>
                <w:szCs w:val="20"/>
              </w:rPr>
              <w:t>34 (25.2%)</w:t>
            </w:r>
          </w:p>
        </w:tc>
        <w:tc>
          <w:tcPr>
            <w:tcW w:w="642" w:type="dxa"/>
            <w:noWrap/>
            <w:hideMark/>
          </w:tcPr>
          <w:p w14:paraId="749F067C" w14:textId="5CD0F5B8" w:rsidR="0025680B" w:rsidRPr="006D62F8" w:rsidRDefault="0025680B" w:rsidP="00A40E0B">
            <w:pPr>
              <w:jc w:val="center"/>
              <w:rPr>
                <w:sz w:val="20"/>
                <w:szCs w:val="20"/>
              </w:rPr>
            </w:pPr>
            <w:r w:rsidRPr="006D62F8">
              <w:rPr>
                <w:sz w:val="20"/>
                <w:szCs w:val="20"/>
              </w:rPr>
              <w:t>0.84</w:t>
            </w:r>
          </w:p>
        </w:tc>
        <w:tc>
          <w:tcPr>
            <w:tcW w:w="1664" w:type="dxa"/>
            <w:noWrap/>
            <w:hideMark/>
          </w:tcPr>
          <w:p w14:paraId="13C8AF2C" w14:textId="77777777" w:rsidR="0025680B" w:rsidRPr="006D62F8" w:rsidRDefault="0025680B" w:rsidP="00A40E0B">
            <w:pPr>
              <w:jc w:val="center"/>
              <w:rPr>
                <w:sz w:val="20"/>
                <w:szCs w:val="20"/>
              </w:rPr>
            </w:pPr>
            <w:r w:rsidRPr="006D62F8">
              <w:rPr>
                <w:sz w:val="20"/>
                <w:szCs w:val="20"/>
              </w:rPr>
              <w:t>0.36-1.97</w:t>
            </w:r>
          </w:p>
        </w:tc>
        <w:tc>
          <w:tcPr>
            <w:tcW w:w="1060" w:type="dxa"/>
            <w:noWrap/>
            <w:hideMark/>
          </w:tcPr>
          <w:p w14:paraId="14F4E2A9" w14:textId="77777777" w:rsidR="0025680B" w:rsidRPr="006D62F8" w:rsidRDefault="0025680B" w:rsidP="00A40E0B">
            <w:pPr>
              <w:jc w:val="center"/>
              <w:rPr>
                <w:sz w:val="20"/>
                <w:szCs w:val="20"/>
              </w:rPr>
            </w:pPr>
            <w:r w:rsidRPr="006D62F8">
              <w:rPr>
                <w:sz w:val="20"/>
                <w:szCs w:val="20"/>
              </w:rPr>
              <w:t>0.682</w:t>
            </w:r>
          </w:p>
        </w:tc>
      </w:tr>
      <w:tr w:rsidR="0025680B" w:rsidRPr="006D62F8" w14:paraId="1C0B44EC" w14:textId="77777777" w:rsidTr="006D62F8">
        <w:trPr>
          <w:trHeight w:val="320"/>
        </w:trPr>
        <w:tc>
          <w:tcPr>
            <w:tcW w:w="2689" w:type="dxa"/>
            <w:noWrap/>
            <w:hideMark/>
          </w:tcPr>
          <w:p w14:paraId="17FF3303" w14:textId="77777777" w:rsidR="0025680B" w:rsidRPr="006D62F8" w:rsidRDefault="0025680B" w:rsidP="0025680B">
            <w:pPr>
              <w:rPr>
                <w:sz w:val="20"/>
                <w:szCs w:val="20"/>
              </w:rPr>
            </w:pPr>
            <w:r w:rsidRPr="006D62F8">
              <w:rPr>
                <w:sz w:val="20"/>
                <w:szCs w:val="20"/>
              </w:rPr>
              <w:t>Education (Masters/PhD)</w:t>
            </w:r>
          </w:p>
        </w:tc>
        <w:tc>
          <w:tcPr>
            <w:tcW w:w="1390" w:type="dxa"/>
          </w:tcPr>
          <w:p w14:paraId="72571890" w14:textId="25C7AE6A" w:rsidR="0025680B" w:rsidRPr="006D62F8" w:rsidRDefault="0025680B" w:rsidP="00A40E0B">
            <w:pPr>
              <w:jc w:val="center"/>
              <w:rPr>
                <w:sz w:val="20"/>
                <w:szCs w:val="20"/>
              </w:rPr>
            </w:pPr>
            <w:r w:rsidRPr="006D62F8">
              <w:rPr>
                <w:sz w:val="20"/>
                <w:szCs w:val="20"/>
              </w:rPr>
              <w:t>8 (20.5%)</w:t>
            </w:r>
          </w:p>
        </w:tc>
        <w:tc>
          <w:tcPr>
            <w:tcW w:w="1565" w:type="dxa"/>
          </w:tcPr>
          <w:p w14:paraId="66ADEC29" w14:textId="787AEE4C" w:rsidR="0025680B" w:rsidRPr="006D62F8" w:rsidRDefault="0025680B" w:rsidP="00A40E0B">
            <w:pPr>
              <w:jc w:val="center"/>
              <w:rPr>
                <w:sz w:val="20"/>
                <w:szCs w:val="20"/>
              </w:rPr>
            </w:pPr>
            <w:r w:rsidRPr="006D62F8">
              <w:rPr>
                <w:sz w:val="20"/>
                <w:szCs w:val="20"/>
              </w:rPr>
              <w:t>47 (34.8%)</w:t>
            </w:r>
          </w:p>
        </w:tc>
        <w:tc>
          <w:tcPr>
            <w:tcW w:w="642" w:type="dxa"/>
            <w:noWrap/>
            <w:hideMark/>
          </w:tcPr>
          <w:p w14:paraId="3454AA6B" w14:textId="6C507BE5" w:rsidR="0025680B" w:rsidRPr="006D62F8" w:rsidRDefault="0025680B" w:rsidP="00A40E0B">
            <w:pPr>
              <w:jc w:val="center"/>
              <w:rPr>
                <w:sz w:val="20"/>
                <w:szCs w:val="20"/>
              </w:rPr>
            </w:pPr>
            <w:r w:rsidRPr="006D62F8">
              <w:rPr>
                <w:sz w:val="20"/>
                <w:szCs w:val="20"/>
              </w:rPr>
              <w:t>1.88</w:t>
            </w:r>
          </w:p>
        </w:tc>
        <w:tc>
          <w:tcPr>
            <w:tcW w:w="1664" w:type="dxa"/>
            <w:noWrap/>
            <w:hideMark/>
          </w:tcPr>
          <w:p w14:paraId="2F1AAAC8" w14:textId="77777777" w:rsidR="0025680B" w:rsidRPr="006D62F8" w:rsidRDefault="0025680B" w:rsidP="00A40E0B">
            <w:pPr>
              <w:jc w:val="center"/>
              <w:rPr>
                <w:sz w:val="20"/>
                <w:szCs w:val="20"/>
              </w:rPr>
            </w:pPr>
            <w:r w:rsidRPr="006D62F8">
              <w:rPr>
                <w:sz w:val="20"/>
                <w:szCs w:val="20"/>
              </w:rPr>
              <w:t>0.76-4.99</w:t>
            </w:r>
          </w:p>
        </w:tc>
        <w:tc>
          <w:tcPr>
            <w:tcW w:w="1060" w:type="dxa"/>
            <w:noWrap/>
            <w:hideMark/>
          </w:tcPr>
          <w:p w14:paraId="2D168151" w14:textId="77777777" w:rsidR="0025680B" w:rsidRPr="006D62F8" w:rsidRDefault="0025680B" w:rsidP="00A40E0B">
            <w:pPr>
              <w:jc w:val="center"/>
              <w:rPr>
                <w:sz w:val="20"/>
                <w:szCs w:val="20"/>
              </w:rPr>
            </w:pPr>
            <w:r w:rsidRPr="006D62F8">
              <w:rPr>
                <w:sz w:val="20"/>
                <w:szCs w:val="20"/>
              </w:rPr>
              <w:t>0.181</w:t>
            </w:r>
          </w:p>
        </w:tc>
      </w:tr>
      <w:tr w:rsidR="0025680B" w:rsidRPr="006D62F8" w14:paraId="3C886F1C" w14:textId="77777777" w:rsidTr="00E90CA2">
        <w:trPr>
          <w:trHeight w:val="320"/>
        </w:trPr>
        <w:tc>
          <w:tcPr>
            <w:tcW w:w="2689" w:type="dxa"/>
            <w:noWrap/>
          </w:tcPr>
          <w:p w14:paraId="28A6201B" w14:textId="0174EC05" w:rsidR="0025680B" w:rsidRPr="006D62F8" w:rsidRDefault="0025680B" w:rsidP="0025680B">
            <w:pPr>
              <w:rPr>
                <w:sz w:val="20"/>
                <w:szCs w:val="20"/>
              </w:rPr>
            </w:pPr>
            <w:r w:rsidRPr="006D62F8">
              <w:rPr>
                <w:sz w:val="20"/>
                <w:szCs w:val="20"/>
              </w:rPr>
              <w:t>Ethnicity (White British)</w:t>
            </w:r>
          </w:p>
        </w:tc>
        <w:tc>
          <w:tcPr>
            <w:tcW w:w="1390" w:type="dxa"/>
          </w:tcPr>
          <w:p w14:paraId="082A814E" w14:textId="1B603964" w:rsidR="0025680B" w:rsidRPr="006D62F8" w:rsidRDefault="0025680B" w:rsidP="00A40E0B">
            <w:pPr>
              <w:jc w:val="center"/>
              <w:rPr>
                <w:sz w:val="20"/>
                <w:szCs w:val="20"/>
              </w:rPr>
            </w:pPr>
            <w:r w:rsidRPr="006D62F8">
              <w:rPr>
                <w:sz w:val="20"/>
                <w:szCs w:val="20"/>
              </w:rPr>
              <w:t>31 (79.5%)</w:t>
            </w:r>
          </w:p>
        </w:tc>
        <w:tc>
          <w:tcPr>
            <w:tcW w:w="1565" w:type="dxa"/>
          </w:tcPr>
          <w:p w14:paraId="61AF4A7A" w14:textId="55866AA6" w:rsidR="0025680B" w:rsidRPr="006D62F8" w:rsidRDefault="0025680B" w:rsidP="00A40E0B">
            <w:pPr>
              <w:jc w:val="center"/>
              <w:rPr>
                <w:sz w:val="20"/>
                <w:szCs w:val="20"/>
              </w:rPr>
            </w:pPr>
            <w:r w:rsidRPr="006D62F8">
              <w:rPr>
                <w:sz w:val="20"/>
                <w:szCs w:val="20"/>
              </w:rPr>
              <w:t>110 (81.5%)</w:t>
            </w:r>
          </w:p>
        </w:tc>
        <w:tc>
          <w:tcPr>
            <w:tcW w:w="642" w:type="dxa"/>
            <w:noWrap/>
          </w:tcPr>
          <w:p w14:paraId="1CC90C8E" w14:textId="7D8F2DA4" w:rsidR="0025680B" w:rsidRPr="006D62F8" w:rsidRDefault="0025680B" w:rsidP="00A40E0B">
            <w:pPr>
              <w:jc w:val="center"/>
              <w:rPr>
                <w:sz w:val="20"/>
                <w:szCs w:val="20"/>
              </w:rPr>
            </w:pPr>
            <w:r w:rsidRPr="006D62F8">
              <w:rPr>
                <w:sz w:val="20"/>
                <w:szCs w:val="20"/>
              </w:rPr>
              <w:t>REF</w:t>
            </w:r>
          </w:p>
        </w:tc>
        <w:tc>
          <w:tcPr>
            <w:tcW w:w="1664" w:type="dxa"/>
            <w:noWrap/>
          </w:tcPr>
          <w:p w14:paraId="67F35C14" w14:textId="3ADDF41F" w:rsidR="0025680B" w:rsidRPr="006D62F8" w:rsidRDefault="006D62F8" w:rsidP="00A40E0B">
            <w:pPr>
              <w:jc w:val="center"/>
              <w:rPr>
                <w:sz w:val="20"/>
                <w:szCs w:val="20"/>
              </w:rPr>
            </w:pPr>
            <w:r w:rsidRPr="006D62F8">
              <w:rPr>
                <w:sz w:val="20"/>
                <w:szCs w:val="20"/>
              </w:rPr>
              <w:t>NA</w:t>
            </w:r>
          </w:p>
        </w:tc>
        <w:tc>
          <w:tcPr>
            <w:tcW w:w="1060" w:type="dxa"/>
            <w:noWrap/>
          </w:tcPr>
          <w:p w14:paraId="7E2069D1" w14:textId="3F51A970" w:rsidR="0025680B" w:rsidRPr="006D62F8" w:rsidRDefault="006D62F8" w:rsidP="00A40E0B">
            <w:pPr>
              <w:jc w:val="center"/>
              <w:rPr>
                <w:sz w:val="20"/>
                <w:szCs w:val="20"/>
              </w:rPr>
            </w:pPr>
            <w:r w:rsidRPr="006D62F8">
              <w:rPr>
                <w:sz w:val="20"/>
                <w:szCs w:val="20"/>
              </w:rPr>
              <w:t>NA</w:t>
            </w:r>
          </w:p>
        </w:tc>
      </w:tr>
      <w:tr w:rsidR="0025680B" w:rsidRPr="006D62F8" w14:paraId="7BACA72B" w14:textId="77777777" w:rsidTr="006D62F8">
        <w:trPr>
          <w:trHeight w:val="320"/>
        </w:trPr>
        <w:tc>
          <w:tcPr>
            <w:tcW w:w="2689" w:type="dxa"/>
            <w:noWrap/>
            <w:hideMark/>
          </w:tcPr>
          <w:p w14:paraId="775FCA87" w14:textId="77777777" w:rsidR="0025680B" w:rsidRPr="006D62F8" w:rsidRDefault="0025680B" w:rsidP="0025680B">
            <w:pPr>
              <w:rPr>
                <w:sz w:val="20"/>
                <w:szCs w:val="20"/>
              </w:rPr>
            </w:pPr>
            <w:r w:rsidRPr="006D62F8">
              <w:rPr>
                <w:sz w:val="20"/>
                <w:szCs w:val="20"/>
              </w:rPr>
              <w:t>Ethnicity (BAME)</w:t>
            </w:r>
          </w:p>
        </w:tc>
        <w:tc>
          <w:tcPr>
            <w:tcW w:w="1390" w:type="dxa"/>
          </w:tcPr>
          <w:p w14:paraId="142C90D8" w14:textId="20B63A6C" w:rsidR="0025680B" w:rsidRPr="006D62F8" w:rsidRDefault="0025680B" w:rsidP="00A40E0B">
            <w:pPr>
              <w:jc w:val="center"/>
              <w:rPr>
                <w:sz w:val="20"/>
                <w:szCs w:val="20"/>
              </w:rPr>
            </w:pPr>
            <w:r w:rsidRPr="006D62F8">
              <w:rPr>
                <w:sz w:val="20"/>
                <w:szCs w:val="20"/>
              </w:rPr>
              <w:t>6 (15.4%)</w:t>
            </w:r>
          </w:p>
        </w:tc>
        <w:tc>
          <w:tcPr>
            <w:tcW w:w="1565" w:type="dxa"/>
          </w:tcPr>
          <w:p w14:paraId="60D79E91" w14:textId="09EC0C17" w:rsidR="0025680B" w:rsidRPr="006D62F8" w:rsidRDefault="0025680B" w:rsidP="00A40E0B">
            <w:pPr>
              <w:jc w:val="center"/>
              <w:rPr>
                <w:sz w:val="20"/>
                <w:szCs w:val="20"/>
              </w:rPr>
            </w:pPr>
            <w:r w:rsidRPr="006D62F8">
              <w:rPr>
                <w:sz w:val="20"/>
                <w:szCs w:val="20"/>
              </w:rPr>
              <w:t>13 (9.6%)</w:t>
            </w:r>
          </w:p>
        </w:tc>
        <w:tc>
          <w:tcPr>
            <w:tcW w:w="642" w:type="dxa"/>
            <w:noWrap/>
            <w:hideMark/>
          </w:tcPr>
          <w:p w14:paraId="30E9911C" w14:textId="3949D75B" w:rsidR="0025680B" w:rsidRPr="006D62F8" w:rsidRDefault="0025680B" w:rsidP="00A40E0B">
            <w:pPr>
              <w:jc w:val="center"/>
              <w:rPr>
                <w:sz w:val="20"/>
                <w:szCs w:val="20"/>
              </w:rPr>
            </w:pPr>
            <w:r w:rsidRPr="006D62F8">
              <w:rPr>
                <w:sz w:val="20"/>
                <w:szCs w:val="20"/>
              </w:rPr>
              <w:t>0.61</w:t>
            </w:r>
          </w:p>
        </w:tc>
        <w:tc>
          <w:tcPr>
            <w:tcW w:w="1664" w:type="dxa"/>
            <w:noWrap/>
            <w:hideMark/>
          </w:tcPr>
          <w:p w14:paraId="0B70A096" w14:textId="77777777" w:rsidR="0025680B" w:rsidRPr="006D62F8" w:rsidRDefault="0025680B" w:rsidP="00A40E0B">
            <w:pPr>
              <w:jc w:val="center"/>
              <w:rPr>
                <w:sz w:val="20"/>
                <w:szCs w:val="20"/>
              </w:rPr>
            </w:pPr>
            <w:r w:rsidRPr="006D62F8">
              <w:rPr>
                <w:sz w:val="20"/>
                <w:szCs w:val="20"/>
              </w:rPr>
              <w:t>0.22-1.86</w:t>
            </w:r>
          </w:p>
        </w:tc>
        <w:tc>
          <w:tcPr>
            <w:tcW w:w="1060" w:type="dxa"/>
            <w:noWrap/>
            <w:hideMark/>
          </w:tcPr>
          <w:p w14:paraId="7ACD63EB" w14:textId="77777777" w:rsidR="0025680B" w:rsidRPr="006D62F8" w:rsidRDefault="0025680B" w:rsidP="00A40E0B">
            <w:pPr>
              <w:jc w:val="center"/>
              <w:rPr>
                <w:sz w:val="20"/>
                <w:szCs w:val="20"/>
              </w:rPr>
            </w:pPr>
            <w:r w:rsidRPr="006D62F8">
              <w:rPr>
                <w:sz w:val="20"/>
                <w:szCs w:val="20"/>
              </w:rPr>
              <w:t>0.355</w:t>
            </w:r>
          </w:p>
        </w:tc>
      </w:tr>
      <w:tr w:rsidR="0025680B" w:rsidRPr="006D62F8" w14:paraId="256C87CB" w14:textId="77777777" w:rsidTr="006D62F8">
        <w:trPr>
          <w:trHeight w:val="320"/>
        </w:trPr>
        <w:tc>
          <w:tcPr>
            <w:tcW w:w="2689" w:type="dxa"/>
            <w:noWrap/>
            <w:hideMark/>
          </w:tcPr>
          <w:p w14:paraId="29962764" w14:textId="77777777" w:rsidR="0025680B" w:rsidRPr="006D62F8" w:rsidRDefault="0025680B" w:rsidP="0025680B">
            <w:pPr>
              <w:rPr>
                <w:sz w:val="20"/>
                <w:szCs w:val="20"/>
              </w:rPr>
            </w:pPr>
            <w:r w:rsidRPr="006D62F8">
              <w:rPr>
                <w:sz w:val="20"/>
                <w:szCs w:val="20"/>
              </w:rPr>
              <w:t>Ethnicity (White Other)</w:t>
            </w:r>
          </w:p>
        </w:tc>
        <w:tc>
          <w:tcPr>
            <w:tcW w:w="1390" w:type="dxa"/>
          </w:tcPr>
          <w:p w14:paraId="587771AE" w14:textId="3F989371" w:rsidR="0025680B" w:rsidRPr="006D62F8" w:rsidRDefault="0025680B" w:rsidP="00A40E0B">
            <w:pPr>
              <w:jc w:val="center"/>
              <w:rPr>
                <w:sz w:val="20"/>
                <w:szCs w:val="20"/>
              </w:rPr>
            </w:pPr>
            <w:r w:rsidRPr="006D62F8">
              <w:rPr>
                <w:sz w:val="20"/>
                <w:szCs w:val="20"/>
              </w:rPr>
              <w:t>2 (5.1%)</w:t>
            </w:r>
          </w:p>
        </w:tc>
        <w:tc>
          <w:tcPr>
            <w:tcW w:w="1565" w:type="dxa"/>
          </w:tcPr>
          <w:p w14:paraId="33546EBB" w14:textId="5B5D1BA8" w:rsidR="0025680B" w:rsidRPr="006D62F8" w:rsidRDefault="0025680B" w:rsidP="00A40E0B">
            <w:pPr>
              <w:jc w:val="center"/>
              <w:rPr>
                <w:sz w:val="20"/>
                <w:szCs w:val="20"/>
              </w:rPr>
            </w:pPr>
            <w:r w:rsidRPr="006D62F8">
              <w:rPr>
                <w:sz w:val="20"/>
                <w:szCs w:val="20"/>
              </w:rPr>
              <w:t>12 (8.9%)</w:t>
            </w:r>
          </w:p>
        </w:tc>
        <w:tc>
          <w:tcPr>
            <w:tcW w:w="642" w:type="dxa"/>
            <w:noWrap/>
            <w:hideMark/>
          </w:tcPr>
          <w:p w14:paraId="0071EA18" w14:textId="4AEAF8B7" w:rsidR="0025680B" w:rsidRPr="006D62F8" w:rsidRDefault="0025680B" w:rsidP="00A40E0B">
            <w:pPr>
              <w:jc w:val="center"/>
              <w:rPr>
                <w:sz w:val="20"/>
                <w:szCs w:val="20"/>
              </w:rPr>
            </w:pPr>
            <w:r w:rsidRPr="006D62F8">
              <w:rPr>
                <w:sz w:val="20"/>
                <w:szCs w:val="20"/>
              </w:rPr>
              <w:t>3.38</w:t>
            </w:r>
          </w:p>
        </w:tc>
        <w:tc>
          <w:tcPr>
            <w:tcW w:w="1664" w:type="dxa"/>
            <w:noWrap/>
            <w:hideMark/>
          </w:tcPr>
          <w:p w14:paraId="2D2E4820" w14:textId="77777777" w:rsidR="0025680B" w:rsidRPr="006D62F8" w:rsidRDefault="0025680B" w:rsidP="00A40E0B">
            <w:pPr>
              <w:jc w:val="center"/>
              <w:rPr>
                <w:sz w:val="20"/>
                <w:szCs w:val="20"/>
              </w:rPr>
            </w:pPr>
            <w:r w:rsidRPr="006D62F8">
              <w:rPr>
                <w:sz w:val="20"/>
                <w:szCs w:val="20"/>
              </w:rPr>
              <w:t>0.63-62.8</w:t>
            </w:r>
          </w:p>
        </w:tc>
        <w:tc>
          <w:tcPr>
            <w:tcW w:w="1060" w:type="dxa"/>
            <w:noWrap/>
            <w:hideMark/>
          </w:tcPr>
          <w:p w14:paraId="6391D050" w14:textId="77777777" w:rsidR="0025680B" w:rsidRPr="006D62F8" w:rsidRDefault="0025680B" w:rsidP="00A40E0B">
            <w:pPr>
              <w:jc w:val="center"/>
              <w:rPr>
                <w:sz w:val="20"/>
                <w:szCs w:val="20"/>
              </w:rPr>
            </w:pPr>
            <w:r w:rsidRPr="006D62F8">
              <w:rPr>
                <w:sz w:val="20"/>
                <w:szCs w:val="20"/>
              </w:rPr>
              <w:t>0.251</w:t>
            </w:r>
          </w:p>
        </w:tc>
      </w:tr>
      <w:tr w:rsidR="0025680B" w:rsidRPr="006D62F8" w14:paraId="27CA4BDA" w14:textId="77777777" w:rsidTr="00E90CA2">
        <w:trPr>
          <w:trHeight w:val="320"/>
        </w:trPr>
        <w:tc>
          <w:tcPr>
            <w:tcW w:w="2689" w:type="dxa"/>
            <w:noWrap/>
          </w:tcPr>
          <w:p w14:paraId="67D7DB57" w14:textId="5EE887C3" w:rsidR="0025680B" w:rsidRPr="006D62F8" w:rsidRDefault="0025680B" w:rsidP="0025680B">
            <w:pPr>
              <w:rPr>
                <w:sz w:val="20"/>
                <w:szCs w:val="20"/>
              </w:rPr>
            </w:pPr>
            <w:r w:rsidRPr="006D62F8">
              <w:rPr>
                <w:sz w:val="20"/>
                <w:szCs w:val="20"/>
              </w:rPr>
              <w:t>No. of Children (0)</w:t>
            </w:r>
          </w:p>
        </w:tc>
        <w:tc>
          <w:tcPr>
            <w:tcW w:w="1390" w:type="dxa"/>
          </w:tcPr>
          <w:p w14:paraId="5F067BCF" w14:textId="4DA559C8" w:rsidR="0025680B" w:rsidRPr="006D62F8" w:rsidRDefault="0025680B" w:rsidP="00A40E0B">
            <w:pPr>
              <w:jc w:val="center"/>
              <w:rPr>
                <w:sz w:val="20"/>
                <w:szCs w:val="20"/>
              </w:rPr>
            </w:pPr>
            <w:r w:rsidRPr="006D62F8">
              <w:rPr>
                <w:sz w:val="20"/>
                <w:szCs w:val="20"/>
              </w:rPr>
              <w:t>21 (53.8%)</w:t>
            </w:r>
          </w:p>
        </w:tc>
        <w:tc>
          <w:tcPr>
            <w:tcW w:w="1565" w:type="dxa"/>
          </w:tcPr>
          <w:p w14:paraId="16C8A0EC" w14:textId="5B722B64" w:rsidR="0025680B" w:rsidRPr="006D62F8" w:rsidRDefault="0025680B" w:rsidP="00A40E0B">
            <w:pPr>
              <w:jc w:val="center"/>
              <w:rPr>
                <w:sz w:val="20"/>
                <w:szCs w:val="20"/>
              </w:rPr>
            </w:pPr>
            <w:r w:rsidRPr="006D62F8">
              <w:rPr>
                <w:sz w:val="20"/>
                <w:szCs w:val="20"/>
              </w:rPr>
              <w:t>81 (60.0%)</w:t>
            </w:r>
          </w:p>
        </w:tc>
        <w:tc>
          <w:tcPr>
            <w:tcW w:w="642" w:type="dxa"/>
            <w:noWrap/>
          </w:tcPr>
          <w:p w14:paraId="29D246B7" w14:textId="19AD28D9" w:rsidR="0025680B" w:rsidRPr="006D62F8" w:rsidRDefault="0025680B" w:rsidP="00A40E0B">
            <w:pPr>
              <w:jc w:val="center"/>
              <w:rPr>
                <w:sz w:val="20"/>
                <w:szCs w:val="20"/>
              </w:rPr>
            </w:pPr>
            <w:r w:rsidRPr="006D62F8">
              <w:rPr>
                <w:sz w:val="20"/>
                <w:szCs w:val="20"/>
              </w:rPr>
              <w:t>REF</w:t>
            </w:r>
          </w:p>
        </w:tc>
        <w:tc>
          <w:tcPr>
            <w:tcW w:w="1664" w:type="dxa"/>
            <w:noWrap/>
          </w:tcPr>
          <w:p w14:paraId="02EFB12D" w14:textId="05EACC89" w:rsidR="0025680B" w:rsidRPr="006D62F8" w:rsidRDefault="006D62F8" w:rsidP="00A40E0B">
            <w:pPr>
              <w:jc w:val="center"/>
              <w:rPr>
                <w:sz w:val="20"/>
                <w:szCs w:val="20"/>
              </w:rPr>
            </w:pPr>
            <w:r w:rsidRPr="006D62F8">
              <w:rPr>
                <w:sz w:val="20"/>
                <w:szCs w:val="20"/>
              </w:rPr>
              <w:t>NA</w:t>
            </w:r>
          </w:p>
        </w:tc>
        <w:tc>
          <w:tcPr>
            <w:tcW w:w="1060" w:type="dxa"/>
            <w:noWrap/>
          </w:tcPr>
          <w:p w14:paraId="406CC4E5" w14:textId="1BB55EBE" w:rsidR="0025680B" w:rsidRPr="006D62F8" w:rsidRDefault="006D62F8" w:rsidP="00A40E0B">
            <w:pPr>
              <w:jc w:val="center"/>
              <w:rPr>
                <w:sz w:val="20"/>
                <w:szCs w:val="20"/>
              </w:rPr>
            </w:pPr>
            <w:r w:rsidRPr="006D62F8">
              <w:rPr>
                <w:sz w:val="20"/>
                <w:szCs w:val="20"/>
              </w:rPr>
              <w:t>NA</w:t>
            </w:r>
          </w:p>
        </w:tc>
      </w:tr>
      <w:tr w:rsidR="0025680B" w:rsidRPr="006D62F8" w14:paraId="798CB4F0" w14:textId="77777777" w:rsidTr="006D62F8">
        <w:trPr>
          <w:trHeight w:val="320"/>
        </w:trPr>
        <w:tc>
          <w:tcPr>
            <w:tcW w:w="2689" w:type="dxa"/>
            <w:noWrap/>
            <w:hideMark/>
          </w:tcPr>
          <w:p w14:paraId="4FA24D70" w14:textId="77777777" w:rsidR="0025680B" w:rsidRPr="006D62F8" w:rsidRDefault="0025680B" w:rsidP="0025680B">
            <w:pPr>
              <w:rPr>
                <w:sz w:val="20"/>
                <w:szCs w:val="20"/>
              </w:rPr>
            </w:pPr>
            <w:r w:rsidRPr="006D62F8">
              <w:rPr>
                <w:sz w:val="20"/>
                <w:szCs w:val="20"/>
              </w:rPr>
              <w:t>No. of Children (1-2)</w:t>
            </w:r>
          </w:p>
        </w:tc>
        <w:tc>
          <w:tcPr>
            <w:tcW w:w="1390" w:type="dxa"/>
          </w:tcPr>
          <w:p w14:paraId="33F166BF" w14:textId="46F0BE57" w:rsidR="0025680B" w:rsidRPr="006D62F8" w:rsidRDefault="0025680B" w:rsidP="00A40E0B">
            <w:pPr>
              <w:jc w:val="center"/>
              <w:rPr>
                <w:sz w:val="20"/>
                <w:szCs w:val="20"/>
              </w:rPr>
            </w:pPr>
            <w:r w:rsidRPr="006D62F8">
              <w:rPr>
                <w:sz w:val="20"/>
                <w:szCs w:val="20"/>
              </w:rPr>
              <w:t>15 (38.5%)</w:t>
            </w:r>
          </w:p>
        </w:tc>
        <w:tc>
          <w:tcPr>
            <w:tcW w:w="1565" w:type="dxa"/>
          </w:tcPr>
          <w:p w14:paraId="3C1FBB50" w14:textId="1CC2FB94" w:rsidR="0025680B" w:rsidRPr="006D62F8" w:rsidRDefault="0025680B" w:rsidP="00A40E0B">
            <w:pPr>
              <w:jc w:val="center"/>
              <w:rPr>
                <w:sz w:val="20"/>
                <w:szCs w:val="20"/>
              </w:rPr>
            </w:pPr>
            <w:r w:rsidRPr="006D62F8">
              <w:rPr>
                <w:sz w:val="20"/>
                <w:szCs w:val="20"/>
              </w:rPr>
              <w:t>44 (32.6%)</w:t>
            </w:r>
          </w:p>
        </w:tc>
        <w:tc>
          <w:tcPr>
            <w:tcW w:w="642" w:type="dxa"/>
            <w:noWrap/>
            <w:hideMark/>
          </w:tcPr>
          <w:p w14:paraId="2081A199" w14:textId="4928C523" w:rsidR="0025680B" w:rsidRPr="006D62F8" w:rsidRDefault="0025680B" w:rsidP="00A40E0B">
            <w:pPr>
              <w:jc w:val="center"/>
              <w:rPr>
                <w:sz w:val="20"/>
                <w:szCs w:val="20"/>
              </w:rPr>
            </w:pPr>
            <w:r w:rsidRPr="006D62F8">
              <w:rPr>
                <w:sz w:val="20"/>
                <w:szCs w:val="20"/>
              </w:rPr>
              <w:t>0.72</w:t>
            </w:r>
          </w:p>
        </w:tc>
        <w:tc>
          <w:tcPr>
            <w:tcW w:w="1664" w:type="dxa"/>
            <w:noWrap/>
            <w:hideMark/>
          </w:tcPr>
          <w:p w14:paraId="2821313E" w14:textId="77777777" w:rsidR="0025680B" w:rsidRPr="006D62F8" w:rsidRDefault="0025680B" w:rsidP="00A40E0B">
            <w:pPr>
              <w:jc w:val="center"/>
              <w:rPr>
                <w:sz w:val="20"/>
                <w:szCs w:val="20"/>
              </w:rPr>
            </w:pPr>
            <w:r w:rsidRPr="006D62F8">
              <w:rPr>
                <w:sz w:val="20"/>
                <w:szCs w:val="20"/>
              </w:rPr>
              <w:t>0.34-1.57</w:t>
            </w:r>
          </w:p>
        </w:tc>
        <w:tc>
          <w:tcPr>
            <w:tcW w:w="1060" w:type="dxa"/>
            <w:noWrap/>
            <w:hideMark/>
          </w:tcPr>
          <w:p w14:paraId="1C6AD604" w14:textId="77777777" w:rsidR="0025680B" w:rsidRPr="006D62F8" w:rsidRDefault="0025680B" w:rsidP="00A40E0B">
            <w:pPr>
              <w:jc w:val="center"/>
              <w:rPr>
                <w:sz w:val="20"/>
                <w:szCs w:val="20"/>
              </w:rPr>
            </w:pPr>
            <w:r w:rsidRPr="006D62F8">
              <w:rPr>
                <w:sz w:val="20"/>
                <w:szCs w:val="20"/>
              </w:rPr>
              <w:t>0.723</w:t>
            </w:r>
          </w:p>
        </w:tc>
      </w:tr>
      <w:tr w:rsidR="0025680B" w:rsidRPr="006D62F8" w14:paraId="1FD2DB39" w14:textId="77777777" w:rsidTr="006D62F8">
        <w:trPr>
          <w:trHeight w:val="320"/>
        </w:trPr>
        <w:tc>
          <w:tcPr>
            <w:tcW w:w="2689" w:type="dxa"/>
            <w:noWrap/>
            <w:hideMark/>
          </w:tcPr>
          <w:p w14:paraId="26064F41" w14:textId="77777777" w:rsidR="0025680B" w:rsidRPr="006D62F8" w:rsidRDefault="0025680B" w:rsidP="0025680B">
            <w:pPr>
              <w:rPr>
                <w:sz w:val="20"/>
                <w:szCs w:val="20"/>
              </w:rPr>
            </w:pPr>
            <w:r w:rsidRPr="006D62F8">
              <w:rPr>
                <w:sz w:val="20"/>
                <w:szCs w:val="20"/>
              </w:rPr>
              <w:t>No. of Children (3+)</w:t>
            </w:r>
          </w:p>
        </w:tc>
        <w:tc>
          <w:tcPr>
            <w:tcW w:w="1390" w:type="dxa"/>
          </w:tcPr>
          <w:p w14:paraId="3BE80E43" w14:textId="50F7A05A" w:rsidR="0025680B" w:rsidRPr="006D62F8" w:rsidRDefault="0025680B" w:rsidP="00A40E0B">
            <w:pPr>
              <w:jc w:val="center"/>
              <w:rPr>
                <w:sz w:val="20"/>
                <w:szCs w:val="20"/>
              </w:rPr>
            </w:pPr>
            <w:r w:rsidRPr="006D62F8">
              <w:rPr>
                <w:sz w:val="20"/>
                <w:szCs w:val="20"/>
              </w:rPr>
              <w:t>1 (2.6%)</w:t>
            </w:r>
          </w:p>
        </w:tc>
        <w:tc>
          <w:tcPr>
            <w:tcW w:w="1565" w:type="dxa"/>
          </w:tcPr>
          <w:p w14:paraId="49008B74" w14:textId="46CF8AEA" w:rsidR="0025680B" w:rsidRPr="006D62F8" w:rsidRDefault="0025680B" w:rsidP="00A40E0B">
            <w:pPr>
              <w:jc w:val="center"/>
              <w:rPr>
                <w:sz w:val="20"/>
                <w:szCs w:val="20"/>
              </w:rPr>
            </w:pPr>
            <w:r w:rsidRPr="006D62F8">
              <w:rPr>
                <w:sz w:val="20"/>
                <w:szCs w:val="20"/>
              </w:rPr>
              <w:t>6 (4.4%)</w:t>
            </w:r>
          </w:p>
        </w:tc>
        <w:tc>
          <w:tcPr>
            <w:tcW w:w="642" w:type="dxa"/>
            <w:noWrap/>
            <w:hideMark/>
          </w:tcPr>
          <w:p w14:paraId="5B1B3206" w14:textId="2861BF9C" w:rsidR="0025680B" w:rsidRPr="006D62F8" w:rsidRDefault="0025680B" w:rsidP="00A40E0B">
            <w:pPr>
              <w:jc w:val="center"/>
              <w:rPr>
                <w:sz w:val="20"/>
                <w:szCs w:val="20"/>
              </w:rPr>
            </w:pPr>
            <w:r w:rsidRPr="006D62F8">
              <w:rPr>
                <w:sz w:val="20"/>
                <w:szCs w:val="20"/>
              </w:rPr>
              <w:t>1.48</w:t>
            </w:r>
          </w:p>
        </w:tc>
        <w:tc>
          <w:tcPr>
            <w:tcW w:w="1664" w:type="dxa"/>
            <w:noWrap/>
            <w:hideMark/>
          </w:tcPr>
          <w:p w14:paraId="3D5AFFF9" w14:textId="77777777" w:rsidR="0025680B" w:rsidRPr="006D62F8" w:rsidRDefault="0025680B" w:rsidP="00A40E0B">
            <w:pPr>
              <w:jc w:val="center"/>
              <w:rPr>
                <w:sz w:val="20"/>
                <w:szCs w:val="20"/>
              </w:rPr>
            </w:pPr>
            <w:r w:rsidRPr="006D62F8">
              <w:rPr>
                <w:sz w:val="20"/>
                <w:szCs w:val="20"/>
              </w:rPr>
              <w:t>0.23-28.81</w:t>
            </w:r>
          </w:p>
        </w:tc>
        <w:tc>
          <w:tcPr>
            <w:tcW w:w="1060" w:type="dxa"/>
            <w:noWrap/>
            <w:hideMark/>
          </w:tcPr>
          <w:p w14:paraId="671ACD98" w14:textId="77777777" w:rsidR="0025680B" w:rsidRPr="006D62F8" w:rsidRDefault="0025680B" w:rsidP="00A40E0B">
            <w:pPr>
              <w:jc w:val="center"/>
              <w:rPr>
                <w:sz w:val="20"/>
                <w:szCs w:val="20"/>
              </w:rPr>
            </w:pPr>
            <w:r w:rsidRPr="006D62F8">
              <w:rPr>
                <w:sz w:val="20"/>
                <w:szCs w:val="20"/>
              </w:rPr>
              <w:t>0.408</w:t>
            </w:r>
          </w:p>
        </w:tc>
      </w:tr>
    </w:tbl>
    <w:p w14:paraId="7730DFFD" w14:textId="101B6878" w:rsidR="00703235" w:rsidRPr="002229D1" w:rsidRDefault="006D62F8" w:rsidP="002229D1">
      <w:pPr>
        <w:spacing w:line="480" w:lineRule="auto"/>
        <w:rPr>
          <w:sz w:val="18"/>
          <w:szCs w:val="18"/>
        </w:rPr>
      </w:pPr>
      <w:r w:rsidRPr="002229D1">
        <w:rPr>
          <w:sz w:val="18"/>
          <w:szCs w:val="18"/>
        </w:rPr>
        <w:t>OR odds ratio; CI confidence interval</w:t>
      </w:r>
    </w:p>
    <w:p w14:paraId="3759C1A9" w14:textId="77777777" w:rsidR="00F75D88" w:rsidRDefault="00F75D88" w:rsidP="002229D1">
      <w:pPr>
        <w:spacing w:line="480" w:lineRule="auto"/>
        <w:rPr>
          <w:b/>
          <w:bCs/>
          <w:u w:val="single"/>
        </w:rPr>
      </w:pPr>
    </w:p>
    <w:p w14:paraId="58007848" w14:textId="3E7C085E" w:rsidR="00703235" w:rsidRDefault="00703235" w:rsidP="002229D1">
      <w:pPr>
        <w:spacing w:line="480" w:lineRule="auto"/>
        <w:rPr>
          <w:b/>
          <w:bCs/>
          <w:u w:val="single"/>
        </w:rPr>
      </w:pPr>
      <w:r>
        <w:rPr>
          <w:b/>
          <w:bCs/>
          <w:u w:val="single"/>
        </w:rPr>
        <w:t>Discussion</w:t>
      </w:r>
    </w:p>
    <w:p w14:paraId="25134E94" w14:textId="77777777" w:rsidR="00703235" w:rsidRDefault="00703235" w:rsidP="002229D1">
      <w:pPr>
        <w:spacing w:line="480" w:lineRule="auto"/>
        <w:rPr>
          <w:b/>
          <w:bCs/>
          <w:u w:val="single"/>
        </w:rPr>
      </w:pPr>
    </w:p>
    <w:p w14:paraId="729E0B90" w14:textId="28C7FAD3" w:rsidR="00647ABB" w:rsidRDefault="00703235" w:rsidP="002229D1">
      <w:pPr>
        <w:spacing w:line="480" w:lineRule="auto"/>
      </w:pPr>
      <w:r w:rsidRPr="00F9795D">
        <w:t xml:space="preserve">This is one of the first studies </w:t>
      </w:r>
      <w:r w:rsidR="00573C01">
        <w:t xml:space="preserve">to address </w:t>
      </w:r>
      <w:r>
        <w:t xml:space="preserve">attitudes towards technology-mediated reporting of illness and </w:t>
      </w:r>
      <w:r w:rsidRPr="00F9795D">
        <w:t xml:space="preserve">provision </w:t>
      </w:r>
      <w:r w:rsidR="007048CC">
        <w:t xml:space="preserve">of stool samples in the UK. </w:t>
      </w:r>
      <w:r w:rsidR="00647ABB">
        <w:t>T</w:t>
      </w:r>
      <w:r>
        <w:t xml:space="preserve">he majority </w:t>
      </w:r>
      <w:r w:rsidR="00647ABB">
        <w:t xml:space="preserve">of respondents </w:t>
      </w:r>
      <w:r>
        <w:t xml:space="preserve">were either comfortable or very comfortable with reporting illness to a non-GP based online platform, and </w:t>
      </w:r>
      <w:r w:rsidR="00647ABB">
        <w:t>most</w:t>
      </w:r>
      <w:r>
        <w:t xml:space="preserve"> said they would provide a stool sample if they were asked for one. This is one of the first </w:t>
      </w:r>
      <w:r w:rsidR="00647ABB">
        <w:t>reports</w:t>
      </w:r>
      <w:r>
        <w:t xml:space="preserve"> of acceptability of stool sampling which is not directly related to a perceived </w:t>
      </w:r>
      <w:r>
        <w:lastRenderedPageBreak/>
        <w:t>personal health benefit (such as Faecal Occult Blood Testing – reported 94.5% acceptability) (</w:t>
      </w:r>
      <w:r w:rsidR="002370BB">
        <w:t>5</w:t>
      </w:r>
      <w:r>
        <w:t xml:space="preserve">). </w:t>
      </w:r>
    </w:p>
    <w:p w14:paraId="792EA8A9" w14:textId="77777777" w:rsidR="00647ABB" w:rsidRDefault="00647ABB" w:rsidP="002229D1">
      <w:pPr>
        <w:spacing w:line="480" w:lineRule="auto"/>
      </w:pPr>
    </w:p>
    <w:p w14:paraId="2F8751F1" w14:textId="09121E1E" w:rsidR="00703235" w:rsidRDefault="00801903" w:rsidP="002229D1">
      <w:pPr>
        <w:spacing w:line="480" w:lineRule="auto"/>
      </w:pPr>
      <w:r>
        <w:t>While t</w:t>
      </w:r>
      <w:r w:rsidR="00703235">
        <w:t xml:space="preserve">hose who said they </w:t>
      </w:r>
      <w:r w:rsidR="00647ABB">
        <w:t xml:space="preserve">would </w:t>
      </w:r>
      <w:r w:rsidR="00703235">
        <w:t>refuse</w:t>
      </w:r>
      <w:r w:rsidR="00647ABB">
        <w:t xml:space="preserve"> to provide a sample</w:t>
      </w:r>
      <w:r w:rsidR="00703235">
        <w:t xml:space="preserve"> indicated that their main reason for doing so would be due to the </w:t>
      </w:r>
      <w:r w:rsidR="008C4529">
        <w:t>‘</w:t>
      </w:r>
      <w:r w:rsidR="00703235">
        <w:t>unpleasantness of stool collection</w:t>
      </w:r>
      <w:r w:rsidR="008C4529">
        <w:t>’</w:t>
      </w:r>
      <w:r w:rsidR="00703235">
        <w:t xml:space="preserve">, which </w:t>
      </w:r>
      <w:r>
        <w:t xml:space="preserve">is </w:t>
      </w:r>
      <w:r w:rsidR="00647ABB">
        <w:t xml:space="preserve">a </w:t>
      </w:r>
      <w:r w:rsidR="00703235">
        <w:t xml:space="preserve">more </w:t>
      </w:r>
      <w:r w:rsidR="00647ABB">
        <w:t>common reason</w:t>
      </w:r>
      <w:r w:rsidR="00A97A68">
        <w:t xml:space="preserve"> </w:t>
      </w:r>
      <w:r w:rsidR="00703235">
        <w:t>than previous</w:t>
      </w:r>
      <w:r w:rsidR="00647ABB">
        <w:t>ly</w:t>
      </w:r>
      <w:r w:rsidR="00703235">
        <w:t xml:space="preserve"> reported (</w:t>
      </w:r>
      <w:r w:rsidR="002370BB">
        <w:t>5</w:t>
      </w:r>
      <w:r w:rsidR="00703235">
        <w:t xml:space="preserve">, </w:t>
      </w:r>
      <w:r w:rsidR="002370BB">
        <w:t>7</w:t>
      </w:r>
      <w:r w:rsidR="00703235">
        <w:t xml:space="preserve">, </w:t>
      </w:r>
      <w:r w:rsidR="002370BB">
        <w:t>8</w:t>
      </w:r>
      <w:r w:rsidR="00703235">
        <w:t>)</w:t>
      </w:r>
      <w:r>
        <w:t>, it was interesting to note the overall high degree of acceptability.</w:t>
      </w:r>
      <w:r w:rsidR="00703235">
        <w:t xml:space="preserve"> </w:t>
      </w:r>
      <w:r w:rsidR="00647ABB">
        <w:t>T</w:t>
      </w:r>
      <w:r w:rsidR="00703235">
        <w:t xml:space="preserve">here may be several explanations for </w:t>
      </w:r>
      <w:r w:rsidR="00A97A68">
        <w:t xml:space="preserve">these </w:t>
      </w:r>
      <w:r w:rsidR="002179DD">
        <w:t>findings</w:t>
      </w:r>
      <w:r w:rsidR="0010639C">
        <w:t xml:space="preserve">. </w:t>
      </w:r>
      <w:r w:rsidR="00703235">
        <w:t>Firstly, our sample was</w:t>
      </w:r>
      <w:r w:rsidR="00BE2DC5">
        <w:t xml:space="preserve"> small and</w:t>
      </w:r>
      <w:r w:rsidR="00703235">
        <w:t xml:space="preserve"> skewed towards more affluent and educated participants, who are generally considered to be more engaged with research.</w:t>
      </w:r>
      <w:r w:rsidR="006B4EEA">
        <w:t xml:space="preserve"> This is likely because the survey was </w:t>
      </w:r>
      <w:r w:rsidR="007048CC">
        <w:t>advertised on</w:t>
      </w:r>
      <w:r w:rsidR="006B4EEA">
        <w:t xml:space="preserve"> university networks.</w:t>
      </w:r>
      <w:r w:rsidR="00703235">
        <w:t xml:space="preserve"> Secondly, opinion may have been influenced due to our survey being open during the COVID-19 pandemic. This may be due to the population’s new familiarity with general testing procedures </w:t>
      </w:r>
      <w:r w:rsidR="001224E7">
        <w:t>and receipt</w:t>
      </w:r>
      <w:r w:rsidR="00703235">
        <w:t xml:space="preserve"> of results, as well as awareness of microbes and infectious disease. There is further support for this in our findings regarding participants’ motivations to provide a sample or factors which may change their mind, with the commonest answer being </w:t>
      </w:r>
      <w:r w:rsidR="008C4529">
        <w:t>‘</w:t>
      </w:r>
      <w:r w:rsidR="00703235">
        <w:t>b</w:t>
      </w:r>
      <w:r w:rsidR="007048CC">
        <w:t>eing provided with a diagnosis</w:t>
      </w:r>
      <w:r w:rsidR="00703235">
        <w:t xml:space="preserve"> of causative microbes</w:t>
      </w:r>
      <w:r w:rsidR="008C4529">
        <w:t>’</w:t>
      </w:r>
      <w:r w:rsidR="00A97A68">
        <w:t xml:space="preserve">, </w:t>
      </w:r>
      <w:r w:rsidR="00703235">
        <w:t xml:space="preserve">and almost all indicating they would like more information about the organisms </w:t>
      </w:r>
      <w:r w:rsidR="007048CC">
        <w:t xml:space="preserve">detected </w:t>
      </w:r>
      <w:r w:rsidR="00703235">
        <w:t xml:space="preserve">in their </w:t>
      </w:r>
      <w:r w:rsidR="007048CC">
        <w:t>stool</w:t>
      </w:r>
      <w:r w:rsidR="00703235">
        <w:t xml:space="preserve">. </w:t>
      </w:r>
      <w:r w:rsidR="00647ABB">
        <w:t xml:space="preserve">Regardless </w:t>
      </w:r>
      <w:r w:rsidR="001224E7">
        <w:t>of whether</w:t>
      </w:r>
      <w:r w:rsidR="00703235">
        <w:t xml:space="preserve"> this attitude was influenced by COVID-</w:t>
      </w:r>
      <w:r w:rsidR="001224E7">
        <w:t>19, this</w:t>
      </w:r>
      <w:r w:rsidR="00703235">
        <w:t xml:space="preserve"> strongly suggests that </w:t>
      </w:r>
      <w:r w:rsidR="00F3636B">
        <w:t xml:space="preserve">the </w:t>
      </w:r>
      <w:r w:rsidR="00703235">
        <w:t xml:space="preserve">inclusion of a ‘test result and associated information’ feature would be beneficial in any future online service. It is also evident that we have accessed a </w:t>
      </w:r>
      <w:r w:rsidR="00647ABB">
        <w:t>population</w:t>
      </w:r>
      <w:r w:rsidR="00703235">
        <w:t xml:space="preserve"> </w:t>
      </w:r>
      <w:r w:rsidR="00F3636B">
        <w:t xml:space="preserve">that </w:t>
      </w:r>
      <w:r w:rsidR="00703235">
        <w:t>is technologically inclined, with all participants owning a smartphone and the majority accessing their GP online for at least one service. This is likely to make this sample more trusting of technological platforms</w:t>
      </w:r>
      <w:r w:rsidR="00BE2DC5">
        <w:t xml:space="preserve"> and not generalisable to the wider population</w:t>
      </w:r>
      <w:r w:rsidR="00703235">
        <w:t>.</w:t>
      </w:r>
    </w:p>
    <w:p w14:paraId="755F6643" w14:textId="77777777" w:rsidR="00703235" w:rsidRDefault="00703235" w:rsidP="002229D1">
      <w:pPr>
        <w:spacing w:line="480" w:lineRule="auto"/>
      </w:pPr>
    </w:p>
    <w:p w14:paraId="67E2FEC4" w14:textId="41755BCC" w:rsidR="00703235" w:rsidRDefault="00703235" w:rsidP="002229D1">
      <w:pPr>
        <w:spacing w:line="480" w:lineRule="auto"/>
      </w:pPr>
      <w:r>
        <w:lastRenderedPageBreak/>
        <w:t xml:space="preserve">The sample was not </w:t>
      </w:r>
      <w:r w:rsidR="007048CC">
        <w:t xml:space="preserve">entirely </w:t>
      </w:r>
      <w:r>
        <w:t xml:space="preserve">representative of the </w:t>
      </w:r>
      <w:r w:rsidR="00CB7FC4">
        <w:t xml:space="preserve">population of the Liverpool City </w:t>
      </w:r>
      <w:r w:rsidR="00F3636B">
        <w:t>Region</w:t>
      </w:r>
      <w:r>
        <w:t xml:space="preserve">. The most underrepresented groups those of more deprived background (based on educational attainment and income), and those older than 65. </w:t>
      </w:r>
      <w:r w:rsidR="00CB7FC4">
        <w:t>There w</w:t>
      </w:r>
      <w:r w:rsidR="00647ABB">
        <w:t>ere</w:t>
      </w:r>
      <w:r w:rsidR="00CB7FC4">
        <w:t xml:space="preserve"> </w:t>
      </w:r>
      <w:r w:rsidR="00647ABB">
        <w:t>fewer</w:t>
      </w:r>
      <w:r w:rsidR="00CB7FC4">
        <w:t xml:space="preserve"> responses from those identifying as males </w:t>
      </w:r>
      <w:r w:rsidR="00F71053">
        <w:t xml:space="preserve">compared to </w:t>
      </w:r>
      <w:r w:rsidR="00CB7FC4">
        <w:t xml:space="preserve">females. </w:t>
      </w:r>
      <w:r w:rsidR="00647ABB">
        <w:t>Since</w:t>
      </w:r>
      <w:r>
        <w:t xml:space="preserve"> this survey was circulated via online means only, due to the restrictions of the COVID-19 pandemic, older populations were </w:t>
      </w:r>
      <w:r w:rsidR="00647ABB">
        <w:t xml:space="preserve">likely </w:t>
      </w:r>
      <w:r>
        <w:t xml:space="preserve">not </w:t>
      </w:r>
      <w:r w:rsidR="00647ABB">
        <w:t xml:space="preserve">as </w:t>
      </w:r>
      <w:r>
        <w:t>well accessed. It has been repeatedly reported that acceptance of online technology (</w:t>
      </w:r>
      <w:r w:rsidR="00C70E06">
        <w:t>19</w:t>
      </w:r>
      <w:r>
        <w:t>) and engagement with online health services, such as accessing GPs, declines sharply in the oldest age groups (</w:t>
      </w:r>
      <w:r w:rsidR="00C70E06">
        <w:t>20</w:t>
      </w:r>
      <w:r>
        <w:t xml:space="preserve">, </w:t>
      </w:r>
      <w:r w:rsidR="00C70E06">
        <w:t>21</w:t>
      </w:r>
      <w:r>
        <w:t xml:space="preserve">). </w:t>
      </w:r>
      <w:r w:rsidR="0010639C">
        <w:t xml:space="preserve">The method of distribution also likely explains why all participants owned a smartphone. </w:t>
      </w:r>
      <w:r>
        <w:t xml:space="preserve">However, it could be argued that this reflects the benefits of the proposed online service. We know </w:t>
      </w:r>
      <w:r w:rsidR="00F71053">
        <w:t xml:space="preserve">that </w:t>
      </w:r>
      <w:r>
        <w:t xml:space="preserve">reporting episodes of IID to </w:t>
      </w:r>
      <w:r w:rsidR="00F71053">
        <w:t xml:space="preserve">the </w:t>
      </w:r>
      <w:r>
        <w:t xml:space="preserve">GP </w:t>
      </w:r>
      <w:r w:rsidR="00F71053">
        <w:t xml:space="preserve">is rare </w:t>
      </w:r>
      <w:r>
        <w:t xml:space="preserve">(1), </w:t>
      </w:r>
      <w:r w:rsidR="00647ABB">
        <w:t>but</w:t>
      </w:r>
      <w:r>
        <w:t xml:space="preserve"> that older age groups are more likely to report directly to their GP when they experience bouts of IID. This suggests that an online service </w:t>
      </w:r>
      <w:r w:rsidR="007048CC">
        <w:t>could</w:t>
      </w:r>
      <w:r>
        <w:t xml:space="preserve"> ‘catch’ the infections we usually miss, </w:t>
      </w:r>
      <w:r w:rsidR="00F71053">
        <w:t xml:space="preserve">particularly </w:t>
      </w:r>
      <w:r>
        <w:t xml:space="preserve">those </w:t>
      </w:r>
      <w:r w:rsidR="00F71053">
        <w:t xml:space="preserve">that are self-limiting </w:t>
      </w:r>
      <w:r w:rsidR="00801903">
        <w:t>(</w:t>
      </w:r>
      <w:r w:rsidR="00B66BA8">
        <w:t xml:space="preserve">e.g. </w:t>
      </w:r>
      <w:r w:rsidR="00801903">
        <w:t xml:space="preserve">resolved without treatment) </w:t>
      </w:r>
      <w:r w:rsidR="00F71053">
        <w:t>in the</w:t>
      </w:r>
      <w:r>
        <w:t xml:space="preserve"> younger population. This could indicate an opportunity to </w:t>
      </w:r>
      <w:r w:rsidR="00F71053">
        <w:t>identify a</w:t>
      </w:r>
      <w:r>
        <w:t xml:space="preserve"> proportion of IID </w:t>
      </w:r>
      <w:r w:rsidR="00F71053">
        <w:t>which normally goes</w:t>
      </w:r>
      <w:r>
        <w:t xml:space="preserve"> unreported. </w:t>
      </w:r>
      <w:r w:rsidR="00165FF2">
        <w:t xml:space="preserve">However, </w:t>
      </w:r>
      <w:r>
        <w:t xml:space="preserve">socioeconomic factors may </w:t>
      </w:r>
      <w:r w:rsidR="00CB7FC4">
        <w:t>influence</w:t>
      </w:r>
      <w:r>
        <w:t xml:space="preserve"> the acceptability of the stool sampling process indicated in the younger age groups sampled</w:t>
      </w:r>
      <w:r w:rsidR="00165FF2">
        <w:t>;</w:t>
      </w:r>
      <w:r>
        <w:t xml:space="preserve"> </w:t>
      </w:r>
      <w:r w:rsidR="00165FF2">
        <w:t>d</w:t>
      </w:r>
      <w:r>
        <w:t>eprivation gradients have been observed with engagement with online health services, such as appointment booking in general practice (</w:t>
      </w:r>
      <w:r w:rsidR="00C70E06">
        <w:t>20</w:t>
      </w:r>
      <w:r>
        <w:t>).</w:t>
      </w:r>
    </w:p>
    <w:p w14:paraId="0A548ABC" w14:textId="77777777" w:rsidR="00703235" w:rsidRDefault="00703235" w:rsidP="002229D1">
      <w:pPr>
        <w:spacing w:line="480" w:lineRule="auto"/>
      </w:pPr>
    </w:p>
    <w:p w14:paraId="685B067E" w14:textId="371BC84A" w:rsidR="00703235" w:rsidRDefault="00703235" w:rsidP="002229D1">
      <w:pPr>
        <w:spacing w:line="480" w:lineRule="auto"/>
      </w:pPr>
      <w:r>
        <w:t xml:space="preserve">It is widely accepted that those who are less socioeconomically deprived and those with higher educational attainment tend to benefit from better health and health awareness than the majority of the population. This should influence future consideration of introducing a technology-mediated IID reporting and stool sampling service, as the overall </w:t>
      </w:r>
      <w:r>
        <w:lastRenderedPageBreak/>
        <w:t>benefit of developing such a service may be reduced if it only succeeds in engaging with these groups</w:t>
      </w:r>
      <w:r w:rsidR="00B66BA8" w:rsidRPr="00B66BA8">
        <w:t xml:space="preserve"> who are already adept at accessing health services</w:t>
      </w:r>
      <w:r>
        <w:t>.</w:t>
      </w:r>
    </w:p>
    <w:p w14:paraId="0714F275" w14:textId="77777777" w:rsidR="00703235" w:rsidRDefault="00703235" w:rsidP="002229D1">
      <w:pPr>
        <w:spacing w:line="480" w:lineRule="auto"/>
      </w:pPr>
    </w:p>
    <w:p w14:paraId="49A62E72" w14:textId="77777777" w:rsidR="00703235" w:rsidRPr="00E410DD" w:rsidRDefault="00703235" w:rsidP="002229D1">
      <w:pPr>
        <w:spacing w:line="480" w:lineRule="auto"/>
        <w:rPr>
          <w:b/>
          <w:bCs/>
        </w:rPr>
      </w:pPr>
      <w:r w:rsidRPr="00E410DD">
        <w:rPr>
          <w:b/>
          <w:bCs/>
        </w:rPr>
        <w:t>Strengths and Limitations of the study</w:t>
      </w:r>
    </w:p>
    <w:p w14:paraId="0750B13F" w14:textId="77777777" w:rsidR="00703235" w:rsidRDefault="00703235" w:rsidP="002229D1">
      <w:pPr>
        <w:spacing w:line="480" w:lineRule="auto"/>
      </w:pPr>
    </w:p>
    <w:p w14:paraId="3DAC6B98" w14:textId="3D753B5E" w:rsidR="00703235" w:rsidRDefault="00703235" w:rsidP="002229D1">
      <w:pPr>
        <w:spacing w:line="480" w:lineRule="auto"/>
      </w:pPr>
      <w:r>
        <w:t>Given that the survey aim</w:t>
      </w:r>
      <w:r w:rsidR="00BC19E5">
        <w:t>ed</w:t>
      </w:r>
      <w:r>
        <w:t xml:space="preserve"> </w:t>
      </w:r>
      <w:r w:rsidR="003851AE">
        <w:t>to</w:t>
      </w:r>
      <w:r>
        <w:t xml:space="preserve"> represent the Merseyside region, the demographics of the sample strongly suggest that distribution methods require addressing in future work. One factor was the absence of active or in-person collection methods, which is likely to have returned more representative data. However, more careful targeting is required for optimal results (</w:t>
      </w:r>
      <w:r w:rsidR="00C70E06">
        <w:t>22</w:t>
      </w:r>
      <w:r>
        <w:t xml:space="preserve">). </w:t>
      </w:r>
      <w:r w:rsidR="00B66BA8">
        <w:t>Our</w:t>
      </w:r>
      <w:r w:rsidR="007048CC">
        <w:t xml:space="preserve"> institute</w:t>
      </w:r>
      <w:r w:rsidR="00B66BA8">
        <w:t xml:space="preserve"> PPI panel has suggested this </w:t>
      </w:r>
      <w:r>
        <w:t xml:space="preserve">could </w:t>
      </w:r>
      <w:r w:rsidR="00B66BA8">
        <w:t xml:space="preserve">be </w:t>
      </w:r>
      <w:r>
        <w:t>achieved by organising focus groups, recruiting from local amateur sports clubs</w:t>
      </w:r>
      <w:r w:rsidR="00B66BA8">
        <w:t>,</w:t>
      </w:r>
      <w:r w:rsidR="00B66BA8" w:rsidRPr="00B66BA8">
        <w:t xml:space="preserve"> </w:t>
      </w:r>
      <w:r w:rsidR="00B66BA8">
        <w:t>b</w:t>
      </w:r>
      <w:r w:rsidR="00B66BA8" w:rsidRPr="00B66BA8">
        <w:t>reakfast clubs, veteran’s</w:t>
      </w:r>
      <w:r w:rsidR="00B66BA8">
        <w:t xml:space="preserve"> organisations, faith groups</w:t>
      </w:r>
      <w:r w:rsidR="00B66BA8" w:rsidRPr="00B66BA8">
        <w:t>, food banks, housing offices</w:t>
      </w:r>
      <w:r w:rsidR="00B66BA8">
        <w:t xml:space="preserve"> and</w:t>
      </w:r>
      <w:r>
        <w:t xml:space="preserve"> public houses, for example. </w:t>
      </w:r>
      <w:r w:rsidR="007048CC">
        <w:t>They could</w:t>
      </w:r>
      <w:r>
        <w:t xml:space="preserve"> </w:t>
      </w:r>
      <w:r w:rsidR="00BC19E5">
        <w:t>contribute to</w:t>
      </w:r>
      <w:r>
        <w:t xml:space="preserve"> the design of the questionnaire, specify preferred methods of engagement, or </w:t>
      </w:r>
      <w:r w:rsidR="00BC19E5">
        <w:t>suggest more appropriate</w:t>
      </w:r>
      <w:r>
        <w:t xml:space="preserve"> distribution methods</w:t>
      </w:r>
      <w:r w:rsidR="00BC19E5">
        <w:t>.</w:t>
      </w:r>
    </w:p>
    <w:p w14:paraId="1AA8786B" w14:textId="77777777" w:rsidR="00703235" w:rsidRDefault="00703235" w:rsidP="002229D1">
      <w:pPr>
        <w:spacing w:line="480" w:lineRule="auto"/>
      </w:pPr>
    </w:p>
    <w:p w14:paraId="4C205E50" w14:textId="4491B3C1" w:rsidR="00703235" w:rsidRDefault="00F3636B" w:rsidP="002229D1">
      <w:pPr>
        <w:spacing w:line="480" w:lineRule="auto"/>
      </w:pPr>
      <w:r>
        <w:t>A g</w:t>
      </w:r>
      <w:r w:rsidR="00703235">
        <w:t>reater sample size would have been desirable to allow for</w:t>
      </w:r>
      <w:r>
        <w:t xml:space="preserve"> </w:t>
      </w:r>
      <w:r w:rsidR="00703235">
        <w:t>more advanced statistical analysis of the survey results</w:t>
      </w:r>
      <w:r w:rsidR="008404F2">
        <w:t>. M</w:t>
      </w:r>
      <w:r w:rsidR="008404F2" w:rsidRPr="008404F2">
        <w:t xml:space="preserve">ultivariable analysis </w:t>
      </w:r>
      <w:r w:rsidR="008404F2">
        <w:t xml:space="preserve">of </w:t>
      </w:r>
      <w:r w:rsidR="006D62F8">
        <w:t xml:space="preserve">demographic variables in relation to </w:t>
      </w:r>
      <w:r w:rsidR="008404F2">
        <w:t>provid</w:t>
      </w:r>
      <w:r w:rsidR="006D62F8">
        <w:t>ing a</w:t>
      </w:r>
      <w:r w:rsidR="008404F2">
        <w:t xml:space="preserve"> stool sample </w:t>
      </w:r>
      <w:r w:rsidR="008404F2" w:rsidRPr="008404F2">
        <w:t>was intended</w:t>
      </w:r>
      <w:r w:rsidR="006D62F8">
        <w:t>.</w:t>
      </w:r>
      <w:r w:rsidR="008404F2" w:rsidRPr="008404F2">
        <w:t xml:space="preserve"> </w:t>
      </w:r>
      <w:r w:rsidR="006D62F8">
        <w:t>H</w:t>
      </w:r>
      <w:r w:rsidR="008404F2" w:rsidRPr="008404F2">
        <w:t>owever</w:t>
      </w:r>
      <w:r w:rsidR="006D62F8">
        <w:t>,</w:t>
      </w:r>
      <w:r w:rsidR="008404F2" w:rsidRPr="008404F2">
        <w:t xml:space="preserve"> this assum</w:t>
      </w:r>
      <w:r w:rsidR="006D62F8">
        <w:t>ed</w:t>
      </w:r>
      <w:r w:rsidR="008404F2" w:rsidRPr="008404F2">
        <w:t xml:space="preserve"> a 50/50 split </w:t>
      </w:r>
      <w:r w:rsidR="006D62F8">
        <w:t>for the</w:t>
      </w:r>
      <w:r w:rsidR="008404F2" w:rsidRPr="008404F2">
        <w:t xml:space="preserve"> stool sampling response.</w:t>
      </w:r>
      <w:r w:rsidR="008404F2">
        <w:t xml:space="preserve"> This may have </w:t>
      </w:r>
      <w:r>
        <w:t>enabled identification</w:t>
      </w:r>
      <w:r w:rsidR="008404F2">
        <w:t xml:space="preserve"> of adjusted,</w:t>
      </w:r>
      <w:r w:rsidR="00703235">
        <w:t xml:space="preserve"> significant contributing factors to the main outcome variable. </w:t>
      </w:r>
      <w:r w:rsidR="00AA0EE5">
        <w:t>Advertising and active collection of survey responses in public spaces had also initially been intended, however, the</w:t>
      </w:r>
      <w:r w:rsidR="00BB50A9">
        <w:t xml:space="preserve"> study coincided with national and regional COVID-19 population lockdowns,</w:t>
      </w:r>
      <w:r w:rsidR="00AA0EE5">
        <w:t xml:space="preserve"> </w:t>
      </w:r>
      <w:r w:rsidR="00BB50A9">
        <w:t>which</w:t>
      </w:r>
      <w:r w:rsidR="00AA0EE5">
        <w:t xml:space="preserve"> hindered the survey being shared in this fashion. </w:t>
      </w:r>
      <w:r w:rsidR="00703235">
        <w:t xml:space="preserve">This could be </w:t>
      </w:r>
      <w:r w:rsidR="00B66BA8">
        <w:t xml:space="preserve">remedied </w:t>
      </w:r>
      <w:r w:rsidR="00703235">
        <w:t xml:space="preserve">in future studies by keeping the </w:t>
      </w:r>
      <w:r w:rsidR="00703235">
        <w:lastRenderedPageBreak/>
        <w:t xml:space="preserve">survey open for longer and distributing the survey through more varied and targeted means, as aforementioned. </w:t>
      </w:r>
    </w:p>
    <w:p w14:paraId="10CEFACF" w14:textId="77777777" w:rsidR="00703235" w:rsidRDefault="00703235" w:rsidP="002229D1">
      <w:pPr>
        <w:spacing w:line="480" w:lineRule="auto"/>
      </w:pPr>
    </w:p>
    <w:p w14:paraId="6F787F35" w14:textId="3E24D3BC" w:rsidR="00703235" w:rsidRDefault="00703235" w:rsidP="002229D1">
      <w:pPr>
        <w:spacing w:line="480" w:lineRule="auto"/>
      </w:pPr>
      <w:r>
        <w:t>When considering engagement from the participants, the N value remained fairly consistent throughout the survey (where all participants were expected to respond). This suggest</w:t>
      </w:r>
      <w:r w:rsidR="00A97A68">
        <w:t>s</w:t>
      </w:r>
      <w:r>
        <w:t xml:space="preserve"> that the survey was designed in a way that encouraged full and complete responses, chiefly in its length. Finally, although the method of distribution hindered the study in some respects, it was likely the most situationally appropriate method that could have been used at the time, given the ongoing pandemic-related restrictions.</w:t>
      </w:r>
    </w:p>
    <w:p w14:paraId="7CB5144E" w14:textId="77777777" w:rsidR="00703235" w:rsidRDefault="00703235" w:rsidP="002229D1">
      <w:pPr>
        <w:spacing w:line="480" w:lineRule="auto"/>
      </w:pPr>
    </w:p>
    <w:p w14:paraId="49D8DE82" w14:textId="77777777" w:rsidR="00703235" w:rsidRPr="002229D1" w:rsidRDefault="00703235" w:rsidP="002229D1">
      <w:pPr>
        <w:spacing w:line="480" w:lineRule="auto"/>
        <w:rPr>
          <w:b/>
          <w:bCs/>
          <w:u w:val="single"/>
        </w:rPr>
      </w:pPr>
      <w:r w:rsidRPr="002229D1">
        <w:rPr>
          <w:b/>
          <w:bCs/>
          <w:u w:val="single"/>
        </w:rPr>
        <w:t>Conclusions</w:t>
      </w:r>
    </w:p>
    <w:p w14:paraId="1FDD09E7" w14:textId="77777777" w:rsidR="00703235" w:rsidRDefault="00703235" w:rsidP="002229D1">
      <w:pPr>
        <w:spacing w:line="480" w:lineRule="auto"/>
        <w:rPr>
          <w:b/>
          <w:bCs/>
        </w:rPr>
      </w:pPr>
    </w:p>
    <w:p w14:paraId="3AF70883" w14:textId="55B8C5E4" w:rsidR="00CB7FC4" w:rsidRDefault="00CB7FC4" w:rsidP="002229D1">
      <w:pPr>
        <w:spacing w:line="480" w:lineRule="auto"/>
      </w:pPr>
      <w:r w:rsidRPr="00745400">
        <w:t xml:space="preserve">In a </w:t>
      </w:r>
      <w:r w:rsidR="00BE2DC5">
        <w:t xml:space="preserve">small </w:t>
      </w:r>
      <w:r w:rsidRPr="00745400">
        <w:t xml:space="preserve">sample that was under-representative of some key </w:t>
      </w:r>
      <w:r>
        <w:t xml:space="preserve">demographic </w:t>
      </w:r>
      <w:r w:rsidRPr="00745400">
        <w:t xml:space="preserve">groups, the study found </w:t>
      </w:r>
      <w:r w:rsidR="00A73062">
        <w:t xml:space="preserve">a </w:t>
      </w:r>
      <w:r w:rsidR="003851AE">
        <w:t xml:space="preserve">high </w:t>
      </w:r>
      <w:r w:rsidR="003851AE" w:rsidRPr="00745400">
        <w:t>acceptability</w:t>
      </w:r>
      <w:r w:rsidRPr="00745400">
        <w:t xml:space="preserve"> </w:t>
      </w:r>
      <w:r w:rsidR="00A73062">
        <w:t xml:space="preserve">(78%) </w:t>
      </w:r>
      <w:r w:rsidRPr="00745400">
        <w:t xml:space="preserve">of a technology-mediated </w:t>
      </w:r>
      <w:r w:rsidR="00A2218A" w:rsidRPr="00745400">
        <w:t xml:space="preserve">community-based </w:t>
      </w:r>
      <w:r w:rsidR="00A2218A">
        <w:t>IID surveillance</w:t>
      </w:r>
      <w:r w:rsidR="00A2218A" w:rsidRPr="00745400">
        <w:t xml:space="preserve"> </w:t>
      </w:r>
      <w:r w:rsidR="00A2218A">
        <w:t>with patient</w:t>
      </w:r>
      <w:r w:rsidR="00B66BA8">
        <w:t>-</w:t>
      </w:r>
      <w:r w:rsidR="00A2218A">
        <w:t xml:space="preserve">led </w:t>
      </w:r>
      <w:r w:rsidRPr="00745400">
        <w:t>stool sample collection service</w:t>
      </w:r>
      <w:r w:rsidR="00A73062">
        <w:t xml:space="preserve">. </w:t>
      </w:r>
      <w:r>
        <w:t xml:space="preserve">This may be due to the skew of the sample towards being younger, more affluent and educated participants. Paradoxically, this pilot study therefore supports the utility of such as a service, as it has already been identified that an increasing number of young people </w:t>
      </w:r>
      <w:r w:rsidR="00A73062">
        <w:t>do</w:t>
      </w:r>
      <w:r>
        <w:t xml:space="preserve"> not report IID to their GP. This indicates that a service of this nature may </w:t>
      </w:r>
      <w:r w:rsidR="008919B0">
        <w:t xml:space="preserve">help improve surveillance systems by </w:t>
      </w:r>
      <w:r>
        <w:t>captur</w:t>
      </w:r>
      <w:r w:rsidR="008919B0">
        <w:t>ing a</w:t>
      </w:r>
      <w:r>
        <w:t xml:space="preserve"> large proportion of IID currently going unreported in the community.</w:t>
      </w:r>
      <w:r w:rsidR="008919B0">
        <w:t xml:space="preserve"> </w:t>
      </w:r>
      <w:r w:rsidR="004C4D2B" w:rsidRPr="004C4D2B">
        <w:t xml:space="preserve">Again paradoxically though, it also </w:t>
      </w:r>
      <w:r w:rsidR="004C4D2B">
        <w:t>highlights</w:t>
      </w:r>
      <w:r w:rsidR="004C4D2B" w:rsidRPr="004C4D2B">
        <w:t xml:space="preserve"> what is being discovered across much technology-mediated healthcare, which is that one default system does not suit all situations</w:t>
      </w:r>
      <w:r w:rsidR="003819D7">
        <w:t xml:space="preserve"> </w:t>
      </w:r>
      <w:r w:rsidR="00AD2784">
        <w:t>(23, 24)</w:t>
      </w:r>
      <w:r w:rsidR="004C4D2B" w:rsidRPr="004C4D2B">
        <w:t xml:space="preserve">. </w:t>
      </w:r>
      <w:r w:rsidR="003819D7">
        <w:t>I</w:t>
      </w:r>
      <w:r w:rsidR="004C4D2B" w:rsidRPr="004C4D2B">
        <w:t xml:space="preserve">t </w:t>
      </w:r>
      <w:r w:rsidR="003819D7">
        <w:t xml:space="preserve">therefore </w:t>
      </w:r>
      <w:r w:rsidR="004C4D2B" w:rsidRPr="004C4D2B">
        <w:t>suggests the approach</w:t>
      </w:r>
      <w:r w:rsidR="004C4D2B">
        <w:t xml:space="preserve"> </w:t>
      </w:r>
      <w:r w:rsidR="008919B0">
        <w:t xml:space="preserve">should be used in conjunction with existing GP-based surveillance, as well as other approaches that target groups less likely to use technology to access health </w:t>
      </w:r>
      <w:r w:rsidR="008919B0">
        <w:lastRenderedPageBreak/>
        <w:t>services.</w:t>
      </w:r>
      <w:r>
        <w:t xml:space="preserve"> These results </w:t>
      </w:r>
      <w:r w:rsidR="00A73062">
        <w:t xml:space="preserve">support a definitive study using a larger, more representative sample, </w:t>
      </w:r>
      <w:r w:rsidR="009B4DB7">
        <w:t xml:space="preserve">informed by </w:t>
      </w:r>
      <w:r>
        <w:t>qualitative targeted research in the community. In this way, future research might elucidate whether this degree of acceptability would be observed in the more deprived groups.</w:t>
      </w:r>
      <w:r w:rsidR="006B07BC">
        <w:t xml:space="preserve"> </w:t>
      </w:r>
      <w:r w:rsidR="00B66BA8" w:rsidRPr="00B66BA8">
        <w:t>It would also be advis</w:t>
      </w:r>
      <w:r w:rsidR="0031011C">
        <w:t>able to investigate how proposed</w:t>
      </w:r>
      <w:r w:rsidR="00B66BA8" w:rsidRPr="00B66BA8">
        <w:t xml:space="preserve"> changes would affect GP workload. </w:t>
      </w:r>
      <w:r w:rsidR="00B66BA8">
        <w:t xml:space="preserve">Finally, this study </w:t>
      </w:r>
      <w:r w:rsidR="006B07BC">
        <w:t xml:space="preserve">also highlights and strengthens the need for introducing future IID community-based surveillance schemes, potentially underpinned by self-sampling, which would improve our understanding of the true (and changing) burden of IID pathogens in the community. </w:t>
      </w:r>
    </w:p>
    <w:p w14:paraId="70D62092" w14:textId="77777777" w:rsidR="00703235" w:rsidRDefault="00703235" w:rsidP="002229D1">
      <w:pPr>
        <w:spacing w:line="480" w:lineRule="auto"/>
      </w:pPr>
    </w:p>
    <w:p w14:paraId="2F0E41F7" w14:textId="016C3989" w:rsidR="002229D1" w:rsidRDefault="002229D1" w:rsidP="002229D1">
      <w:pPr>
        <w:spacing w:line="480" w:lineRule="auto"/>
        <w:rPr>
          <w:b/>
          <w:u w:val="single"/>
        </w:rPr>
      </w:pPr>
      <w:r w:rsidRPr="002229D1">
        <w:rPr>
          <w:b/>
          <w:u w:val="single"/>
        </w:rPr>
        <w:t>List of abbreviations</w:t>
      </w:r>
    </w:p>
    <w:p w14:paraId="00C474D5" w14:textId="0D867059" w:rsidR="00FD36A1" w:rsidRPr="00782255" w:rsidRDefault="00BC418F" w:rsidP="002229D1">
      <w:pPr>
        <w:spacing w:line="480" w:lineRule="auto"/>
      </w:pPr>
      <w:r>
        <w:t>BAME</w:t>
      </w:r>
      <w:r>
        <w:tab/>
      </w:r>
      <w:r>
        <w:tab/>
      </w:r>
      <w:r w:rsidR="00782255" w:rsidRPr="00782255">
        <w:t>Black, Asian and minority ethnic</w:t>
      </w:r>
    </w:p>
    <w:p w14:paraId="05E1B21E" w14:textId="7990B828" w:rsidR="00BC418F" w:rsidRDefault="00BC418F" w:rsidP="00BC418F">
      <w:pPr>
        <w:spacing w:line="480" w:lineRule="auto"/>
      </w:pPr>
      <w:r>
        <w:t>CI</w:t>
      </w:r>
      <w:r>
        <w:tab/>
      </w:r>
      <w:r>
        <w:tab/>
        <w:t>Confidence interval</w:t>
      </w:r>
    </w:p>
    <w:p w14:paraId="52D5BBCA" w14:textId="4C7E26D9" w:rsidR="00CC5CE1" w:rsidRPr="00782255" w:rsidRDefault="00CC5CE1" w:rsidP="00BC418F">
      <w:pPr>
        <w:spacing w:line="480" w:lineRule="auto"/>
      </w:pPr>
      <w:r>
        <w:t>GP</w:t>
      </w:r>
      <w:r>
        <w:tab/>
      </w:r>
      <w:r>
        <w:tab/>
        <w:t>General Practitioner</w:t>
      </w:r>
    </w:p>
    <w:p w14:paraId="7DDC7554" w14:textId="3FF5CEB7" w:rsidR="00782255" w:rsidRPr="00782255" w:rsidRDefault="00782255" w:rsidP="00782255">
      <w:pPr>
        <w:spacing w:line="480" w:lineRule="auto"/>
      </w:pPr>
      <w:r w:rsidRPr="00782255">
        <w:t>IID</w:t>
      </w:r>
      <w:r w:rsidR="00BC418F">
        <w:tab/>
      </w:r>
      <w:r w:rsidR="00BC418F">
        <w:tab/>
      </w:r>
      <w:r w:rsidRPr="00782255">
        <w:t>Infectious intestinal disease</w:t>
      </w:r>
    </w:p>
    <w:p w14:paraId="741A70B2" w14:textId="540829CE" w:rsidR="00782255" w:rsidRDefault="00782255" w:rsidP="002229D1">
      <w:pPr>
        <w:spacing w:line="480" w:lineRule="auto"/>
      </w:pPr>
      <w:r w:rsidRPr="00782255">
        <w:t>NHS</w:t>
      </w:r>
      <w:r w:rsidR="00BC418F">
        <w:tab/>
      </w:r>
      <w:r w:rsidR="00BC418F">
        <w:tab/>
      </w:r>
      <w:r w:rsidRPr="00782255">
        <w:t>National Health Service</w:t>
      </w:r>
    </w:p>
    <w:p w14:paraId="3E7ADB2D" w14:textId="5838B02E" w:rsidR="00BC418F" w:rsidRPr="00782255" w:rsidRDefault="00BC418F" w:rsidP="002229D1">
      <w:pPr>
        <w:spacing w:line="480" w:lineRule="auto"/>
      </w:pPr>
      <w:r>
        <w:t>OR</w:t>
      </w:r>
      <w:r>
        <w:tab/>
      </w:r>
      <w:r>
        <w:tab/>
        <w:t>Odds ratio</w:t>
      </w:r>
    </w:p>
    <w:p w14:paraId="2327E906" w14:textId="11CBC794" w:rsidR="00BC418F" w:rsidRPr="00782255" w:rsidRDefault="00BC418F" w:rsidP="00BC418F">
      <w:pPr>
        <w:spacing w:line="480" w:lineRule="auto"/>
      </w:pPr>
      <w:r w:rsidRPr="00782255">
        <w:t>ONS</w:t>
      </w:r>
      <w:r>
        <w:tab/>
      </w:r>
      <w:r>
        <w:tab/>
      </w:r>
      <w:r w:rsidRPr="00782255">
        <w:t>Office for National Statistics</w:t>
      </w:r>
    </w:p>
    <w:p w14:paraId="5A57DF87" w14:textId="51B43DB3" w:rsidR="00782255" w:rsidRDefault="00782255" w:rsidP="002229D1">
      <w:pPr>
        <w:spacing w:line="480" w:lineRule="auto"/>
      </w:pPr>
      <w:r w:rsidRPr="00782255">
        <w:t>PPI</w:t>
      </w:r>
      <w:r w:rsidR="00BC418F">
        <w:tab/>
      </w:r>
      <w:r w:rsidR="00BC418F">
        <w:tab/>
      </w:r>
      <w:r w:rsidRPr="00782255">
        <w:t>Patient and public involvement</w:t>
      </w:r>
    </w:p>
    <w:p w14:paraId="0BC2BA04" w14:textId="0AAFDA11" w:rsidR="00FD36A1" w:rsidRPr="00782255" w:rsidRDefault="00FD36A1" w:rsidP="002229D1">
      <w:pPr>
        <w:spacing w:line="480" w:lineRule="auto"/>
      </w:pPr>
      <w:r w:rsidRPr="00782255">
        <w:t>UK</w:t>
      </w:r>
      <w:r w:rsidR="00BC418F">
        <w:tab/>
      </w:r>
      <w:r w:rsidR="00BC418F">
        <w:tab/>
      </w:r>
      <w:r w:rsidRPr="00782255">
        <w:t>United Kingdom</w:t>
      </w:r>
    </w:p>
    <w:p w14:paraId="61AC7327" w14:textId="634CD9B1" w:rsidR="00703235" w:rsidRDefault="00703235" w:rsidP="002229D1">
      <w:pPr>
        <w:spacing w:line="480" w:lineRule="auto"/>
      </w:pPr>
    </w:p>
    <w:p w14:paraId="1648348B" w14:textId="0005452E" w:rsidR="00703235" w:rsidRDefault="0087511D" w:rsidP="002229D1">
      <w:pPr>
        <w:spacing w:line="480" w:lineRule="auto"/>
        <w:rPr>
          <w:b/>
          <w:u w:val="single"/>
        </w:rPr>
      </w:pPr>
      <w:r w:rsidRPr="002229D1">
        <w:rPr>
          <w:b/>
          <w:u w:val="single"/>
        </w:rPr>
        <w:t>Declarations</w:t>
      </w:r>
    </w:p>
    <w:p w14:paraId="4EFC9B02" w14:textId="77777777" w:rsidR="00346EC0" w:rsidRPr="002229D1" w:rsidRDefault="00346EC0" w:rsidP="002229D1">
      <w:pPr>
        <w:spacing w:line="480" w:lineRule="auto"/>
        <w:rPr>
          <w:b/>
          <w:u w:val="single"/>
        </w:rPr>
      </w:pPr>
    </w:p>
    <w:p w14:paraId="1C043F63" w14:textId="3033792A" w:rsidR="0087511D" w:rsidRPr="002229D1" w:rsidRDefault="0087511D" w:rsidP="002229D1">
      <w:pPr>
        <w:spacing w:line="480" w:lineRule="auto"/>
        <w:rPr>
          <w:i/>
        </w:rPr>
      </w:pPr>
      <w:r w:rsidRPr="002229D1">
        <w:rPr>
          <w:i/>
        </w:rPr>
        <w:t>Ethics approval</w:t>
      </w:r>
      <w:r w:rsidR="00FB696C">
        <w:rPr>
          <w:i/>
        </w:rPr>
        <w:t xml:space="preserve"> and consent to participate</w:t>
      </w:r>
    </w:p>
    <w:p w14:paraId="149B8036" w14:textId="74C62EEB" w:rsidR="0087511D" w:rsidRDefault="0087511D" w:rsidP="002229D1">
      <w:pPr>
        <w:spacing w:line="480" w:lineRule="auto"/>
      </w:pPr>
      <w:r w:rsidRPr="0087511D">
        <w:lastRenderedPageBreak/>
        <w:t xml:space="preserve">This project received ethical approval from the University of Liverpool Health and Life Sciences Research Ethics Committee (Human participants, tissues and databases) (approval number: HLS-7962). </w:t>
      </w:r>
      <w:r w:rsidR="001837F0">
        <w:t>The online survey was anonymous and valid informed c</w:t>
      </w:r>
      <w:r w:rsidRPr="0087511D">
        <w:t>onsent was gained from study participants prior to completion of the questionnaire</w:t>
      </w:r>
      <w:r w:rsidR="001837F0">
        <w:t>; recorded using clear affirmati</w:t>
      </w:r>
      <w:r w:rsidR="005951D3">
        <w:t>ve</w:t>
      </w:r>
      <w:r w:rsidR="001837F0">
        <w:t xml:space="preserve"> action by use of a consent </w:t>
      </w:r>
      <w:r w:rsidR="005951D3">
        <w:t>checkbox</w:t>
      </w:r>
      <w:r w:rsidRPr="0087511D">
        <w:t>.</w:t>
      </w:r>
      <w:r w:rsidR="001837F0">
        <w:t xml:space="preserve"> The ethics committee approved this </w:t>
      </w:r>
      <w:r w:rsidR="006E1273">
        <w:t>method</w:t>
      </w:r>
      <w:r w:rsidR="001837F0">
        <w:t xml:space="preserve"> of </w:t>
      </w:r>
      <w:r w:rsidR="006E1273">
        <w:t xml:space="preserve">valid </w:t>
      </w:r>
      <w:r w:rsidR="005951D3">
        <w:t xml:space="preserve">informed </w:t>
      </w:r>
      <w:r w:rsidR="001837F0">
        <w:t>consent.</w:t>
      </w:r>
    </w:p>
    <w:p w14:paraId="321B455F" w14:textId="77777777" w:rsidR="0087511D" w:rsidRDefault="0087511D" w:rsidP="002229D1">
      <w:pPr>
        <w:spacing w:line="480" w:lineRule="auto"/>
      </w:pPr>
    </w:p>
    <w:p w14:paraId="5B4127CD" w14:textId="3A1619B8" w:rsidR="0087511D" w:rsidRPr="002229D1" w:rsidRDefault="0087511D" w:rsidP="002229D1">
      <w:pPr>
        <w:spacing w:line="480" w:lineRule="auto"/>
        <w:rPr>
          <w:i/>
        </w:rPr>
      </w:pPr>
      <w:r w:rsidRPr="002229D1">
        <w:rPr>
          <w:i/>
        </w:rPr>
        <w:t>Consent for publication</w:t>
      </w:r>
    </w:p>
    <w:p w14:paraId="34A0B70F" w14:textId="605125B9" w:rsidR="0087511D" w:rsidRDefault="0087511D" w:rsidP="002229D1">
      <w:pPr>
        <w:spacing w:line="480" w:lineRule="auto"/>
      </w:pPr>
      <w:r w:rsidRPr="0087511D">
        <w:t>Not applicable</w:t>
      </w:r>
      <w:r w:rsidR="00FB696C">
        <w:t>.</w:t>
      </w:r>
    </w:p>
    <w:p w14:paraId="06F53195" w14:textId="77777777" w:rsidR="0087511D" w:rsidRDefault="0087511D" w:rsidP="002229D1">
      <w:pPr>
        <w:spacing w:line="480" w:lineRule="auto"/>
      </w:pPr>
    </w:p>
    <w:p w14:paraId="3666DB29" w14:textId="77777777" w:rsidR="0087511D" w:rsidRDefault="0087511D" w:rsidP="002229D1">
      <w:pPr>
        <w:spacing w:line="480" w:lineRule="auto"/>
        <w:rPr>
          <w:i/>
        </w:rPr>
      </w:pPr>
      <w:r>
        <w:rPr>
          <w:i/>
        </w:rPr>
        <w:t>Availability of data and materials</w:t>
      </w:r>
    </w:p>
    <w:p w14:paraId="7782772C" w14:textId="59C4484D" w:rsidR="002229D1" w:rsidRDefault="0087511D" w:rsidP="002229D1">
      <w:pPr>
        <w:spacing w:line="480" w:lineRule="auto"/>
      </w:pPr>
      <w:r>
        <w:t xml:space="preserve">The data in this study was collected via a survey from members of the public. As the study participants did not explicitly consent to their data being made available in a public repository, we have been advised by the University of Liverpool Research Data Management Team (rdm@liverpool.ac.uk) that it is not appropriate to make the data available in this format. However, </w:t>
      </w:r>
      <w:r w:rsidR="002229D1" w:rsidRPr="002229D1">
        <w:t xml:space="preserve">datasets used and/or analysed during the current study </w:t>
      </w:r>
      <w:r w:rsidR="002229D1">
        <w:t>may be</w:t>
      </w:r>
      <w:r w:rsidR="002229D1" w:rsidRPr="002229D1">
        <w:t xml:space="preserve"> available from the corresponding author on reasonable request.</w:t>
      </w:r>
    </w:p>
    <w:p w14:paraId="0213FA5A" w14:textId="77777777" w:rsidR="00FB696C" w:rsidRDefault="00FB696C" w:rsidP="00FB696C">
      <w:pPr>
        <w:spacing w:line="480" w:lineRule="auto"/>
        <w:rPr>
          <w:i/>
        </w:rPr>
      </w:pPr>
    </w:p>
    <w:p w14:paraId="1F4BA428" w14:textId="77777777" w:rsidR="00FB696C" w:rsidRPr="0087511D" w:rsidRDefault="00FB696C" w:rsidP="00FB696C">
      <w:pPr>
        <w:spacing w:line="480" w:lineRule="auto"/>
        <w:rPr>
          <w:i/>
        </w:rPr>
      </w:pPr>
      <w:r w:rsidRPr="0087511D">
        <w:rPr>
          <w:i/>
        </w:rPr>
        <w:t>Competing interests</w:t>
      </w:r>
    </w:p>
    <w:p w14:paraId="33E56301" w14:textId="77777777" w:rsidR="00FB696C" w:rsidRDefault="00FB696C" w:rsidP="00FB696C">
      <w:pPr>
        <w:spacing w:line="480" w:lineRule="auto"/>
      </w:pPr>
      <w:r>
        <w:t xml:space="preserve">DH and MIG report grants on the topic of rotavirus vaccines, outside of the submitted work, from GlaxoSmithKline Biologicals, Sanofi Pasteur and Merck and Co (Kenilworth, New Jersey, US) after the closure of Sanofi Pasteur-MSD in December 2016. NAC reports grants on the topic of rotavirus vaccines, outside of the submitted work, from GlaxoSmithKline Biologicals. </w:t>
      </w:r>
      <w:r>
        <w:lastRenderedPageBreak/>
        <w:t>MIG and NAC also report personal fees for consultancy, outside the submitted work, from GlaxoSmithKline Biologicals. AE, RV, RG-A and RD have nothing to disclose.</w:t>
      </w:r>
    </w:p>
    <w:p w14:paraId="1E416391" w14:textId="77777777" w:rsidR="0087511D" w:rsidRDefault="0087511D" w:rsidP="002229D1">
      <w:pPr>
        <w:spacing w:line="480" w:lineRule="auto"/>
      </w:pPr>
    </w:p>
    <w:p w14:paraId="48345C38" w14:textId="557A564C" w:rsidR="00074868" w:rsidRPr="0087511D" w:rsidRDefault="000035D1" w:rsidP="002229D1">
      <w:pPr>
        <w:spacing w:line="480" w:lineRule="auto"/>
        <w:rPr>
          <w:i/>
        </w:rPr>
      </w:pPr>
      <w:r w:rsidRPr="0087511D">
        <w:rPr>
          <w:i/>
        </w:rPr>
        <w:t>Funding</w:t>
      </w:r>
    </w:p>
    <w:p w14:paraId="4B106E2F" w14:textId="63708A5E" w:rsidR="000035D1" w:rsidRDefault="000035D1" w:rsidP="002229D1">
      <w:pPr>
        <w:spacing w:line="480" w:lineRule="auto"/>
      </w:pPr>
      <w:r w:rsidRPr="000035D1">
        <w:t xml:space="preserve">This study is funded by the National Institute for Health Research Health Protection Research Unit (NIHR HPRU) in Gastrointestinal Infections, a partnership between </w:t>
      </w:r>
      <w:r w:rsidR="00F93347">
        <w:t>the UK Health Security Agency</w:t>
      </w:r>
      <w:r w:rsidRPr="000035D1">
        <w:t>, the University of Liverpool and the University of Warwick</w:t>
      </w:r>
      <w:r>
        <w:t xml:space="preserve">. </w:t>
      </w:r>
      <w:r w:rsidR="000F7C42" w:rsidRPr="000F7C42">
        <w:t>DH is funded by a NIHR Post-doctoral Fellowship (PDF-2018-11-ST2-006)</w:t>
      </w:r>
      <w:r w:rsidR="000E25EF" w:rsidRPr="000E25EF">
        <w:t xml:space="preserve"> for this research project</w:t>
      </w:r>
      <w:r w:rsidR="000F7C42">
        <w:t xml:space="preserve">. </w:t>
      </w:r>
      <w:r w:rsidR="00F93347">
        <w:t xml:space="preserve">AE is affiliated with the NIHR HPRU in Emergency Preparedness and Response at King’s College London. </w:t>
      </w:r>
      <w:r w:rsidRPr="000035D1">
        <w:t>The views ex</w:t>
      </w:r>
      <w:r w:rsidR="00517D5B">
        <w:t>pressed are those of the authors</w:t>
      </w:r>
      <w:r w:rsidRPr="000035D1">
        <w:t xml:space="preserve"> and not necessarily those of the NHS, the NIHR, the Department of Health and Social Care or </w:t>
      </w:r>
      <w:r w:rsidR="00F93347">
        <w:t>UK Health Security Agency</w:t>
      </w:r>
      <w:r w:rsidRPr="000035D1">
        <w:t>. The study funder had no role in study design, data collection, data analysis, data interpretation, or writing of the report.</w:t>
      </w:r>
      <w:r w:rsidR="000F7C42">
        <w:t xml:space="preserve"> </w:t>
      </w:r>
    </w:p>
    <w:p w14:paraId="3412EF23" w14:textId="77777777" w:rsidR="00FB696C" w:rsidRDefault="00FB696C" w:rsidP="002229D1">
      <w:pPr>
        <w:spacing w:line="480" w:lineRule="auto"/>
      </w:pPr>
    </w:p>
    <w:p w14:paraId="4BF1F6A6" w14:textId="77777777" w:rsidR="00FB696C" w:rsidRDefault="00FB696C" w:rsidP="00FB696C">
      <w:pPr>
        <w:spacing w:line="480" w:lineRule="auto"/>
      </w:pPr>
      <w:r w:rsidRPr="002229D1">
        <w:rPr>
          <w:i/>
        </w:rPr>
        <w:t>Author</w:t>
      </w:r>
      <w:r>
        <w:rPr>
          <w:i/>
        </w:rPr>
        <w:t>’</w:t>
      </w:r>
      <w:r w:rsidRPr="002229D1">
        <w:rPr>
          <w:i/>
        </w:rPr>
        <w:t xml:space="preserve"> Contributions</w:t>
      </w:r>
    </w:p>
    <w:p w14:paraId="1C902110" w14:textId="77777777" w:rsidR="00FB696C" w:rsidRDefault="00FB696C" w:rsidP="00FB696C">
      <w:pPr>
        <w:spacing w:line="480" w:lineRule="auto"/>
      </w:pPr>
      <w:r w:rsidRPr="000035D1">
        <w:t xml:space="preserve">DH, </w:t>
      </w:r>
      <w:r>
        <w:t>NAC, RG-A</w:t>
      </w:r>
      <w:r w:rsidRPr="000035D1">
        <w:t xml:space="preserve"> and MIG conceptualised and designed the study and were responsible for supervision. </w:t>
      </w:r>
      <w:r>
        <w:t>AAN helped design the study. RD, DH</w:t>
      </w:r>
      <w:r w:rsidRPr="000035D1">
        <w:t xml:space="preserve"> were responsible for </w:t>
      </w:r>
      <w:r>
        <w:t>investigation, validation, data curation and formal analysis</w:t>
      </w:r>
      <w:r w:rsidRPr="000035D1">
        <w:t xml:space="preserve">. </w:t>
      </w:r>
      <w:r>
        <w:t>RD</w:t>
      </w:r>
      <w:r w:rsidRPr="000035D1">
        <w:t xml:space="preserve"> was responsible </w:t>
      </w:r>
      <w:r>
        <w:t xml:space="preserve">for </w:t>
      </w:r>
      <w:r w:rsidRPr="000035D1">
        <w:t xml:space="preserve">writing the original draft. </w:t>
      </w:r>
      <w:r>
        <w:t xml:space="preserve">NAC, MIG, AJE, DH and RV were responsible for funding acquisition. </w:t>
      </w:r>
      <w:r w:rsidRPr="000035D1">
        <w:t>All authors reviewed and edited the manuscript.</w:t>
      </w:r>
    </w:p>
    <w:p w14:paraId="40255202" w14:textId="72C7E9F8" w:rsidR="00703235" w:rsidRDefault="00703235" w:rsidP="002229D1">
      <w:pPr>
        <w:spacing w:line="480" w:lineRule="auto"/>
      </w:pPr>
    </w:p>
    <w:p w14:paraId="58274EAF" w14:textId="77777777" w:rsidR="00FB696C" w:rsidRDefault="00FB696C" w:rsidP="00FB696C">
      <w:pPr>
        <w:spacing w:line="480" w:lineRule="auto"/>
        <w:rPr>
          <w:i/>
        </w:rPr>
      </w:pPr>
      <w:r w:rsidRPr="00346EC0">
        <w:rPr>
          <w:i/>
        </w:rPr>
        <w:t>Acknowledgements</w:t>
      </w:r>
    </w:p>
    <w:p w14:paraId="57F47487" w14:textId="6DFDEBEB" w:rsidR="00FB696C" w:rsidRDefault="00FB696C" w:rsidP="002229D1">
      <w:pPr>
        <w:spacing w:line="480" w:lineRule="auto"/>
      </w:pPr>
      <w:r>
        <w:t>The authors acknowledges the advice and support of patient and public involvement panel at the Institute of Infection, Veterinary and Ecological Sciences.</w:t>
      </w:r>
    </w:p>
    <w:p w14:paraId="6430B648" w14:textId="5A64940F" w:rsidR="00D7119E" w:rsidRPr="00432178" w:rsidRDefault="002179DD" w:rsidP="00432178">
      <w:pPr>
        <w:spacing w:line="480" w:lineRule="auto"/>
        <w:rPr>
          <w:rFonts w:cstheme="minorHAnsi"/>
          <w:b/>
          <w:bCs/>
          <w:sz w:val="28"/>
          <w:szCs w:val="28"/>
        </w:rPr>
      </w:pPr>
      <w:r>
        <w:br w:type="page"/>
      </w:r>
      <w:r w:rsidR="00AD2784" w:rsidRPr="00432178">
        <w:rPr>
          <w:rFonts w:cstheme="minorHAnsi"/>
          <w:b/>
          <w:bCs/>
          <w:sz w:val="28"/>
          <w:szCs w:val="28"/>
        </w:rPr>
        <w:lastRenderedPageBreak/>
        <w:t>References;</w:t>
      </w:r>
    </w:p>
    <w:p w14:paraId="07740EFA" w14:textId="083B723F" w:rsidR="00AD2784" w:rsidRDefault="00AD2784" w:rsidP="00432178">
      <w:pPr>
        <w:pStyle w:val="ListParagraph"/>
        <w:numPr>
          <w:ilvl w:val="0"/>
          <w:numId w:val="6"/>
        </w:numPr>
        <w:spacing w:line="480" w:lineRule="auto"/>
      </w:pPr>
      <w:r>
        <w:t>Adams NL, Rose TC, Hawker J, Violato M, O’Brien SJ, Whitehead M, et al. Socioeconomic status and infectious intestinal disease in the community: a longitudinal study (IID2 study). European Journal of Public Health. 2018;28:134–8.</w:t>
      </w:r>
    </w:p>
    <w:p w14:paraId="1C49A34C" w14:textId="77777777" w:rsidR="00AD2784" w:rsidRDefault="00AD2784" w:rsidP="00432178">
      <w:pPr>
        <w:pStyle w:val="ListParagraph"/>
        <w:numPr>
          <w:ilvl w:val="0"/>
          <w:numId w:val="6"/>
        </w:numPr>
        <w:spacing w:line="480" w:lineRule="auto"/>
      </w:pPr>
      <w:r>
        <w:t>Iturriza-Gómara M, Elliot AJ, Dockery C, Fleming DM, Gray JJ. Structured surveillance of infectious intestinal disease in pre-school children in the community: “The Nappy Study.” Epidemiol Infect. 2009;137:922–31.</w:t>
      </w:r>
    </w:p>
    <w:p w14:paraId="565613D1" w14:textId="77777777" w:rsidR="00AD2784" w:rsidRDefault="00AD2784" w:rsidP="00432178">
      <w:pPr>
        <w:pStyle w:val="ListParagraph"/>
        <w:numPr>
          <w:ilvl w:val="0"/>
          <w:numId w:val="6"/>
        </w:numPr>
        <w:spacing w:line="480" w:lineRule="auto"/>
      </w:pPr>
      <w:r>
        <w:t>Hungerford D, Vivancos R, Read JM, Iturriza-Gόmara M, French N, Cunliffe NA. Rotavirus vaccine impact and socioeconomic deprivation: an interrupted time-series analysis of gastrointestinal disease outcomes across primary and secondary care in the UK. BMC Med. 2018;16:10.</w:t>
      </w:r>
    </w:p>
    <w:p w14:paraId="5A87A9F1" w14:textId="77777777" w:rsidR="00AD2784" w:rsidRDefault="00AD2784" w:rsidP="00432178">
      <w:pPr>
        <w:pStyle w:val="ListParagraph"/>
        <w:numPr>
          <w:ilvl w:val="0"/>
          <w:numId w:val="6"/>
        </w:numPr>
        <w:spacing w:line="480" w:lineRule="auto"/>
      </w:pPr>
      <w:r>
        <w:t>Lecky DM, Nakiboneka-Ssenabulya D, Nichols T, Hawkey P, Turner K, Chung K-T, et al. Informing future research for carriage of multiresistant Gram-negative bacteria: problems with recruiting to an English stool sample community prevalence study. BMJ Open. 2017;7. doi:</w:t>
      </w:r>
      <w:hyperlink r:id="rId11" w:history="1">
        <w:r>
          <w:rPr>
            <w:rStyle w:val="Hyperlink"/>
          </w:rPr>
          <w:t>10.1136/bmjopen-2017-017947</w:t>
        </w:r>
      </w:hyperlink>
      <w:r>
        <w:t>.</w:t>
      </w:r>
    </w:p>
    <w:p w14:paraId="2C86E5A4" w14:textId="77777777" w:rsidR="00AD2784" w:rsidRDefault="00AD2784" w:rsidP="00432178">
      <w:pPr>
        <w:pStyle w:val="ListParagraph"/>
        <w:numPr>
          <w:ilvl w:val="0"/>
          <w:numId w:val="6"/>
        </w:numPr>
        <w:spacing w:line="480" w:lineRule="auto"/>
      </w:pPr>
      <w:r>
        <w:t>Ellis RJB, Wilson S, Holder RL, McManus RJ. Different faecal sampling methods alter the acceptability of faecal occult blood testing: a cross sectional community survey. Eur J Cancer. 2007;43:1437–44.</w:t>
      </w:r>
    </w:p>
    <w:p w14:paraId="61068BF2" w14:textId="77777777" w:rsidR="00AD2784" w:rsidRDefault="00AD2784" w:rsidP="00432178">
      <w:pPr>
        <w:pStyle w:val="ListParagraph"/>
        <w:numPr>
          <w:ilvl w:val="0"/>
          <w:numId w:val="6"/>
        </w:numPr>
        <w:spacing w:line="480" w:lineRule="auto"/>
      </w:pPr>
      <w:r>
        <w:t>von Euler-Chelpin M, Brasso K, Lynge E. Determinants of participation in colorectal cancer screening with faecal occult blood testing. J Public Health (Oxf). 2010;32:395–405.</w:t>
      </w:r>
    </w:p>
    <w:p w14:paraId="1723E262" w14:textId="77777777" w:rsidR="00AD2784" w:rsidRDefault="00AD2784" w:rsidP="00432178">
      <w:pPr>
        <w:pStyle w:val="ListParagraph"/>
        <w:numPr>
          <w:ilvl w:val="0"/>
          <w:numId w:val="6"/>
        </w:numPr>
        <w:spacing w:line="480" w:lineRule="auto"/>
      </w:pPr>
      <w:r>
        <w:t>Hart AR, Barone TL, Mayberry JF. Increasing compliance with colorectal cancer screening: the development of effective health education. Health Educ Res. 1997;12:171–80.</w:t>
      </w:r>
    </w:p>
    <w:p w14:paraId="65743A04" w14:textId="77777777" w:rsidR="00AD2784" w:rsidRDefault="00AD2784" w:rsidP="00432178">
      <w:pPr>
        <w:pStyle w:val="ListParagraph"/>
        <w:numPr>
          <w:ilvl w:val="0"/>
          <w:numId w:val="6"/>
        </w:numPr>
        <w:spacing w:line="480" w:lineRule="auto"/>
      </w:pPr>
      <w:r>
        <w:lastRenderedPageBreak/>
        <w:t>Hynam KA, Hart AR, Gay SP, Inglis A, Wicks AC, Mayberry JF. Screening for colorectal cancer: reasons for refusal of faecal occult blood testing in a general practice in England. J Epidemiol Community Health. 1995;49:84–6.</w:t>
      </w:r>
    </w:p>
    <w:p w14:paraId="607E77C8" w14:textId="77777777" w:rsidR="00AD2784" w:rsidRDefault="00AD2784" w:rsidP="00432178">
      <w:pPr>
        <w:pStyle w:val="ListParagraph"/>
        <w:numPr>
          <w:ilvl w:val="0"/>
          <w:numId w:val="6"/>
        </w:numPr>
        <w:spacing w:line="480" w:lineRule="auto"/>
      </w:pPr>
      <w:r>
        <w:t>O’Sullivan I, Orbell S. Self-sampling in screening to reduce mortality from colorectal cancer: a qualitative exploration of the decision to complete a faecal occult blood test (FOBT). J Med Screen. 2004;11:16–22.</w:t>
      </w:r>
    </w:p>
    <w:p w14:paraId="35998464" w14:textId="02880A87" w:rsidR="00AD2784" w:rsidRDefault="00AD2784" w:rsidP="00432178">
      <w:pPr>
        <w:pStyle w:val="ListParagraph"/>
        <w:numPr>
          <w:ilvl w:val="0"/>
          <w:numId w:val="6"/>
        </w:numPr>
        <w:spacing w:line="480" w:lineRule="auto"/>
      </w:pPr>
      <w:r>
        <w:t>Lower layer Super Output Area population estimates (supporting information) - Office for National Statistics.</w:t>
      </w:r>
      <w:r w:rsidR="00432178">
        <w:t xml:space="preserve"> </w:t>
      </w:r>
      <w:hyperlink r:id="rId12" w:history="1">
        <w:r w:rsidR="00432178" w:rsidRPr="00432178">
          <w:rPr>
            <w:rStyle w:val="Hyperlink"/>
          </w:rPr>
          <w:t>https://www.ons.gov.uk/peoplepopulationandcommunity/populationandmigration/populationestimates/datasets/lowersuperoutputareamidyearpopulationestimates. Accessed 30 Apr 2021</w:t>
        </w:r>
      </w:hyperlink>
      <w:r>
        <w:t>.</w:t>
      </w:r>
    </w:p>
    <w:p w14:paraId="769914DF" w14:textId="77777777" w:rsidR="00AD2784" w:rsidRDefault="00AD2784" w:rsidP="00432178">
      <w:pPr>
        <w:pStyle w:val="ListParagraph"/>
        <w:numPr>
          <w:ilvl w:val="0"/>
          <w:numId w:val="6"/>
        </w:numPr>
        <w:spacing w:line="480" w:lineRule="auto"/>
      </w:pPr>
      <w:r>
        <w:t xml:space="preserve">Income estimates for small areas, England and Wales - Office for National Statistics. </w:t>
      </w:r>
      <w:hyperlink r:id="rId13" w:history="1">
        <w:r>
          <w:rPr>
            <w:rStyle w:val="Hyperlink"/>
          </w:rPr>
          <w:t>https://www.ons.gov.uk/employmentandlabourmarket/peopleinwork/earningsandworkinghours/datasets/smallareaincomeestimatesformiddlelayersuperoutputareasenglandandwales</w:t>
        </w:r>
      </w:hyperlink>
      <w:r>
        <w:t>. Accessed 30 Apr 2021.</w:t>
      </w:r>
    </w:p>
    <w:p w14:paraId="0736673D" w14:textId="77777777" w:rsidR="00AD2784" w:rsidRDefault="00AD2784" w:rsidP="00432178">
      <w:pPr>
        <w:pStyle w:val="ListParagraph"/>
        <w:numPr>
          <w:ilvl w:val="0"/>
          <w:numId w:val="6"/>
        </w:numPr>
        <w:spacing w:line="480" w:lineRule="auto"/>
      </w:pPr>
      <w:r>
        <w:t xml:space="preserve">Research report on population estimates by ethnic group and religion - Office for National Statistics. </w:t>
      </w:r>
      <w:hyperlink r:id="rId14" w:history="1">
        <w:r>
          <w:rPr>
            <w:rStyle w:val="Hyperlink"/>
          </w:rPr>
          <w:t>https://www.ons.gov.uk/peoplepopulationandcommunity/populationandmigration/populationestimates/articles/researchreportonpopulationestimatesbyethnicgroupandreligion/2019-12-04/previous/v1</w:t>
        </w:r>
      </w:hyperlink>
      <w:r>
        <w:t>. Accessed 30 Apr 2021.</w:t>
      </w:r>
    </w:p>
    <w:p w14:paraId="23020EA4" w14:textId="77777777" w:rsidR="00AD2784" w:rsidRDefault="00AD2784" w:rsidP="00432178">
      <w:pPr>
        <w:pStyle w:val="ListParagraph"/>
        <w:numPr>
          <w:ilvl w:val="0"/>
          <w:numId w:val="6"/>
        </w:numPr>
        <w:spacing w:line="480" w:lineRule="auto"/>
      </w:pPr>
      <w:r>
        <w:t xml:space="preserve">Population Estimates for UK, England and Wales, Scotland and Northern Ireland - Office for National Statistics. </w:t>
      </w:r>
      <w:hyperlink r:id="rId15" w:history="1">
        <w:r>
          <w:rPr>
            <w:rStyle w:val="Hyperlink"/>
          </w:rPr>
          <w:t>https://www.ons.gov.uk/datasets/mid-year-pop-est/editions/mid-2019-april-2020-geography/versions/2</w:t>
        </w:r>
      </w:hyperlink>
      <w:r>
        <w:t>. Accessed 30 Apr 2021.</w:t>
      </w:r>
    </w:p>
    <w:p w14:paraId="3800FA14" w14:textId="77777777" w:rsidR="00AD2784" w:rsidRDefault="00AD2784" w:rsidP="00432178">
      <w:pPr>
        <w:pStyle w:val="ListParagraph"/>
        <w:numPr>
          <w:ilvl w:val="0"/>
          <w:numId w:val="6"/>
        </w:numPr>
        <w:spacing w:line="480" w:lineRule="auto"/>
      </w:pPr>
      <w:r>
        <w:lastRenderedPageBreak/>
        <w:t xml:space="preserve">Average household income, UK - Office for National Statistics. </w:t>
      </w:r>
      <w:hyperlink r:id="rId16" w:history="1">
        <w:r>
          <w:rPr>
            <w:rStyle w:val="Hyperlink"/>
          </w:rPr>
          <w:t>https://www.ons.gov.uk/peoplepopulationandcommunity/personalandhouseholdfinances/incomeandwealth/bulletins/householddisposableincomeandinequality/yearending2018</w:t>
        </w:r>
      </w:hyperlink>
      <w:r>
        <w:t>. Accessed 30 Apr 2021.</w:t>
      </w:r>
    </w:p>
    <w:p w14:paraId="62A47496" w14:textId="77777777" w:rsidR="00AD2784" w:rsidRDefault="00AD2784" w:rsidP="00432178">
      <w:pPr>
        <w:pStyle w:val="ListParagraph"/>
        <w:numPr>
          <w:ilvl w:val="0"/>
          <w:numId w:val="6"/>
        </w:numPr>
        <w:spacing w:line="480" w:lineRule="auto"/>
      </w:pPr>
      <w:r>
        <w:t xml:space="preserve">Overview of the UK population - Office for National Statistics. </w:t>
      </w:r>
      <w:hyperlink r:id="rId17" w:history="1">
        <w:r>
          <w:rPr>
            <w:rStyle w:val="Hyperlink"/>
          </w:rPr>
          <w:t>https://www.ons.gov.uk/peoplepopulationandcommunity/populationandmigration/populationestimates/articles/overviewoftheukpopulation/january2021</w:t>
        </w:r>
      </w:hyperlink>
      <w:r>
        <w:t>. Accessed 30 Apr 2021.</w:t>
      </w:r>
    </w:p>
    <w:p w14:paraId="659C7ABB" w14:textId="77777777" w:rsidR="00AD2784" w:rsidRDefault="00AD2784" w:rsidP="00432178">
      <w:pPr>
        <w:pStyle w:val="ListParagraph"/>
        <w:numPr>
          <w:ilvl w:val="0"/>
          <w:numId w:val="6"/>
        </w:numPr>
        <w:spacing w:line="480" w:lineRule="auto"/>
      </w:pPr>
      <w:r>
        <w:t xml:space="preserve">JISC Online Surveys - University of Liverpool. </w:t>
      </w:r>
      <w:hyperlink r:id="rId18" w:history="1">
        <w:r>
          <w:rPr>
            <w:rStyle w:val="Hyperlink"/>
          </w:rPr>
          <w:t>https://www.liverpool.ac.uk/csd/software-support/survey-software/?</w:t>
        </w:r>
      </w:hyperlink>
      <w:r>
        <w:t xml:space="preserve"> Accessed 30 Apr 2021.</w:t>
      </w:r>
    </w:p>
    <w:p w14:paraId="29EBC54B" w14:textId="77777777" w:rsidR="00AD2784" w:rsidRDefault="00AD2784" w:rsidP="00432178">
      <w:pPr>
        <w:pStyle w:val="ListParagraph"/>
        <w:numPr>
          <w:ilvl w:val="0"/>
          <w:numId w:val="6"/>
        </w:numPr>
        <w:spacing w:line="480" w:lineRule="auto"/>
      </w:pPr>
      <w:r>
        <w:t xml:space="preserve">NHS bowel cancer screening: FIT kit instructions (English). GOV.UK. </w:t>
      </w:r>
      <w:hyperlink r:id="rId19" w:history="1">
        <w:r>
          <w:rPr>
            <w:rStyle w:val="Hyperlink"/>
          </w:rPr>
          <w:t>https://www.gov.uk/government/publications/bowel-cancer-screening-kit-how-to-use/nhs-bowel-cancer-screening-fit-kit-instructions</w:t>
        </w:r>
      </w:hyperlink>
      <w:r>
        <w:t>. Accessed 30 Apr 2021.</w:t>
      </w:r>
    </w:p>
    <w:p w14:paraId="2493E6EF" w14:textId="77777777" w:rsidR="00432178" w:rsidRDefault="00AD2784" w:rsidP="00432178">
      <w:pPr>
        <w:pStyle w:val="ListParagraph"/>
        <w:numPr>
          <w:ilvl w:val="0"/>
          <w:numId w:val="6"/>
        </w:numPr>
        <w:spacing w:line="480" w:lineRule="auto"/>
      </w:pPr>
      <w:r>
        <w:t xml:space="preserve">Diarrhoea and vomiting. nhs.uk. 2018. </w:t>
      </w:r>
      <w:hyperlink r:id="rId20" w:history="1">
        <w:r>
          <w:rPr>
            <w:rStyle w:val="Hyperlink"/>
          </w:rPr>
          <w:t>https://www.nhs.uk/conditions/diarrhoea-and-vomiting/</w:t>
        </w:r>
      </w:hyperlink>
      <w:r>
        <w:t>. Accessed 30 Apr 2021.</w:t>
      </w:r>
    </w:p>
    <w:p w14:paraId="379EDB7C" w14:textId="77777777" w:rsidR="00432178" w:rsidRDefault="00AD2784" w:rsidP="00432178">
      <w:pPr>
        <w:pStyle w:val="ListParagraph"/>
        <w:numPr>
          <w:ilvl w:val="0"/>
          <w:numId w:val="6"/>
        </w:numPr>
        <w:spacing w:line="480" w:lineRule="auto"/>
      </w:pPr>
      <w:r>
        <w:t>Klimova B, Poulova P. Older People and Technology Acceptance. In: Zhou J, Salvendy G, editors. Human Aspects of IT for the Aged Population. Acceptance, Communication and Participation. Cham: Springer International Publishing; 2018. p. 85–94.</w:t>
      </w:r>
    </w:p>
    <w:p w14:paraId="313A550B" w14:textId="77777777" w:rsidR="00432178" w:rsidRDefault="00AD2784" w:rsidP="00432178">
      <w:pPr>
        <w:pStyle w:val="ListParagraph"/>
        <w:numPr>
          <w:ilvl w:val="0"/>
          <w:numId w:val="6"/>
        </w:numPr>
        <w:spacing w:line="480" w:lineRule="auto"/>
      </w:pPr>
      <w:r>
        <w:t>Gomez-Cano M, Atherton H, Campbell J, Eccles A, Dale J, Poltawski L, et al. Awareness and use of online appointment booking in general practice: analysis of GP Patient Survey data. Br J Gen Pract. 2020;70 suppl 1.</w:t>
      </w:r>
    </w:p>
    <w:p w14:paraId="6A4BC153" w14:textId="77777777" w:rsidR="00432178" w:rsidRDefault="00AD2784" w:rsidP="00432178">
      <w:pPr>
        <w:pStyle w:val="ListParagraph"/>
        <w:numPr>
          <w:ilvl w:val="0"/>
          <w:numId w:val="6"/>
        </w:numPr>
        <w:spacing w:line="480" w:lineRule="auto"/>
      </w:pPr>
      <w:r>
        <w:lastRenderedPageBreak/>
        <w:t>Torjesen I. Patients find GP online services “cumbersome,” survey finds. BMJ. 2019;366:l4800.</w:t>
      </w:r>
    </w:p>
    <w:p w14:paraId="76E180C4" w14:textId="77777777" w:rsidR="00432178" w:rsidRDefault="00AD2784" w:rsidP="00432178">
      <w:pPr>
        <w:pStyle w:val="ListParagraph"/>
        <w:numPr>
          <w:ilvl w:val="0"/>
          <w:numId w:val="6"/>
        </w:numPr>
        <w:spacing w:line="480" w:lineRule="auto"/>
      </w:pPr>
      <w:r>
        <w:t>Hunter L. Challenging the reported disadvantages of e-questionnaires and addressing methodological issues of online data collection. Nurse Res. 2012;20:11–20.</w:t>
      </w:r>
    </w:p>
    <w:p w14:paraId="3C473DC7" w14:textId="77777777" w:rsidR="00432178" w:rsidRDefault="00AD2784" w:rsidP="00432178">
      <w:pPr>
        <w:pStyle w:val="ListParagraph"/>
        <w:numPr>
          <w:ilvl w:val="0"/>
          <w:numId w:val="6"/>
        </w:numPr>
        <w:spacing w:line="480" w:lineRule="auto"/>
      </w:pPr>
      <w:r>
        <w:t>Donaghy E, Atherton H, Hammersley V, McNeilly H, Bikker A, Robbins L, et al. Acceptability, benefits, and challenges of video consulting: a qualitative study in primary care. Br J Gen Pract. 2019;69:e586–94.</w:t>
      </w:r>
    </w:p>
    <w:p w14:paraId="57B30EEE" w14:textId="13AF045E" w:rsidR="00AD2784" w:rsidRDefault="00AD2784" w:rsidP="00432178">
      <w:pPr>
        <w:pStyle w:val="ListParagraph"/>
        <w:numPr>
          <w:ilvl w:val="0"/>
          <w:numId w:val="6"/>
        </w:numPr>
        <w:spacing w:line="480" w:lineRule="auto"/>
      </w:pPr>
      <w:r>
        <w:t>Hammersley V, Donaghy E, Parker R, McNeilly H, Atherton H, Bikker A, et al. Comparing the content and quality of video, telephone, and face-to-face consultations: a non-randomised, quasi-experimental, exploratory study in UK primary care. Br J Gen Pract. 2019;69:e595–604.</w:t>
      </w:r>
    </w:p>
    <w:p w14:paraId="49BE7178" w14:textId="77777777" w:rsidR="005E1781" w:rsidRPr="00703235" w:rsidRDefault="005E1781">
      <w:pPr>
        <w:rPr>
          <w:rFonts w:cstheme="minorHAnsi"/>
        </w:rPr>
      </w:pPr>
    </w:p>
    <w:sectPr w:rsidR="005E1781" w:rsidRPr="00703235" w:rsidSect="0025459A">
      <w:footerReference w:type="default" r:id="rId21"/>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7D79C" w14:textId="77777777" w:rsidR="003D4E8B" w:rsidRDefault="003D4E8B" w:rsidP="005E1781">
      <w:r>
        <w:separator/>
      </w:r>
    </w:p>
  </w:endnote>
  <w:endnote w:type="continuationSeparator" w:id="0">
    <w:p w14:paraId="5E373A65" w14:textId="77777777" w:rsidR="003D4E8B" w:rsidRDefault="003D4E8B" w:rsidP="005E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114176"/>
      <w:docPartObj>
        <w:docPartGallery w:val="Page Numbers (Bottom of Page)"/>
        <w:docPartUnique/>
      </w:docPartObj>
    </w:sdtPr>
    <w:sdtEndPr>
      <w:rPr>
        <w:noProof/>
      </w:rPr>
    </w:sdtEndPr>
    <w:sdtContent>
      <w:p w14:paraId="70AB1A37" w14:textId="47BC8A7E" w:rsidR="00E51DCF" w:rsidRDefault="00E51DCF">
        <w:pPr>
          <w:pStyle w:val="Footer"/>
          <w:jc w:val="right"/>
        </w:pPr>
        <w:r>
          <w:fldChar w:fldCharType="begin"/>
        </w:r>
        <w:r>
          <w:instrText xml:space="preserve"> PAGE   \* MERGEFORMAT </w:instrText>
        </w:r>
        <w:r>
          <w:fldChar w:fldCharType="separate"/>
        </w:r>
        <w:r w:rsidR="006E7CA1">
          <w:rPr>
            <w:noProof/>
          </w:rPr>
          <w:t>1</w:t>
        </w:r>
        <w:r>
          <w:rPr>
            <w:noProof/>
          </w:rPr>
          <w:fldChar w:fldCharType="end"/>
        </w:r>
      </w:p>
    </w:sdtContent>
  </w:sdt>
  <w:p w14:paraId="240AAC11" w14:textId="77777777" w:rsidR="00E51DCF" w:rsidRDefault="00E51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46DA" w14:textId="77777777" w:rsidR="003D4E8B" w:rsidRDefault="003D4E8B" w:rsidP="005E1781">
      <w:r>
        <w:separator/>
      </w:r>
    </w:p>
  </w:footnote>
  <w:footnote w:type="continuationSeparator" w:id="0">
    <w:p w14:paraId="7DC15E7D" w14:textId="77777777" w:rsidR="003D4E8B" w:rsidRDefault="003D4E8B" w:rsidP="005E1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ACA"/>
    <w:multiLevelType w:val="hybridMultilevel"/>
    <w:tmpl w:val="D230FB9E"/>
    <w:lvl w:ilvl="0" w:tplc="56E024B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9459D"/>
    <w:multiLevelType w:val="hybridMultilevel"/>
    <w:tmpl w:val="1EFE7AB4"/>
    <w:lvl w:ilvl="0" w:tplc="41362A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00E16"/>
    <w:multiLevelType w:val="hybridMultilevel"/>
    <w:tmpl w:val="879E2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AD5244"/>
    <w:multiLevelType w:val="hybridMultilevel"/>
    <w:tmpl w:val="143CA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F71DF3"/>
    <w:multiLevelType w:val="hybridMultilevel"/>
    <w:tmpl w:val="6CDC9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92126"/>
    <w:multiLevelType w:val="hybridMultilevel"/>
    <w:tmpl w:val="AA0CF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35"/>
    <w:rsid w:val="000035D1"/>
    <w:rsid w:val="00006322"/>
    <w:rsid w:val="00026CBF"/>
    <w:rsid w:val="000271E9"/>
    <w:rsid w:val="00047B00"/>
    <w:rsid w:val="00057B60"/>
    <w:rsid w:val="00074868"/>
    <w:rsid w:val="00074C4C"/>
    <w:rsid w:val="000B1A3F"/>
    <w:rsid w:val="000E25EF"/>
    <w:rsid w:val="000F0CFE"/>
    <w:rsid w:val="000F3420"/>
    <w:rsid w:val="000F7C42"/>
    <w:rsid w:val="0010639C"/>
    <w:rsid w:val="001224E7"/>
    <w:rsid w:val="00136A2D"/>
    <w:rsid w:val="00146121"/>
    <w:rsid w:val="00165FF2"/>
    <w:rsid w:val="001837F0"/>
    <w:rsid w:val="00190D28"/>
    <w:rsid w:val="001920CE"/>
    <w:rsid w:val="00197F5E"/>
    <w:rsid w:val="001B04BE"/>
    <w:rsid w:val="001C2679"/>
    <w:rsid w:val="001D4474"/>
    <w:rsid w:val="001E0496"/>
    <w:rsid w:val="001F0F04"/>
    <w:rsid w:val="001F1FF6"/>
    <w:rsid w:val="0021600B"/>
    <w:rsid w:val="002179DD"/>
    <w:rsid w:val="002229D1"/>
    <w:rsid w:val="00224845"/>
    <w:rsid w:val="002275DE"/>
    <w:rsid w:val="00234D2E"/>
    <w:rsid w:val="002370BB"/>
    <w:rsid w:val="00253E91"/>
    <w:rsid w:val="0025459A"/>
    <w:rsid w:val="0025680B"/>
    <w:rsid w:val="0028083A"/>
    <w:rsid w:val="0029346A"/>
    <w:rsid w:val="00297DC9"/>
    <w:rsid w:val="002B0932"/>
    <w:rsid w:val="002B3AC7"/>
    <w:rsid w:val="002C3E21"/>
    <w:rsid w:val="002D291A"/>
    <w:rsid w:val="002E7F30"/>
    <w:rsid w:val="003008BD"/>
    <w:rsid w:val="0031011C"/>
    <w:rsid w:val="003124EC"/>
    <w:rsid w:val="003354C3"/>
    <w:rsid w:val="00337736"/>
    <w:rsid w:val="00346EC0"/>
    <w:rsid w:val="00355238"/>
    <w:rsid w:val="003626CA"/>
    <w:rsid w:val="00363709"/>
    <w:rsid w:val="00366F09"/>
    <w:rsid w:val="003768E0"/>
    <w:rsid w:val="003819D7"/>
    <w:rsid w:val="003851AE"/>
    <w:rsid w:val="00393FCF"/>
    <w:rsid w:val="003A19B7"/>
    <w:rsid w:val="003C2029"/>
    <w:rsid w:val="003D4E8B"/>
    <w:rsid w:val="003F0A19"/>
    <w:rsid w:val="004001F5"/>
    <w:rsid w:val="00400DCC"/>
    <w:rsid w:val="00400EFB"/>
    <w:rsid w:val="00405B48"/>
    <w:rsid w:val="00415897"/>
    <w:rsid w:val="00415DEA"/>
    <w:rsid w:val="00417A51"/>
    <w:rsid w:val="00430948"/>
    <w:rsid w:val="00432178"/>
    <w:rsid w:val="0043320A"/>
    <w:rsid w:val="0044771C"/>
    <w:rsid w:val="00474611"/>
    <w:rsid w:val="004C349D"/>
    <w:rsid w:val="004C4D2B"/>
    <w:rsid w:val="004E26A4"/>
    <w:rsid w:val="004E3670"/>
    <w:rsid w:val="004F35E4"/>
    <w:rsid w:val="00501AC7"/>
    <w:rsid w:val="00513346"/>
    <w:rsid w:val="00514878"/>
    <w:rsid w:val="00517D5B"/>
    <w:rsid w:val="00546AC3"/>
    <w:rsid w:val="00553B5D"/>
    <w:rsid w:val="00560F1D"/>
    <w:rsid w:val="00572A2D"/>
    <w:rsid w:val="00573A64"/>
    <w:rsid w:val="00573C01"/>
    <w:rsid w:val="00585BC0"/>
    <w:rsid w:val="00591B11"/>
    <w:rsid w:val="00594BFD"/>
    <w:rsid w:val="005951D3"/>
    <w:rsid w:val="005B5A7B"/>
    <w:rsid w:val="005C3111"/>
    <w:rsid w:val="005D450D"/>
    <w:rsid w:val="005E124C"/>
    <w:rsid w:val="005E1781"/>
    <w:rsid w:val="00600836"/>
    <w:rsid w:val="00632EAA"/>
    <w:rsid w:val="00634E28"/>
    <w:rsid w:val="006423FE"/>
    <w:rsid w:val="00647ABB"/>
    <w:rsid w:val="006678A4"/>
    <w:rsid w:val="0069190C"/>
    <w:rsid w:val="006A161A"/>
    <w:rsid w:val="006B07BC"/>
    <w:rsid w:val="006B4EEA"/>
    <w:rsid w:val="006B4F3E"/>
    <w:rsid w:val="006B5F72"/>
    <w:rsid w:val="006D5F55"/>
    <w:rsid w:val="006D62F8"/>
    <w:rsid w:val="006E1273"/>
    <w:rsid w:val="006E2434"/>
    <w:rsid w:val="006E7CA1"/>
    <w:rsid w:val="006F0DFA"/>
    <w:rsid w:val="006F2D34"/>
    <w:rsid w:val="00703235"/>
    <w:rsid w:val="00703533"/>
    <w:rsid w:val="007048CC"/>
    <w:rsid w:val="00732C83"/>
    <w:rsid w:val="00733C5F"/>
    <w:rsid w:val="00740BAD"/>
    <w:rsid w:val="00746FB4"/>
    <w:rsid w:val="00750852"/>
    <w:rsid w:val="00763EC2"/>
    <w:rsid w:val="007663B3"/>
    <w:rsid w:val="00782255"/>
    <w:rsid w:val="00797988"/>
    <w:rsid w:val="007A2773"/>
    <w:rsid w:val="007A4515"/>
    <w:rsid w:val="007B5EB4"/>
    <w:rsid w:val="007B74A9"/>
    <w:rsid w:val="007D015E"/>
    <w:rsid w:val="007D2C4C"/>
    <w:rsid w:val="007D37BC"/>
    <w:rsid w:val="007E32A3"/>
    <w:rsid w:val="007F3153"/>
    <w:rsid w:val="00801903"/>
    <w:rsid w:val="0080380A"/>
    <w:rsid w:val="00812C9A"/>
    <w:rsid w:val="00814422"/>
    <w:rsid w:val="00815688"/>
    <w:rsid w:val="00834E68"/>
    <w:rsid w:val="008404F2"/>
    <w:rsid w:val="00843708"/>
    <w:rsid w:val="00844606"/>
    <w:rsid w:val="00847AA0"/>
    <w:rsid w:val="00851070"/>
    <w:rsid w:val="00871C25"/>
    <w:rsid w:val="0087511D"/>
    <w:rsid w:val="008919B0"/>
    <w:rsid w:val="008A5588"/>
    <w:rsid w:val="008B6167"/>
    <w:rsid w:val="008B6455"/>
    <w:rsid w:val="008C4529"/>
    <w:rsid w:val="008C5E5E"/>
    <w:rsid w:val="008D69EC"/>
    <w:rsid w:val="008E1170"/>
    <w:rsid w:val="008F0652"/>
    <w:rsid w:val="008F55D0"/>
    <w:rsid w:val="00911AEC"/>
    <w:rsid w:val="0092162C"/>
    <w:rsid w:val="0092660F"/>
    <w:rsid w:val="009269F2"/>
    <w:rsid w:val="00952473"/>
    <w:rsid w:val="0095525B"/>
    <w:rsid w:val="0096057B"/>
    <w:rsid w:val="00974B54"/>
    <w:rsid w:val="009A2B71"/>
    <w:rsid w:val="009A2E91"/>
    <w:rsid w:val="009A4F0A"/>
    <w:rsid w:val="009B4DB7"/>
    <w:rsid w:val="009B5787"/>
    <w:rsid w:val="009D3D48"/>
    <w:rsid w:val="009D562F"/>
    <w:rsid w:val="009D7CBF"/>
    <w:rsid w:val="009E076C"/>
    <w:rsid w:val="009F2005"/>
    <w:rsid w:val="009F3F16"/>
    <w:rsid w:val="00A14213"/>
    <w:rsid w:val="00A1463A"/>
    <w:rsid w:val="00A2218A"/>
    <w:rsid w:val="00A40E0B"/>
    <w:rsid w:val="00A73062"/>
    <w:rsid w:val="00A822C2"/>
    <w:rsid w:val="00A972A4"/>
    <w:rsid w:val="00A97A68"/>
    <w:rsid w:val="00A97BA3"/>
    <w:rsid w:val="00A97E31"/>
    <w:rsid w:val="00AA0EE5"/>
    <w:rsid w:val="00AB6191"/>
    <w:rsid w:val="00AD2784"/>
    <w:rsid w:val="00B0798A"/>
    <w:rsid w:val="00B13465"/>
    <w:rsid w:val="00B57966"/>
    <w:rsid w:val="00B66BA8"/>
    <w:rsid w:val="00B714A2"/>
    <w:rsid w:val="00B73D00"/>
    <w:rsid w:val="00B74186"/>
    <w:rsid w:val="00B91086"/>
    <w:rsid w:val="00B91BCB"/>
    <w:rsid w:val="00B974F6"/>
    <w:rsid w:val="00BA4C7D"/>
    <w:rsid w:val="00BB0CB5"/>
    <w:rsid w:val="00BB50A9"/>
    <w:rsid w:val="00BC19E5"/>
    <w:rsid w:val="00BC418F"/>
    <w:rsid w:val="00BD0129"/>
    <w:rsid w:val="00BD0579"/>
    <w:rsid w:val="00BE249A"/>
    <w:rsid w:val="00BE2DC5"/>
    <w:rsid w:val="00BE4B65"/>
    <w:rsid w:val="00C02C25"/>
    <w:rsid w:val="00C16A27"/>
    <w:rsid w:val="00C268E2"/>
    <w:rsid w:val="00C35AF9"/>
    <w:rsid w:val="00C37913"/>
    <w:rsid w:val="00C43FB7"/>
    <w:rsid w:val="00C65071"/>
    <w:rsid w:val="00C67C82"/>
    <w:rsid w:val="00C70E06"/>
    <w:rsid w:val="00C71895"/>
    <w:rsid w:val="00C76701"/>
    <w:rsid w:val="00CA5337"/>
    <w:rsid w:val="00CB5F6F"/>
    <w:rsid w:val="00CB7FC4"/>
    <w:rsid w:val="00CC5CE1"/>
    <w:rsid w:val="00CD3C3C"/>
    <w:rsid w:val="00CF2A5A"/>
    <w:rsid w:val="00CF4182"/>
    <w:rsid w:val="00CF6FD7"/>
    <w:rsid w:val="00D06CD1"/>
    <w:rsid w:val="00D14BCB"/>
    <w:rsid w:val="00D3349F"/>
    <w:rsid w:val="00D411A0"/>
    <w:rsid w:val="00D50642"/>
    <w:rsid w:val="00D56012"/>
    <w:rsid w:val="00D7119E"/>
    <w:rsid w:val="00D76CD0"/>
    <w:rsid w:val="00D8299B"/>
    <w:rsid w:val="00D97236"/>
    <w:rsid w:val="00DA05EC"/>
    <w:rsid w:val="00DA360D"/>
    <w:rsid w:val="00DA4A0D"/>
    <w:rsid w:val="00DB1775"/>
    <w:rsid w:val="00DB1FD5"/>
    <w:rsid w:val="00DC244F"/>
    <w:rsid w:val="00DF6604"/>
    <w:rsid w:val="00DF7B41"/>
    <w:rsid w:val="00E066FB"/>
    <w:rsid w:val="00E2159A"/>
    <w:rsid w:val="00E45ABB"/>
    <w:rsid w:val="00E51DCF"/>
    <w:rsid w:val="00E56B36"/>
    <w:rsid w:val="00E600F2"/>
    <w:rsid w:val="00E84FB5"/>
    <w:rsid w:val="00E861FB"/>
    <w:rsid w:val="00E90CA2"/>
    <w:rsid w:val="00EA5FD7"/>
    <w:rsid w:val="00ED035D"/>
    <w:rsid w:val="00ED1CE7"/>
    <w:rsid w:val="00ED6CCE"/>
    <w:rsid w:val="00EE07B7"/>
    <w:rsid w:val="00EF4321"/>
    <w:rsid w:val="00F0337C"/>
    <w:rsid w:val="00F043E4"/>
    <w:rsid w:val="00F04C14"/>
    <w:rsid w:val="00F23387"/>
    <w:rsid w:val="00F3636B"/>
    <w:rsid w:val="00F70A30"/>
    <w:rsid w:val="00F71053"/>
    <w:rsid w:val="00F7590B"/>
    <w:rsid w:val="00F75D88"/>
    <w:rsid w:val="00F77F63"/>
    <w:rsid w:val="00F85B09"/>
    <w:rsid w:val="00F87775"/>
    <w:rsid w:val="00F91B56"/>
    <w:rsid w:val="00F93347"/>
    <w:rsid w:val="00F9447F"/>
    <w:rsid w:val="00F949C8"/>
    <w:rsid w:val="00FB696C"/>
    <w:rsid w:val="00FD36A1"/>
    <w:rsid w:val="00FE0FE3"/>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3E38"/>
  <w15:chartTrackingRefBased/>
  <w15:docId w15:val="{02CDC608-E878-0A46-95F8-62F934B4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235"/>
    <w:pPr>
      <w:ind w:left="720"/>
      <w:contextualSpacing/>
    </w:pPr>
  </w:style>
  <w:style w:type="paragraph" w:styleId="Header">
    <w:name w:val="header"/>
    <w:basedOn w:val="Normal"/>
    <w:link w:val="HeaderChar"/>
    <w:uiPriority w:val="99"/>
    <w:unhideWhenUsed/>
    <w:rsid w:val="005E1781"/>
    <w:pPr>
      <w:tabs>
        <w:tab w:val="center" w:pos="4680"/>
        <w:tab w:val="right" w:pos="9360"/>
      </w:tabs>
    </w:pPr>
  </w:style>
  <w:style w:type="character" w:customStyle="1" w:styleId="HeaderChar">
    <w:name w:val="Header Char"/>
    <w:basedOn w:val="DefaultParagraphFont"/>
    <w:link w:val="Header"/>
    <w:uiPriority w:val="99"/>
    <w:rsid w:val="005E1781"/>
  </w:style>
  <w:style w:type="paragraph" w:styleId="Footer">
    <w:name w:val="footer"/>
    <w:basedOn w:val="Normal"/>
    <w:link w:val="FooterChar"/>
    <w:uiPriority w:val="99"/>
    <w:unhideWhenUsed/>
    <w:rsid w:val="005E1781"/>
    <w:pPr>
      <w:tabs>
        <w:tab w:val="center" w:pos="4680"/>
        <w:tab w:val="right" w:pos="9360"/>
      </w:tabs>
    </w:pPr>
  </w:style>
  <w:style w:type="character" w:customStyle="1" w:styleId="FooterChar">
    <w:name w:val="Footer Char"/>
    <w:basedOn w:val="DefaultParagraphFont"/>
    <w:link w:val="Footer"/>
    <w:uiPriority w:val="99"/>
    <w:rsid w:val="005E1781"/>
  </w:style>
  <w:style w:type="character" w:styleId="CommentReference">
    <w:name w:val="annotation reference"/>
    <w:basedOn w:val="DefaultParagraphFont"/>
    <w:uiPriority w:val="99"/>
    <w:semiHidden/>
    <w:unhideWhenUsed/>
    <w:rsid w:val="00047B00"/>
    <w:rPr>
      <w:sz w:val="16"/>
      <w:szCs w:val="16"/>
    </w:rPr>
  </w:style>
  <w:style w:type="paragraph" w:styleId="CommentText">
    <w:name w:val="annotation text"/>
    <w:basedOn w:val="Normal"/>
    <w:link w:val="CommentTextChar"/>
    <w:uiPriority w:val="99"/>
    <w:semiHidden/>
    <w:unhideWhenUsed/>
    <w:rsid w:val="00047B00"/>
    <w:rPr>
      <w:sz w:val="20"/>
      <w:szCs w:val="20"/>
    </w:rPr>
  </w:style>
  <w:style w:type="character" w:customStyle="1" w:styleId="CommentTextChar">
    <w:name w:val="Comment Text Char"/>
    <w:basedOn w:val="DefaultParagraphFont"/>
    <w:link w:val="CommentText"/>
    <w:uiPriority w:val="99"/>
    <w:semiHidden/>
    <w:rsid w:val="00047B00"/>
    <w:rPr>
      <w:sz w:val="20"/>
      <w:szCs w:val="20"/>
    </w:rPr>
  </w:style>
  <w:style w:type="paragraph" w:styleId="CommentSubject">
    <w:name w:val="annotation subject"/>
    <w:basedOn w:val="CommentText"/>
    <w:next w:val="CommentText"/>
    <w:link w:val="CommentSubjectChar"/>
    <w:uiPriority w:val="99"/>
    <w:semiHidden/>
    <w:unhideWhenUsed/>
    <w:rsid w:val="00812C9A"/>
    <w:rPr>
      <w:b/>
      <w:bCs/>
    </w:rPr>
  </w:style>
  <w:style w:type="character" w:customStyle="1" w:styleId="CommentSubjectChar">
    <w:name w:val="Comment Subject Char"/>
    <w:basedOn w:val="CommentTextChar"/>
    <w:link w:val="CommentSubject"/>
    <w:uiPriority w:val="99"/>
    <w:semiHidden/>
    <w:rsid w:val="00812C9A"/>
    <w:rPr>
      <w:b/>
      <w:bCs/>
      <w:sz w:val="20"/>
      <w:szCs w:val="20"/>
    </w:rPr>
  </w:style>
  <w:style w:type="paragraph" w:styleId="BalloonText">
    <w:name w:val="Balloon Text"/>
    <w:basedOn w:val="Normal"/>
    <w:link w:val="BalloonTextChar"/>
    <w:uiPriority w:val="99"/>
    <w:semiHidden/>
    <w:unhideWhenUsed/>
    <w:rsid w:val="00F71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53"/>
    <w:rPr>
      <w:rFonts w:ascii="Segoe UI" w:hAnsi="Segoe UI" w:cs="Segoe UI"/>
      <w:sz w:val="18"/>
      <w:szCs w:val="18"/>
    </w:rPr>
  </w:style>
  <w:style w:type="paragraph" w:styleId="Revision">
    <w:name w:val="Revision"/>
    <w:hidden/>
    <w:uiPriority w:val="99"/>
    <w:semiHidden/>
    <w:rsid w:val="009A2B71"/>
  </w:style>
  <w:style w:type="character" w:styleId="Hyperlink">
    <w:name w:val="Hyperlink"/>
    <w:basedOn w:val="DefaultParagraphFont"/>
    <w:uiPriority w:val="99"/>
    <w:unhideWhenUsed/>
    <w:rsid w:val="001920CE"/>
    <w:rPr>
      <w:color w:val="0563C1" w:themeColor="hyperlink"/>
      <w:u w:val="single"/>
    </w:rPr>
  </w:style>
  <w:style w:type="character" w:customStyle="1" w:styleId="UnresolvedMention1">
    <w:name w:val="Unresolved Mention1"/>
    <w:basedOn w:val="DefaultParagraphFont"/>
    <w:uiPriority w:val="99"/>
    <w:semiHidden/>
    <w:unhideWhenUsed/>
    <w:rsid w:val="001920CE"/>
    <w:rPr>
      <w:color w:val="605E5C"/>
      <w:shd w:val="clear" w:color="auto" w:fill="E1DFDD"/>
    </w:rPr>
  </w:style>
  <w:style w:type="character" w:customStyle="1" w:styleId="text">
    <w:name w:val="text"/>
    <w:basedOn w:val="DefaultParagraphFont"/>
    <w:rsid w:val="00234D2E"/>
  </w:style>
  <w:style w:type="character" w:customStyle="1" w:styleId="UnresolvedMention2">
    <w:name w:val="Unresolved Mention2"/>
    <w:basedOn w:val="DefaultParagraphFont"/>
    <w:uiPriority w:val="99"/>
    <w:semiHidden/>
    <w:unhideWhenUsed/>
    <w:rsid w:val="00DB1775"/>
    <w:rPr>
      <w:color w:val="605E5C"/>
      <w:shd w:val="clear" w:color="auto" w:fill="E1DFDD"/>
    </w:rPr>
  </w:style>
  <w:style w:type="character" w:customStyle="1" w:styleId="UnresolvedMention3">
    <w:name w:val="Unresolved Mention3"/>
    <w:basedOn w:val="DefaultParagraphFont"/>
    <w:uiPriority w:val="99"/>
    <w:semiHidden/>
    <w:unhideWhenUsed/>
    <w:rsid w:val="009A4F0A"/>
    <w:rPr>
      <w:color w:val="605E5C"/>
      <w:shd w:val="clear" w:color="auto" w:fill="E1DFDD"/>
    </w:rPr>
  </w:style>
  <w:style w:type="character" w:styleId="FollowedHyperlink">
    <w:name w:val="FollowedHyperlink"/>
    <w:basedOn w:val="DefaultParagraphFont"/>
    <w:uiPriority w:val="99"/>
    <w:semiHidden/>
    <w:unhideWhenUsed/>
    <w:rsid w:val="009A4F0A"/>
    <w:rPr>
      <w:color w:val="954F72" w:themeColor="followedHyperlink"/>
      <w:u w:val="single"/>
    </w:rPr>
  </w:style>
  <w:style w:type="character" w:customStyle="1" w:styleId="UnresolvedMention4">
    <w:name w:val="Unresolved Mention4"/>
    <w:basedOn w:val="DefaultParagraphFont"/>
    <w:uiPriority w:val="99"/>
    <w:semiHidden/>
    <w:unhideWhenUsed/>
    <w:rsid w:val="00AD2784"/>
    <w:rPr>
      <w:color w:val="605E5C"/>
      <w:shd w:val="clear" w:color="auto" w:fill="E1DFDD"/>
    </w:rPr>
  </w:style>
  <w:style w:type="character" w:styleId="Strong">
    <w:name w:val="Strong"/>
    <w:basedOn w:val="DefaultParagraphFont"/>
    <w:uiPriority w:val="22"/>
    <w:qFormat/>
    <w:rsid w:val="00F93347"/>
    <w:rPr>
      <w:b/>
      <w:bCs/>
    </w:rPr>
  </w:style>
  <w:style w:type="character" w:customStyle="1" w:styleId="UnresolvedMention5">
    <w:name w:val="Unresolved Mention5"/>
    <w:basedOn w:val="DefaultParagraphFont"/>
    <w:uiPriority w:val="99"/>
    <w:semiHidden/>
    <w:unhideWhenUsed/>
    <w:rsid w:val="00F93347"/>
    <w:rPr>
      <w:color w:val="605E5C"/>
      <w:shd w:val="clear" w:color="auto" w:fill="E1DFDD"/>
    </w:rPr>
  </w:style>
  <w:style w:type="character" w:styleId="LineNumber">
    <w:name w:val="line number"/>
    <w:basedOn w:val="DefaultParagraphFont"/>
    <w:uiPriority w:val="99"/>
    <w:semiHidden/>
    <w:unhideWhenUsed/>
    <w:rsid w:val="0025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1015">
      <w:bodyDiv w:val="1"/>
      <w:marLeft w:val="0"/>
      <w:marRight w:val="0"/>
      <w:marTop w:val="0"/>
      <w:marBottom w:val="0"/>
      <w:divBdr>
        <w:top w:val="none" w:sz="0" w:space="0" w:color="auto"/>
        <w:left w:val="none" w:sz="0" w:space="0" w:color="auto"/>
        <w:bottom w:val="none" w:sz="0" w:space="0" w:color="auto"/>
        <w:right w:val="none" w:sz="0" w:space="0" w:color="auto"/>
      </w:divBdr>
    </w:div>
    <w:div w:id="244191904">
      <w:bodyDiv w:val="1"/>
      <w:marLeft w:val="0"/>
      <w:marRight w:val="0"/>
      <w:marTop w:val="0"/>
      <w:marBottom w:val="0"/>
      <w:divBdr>
        <w:top w:val="none" w:sz="0" w:space="0" w:color="auto"/>
        <w:left w:val="none" w:sz="0" w:space="0" w:color="auto"/>
        <w:bottom w:val="none" w:sz="0" w:space="0" w:color="auto"/>
        <w:right w:val="none" w:sz="0" w:space="0" w:color="auto"/>
      </w:divBdr>
    </w:div>
    <w:div w:id="300037681">
      <w:bodyDiv w:val="1"/>
      <w:marLeft w:val="0"/>
      <w:marRight w:val="0"/>
      <w:marTop w:val="0"/>
      <w:marBottom w:val="0"/>
      <w:divBdr>
        <w:top w:val="none" w:sz="0" w:space="0" w:color="auto"/>
        <w:left w:val="none" w:sz="0" w:space="0" w:color="auto"/>
        <w:bottom w:val="none" w:sz="0" w:space="0" w:color="auto"/>
        <w:right w:val="none" w:sz="0" w:space="0" w:color="auto"/>
      </w:divBdr>
      <w:divsChild>
        <w:div w:id="711268944">
          <w:marLeft w:val="446"/>
          <w:marRight w:val="0"/>
          <w:marTop w:val="0"/>
          <w:marBottom w:val="240"/>
          <w:divBdr>
            <w:top w:val="none" w:sz="0" w:space="0" w:color="auto"/>
            <w:left w:val="none" w:sz="0" w:space="0" w:color="auto"/>
            <w:bottom w:val="none" w:sz="0" w:space="0" w:color="auto"/>
            <w:right w:val="none" w:sz="0" w:space="0" w:color="auto"/>
          </w:divBdr>
        </w:div>
      </w:divsChild>
    </w:div>
    <w:div w:id="416439948">
      <w:bodyDiv w:val="1"/>
      <w:marLeft w:val="0"/>
      <w:marRight w:val="0"/>
      <w:marTop w:val="0"/>
      <w:marBottom w:val="0"/>
      <w:divBdr>
        <w:top w:val="none" w:sz="0" w:space="0" w:color="auto"/>
        <w:left w:val="none" w:sz="0" w:space="0" w:color="auto"/>
        <w:bottom w:val="none" w:sz="0" w:space="0" w:color="auto"/>
        <w:right w:val="none" w:sz="0" w:space="0" w:color="auto"/>
      </w:divBdr>
    </w:div>
    <w:div w:id="416444829">
      <w:bodyDiv w:val="1"/>
      <w:marLeft w:val="0"/>
      <w:marRight w:val="0"/>
      <w:marTop w:val="0"/>
      <w:marBottom w:val="0"/>
      <w:divBdr>
        <w:top w:val="none" w:sz="0" w:space="0" w:color="auto"/>
        <w:left w:val="none" w:sz="0" w:space="0" w:color="auto"/>
        <w:bottom w:val="none" w:sz="0" w:space="0" w:color="auto"/>
        <w:right w:val="none" w:sz="0" w:space="0" w:color="auto"/>
      </w:divBdr>
    </w:div>
    <w:div w:id="676805409">
      <w:bodyDiv w:val="1"/>
      <w:marLeft w:val="0"/>
      <w:marRight w:val="0"/>
      <w:marTop w:val="0"/>
      <w:marBottom w:val="0"/>
      <w:divBdr>
        <w:top w:val="none" w:sz="0" w:space="0" w:color="auto"/>
        <w:left w:val="none" w:sz="0" w:space="0" w:color="auto"/>
        <w:bottom w:val="none" w:sz="0" w:space="0" w:color="auto"/>
        <w:right w:val="none" w:sz="0" w:space="0" w:color="auto"/>
      </w:divBdr>
    </w:div>
    <w:div w:id="684596156">
      <w:bodyDiv w:val="1"/>
      <w:marLeft w:val="0"/>
      <w:marRight w:val="0"/>
      <w:marTop w:val="0"/>
      <w:marBottom w:val="0"/>
      <w:divBdr>
        <w:top w:val="none" w:sz="0" w:space="0" w:color="auto"/>
        <w:left w:val="none" w:sz="0" w:space="0" w:color="auto"/>
        <w:bottom w:val="none" w:sz="0" w:space="0" w:color="auto"/>
        <w:right w:val="none" w:sz="0" w:space="0" w:color="auto"/>
      </w:divBdr>
      <w:divsChild>
        <w:div w:id="1157651533">
          <w:marLeft w:val="0"/>
          <w:marRight w:val="0"/>
          <w:marTop w:val="0"/>
          <w:marBottom w:val="0"/>
          <w:divBdr>
            <w:top w:val="none" w:sz="0" w:space="0" w:color="auto"/>
            <w:left w:val="none" w:sz="0" w:space="0" w:color="auto"/>
            <w:bottom w:val="none" w:sz="0" w:space="0" w:color="auto"/>
            <w:right w:val="none" w:sz="0" w:space="0" w:color="auto"/>
          </w:divBdr>
          <w:divsChild>
            <w:div w:id="500242490">
              <w:marLeft w:val="0"/>
              <w:marRight w:val="0"/>
              <w:marTop w:val="0"/>
              <w:marBottom w:val="240"/>
              <w:divBdr>
                <w:top w:val="none" w:sz="0" w:space="0" w:color="auto"/>
                <w:left w:val="none" w:sz="0" w:space="0" w:color="auto"/>
                <w:bottom w:val="none" w:sz="0" w:space="0" w:color="auto"/>
                <w:right w:val="none" w:sz="0" w:space="0" w:color="auto"/>
              </w:divBdr>
            </w:div>
            <w:div w:id="2125884758">
              <w:marLeft w:val="0"/>
              <w:marRight w:val="0"/>
              <w:marTop w:val="0"/>
              <w:marBottom w:val="240"/>
              <w:divBdr>
                <w:top w:val="none" w:sz="0" w:space="0" w:color="auto"/>
                <w:left w:val="none" w:sz="0" w:space="0" w:color="auto"/>
                <w:bottom w:val="none" w:sz="0" w:space="0" w:color="auto"/>
                <w:right w:val="none" w:sz="0" w:space="0" w:color="auto"/>
              </w:divBdr>
            </w:div>
            <w:div w:id="445122538">
              <w:marLeft w:val="0"/>
              <w:marRight w:val="0"/>
              <w:marTop w:val="0"/>
              <w:marBottom w:val="240"/>
              <w:divBdr>
                <w:top w:val="none" w:sz="0" w:space="0" w:color="auto"/>
                <w:left w:val="none" w:sz="0" w:space="0" w:color="auto"/>
                <w:bottom w:val="none" w:sz="0" w:space="0" w:color="auto"/>
                <w:right w:val="none" w:sz="0" w:space="0" w:color="auto"/>
              </w:divBdr>
            </w:div>
            <w:div w:id="516847753">
              <w:marLeft w:val="0"/>
              <w:marRight w:val="0"/>
              <w:marTop w:val="0"/>
              <w:marBottom w:val="240"/>
              <w:divBdr>
                <w:top w:val="none" w:sz="0" w:space="0" w:color="auto"/>
                <w:left w:val="none" w:sz="0" w:space="0" w:color="auto"/>
                <w:bottom w:val="none" w:sz="0" w:space="0" w:color="auto"/>
                <w:right w:val="none" w:sz="0" w:space="0" w:color="auto"/>
              </w:divBdr>
            </w:div>
            <w:div w:id="1040714525">
              <w:marLeft w:val="0"/>
              <w:marRight w:val="0"/>
              <w:marTop w:val="0"/>
              <w:marBottom w:val="240"/>
              <w:divBdr>
                <w:top w:val="none" w:sz="0" w:space="0" w:color="auto"/>
                <w:left w:val="none" w:sz="0" w:space="0" w:color="auto"/>
                <w:bottom w:val="none" w:sz="0" w:space="0" w:color="auto"/>
                <w:right w:val="none" w:sz="0" w:space="0" w:color="auto"/>
              </w:divBdr>
            </w:div>
            <w:div w:id="1915160215">
              <w:marLeft w:val="0"/>
              <w:marRight w:val="0"/>
              <w:marTop w:val="0"/>
              <w:marBottom w:val="240"/>
              <w:divBdr>
                <w:top w:val="none" w:sz="0" w:space="0" w:color="auto"/>
                <w:left w:val="none" w:sz="0" w:space="0" w:color="auto"/>
                <w:bottom w:val="none" w:sz="0" w:space="0" w:color="auto"/>
                <w:right w:val="none" w:sz="0" w:space="0" w:color="auto"/>
              </w:divBdr>
            </w:div>
            <w:div w:id="1430614234">
              <w:marLeft w:val="0"/>
              <w:marRight w:val="0"/>
              <w:marTop w:val="0"/>
              <w:marBottom w:val="240"/>
              <w:divBdr>
                <w:top w:val="none" w:sz="0" w:space="0" w:color="auto"/>
                <w:left w:val="none" w:sz="0" w:space="0" w:color="auto"/>
                <w:bottom w:val="none" w:sz="0" w:space="0" w:color="auto"/>
                <w:right w:val="none" w:sz="0" w:space="0" w:color="auto"/>
              </w:divBdr>
            </w:div>
            <w:div w:id="131295236">
              <w:marLeft w:val="0"/>
              <w:marRight w:val="0"/>
              <w:marTop w:val="0"/>
              <w:marBottom w:val="240"/>
              <w:divBdr>
                <w:top w:val="none" w:sz="0" w:space="0" w:color="auto"/>
                <w:left w:val="none" w:sz="0" w:space="0" w:color="auto"/>
                <w:bottom w:val="none" w:sz="0" w:space="0" w:color="auto"/>
                <w:right w:val="none" w:sz="0" w:space="0" w:color="auto"/>
              </w:divBdr>
            </w:div>
            <w:div w:id="292370304">
              <w:marLeft w:val="0"/>
              <w:marRight w:val="0"/>
              <w:marTop w:val="0"/>
              <w:marBottom w:val="240"/>
              <w:divBdr>
                <w:top w:val="none" w:sz="0" w:space="0" w:color="auto"/>
                <w:left w:val="none" w:sz="0" w:space="0" w:color="auto"/>
                <w:bottom w:val="none" w:sz="0" w:space="0" w:color="auto"/>
                <w:right w:val="none" w:sz="0" w:space="0" w:color="auto"/>
              </w:divBdr>
            </w:div>
            <w:div w:id="920875248">
              <w:marLeft w:val="0"/>
              <w:marRight w:val="0"/>
              <w:marTop w:val="0"/>
              <w:marBottom w:val="240"/>
              <w:divBdr>
                <w:top w:val="none" w:sz="0" w:space="0" w:color="auto"/>
                <w:left w:val="none" w:sz="0" w:space="0" w:color="auto"/>
                <w:bottom w:val="none" w:sz="0" w:space="0" w:color="auto"/>
                <w:right w:val="none" w:sz="0" w:space="0" w:color="auto"/>
              </w:divBdr>
            </w:div>
            <w:div w:id="1243830459">
              <w:marLeft w:val="0"/>
              <w:marRight w:val="0"/>
              <w:marTop w:val="0"/>
              <w:marBottom w:val="240"/>
              <w:divBdr>
                <w:top w:val="none" w:sz="0" w:space="0" w:color="auto"/>
                <w:left w:val="none" w:sz="0" w:space="0" w:color="auto"/>
                <w:bottom w:val="none" w:sz="0" w:space="0" w:color="auto"/>
                <w:right w:val="none" w:sz="0" w:space="0" w:color="auto"/>
              </w:divBdr>
            </w:div>
            <w:div w:id="723406267">
              <w:marLeft w:val="0"/>
              <w:marRight w:val="0"/>
              <w:marTop w:val="0"/>
              <w:marBottom w:val="240"/>
              <w:divBdr>
                <w:top w:val="none" w:sz="0" w:space="0" w:color="auto"/>
                <w:left w:val="none" w:sz="0" w:space="0" w:color="auto"/>
                <w:bottom w:val="none" w:sz="0" w:space="0" w:color="auto"/>
                <w:right w:val="none" w:sz="0" w:space="0" w:color="auto"/>
              </w:divBdr>
            </w:div>
            <w:div w:id="585650917">
              <w:marLeft w:val="0"/>
              <w:marRight w:val="0"/>
              <w:marTop w:val="0"/>
              <w:marBottom w:val="240"/>
              <w:divBdr>
                <w:top w:val="none" w:sz="0" w:space="0" w:color="auto"/>
                <w:left w:val="none" w:sz="0" w:space="0" w:color="auto"/>
                <w:bottom w:val="none" w:sz="0" w:space="0" w:color="auto"/>
                <w:right w:val="none" w:sz="0" w:space="0" w:color="auto"/>
              </w:divBdr>
            </w:div>
            <w:div w:id="694114925">
              <w:marLeft w:val="0"/>
              <w:marRight w:val="0"/>
              <w:marTop w:val="0"/>
              <w:marBottom w:val="240"/>
              <w:divBdr>
                <w:top w:val="none" w:sz="0" w:space="0" w:color="auto"/>
                <w:left w:val="none" w:sz="0" w:space="0" w:color="auto"/>
                <w:bottom w:val="none" w:sz="0" w:space="0" w:color="auto"/>
                <w:right w:val="none" w:sz="0" w:space="0" w:color="auto"/>
              </w:divBdr>
            </w:div>
            <w:div w:id="934478649">
              <w:marLeft w:val="0"/>
              <w:marRight w:val="0"/>
              <w:marTop w:val="0"/>
              <w:marBottom w:val="240"/>
              <w:divBdr>
                <w:top w:val="none" w:sz="0" w:space="0" w:color="auto"/>
                <w:left w:val="none" w:sz="0" w:space="0" w:color="auto"/>
                <w:bottom w:val="none" w:sz="0" w:space="0" w:color="auto"/>
                <w:right w:val="none" w:sz="0" w:space="0" w:color="auto"/>
              </w:divBdr>
            </w:div>
            <w:div w:id="969702260">
              <w:marLeft w:val="0"/>
              <w:marRight w:val="0"/>
              <w:marTop w:val="0"/>
              <w:marBottom w:val="240"/>
              <w:divBdr>
                <w:top w:val="none" w:sz="0" w:space="0" w:color="auto"/>
                <w:left w:val="none" w:sz="0" w:space="0" w:color="auto"/>
                <w:bottom w:val="none" w:sz="0" w:space="0" w:color="auto"/>
                <w:right w:val="none" w:sz="0" w:space="0" w:color="auto"/>
              </w:divBdr>
            </w:div>
            <w:div w:id="1001586933">
              <w:marLeft w:val="0"/>
              <w:marRight w:val="0"/>
              <w:marTop w:val="0"/>
              <w:marBottom w:val="240"/>
              <w:divBdr>
                <w:top w:val="none" w:sz="0" w:space="0" w:color="auto"/>
                <w:left w:val="none" w:sz="0" w:space="0" w:color="auto"/>
                <w:bottom w:val="none" w:sz="0" w:space="0" w:color="auto"/>
                <w:right w:val="none" w:sz="0" w:space="0" w:color="auto"/>
              </w:divBdr>
            </w:div>
            <w:div w:id="1246305133">
              <w:marLeft w:val="0"/>
              <w:marRight w:val="0"/>
              <w:marTop w:val="0"/>
              <w:marBottom w:val="240"/>
              <w:divBdr>
                <w:top w:val="none" w:sz="0" w:space="0" w:color="auto"/>
                <w:left w:val="none" w:sz="0" w:space="0" w:color="auto"/>
                <w:bottom w:val="none" w:sz="0" w:space="0" w:color="auto"/>
                <w:right w:val="none" w:sz="0" w:space="0" w:color="auto"/>
              </w:divBdr>
            </w:div>
            <w:div w:id="861553965">
              <w:marLeft w:val="0"/>
              <w:marRight w:val="0"/>
              <w:marTop w:val="0"/>
              <w:marBottom w:val="240"/>
              <w:divBdr>
                <w:top w:val="none" w:sz="0" w:space="0" w:color="auto"/>
                <w:left w:val="none" w:sz="0" w:space="0" w:color="auto"/>
                <w:bottom w:val="none" w:sz="0" w:space="0" w:color="auto"/>
                <w:right w:val="none" w:sz="0" w:space="0" w:color="auto"/>
              </w:divBdr>
            </w:div>
            <w:div w:id="1828207576">
              <w:marLeft w:val="0"/>
              <w:marRight w:val="0"/>
              <w:marTop w:val="0"/>
              <w:marBottom w:val="240"/>
              <w:divBdr>
                <w:top w:val="none" w:sz="0" w:space="0" w:color="auto"/>
                <w:left w:val="none" w:sz="0" w:space="0" w:color="auto"/>
                <w:bottom w:val="none" w:sz="0" w:space="0" w:color="auto"/>
                <w:right w:val="none" w:sz="0" w:space="0" w:color="auto"/>
              </w:divBdr>
            </w:div>
            <w:div w:id="1603537290">
              <w:marLeft w:val="0"/>
              <w:marRight w:val="0"/>
              <w:marTop w:val="0"/>
              <w:marBottom w:val="240"/>
              <w:divBdr>
                <w:top w:val="none" w:sz="0" w:space="0" w:color="auto"/>
                <w:left w:val="none" w:sz="0" w:space="0" w:color="auto"/>
                <w:bottom w:val="none" w:sz="0" w:space="0" w:color="auto"/>
                <w:right w:val="none" w:sz="0" w:space="0" w:color="auto"/>
              </w:divBdr>
            </w:div>
            <w:div w:id="5790385">
              <w:marLeft w:val="0"/>
              <w:marRight w:val="0"/>
              <w:marTop w:val="0"/>
              <w:marBottom w:val="240"/>
              <w:divBdr>
                <w:top w:val="none" w:sz="0" w:space="0" w:color="auto"/>
                <w:left w:val="none" w:sz="0" w:space="0" w:color="auto"/>
                <w:bottom w:val="none" w:sz="0" w:space="0" w:color="auto"/>
                <w:right w:val="none" w:sz="0" w:space="0" w:color="auto"/>
              </w:divBdr>
            </w:div>
            <w:div w:id="1307710197">
              <w:marLeft w:val="0"/>
              <w:marRight w:val="0"/>
              <w:marTop w:val="0"/>
              <w:marBottom w:val="240"/>
              <w:divBdr>
                <w:top w:val="none" w:sz="0" w:space="0" w:color="auto"/>
                <w:left w:val="none" w:sz="0" w:space="0" w:color="auto"/>
                <w:bottom w:val="none" w:sz="0" w:space="0" w:color="auto"/>
                <w:right w:val="none" w:sz="0" w:space="0" w:color="auto"/>
              </w:divBdr>
            </w:div>
            <w:div w:id="10890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844">
      <w:bodyDiv w:val="1"/>
      <w:marLeft w:val="0"/>
      <w:marRight w:val="0"/>
      <w:marTop w:val="0"/>
      <w:marBottom w:val="0"/>
      <w:divBdr>
        <w:top w:val="none" w:sz="0" w:space="0" w:color="auto"/>
        <w:left w:val="none" w:sz="0" w:space="0" w:color="auto"/>
        <w:bottom w:val="none" w:sz="0" w:space="0" w:color="auto"/>
        <w:right w:val="none" w:sz="0" w:space="0" w:color="auto"/>
      </w:divBdr>
    </w:div>
    <w:div w:id="707950882">
      <w:bodyDiv w:val="1"/>
      <w:marLeft w:val="0"/>
      <w:marRight w:val="0"/>
      <w:marTop w:val="0"/>
      <w:marBottom w:val="0"/>
      <w:divBdr>
        <w:top w:val="none" w:sz="0" w:space="0" w:color="auto"/>
        <w:left w:val="none" w:sz="0" w:space="0" w:color="auto"/>
        <w:bottom w:val="none" w:sz="0" w:space="0" w:color="auto"/>
        <w:right w:val="none" w:sz="0" w:space="0" w:color="auto"/>
      </w:divBdr>
    </w:div>
    <w:div w:id="921262518">
      <w:bodyDiv w:val="1"/>
      <w:marLeft w:val="0"/>
      <w:marRight w:val="0"/>
      <w:marTop w:val="0"/>
      <w:marBottom w:val="0"/>
      <w:divBdr>
        <w:top w:val="none" w:sz="0" w:space="0" w:color="auto"/>
        <w:left w:val="none" w:sz="0" w:space="0" w:color="auto"/>
        <w:bottom w:val="none" w:sz="0" w:space="0" w:color="auto"/>
        <w:right w:val="none" w:sz="0" w:space="0" w:color="auto"/>
      </w:divBdr>
    </w:div>
    <w:div w:id="1223567177">
      <w:bodyDiv w:val="1"/>
      <w:marLeft w:val="0"/>
      <w:marRight w:val="0"/>
      <w:marTop w:val="0"/>
      <w:marBottom w:val="0"/>
      <w:divBdr>
        <w:top w:val="none" w:sz="0" w:space="0" w:color="auto"/>
        <w:left w:val="none" w:sz="0" w:space="0" w:color="auto"/>
        <w:bottom w:val="none" w:sz="0" w:space="0" w:color="auto"/>
        <w:right w:val="none" w:sz="0" w:space="0" w:color="auto"/>
      </w:divBdr>
    </w:div>
    <w:div w:id="1227187218">
      <w:bodyDiv w:val="1"/>
      <w:marLeft w:val="0"/>
      <w:marRight w:val="0"/>
      <w:marTop w:val="0"/>
      <w:marBottom w:val="0"/>
      <w:divBdr>
        <w:top w:val="none" w:sz="0" w:space="0" w:color="auto"/>
        <w:left w:val="none" w:sz="0" w:space="0" w:color="auto"/>
        <w:bottom w:val="none" w:sz="0" w:space="0" w:color="auto"/>
        <w:right w:val="none" w:sz="0" w:space="0" w:color="auto"/>
      </w:divBdr>
    </w:div>
    <w:div w:id="1244948475">
      <w:bodyDiv w:val="1"/>
      <w:marLeft w:val="0"/>
      <w:marRight w:val="0"/>
      <w:marTop w:val="0"/>
      <w:marBottom w:val="0"/>
      <w:divBdr>
        <w:top w:val="none" w:sz="0" w:space="0" w:color="auto"/>
        <w:left w:val="none" w:sz="0" w:space="0" w:color="auto"/>
        <w:bottom w:val="none" w:sz="0" w:space="0" w:color="auto"/>
        <w:right w:val="none" w:sz="0" w:space="0" w:color="auto"/>
      </w:divBdr>
    </w:div>
    <w:div w:id="1373266071">
      <w:bodyDiv w:val="1"/>
      <w:marLeft w:val="0"/>
      <w:marRight w:val="0"/>
      <w:marTop w:val="0"/>
      <w:marBottom w:val="0"/>
      <w:divBdr>
        <w:top w:val="none" w:sz="0" w:space="0" w:color="auto"/>
        <w:left w:val="none" w:sz="0" w:space="0" w:color="auto"/>
        <w:bottom w:val="none" w:sz="0" w:space="0" w:color="auto"/>
        <w:right w:val="none" w:sz="0" w:space="0" w:color="auto"/>
      </w:divBdr>
    </w:div>
    <w:div w:id="1458717269">
      <w:bodyDiv w:val="1"/>
      <w:marLeft w:val="0"/>
      <w:marRight w:val="0"/>
      <w:marTop w:val="0"/>
      <w:marBottom w:val="0"/>
      <w:divBdr>
        <w:top w:val="none" w:sz="0" w:space="0" w:color="auto"/>
        <w:left w:val="none" w:sz="0" w:space="0" w:color="auto"/>
        <w:bottom w:val="none" w:sz="0" w:space="0" w:color="auto"/>
        <w:right w:val="none" w:sz="0" w:space="0" w:color="auto"/>
      </w:divBdr>
    </w:div>
    <w:div w:id="1497115062">
      <w:bodyDiv w:val="1"/>
      <w:marLeft w:val="0"/>
      <w:marRight w:val="0"/>
      <w:marTop w:val="0"/>
      <w:marBottom w:val="0"/>
      <w:divBdr>
        <w:top w:val="none" w:sz="0" w:space="0" w:color="auto"/>
        <w:left w:val="none" w:sz="0" w:space="0" w:color="auto"/>
        <w:bottom w:val="none" w:sz="0" w:space="0" w:color="auto"/>
        <w:right w:val="none" w:sz="0" w:space="0" w:color="auto"/>
      </w:divBdr>
      <w:divsChild>
        <w:div w:id="651103832">
          <w:marLeft w:val="446"/>
          <w:marRight w:val="0"/>
          <w:marTop w:val="0"/>
          <w:marBottom w:val="240"/>
          <w:divBdr>
            <w:top w:val="none" w:sz="0" w:space="0" w:color="auto"/>
            <w:left w:val="none" w:sz="0" w:space="0" w:color="auto"/>
            <w:bottom w:val="none" w:sz="0" w:space="0" w:color="auto"/>
            <w:right w:val="none" w:sz="0" w:space="0" w:color="auto"/>
          </w:divBdr>
        </w:div>
      </w:divsChild>
    </w:div>
    <w:div w:id="1615599483">
      <w:bodyDiv w:val="1"/>
      <w:marLeft w:val="0"/>
      <w:marRight w:val="0"/>
      <w:marTop w:val="0"/>
      <w:marBottom w:val="0"/>
      <w:divBdr>
        <w:top w:val="none" w:sz="0" w:space="0" w:color="auto"/>
        <w:left w:val="none" w:sz="0" w:space="0" w:color="auto"/>
        <w:bottom w:val="none" w:sz="0" w:space="0" w:color="auto"/>
        <w:right w:val="none" w:sz="0" w:space="0" w:color="auto"/>
      </w:divBdr>
      <w:divsChild>
        <w:div w:id="296492809">
          <w:marLeft w:val="446"/>
          <w:marRight w:val="0"/>
          <w:marTop w:val="0"/>
          <w:marBottom w:val="0"/>
          <w:divBdr>
            <w:top w:val="none" w:sz="0" w:space="0" w:color="auto"/>
            <w:left w:val="none" w:sz="0" w:space="0" w:color="auto"/>
            <w:bottom w:val="none" w:sz="0" w:space="0" w:color="auto"/>
            <w:right w:val="none" w:sz="0" w:space="0" w:color="auto"/>
          </w:divBdr>
        </w:div>
        <w:div w:id="330649059">
          <w:marLeft w:val="446"/>
          <w:marRight w:val="0"/>
          <w:marTop w:val="0"/>
          <w:marBottom w:val="0"/>
          <w:divBdr>
            <w:top w:val="none" w:sz="0" w:space="0" w:color="auto"/>
            <w:left w:val="none" w:sz="0" w:space="0" w:color="auto"/>
            <w:bottom w:val="none" w:sz="0" w:space="0" w:color="auto"/>
            <w:right w:val="none" w:sz="0" w:space="0" w:color="auto"/>
          </w:divBdr>
        </w:div>
        <w:div w:id="1499155951">
          <w:marLeft w:val="446"/>
          <w:marRight w:val="0"/>
          <w:marTop w:val="0"/>
          <w:marBottom w:val="0"/>
          <w:divBdr>
            <w:top w:val="none" w:sz="0" w:space="0" w:color="auto"/>
            <w:left w:val="none" w:sz="0" w:space="0" w:color="auto"/>
            <w:bottom w:val="none" w:sz="0" w:space="0" w:color="auto"/>
            <w:right w:val="none" w:sz="0" w:space="0" w:color="auto"/>
          </w:divBdr>
        </w:div>
        <w:div w:id="1049299664">
          <w:marLeft w:val="446"/>
          <w:marRight w:val="0"/>
          <w:marTop w:val="0"/>
          <w:marBottom w:val="0"/>
          <w:divBdr>
            <w:top w:val="none" w:sz="0" w:space="0" w:color="auto"/>
            <w:left w:val="none" w:sz="0" w:space="0" w:color="auto"/>
            <w:bottom w:val="none" w:sz="0" w:space="0" w:color="auto"/>
            <w:right w:val="none" w:sz="0" w:space="0" w:color="auto"/>
          </w:divBdr>
        </w:div>
        <w:div w:id="534468370">
          <w:marLeft w:val="446"/>
          <w:marRight w:val="0"/>
          <w:marTop w:val="0"/>
          <w:marBottom w:val="0"/>
          <w:divBdr>
            <w:top w:val="none" w:sz="0" w:space="0" w:color="auto"/>
            <w:left w:val="none" w:sz="0" w:space="0" w:color="auto"/>
            <w:bottom w:val="none" w:sz="0" w:space="0" w:color="auto"/>
            <w:right w:val="none" w:sz="0" w:space="0" w:color="auto"/>
          </w:divBdr>
        </w:div>
      </w:divsChild>
    </w:div>
    <w:div w:id="1617634108">
      <w:bodyDiv w:val="1"/>
      <w:marLeft w:val="0"/>
      <w:marRight w:val="0"/>
      <w:marTop w:val="0"/>
      <w:marBottom w:val="0"/>
      <w:divBdr>
        <w:top w:val="none" w:sz="0" w:space="0" w:color="auto"/>
        <w:left w:val="none" w:sz="0" w:space="0" w:color="auto"/>
        <w:bottom w:val="none" w:sz="0" w:space="0" w:color="auto"/>
        <w:right w:val="none" w:sz="0" w:space="0" w:color="auto"/>
      </w:divBdr>
    </w:div>
    <w:div w:id="1809008327">
      <w:bodyDiv w:val="1"/>
      <w:marLeft w:val="0"/>
      <w:marRight w:val="0"/>
      <w:marTop w:val="0"/>
      <w:marBottom w:val="0"/>
      <w:divBdr>
        <w:top w:val="none" w:sz="0" w:space="0" w:color="auto"/>
        <w:left w:val="none" w:sz="0" w:space="0" w:color="auto"/>
        <w:bottom w:val="none" w:sz="0" w:space="0" w:color="auto"/>
        <w:right w:val="none" w:sz="0" w:space="0" w:color="auto"/>
      </w:divBdr>
    </w:div>
    <w:div w:id="1897622262">
      <w:bodyDiv w:val="1"/>
      <w:marLeft w:val="0"/>
      <w:marRight w:val="0"/>
      <w:marTop w:val="0"/>
      <w:marBottom w:val="0"/>
      <w:divBdr>
        <w:top w:val="none" w:sz="0" w:space="0" w:color="auto"/>
        <w:left w:val="none" w:sz="0" w:space="0" w:color="auto"/>
        <w:bottom w:val="none" w:sz="0" w:space="0" w:color="auto"/>
        <w:right w:val="none" w:sz="0" w:space="0" w:color="auto"/>
      </w:divBdr>
    </w:div>
    <w:div w:id="1986886391">
      <w:bodyDiv w:val="1"/>
      <w:marLeft w:val="0"/>
      <w:marRight w:val="0"/>
      <w:marTop w:val="0"/>
      <w:marBottom w:val="0"/>
      <w:divBdr>
        <w:top w:val="none" w:sz="0" w:space="0" w:color="auto"/>
        <w:left w:val="none" w:sz="0" w:space="0" w:color="auto"/>
        <w:bottom w:val="none" w:sz="0" w:space="0" w:color="auto"/>
        <w:right w:val="none" w:sz="0" w:space="0" w:color="auto"/>
      </w:divBdr>
      <w:divsChild>
        <w:div w:id="137697932">
          <w:marLeft w:val="1166"/>
          <w:marRight w:val="0"/>
          <w:marTop w:val="0"/>
          <w:marBottom w:val="120"/>
          <w:divBdr>
            <w:top w:val="none" w:sz="0" w:space="0" w:color="auto"/>
            <w:left w:val="none" w:sz="0" w:space="0" w:color="auto"/>
            <w:bottom w:val="none" w:sz="0" w:space="0" w:color="auto"/>
            <w:right w:val="none" w:sz="0" w:space="0" w:color="auto"/>
          </w:divBdr>
        </w:div>
      </w:divsChild>
    </w:div>
    <w:div w:id="2036805013">
      <w:bodyDiv w:val="1"/>
      <w:marLeft w:val="0"/>
      <w:marRight w:val="0"/>
      <w:marTop w:val="0"/>
      <w:marBottom w:val="0"/>
      <w:divBdr>
        <w:top w:val="none" w:sz="0" w:space="0" w:color="auto"/>
        <w:left w:val="none" w:sz="0" w:space="0" w:color="auto"/>
        <w:bottom w:val="none" w:sz="0" w:space="0" w:color="auto"/>
        <w:right w:val="none" w:sz="0" w:space="0" w:color="auto"/>
      </w:divBdr>
      <w:divsChild>
        <w:div w:id="1241402984">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950268808001556" TargetMode="External"/><Relationship Id="rId13" Type="http://schemas.openxmlformats.org/officeDocument/2006/relationships/hyperlink" Target="https://www.ons.gov.uk/employmentandlabourmarket/peopleinwork/earningsandworkinghours/datasets/smallareaincomeestimatesformiddlelayersuperoutputareasenglandandwales" TargetMode="External"/><Relationship Id="rId18" Type="http://schemas.openxmlformats.org/officeDocument/2006/relationships/hyperlink" Target="https://www.liverpool.ac.uk/csd/software-support/survey-softwa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ns.gov.uk/peoplepopulationandcommunity/populationandmigration/populationestimates/datasets/lowersuperoutputareamidyearpopulationestimates.%20Accessed%2030%20Apr%202021" TargetMode="External"/><Relationship Id="rId17" Type="http://schemas.openxmlformats.org/officeDocument/2006/relationships/hyperlink" Target="https://www.ons.gov.uk/peoplepopulationandcommunity/populationandmigration/populationestimates/articles/overviewoftheukpopulation/january2021" TargetMode="External"/><Relationship Id="rId2" Type="http://schemas.openxmlformats.org/officeDocument/2006/relationships/numbering" Target="numbering.xml"/><Relationship Id="rId16" Type="http://schemas.openxmlformats.org/officeDocument/2006/relationships/hyperlink" Target="https://www.ons.gov.uk/peoplepopulationandcommunity/personalandhouseholdfinances/incomeandwealth/bulletins/householddisposableincomeandinequality/yearending2018" TargetMode="External"/><Relationship Id="rId20" Type="http://schemas.openxmlformats.org/officeDocument/2006/relationships/hyperlink" Target="https://www.nhs.uk/conditions/diarrhoea-and-vomi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36/bmjopen-2017-017947" TargetMode="External"/><Relationship Id="rId5" Type="http://schemas.openxmlformats.org/officeDocument/2006/relationships/webSettings" Target="webSettings.xml"/><Relationship Id="rId15" Type="http://schemas.openxmlformats.org/officeDocument/2006/relationships/hyperlink" Target="https://www.ons.gov.uk/datasets/mid-year-pop-est/editions/mid-2019-april-2020-geography/versions/2"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publications/bowel-cancer-screening-kit-how-to-use/nhs-bowel-cancer-screening-fit-kit-instructions" TargetMode="External"/><Relationship Id="rId4" Type="http://schemas.openxmlformats.org/officeDocument/2006/relationships/settings" Target="settings.xml"/><Relationship Id="rId9" Type="http://schemas.openxmlformats.org/officeDocument/2006/relationships/hyperlink" Target="https://www.gov.uk/government/publications/bowel-cancer-screening-kit-how-to-use/nhs-bowel-cancer-screening-fit-kit-instructions" TargetMode="External"/><Relationship Id="rId14" Type="http://schemas.openxmlformats.org/officeDocument/2006/relationships/hyperlink" Target="https://www.ons.gov.uk/peoplepopulationandcommunity/populationandmigration/populationestimates/articles/researchreportonpopulationestimatesbyethnicgroupandreligion/2019-12-04/previous/v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46DC-F9E8-4A1D-955B-CD0330F5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Rowan</dc:creator>
  <cp:keywords/>
  <dc:description/>
  <cp:lastModifiedBy>Hungerford, Dan</cp:lastModifiedBy>
  <cp:revision>2</cp:revision>
  <dcterms:created xsi:type="dcterms:W3CDTF">2022-04-28T08:47:00Z</dcterms:created>
  <dcterms:modified xsi:type="dcterms:W3CDTF">2022-04-28T08:47:00Z</dcterms:modified>
</cp:coreProperties>
</file>