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C033" w14:textId="21838A92" w:rsidR="000D6F44" w:rsidRPr="003973A8" w:rsidRDefault="000D6F44" w:rsidP="00064C83">
      <w:pPr>
        <w:spacing w:line="360" w:lineRule="auto"/>
        <w:jc w:val="center"/>
        <w:rPr>
          <w:rFonts w:ascii="Times New Roman" w:hAnsi="Times New Roman" w:cs="Times New Roman"/>
          <w:b/>
          <w:bCs/>
        </w:rPr>
      </w:pPr>
      <w:r w:rsidRPr="008373A2">
        <w:rPr>
          <w:rFonts w:ascii="Times New Roman" w:hAnsi="Times New Roman" w:cs="Times New Roman"/>
          <w:b/>
          <w:bCs/>
        </w:rPr>
        <w:t>The</w:t>
      </w:r>
      <w:r w:rsidR="003F4E11" w:rsidRPr="003973A8">
        <w:rPr>
          <w:rFonts w:ascii="Times New Roman" w:hAnsi="Times New Roman" w:cs="Times New Roman"/>
          <w:b/>
          <w:bCs/>
        </w:rPr>
        <w:t xml:space="preserve"> </w:t>
      </w:r>
      <w:r w:rsidRPr="003973A8">
        <w:rPr>
          <w:rFonts w:ascii="Times New Roman" w:hAnsi="Times New Roman" w:cs="Times New Roman"/>
          <w:b/>
          <w:bCs/>
        </w:rPr>
        <w:t xml:space="preserve">nature and context of rules </w:t>
      </w:r>
      <w:r w:rsidR="005C10C8" w:rsidRPr="003973A8">
        <w:rPr>
          <w:rFonts w:ascii="Times New Roman" w:hAnsi="Times New Roman" w:cs="Times New Roman"/>
          <w:b/>
          <w:bCs/>
        </w:rPr>
        <w:t>and</w:t>
      </w:r>
      <w:r w:rsidRPr="003973A8">
        <w:rPr>
          <w:rFonts w:ascii="Times New Roman" w:hAnsi="Times New Roman" w:cs="Times New Roman"/>
          <w:b/>
          <w:bCs/>
        </w:rPr>
        <w:t xml:space="preserve"> the identification of customary international law</w:t>
      </w:r>
    </w:p>
    <w:p w14:paraId="2282B810" w14:textId="77777777" w:rsidR="00321E47" w:rsidRDefault="00321E47" w:rsidP="00321E47">
      <w:pPr>
        <w:spacing w:line="360" w:lineRule="auto"/>
        <w:jc w:val="center"/>
        <w:rPr>
          <w:rFonts w:ascii="Times New Roman" w:hAnsi="Times New Roman" w:cs="Times New Roman"/>
        </w:rPr>
      </w:pPr>
      <w:r>
        <w:rPr>
          <w:rFonts w:ascii="Times New Roman" w:hAnsi="Times New Roman" w:cs="Times New Roman"/>
        </w:rPr>
        <w:t>Katie A. Johnston*</w:t>
      </w:r>
    </w:p>
    <w:p w14:paraId="5D13D72D" w14:textId="50C1ED65" w:rsidR="0014404E" w:rsidRDefault="0014404E" w:rsidP="00064C83">
      <w:pPr>
        <w:spacing w:line="360" w:lineRule="auto"/>
        <w:jc w:val="both"/>
        <w:rPr>
          <w:rFonts w:ascii="Times New Roman" w:hAnsi="Times New Roman" w:cs="Times New Roman"/>
        </w:rPr>
      </w:pPr>
    </w:p>
    <w:p w14:paraId="71F5E237" w14:textId="5398B590" w:rsidR="004C7366" w:rsidRPr="00C81A70" w:rsidRDefault="004C7366" w:rsidP="00064C83">
      <w:pPr>
        <w:spacing w:line="360" w:lineRule="auto"/>
        <w:jc w:val="both"/>
        <w:rPr>
          <w:rFonts w:ascii="Times New Roman" w:hAnsi="Times New Roman" w:cs="Times New Roman"/>
          <w:b/>
          <w:bCs/>
        </w:rPr>
      </w:pPr>
      <w:r w:rsidRPr="00C81A70">
        <w:rPr>
          <w:rFonts w:ascii="Times New Roman" w:hAnsi="Times New Roman" w:cs="Times New Roman"/>
          <w:b/>
          <w:bCs/>
        </w:rPr>
        <w:t>Abstract</w:t>
      </w:r>
    </w:p>
    <w:p w14:paraId="3ABD239E" w14:textId="74EDA862" w:rsidR="004C7366" w:rsidRPr="00C81A70" w:rsidRDefault="004C7366" w:rsidP="00064C83">
      <w:pPr>
        <w:spacing w:line="360" w:lineRule="auto"/>
        <w:jc w:val="both"/>
        <w:rPr>
          <w:rFonts w:ascii="Times New Roman" w:hAnsi="Times New Roman" w:cs="Times New Roman"/>
          <w:i/>
          <w:iCs/>
        </w:rPr>
      </w:pPr>
      <w:r w:rsidRPr="00C81A70">
        <w:rPr>
          <w:rFonts w:ascii="Times New Roman" w:hAnsi="Times New Roman" w:cs="Times New Roman"/>
          <w:i/>
          <w:iCs/>
        </w:rPr>
        <w:t xml:space="preserve">The ICJ regularly invokes a two-element test for the identification of customary international law: state practice accompanied by </w:t>
      </w:r>
      <w:r w:rsidRPr="00C81A70">
        <w:rPr>
          <w:rFonts w:ascii="Times New Roman" w:hAnsi="Times New Roman" w:cs="Times New Roman"/>
        </w:rPr>
        <w:t>opinio juris</w:t>
      </w:r>
      <w:r w:rsidRPr="00C81A70">
        <w:rPr>
          <w:rFonts w:ascii="Times New Roman" w:hAnsi="Times New Roman" w:cs="Times New Roman"/>
          <w:i/>
          <w:iCs/>
        </w:rPr>
        <w:t xml:space="preserve">. Yet the Court’s application of this test has appeared inconsistent. In some cases, an absence of evidence of </w:t>
      </w:r>
      <w:r w:rsidRPr="00C81A70">
        <w:rPr>
          <w:rFonts w:ascii="Times New Roman" w:hAnsi="Times New Roman" w:cs="Times New Roman"/>
        </w:rPr>
        <w:t>opinio juris</w:t>
      </w:r>
      <w:r w:rsidRPr="00563F6C">
        <w:rPr>
          <w:rFonts w:ascii="Times New Roman" w:hAnsi="Times New Roman" w:cs="Times New Roman"/>
          <w:i/>
          <w:iCs/>
        </w:rPr>
        <w:t xml:space="preserve"> </w:t>
      </w:r>
      <w:r w:rsidRPr="00C81A70">
        <w:rPr>
          <w:rFonts w:ascii="Times New Roman" w:hAnsi="Times New Roman" w:cs="Times New Roman"/>
          <w:i/>
          <w:iCs/>
        </w:rPr>
        <w:t>leads to a finding that an alleged rule of customary international law does not exist</w:t>
      </w:r>
      <w:r w:rsidR="00A242DD">
        <w:rPr>
          <w:rFonts w:ascii="Times New Roman" w:hAnsi="Times New Roman" w:cs="Times New Roman"/>
          <w:i/>
          <w:iCs/>
        </w:rPr>
        <w:t>;</w:t>
      </w:r>
      <w:r w:rsidRPr="00C81A70">
        <w:rPr>
          <w:rFonts w:ascii="Times New Roman" w:hAnsi="Times New Roman" w:cs="Times New Roman"/>
          <w:i/>
          <w:iCs/>
        </w:rPr>
        <w:t xml:space="preserve"> yet in other cases there is no clear evidence of </w:t>
      </w:r>
      <w:r w:rsidRPr="00C81A70">
        <w:rPr>
          <w:rFonts w:ascii="Times New Roman" w:hAnsi="Times New Roman" w:cs="Times New Roman"/>
        </w:rPr>
        <w:t>opinio juris</w:t>
      </w:r>
      <w:r w:rsidRPr="00C81A70">
        <w:rPr>
          <w:rFonts w:ascii="Times New Roman" w:hAnsi="Times New Roman" w:cs="Times New Roman"/>
          <w:i/>
          <w:iCs/>
        </w:rPr>
        <w:t xml:space="preserve"> on the part of states participating in the practice, but the Court nevertheless concludes that the alleged customary rule exists. </w:t>
      </w:r>
      <w:r w:rsidR="00B73E2C" w:rsidRPr="00A03E41">
        <w:rPr>
          <w:rFonts w:ascii="Times New Roman" w:hAnsi="Times New Roman" w:cs="Times New Roman"/>
          <w:i/>
          <w:iCs/>
        </w:rPr>
        <w:t>In other cases,</w:t>
      </w:r>
      <w:r w:rsidR="00B73E2C">
        <w:rPr>
          <w:rFonts w:ascii="Times New Roman" w:hAnsi="Times New Roman" w:cs="Times New Roman"/>
          <w:i/>
          <w:iCs/>
        </w:rPr>
        <w:t xml:space="preserve"> </w:t>
      </w:r>
      <w:r w:rsidR="00B73E2C" w:rsidRPr="00A03E41">
        <w:rPr>
          <w:rFonts w:ascii="Times New Roman" w:hAnsi="Times New Roman" w:cs="Times New Roman"/>
          <w:i/>
          <w:iCs/>
        </w:rPr>
        <w:t xml:space="preserve">the Court concludes that a customary rule exists apparently based on evidence of </w:t>
      </w:r>
      <w:r w:rsidR="00B73E2C" w:rsidRPr="00A03E41">
        <w:rPr>
          <w:rFonts w:ascii="Times New Roman" w:hAnsi="Times New Roman" w:cs="Times New Roman"/>
        </w:rPr>
        <w:t>opinio juris</w:t>
      </w:r>
      <w:r w:rsidR="00B73E2C" w:rsidRPr="00A03E41">
        <w:rPr>
          <w:rFonts w:ascii="Times New Roman" w:hAnsi="Times New Roman" w:cs="Times New Roman"/>
          <w:i/>
          <w:iCs/>
        </w:rPr>
        <w:t xml:space="preserve"> alone. </w:t>
      </w:r>
      <w:r w:rsidRPr="00C81A70">
        <w:rPr>
          <w:rFonts w:ascii="Times New Roman" w:hAnsi="Times New Roman" w:cs="Times New Roman"/>
          <w:i/>
          <w:iCs/>
        </w:rPr>
        <w:t xml:space="preserve">This article argues that these judgments do not undermine the Court’s claim to be applying a two-element </w:t>
      </w:r>
      <w:r w:rsidRPr="00C81A70">
        <w:rPr>
          <w:rFonts w:ascii="Times New Roman" w:hAnsi="Times New Roman" w:cs="Times New Roman"/>
          <w:i/>
          <w:iCs/>
        </w:rPr>
        <w:t>a</w:t>
      </w:r>
      <w:r w:rsidRPr="00C81A70">
        <w:rPr>
          <w:rFonts w:ascii="Times New Roman" w:hAnsi="Times New Roman" w:cs="Times New Roman"/>
          <w:i/>
          <w:iCs/>
        </w:rPr>
        <w:t>nalysis</w:t>
      </w:r>
      <w:r w:rsidRPr="00C81A70">
        <w:rPr>
          <w:rFonts w:ascii="Times New Roman" w:hAnsi="Times New Roman" w:cs="Times New Roman"/>
          <w:i/>
          <w:iCs/>
        </w:rPr>
        <w:t xml:space="preserve"> </w:t>
      </w:r>
      <w:r w:rsidRPr="00C81A70">
        <w:rPr>
          <w:rFonts w:ascii="Times New Roman" w:hAnsi="Times New Roman" w:cs="Times New Roman"/>
          <w:i/>
          <w:iCs/>
        </w:rPr>
        <w:t xml:space="preserve">but reveal something fundamental about how customary international law is identified: that how the existence of state practice and </w:t>
      </w:r>
      <w:r w:rsidRPr="00C81A70">
        <w:rPr>
          <w:rFonts w:ascii="Times New Roman" w:hAnsi="Times New Roman" w:cs="Times New Roman"/>
        </w:rPr>
        <w:t>opinio juris</w:t>
      </w:r>
      <w:r w:rsidRPr="00C81A70">
        <w:rPr>
          <w:rFonts w:ascii="Times New Roman" w:hAnsi="Times New Roman" w:cs="Times New Roman"/>
          <w:i/>
          <w:iCs/>
        </w:rPr>
        <w:t xml:space="preserve"> is evaluated may vary depending on the nature of the customary rule under investigation (for example, whether it is a permissive or prohibitive rule) and the context of underlying international law rules in which that alleged </w:t>
      </w:r>
      <w:r w:rsidR="002D67FF">
        <w:rPr>
          <w:rFonts w:ascii="Times New Roman" w:hAnsi="Times New Roman" w:cs="Times New Roman"/>
          <w:i/>
          <w:iCs/>
        </w:rPr>
        <w:t xml:space="preserve">new customary international law </w:t>
      </w:r>
      <w:r w:rsidRPr="00C81A70">
        <w:rPr>
          <w:rFonts w:ascii="Times New Roman" w:hAnsi="Times New Roman" w:cs="Times New Roman"/>
          <w:i/>
          <w:iCs/>
        </w:rPr>
        <w:t xml:space="preserve">rule is located. </w:t>
      </w:r>
    </w:p>
    <w:p w14:paraId="415DA01A" w14:textId="77777777" w:rsidR="004C7366" w:rsidRPr="003973A8" w:rsidRDefault="004C7366" w:rsidP="00064C83">
      <w:pPr>
        <w:spacing w:line="360" w:lineRule="auto"/>
        <w:jc w:val="both"/>
        <w:rPr>
          <w:rFonts w:ascii="Times New Roman" w:hAnsi="Times New Roman" w:cs="Times New Roman"/>
        </w:rPr>
      </w:pPr>
    </w:p>
    <w:p w14:paraId="49B2A420" w14:textId="7B722204" w:rsidR="00A948F9" w:rsidRPr="008373A2" w:rsidRDefault="003A4F67" w:rsidP="00064C83">
      <w:pPr>
        <w:spacing w:line="360" w:lineRule="auto"/>
        <w:jc w:val="both"/>
        <w:rPr>
          <w:rFonts w:ascii="Times New Roman" w:hAnsi="Times New Roman" w:cs="Times New Roman"/>
        </w:rPr>
      </w:pPr>
      <w:r w:rsidRPr="003973A8">
        <w:rPr>
          <w:rFonts w:ascii="Times New Roman" w:hAnsi="Times New Roman" w:cs="Times New Roman"/>
        </w:rPr>
        <w:t>The International Court of Justice</w:t>
      </w:r>
      <w:r w:rsidR="005A7B1F" w:rsidRPr="003973A8">
        <w:rPr>
          <w:rFonts w:ascii="Times New Roman" w:hAnsi="Times New Roman" w:cs="Times New Roman"/>
        </w:rPr>
        <w:t xml:space="preserve"> (ICJ) </w:t>
      </w:r>
      <w:r w:rsidRPr="003973A8">
        <w:rPr>
          <w:rFonts w:ascii="Times New Roman" w:hAnsi="Times New Roman" w:cs="Times New Roman"/>
        </w:rPr>
        <w:t>regularly invokes</w:t>
      </w:r>
      <w:r w:rsidR="00FA2A87" w:rsidRPr="003973A8">
        <w:rPr>
          <w:rFonts w:ascii="Times New Roman" w:hAnsi="Times New Roman" w:cs="Times New Roman"/>
        </w:rPr>
        <w:t xml:space="preserve"> </w:t>
      </w:r>
      <w:r w:rsidR="00F26DAC">
        <w:rPr>
          <w:rFonts w:ascii="Times New Roman" w:hAnsi="Times New Roman" w:cs="Times New Roman"/>
        </w:rPr>
        <w:t>a</w:t>
      </w:r>
      <w:r w:rsidR="00FA2A87" w:rsidRPr="003973A8">
        <w:rPr>
          <w:rFonts w:ascii="Times New Roman" w:hAnsi="Times New Roman" w:cs="Times New Roman"/>
        </w:rPr>
        <w:t xml:space="preserve"> </w:t>
      </w:r>
      <w:r w:rsidR="00335E10" w:rsidRPr="003973A8">
        <w:rPr>
          <w:rFonts w:ascii="Times New Roman" w:hAnsi="Times New Roman" w:cs="Times New Roman"/>
        </w:rPr>
        <w:t>two-element test</w:t>
      </w:r>
      <w:r w:rsidR="00FA2A87" w:rsidRPr="003973A8">
        <w:rPr>
          <w:rFonts w:ascii="Times New Roman" w:hAnsi="Times New Roman" w:cs="Times New Roman"/>
        </w:rPr>
        <w:t xml:space="preserve"> </w:t>
      </w:r>
      <w:r w:rsidR="00BF3E62" w:rsidRPr="003973A8">
        <w:rPr>
          <w:rFonts w:ascii="Times New Roman" w:hAnsi="Times New Roman" w:cs="Times New Roman"/>
        </w:rPr>
        <w:t>for the identification of customary international law</w:t>
      </w:r>
      <w:r w:rsidR="00BF3E62">
        <w:rPr>
          <w:rFonts w:ascii="Times New Roman" w:hAnsi="Times New Roman" w:cs="Times New Roman"/>
        </w:rPr>
        <w:t>:</w:t>
      </w:r>
      <w:r w:rsidR="00FA2A87" w:rsidRPr="003973A8">
        <w:rPr>
          <w:rFonts w:ascii="Times New Roman" w:hAnsi="Times New Roman" w:cs="Times New Roman"/>
        </w:rPr>
        <w:t xml:space="preserve"> state practice accompanied by </w:t>
      </w:r>
      <w:r w:rsidR="00FA2A87" w:rsidRPr="003973A8">
        <w:rPr>
          <w:rFonts w:ascii="Times New Roman" w:hAnsi="Times New Roman" w:cs="Times New Roman"/>
          <w:i/>
          <w:iCs/>
        </w:rPr>
        <w:t>opinio juris</w:t>
      </w:r>
      <w:r w:rsidRPr="003973A8">
        <w:rPr>
          <w:rFonts w:ascii="Times New Roman" w:hAnsi="Times New Roman" w:cs="Times New Roman"/>
        </w:rPr>
        <w:t xml:space="preserve">. Yet </w:t>
      </w:r>
      <w:r w:rsidR="008359D1" w:rsidRPr="00437B04">
        <w:rPr>
          <w:rFonts w:ascii="Times New Roman" w:hAnsi="Times New Roman" w:cs="Times New Roman"/>
        </w:rPr>
        <w:t xml:space="preserve">in its caselaw </w:t>
      </w:r>
      <w:r w:rsidR="00D41D68" w:rsidRPr="008373A2">
        <w:rPr>
          <w:rFonts w:ascii="Times New Roman" w:hAnsi="Times New Roman" w:cs="Times New Roman"/>
        </w:rPr>
        <w:t xml:space="preserve">the Court’s </w:t>
      </w:r>
      <w:r w:rsidR="008F47BD">
        <w:rPr>
          <w:rFonts w:ascii="Times New Roman" w:hAnsi="Times New Roman" w:cs="Times New Roman"/>
        </w:rPr>
        <w:t>application of the test</w:t>
      </w:r>
      <w:r w:rsidR="00D41D68" w:rsidRPr="008373A2">
        <w:rPr>
          <w:rFonts w:ascii="Times New Roman" w:hAnsi="Times New Roman" w:cs="Times New Roman"/>
        </w:rPr>
        <w:t xml:space="preserve"> has appeared inconsistent</w:t>
      </w:r>
      <w:r w:rsidR="003229F7">
        <w:rPr>
          <w:rFonts w:ascii="Times New Roman" w:hAnsi="Times New Roman" w:cs="Times New Roman"/>
        </w:rPr>
        <w:t xml:space="preserve"> as to</w:t>
      </w:r>
      <w:r w:rsidR="00321E47">
        <w:rPr>
          <w:rFonts w:ascii="Times New Roman" w:hAnsi="Times New Roman" w:cs="Times New Roman"/>
        </w:rPr>
        <w:t xml:space="preserve"> whether it </w:t>
      </w:r>
      <w:proofErr w:type="gramStart"/>
      <w:r w:rsidR="004E3747">
        <w:rPr>
          <w:rFonts w:ascii="Times New Roman" w:hAnsi="Times New Roman" w:cs="Times New Roman"/>
        </w:rPr>
        <w:t xml:space="preserve">actually </w:t>
      </w:r>
      <w:r w:rsidR="00321E47">
        <w:rPr>
          <w:rFonts w:ascii="Times New Roman" w:hAnsi="Times New Roman" w:cs="Times New Roman"/>
        </w:rPr>
        <w:t>requires</w:t>
      </w:r>
      <w:proofErr w:type="gramEnd"/>
      <w:r w:rsidR="00321E47">
        <w:rPr>
          <w:rFonts w:ascii="Times New Roman" w:hAnsi="Times New Roman" w:cs="Times New Roman"/>
        </w:rPr>
        <w:t xml:space="preserve"> both elements to be fulfilled</w:t>
      </w:r>
      <w:r w:rsidR="00D3266B">
        <w:rPr>
          <w:rFonts w:ascii="Times New Roman" w:hAnsi="Times New Roman" w:cs="Times New Roman"/>
        </w:rPr>
        <w:t xml:space="preserve"> </w:t>
      </w:r>
      <w:r w:rsidR="001020AF">
        <w:rPr>
          <w:rFonts w:ascii="Times New Roman" w:hAnsi="Times New Roman" w:cs="Times New Roman"/>
        </w:rPr>
        <w:t>in order for a customary international law rule to be identified</w:t>
      </w:r>
      <w:r w:rsidR="00FA2A87" w:rsidRPr="008373A2">
        <w:rPr>
          <w:rFonts w:ascii="Times New Roman" w:hAnsi="Times New Roman" w:cs="Times New Roman"/>
        </w:rPr>
        <w:t xml:space="preserve">. </w:t>
      </w:r>
      <w:r w:rsidR="00B0391F" w:rsidRPr="008373A2">
        <w:rPr>
          <w:rFonts w:ascii="Times New Roman" w:hAnsi="Times New Roman" w:cs="Times New Roman"/>
        </w:rPr>
        <w:t>I</w:t>
      </w:r>
      <w:r w:rsidR="008A14A3" w:rsidRPr="008373A2">
        <w:rPr>
          <w:rFonts w:ascii="Times New Roman" w:hAnsi="Times New Roman" w:cs="Times New Roman"/>
        </w:rPr>
        <w:t xml:space="preserve">n some cases </w:t>
      </w:r>
      <w:r w:rsidR="004559AA">
        <w:rPr>
          <w:rFonts w:ascii="Times New Roman" w:hAnsi="Times New Roman" w:cs="Times New Roman"/>
        </w:rPr>
        <w:t>a lack</w:t>
      </w:r>
      <w:r w:rsidR="008A14A3" w:rsidRPr="008373A2">
        <w:rPr>
          <w:rFonts w:ascii="Times New Roman" w:hAnsi="Times New Roman" w:cs="Times New Roman"/>
        </w:rPr>
        <w:t xml:space="preserve"> of</w:t>
      </w:r>
      <w:r w:rsidR="004559AA">
        <w:rPr>
          <w:rFonts w:ascii="Times New Roman" w:hAnsi="Times New Roman" w:cs="Times New Roman"/>
        </w:rPr>
        <w:t xml:space="preserve"> evidence of</w:t>
      </w:r>
      <w:r w:rsidR="008A14A3" w:rsidRPr="008373A2">
        <w:rPr>
          <w:rFonts w:ascii="Times New Roman" w:hAnsi="Times New Roman" w:cs="Times New Roman"/>
        </w:rPr>
        <w:t xml:space="preserve"> </w:t>
      </w:r>
      <w:r w:rsidR="008A14A3" w:rsidRPr="008373A2">
        <w:rPr>
          <w:rFonts w:ascii="Times New Roman" w:hAnsi="Times New Roman" w:cs="Times New Roman"/>
          <w:i/>
          <w:iCs/>
        </w:rPr>
        <w:t>opinio juris</w:t>
      </w:r>
      <w:r w:rsidR="008A14A3" w:rsidRPr="008373A2">
        <w:rPr>
          <w:rFonts w:ascii="Times New Roman" w:hAnsi="Times New Roman" w:cs="Times New Roman"/>
        </w:rPr>
        <w:t xml:space="preserve"> </w:t>
      </w:r>
      <w:r w:rsidR="00BA7DDA" w:rsidRPr="008373A2">
        <w:rPr>
          <w:rFonts w:ascii="Times New Roman" w:hAnsi="Times New Roman" w:cs="Times New Roman"/>
        </w:rPr>
        <w:t xml:space="preserve">on the part of states participating in a practice </w:t>
      </w:r>
      <w:r w:rsidR="008A14A3" w:rsidRPr="008373A2">
        <w:rPr>
          <w:rFonts w:ascii="Times New Roman" w:hAnsi="Times New Roman" w:cs="Times New Roman"/>
        </w:rPr>
        <w:t xml:space="preserve">has been, </w:t>
      </w:r>
      <w:r w:rsidR="00150F2F" w:rsidRPr="008373A2">
        <w:rPr>
          <w:rFonts w:ascii="Times New Roman" w:hAnsi="Times New Roman" w:cs="Times New Roman"/>
        </w:rPr>
        <w:t>predictably</w:t>
      </w:r>
      <w:r w:rsidR="008A14A3" w:rsidRPr="008373A2">
        <w:rPr>
          <w:rFonts w:ascii="Times New Roman" w:hAnsi="Times New Roman" w:cs="Times New Roman"/>
        </w:rPr>
        <w:t xml:space="preserve">, fatal to </w:t>
      </w:r>
      <w:r w:rsidR="000F79BE" w:rsidRPr="008373A2">
        <w:rPr>
          <w:rFonts w:ascii="Times New Roman" w:hAnsi="Times New Roman" w:cs="Times New Roman"/>
        </w:rPr>
        <w:t>the</w:t>
      </w:r>
      <w:r w:rsidR="008A14A3" w:rsidRPr="008373A2">
        <w:rPr>
          <w:rFonts w:ascii="Times New Roman" w:hAnsi="Times New Roman" w:cs="Times New Roman"/>
        </w:rPr>
        <w:t xml:space="preserve"> argument that a rule of customary international law exists</w:t>
      </w:r>
      <w:r w:rsidR="000F79BE" w:rsidRPr="008373A2">
        <w:rPr>
          <w:rFonts w:ascii="Times New Roman" w:hAnsi="Times New Roman" w:cs="Times New Roman"/>
        </w:rPr>
        <w:t>.</w:t>
      </w:r>
      <w:r w:rsidR="00622B4C" w:rsidRPr="008373A2">
        <w:rPr>
          <w:rStyle w:val="FootnoteReference"/>
          <w:rFonts w:ascii="Times New Roman" w:hAnsi="Times New Roman" w:cs="Times New Roman"/>
        </w:rPr>
        <w:footnoteReference w:id="1"/>
      </w:r>
      <w:r w:rsidR="000F79BE" w:rsidRPr="008373A2">
        <w:rPr>
          <w:rFonts w:ascii="Times New Roman" w:hAnsi="Times New Roman" w:cs="Times New Roman"/>
        </w:rPr>
        <w:t xml:space="preserve"> Y</w:t>
      </w:r>
      <w:r w:rsidR="008A14A3" w:rsidRPr="008373A2">
        <w:rPr>
          <w:rFonts w:ascii="Times New Roman" w:hAnsi="Times New Roman" w:cs="Times New Roman"/>
        </w:rPr>
        <w:t xml:space="preserve">et </w:t>
      </w:r>
      <w:r w:rsidR="003229F7" w:rsidRPr="003229F7">
        <w:rPr>
          <w:rFonts w:ascii="Times New Roman" w:hAnsi="Times New Roman" w:cs="Times New Roman"/>
        </w:rPr>
        <w:t>in other cases</w:t>
      </w:r>
      <w:r w:rsidR="003229F7">
        <w:rPr>
          <w:rFonts w:ascii="Times New Roman" w:hAnsi="Times New Roman" w:cs="Times New Roman"/>
        </w:rPr>
        <w:t>,</w:t>
      </w:r>
      <w:r w:rsidR="003229F7" w:rsidRPr="003229F7">
        <w:rPr>
          <w:rFonts w:ascii="Times New Roman" w:hAnsi="Times New Roman" w:cs="Times New Roman"/>
        </w:rPr>
        <w:t xml:space="preserve"> there is no clear evidence of </w:t>
      </w:r>
      <w:r w:rsidR="003229F7" w:rsidRPr="00C81A70">
        <w:rPr>
          <w:rFonts w:ascii="Times New Roman" w:hAnsi="Times New Roman" w:cs="Times New Roman"/>
          <w:i/>
          <w:iCs/>
        </w:rPr>
        <w:t>opinio juris</w:t>
      </w:r>
      <w:r w:rsidR="003229F7" w:rsidRPr="003229F7">
        <w:rPr>
          <w:rFonts w:ascii="Times New Roman" w:hAnsi="Times New Roman" w:cs="Times New Roman"/>
        </w:rPr>
        <w:t xml:space="preserve"> on the part of states participating in the practice, but the Court nevertheless concludes that the alleged customary </w:t>
      </w:r>
      <w:r w:rsidR="003229F7" w:rsidRPr="003229F7">
        <w:rPr>
          <w:rFonts w:ascii="Times New Roman" w:hAnsi="Times New Roman" w:cs="Times New Roman"/>
        </w:rPr>
        <w:lastRenderedPageBreak/>
        <w:t>rule exists</w:t>
      </w:r>
      <w:r w:rsidR="008A14A3" w:rsidRPr="008373A2">
        <w:rPr>
          <w:rFonts w:ascii="Times New Roman" w:hAnsi="Times New Roman" w:cs="Times New Roman"/>
        </w:rPr>
        <w:t>.</w:t>
      </w:r>
      <w:r w:rsidR="00F42F3F" w:rsidRPr="008373A2">
        <w:rPr>
          <w:rStyle w:val="FootnoteReference"/>
          <w:rFonts w:ascii="Times New Roman" w:hAnsi="Times New Roman" w:cs="Times New Roman"/>
        </w:rPr>
        <w:footnoteReference w:id="2"/>
      </w:r>
      <w:r w:rsidR="008A14A3" w:rsidRPr="008373A2">
        <w:rPr>
          <w:rFonts w:ascii="Times New Roman" w:hAnsi="Times New Roman" w:cs="Times New Roman"/>
        </w:rPr>
        <w:t xml:space="preserve"> </w:t>
      </w:r>
      <w:r w:rsidR="007C042B" w:rsidRPr="008373A2">
        <w:rPr>
          <w:rFonts w:ascii="Times New Roman" w:hAnsi="Times New Roman" w:cs="Times New Roman"/>
        </w:rPr>
        <w:t>In other</w:t>
      </w:r>
      <w:r w:rsidR="00BA7DDA" w:rsidRPr="00437B04">
        <w:rPr>
          <w:rFonts w:ascii="Times New Roman" w:hAnsi="Times New Roman" w:cs="Times New Roman"/>
        </w:rPr>
        <w:t xml:space="preserve"> cases</w:t>
      </w:r>
      <w:r w:rsidR="007C042B" w:rsidRPr="008373A2">
        <w:rPr>
          <w:rFonts w:ascii="Times New Roman" w:hAnsi="Times New Roman" w:cs="Times New Roman"/>
        </w:rPr>
        <w:t>,</w:t>
      </w:r>
      <w:r w:rsidR="00BA7DDA" w:rsidRPr="00437B04">
        <w:rPr>
          <w:rFonts w:ascii="Times New Roman" w:hAnsi="Times New Roman" w:cs="Times New Roman"/>
        </w:rPr>
        <w:t xml:space="preserve"> widespread</w:t>
      </w:r>
      <w:r w:rsidR="007C042B" w:rsidRPr="008373A2">
        <w:rPr>
          <w:rFonts w:ascii="Times New Roman" w:hAnsi="Times New Roman" w:cs="Times New Roman"/>
        </w:rPr>
        <w:t xml:space="preserve"> </w:t>
      </w:r>
      <w:r w:rsidR="007C042B" w:rsidRPr="008373A2">
        <w:rPr>
          <w:rFonts w:ascii="Times New Roman" w:hAnsi="Times New Roman" w:cs="Times New Roman"/>
          <w:i/>
          <w:iCs/>
        </w:rPr>
        <w:t>opinio juris</w:t>
      </w:r>
      <w:r w:rsidR="007C042B" w:rsidRPr="008373A2">
        <w:rPr>
          <w:rFonts w:ascii="Times New Roman" w:hAnsi="Times New Roman" w:cs="Times New Roman"/>
        </w:rPr>
        <w:t xml:space="preserve"> has appeared sufficient to conclude that a </w:t>
      </w:r>
      <w:r w:rsidR="00BA7DDA" w:rsidRPr="00437B04">
        <w:rPr>
          <w:rFonts w:ascii="Times New Roman" w:hAnsi="Times New Roman" w:cs="Times New Roman"/>
        </w:rPr>
        <w:t xml:space="preserve">customary </w:t>
      </w:r>
      <w:r w:rsidR="007C042B" w:rsidRPr="008373A2">
        <w:rPr>
          <w:rFonts w:ascii="Times New Roman" w:hAnsi="Times New Roman" w:cs="Times New Roman"/>
        </w:rPr>
        <w:t>rule exists</w:t>
      </w:r>
      <w:r w:rsidR="00BA7DDA" w:rsidRPr="00437B04">
        <w:rPr>
          <w:rFonts w:ascii="Times New Roman" w:hAnsi="Times New Roman" w:cs="Times New Roman"/>
        </w:rPr>
        <w:t>, despite an apparent absence of state practice</w:t>
      </w:r>
      <w:r w:rsidR="004559AA">
        <w:rPr>
          <w:rFonts w:ascii="Times New Roman" w:hAnsi="Times New Roman" w:cs="Times New Roman"/>
        </w:rPr>
        <w:t xml:space="preserve"> in support of the rule</w:t>
      </w:r>
      <w:r w:rsidR="007C042B" w:rsidRPr="008373A2">
        <w:rPr>
          <w:rFonts w:ascii="Times New Roman" w:hAnsi="Times New Roman" w:cs="Times New Roman"/>
        </w:rPr>
        <w:t>.</w:t>
      </w:r>
      <w:r w:rsidR="007C042B" w:rsidRPr="008373A2">
        <w:rPr>
          <w:rStyle w:val="FootnoteReference"/>
          <w:rFonts w:ascii="Times New Roman" w:hAnsi="Times New Roman" w:cs="Times New Roman"/>
        </w:rPr>
        <w:footnoteReference w:id="3"/>
      </w:r>
    </w:p>
    <w:p w14:paraId="4DEB4B49" w14:textId="77777777" w:rsidR="00A948F9" w:rsidRPr="008373A2" w:rsidRDefault="00A948F9" w:rsidP="00064C83">
      <w:pPr>
        <w:spacing w:line="360" w:lineRule="auto"/>
        <w:jc w:val="both"/>
        <w:rPr>
          <w:rFonts w:ascii="Times New Roman" w:hAnsi="Times New Roman" w:cs="Times New Roman"/>
        </w:rPr>
      </w:pPr>
    </w:p>
    <w:p w14:paraId="3322997C" w14:textId="648FEBC9" w:rsidR="00D76769" w:rsidRDefault="00A948F9" w:rsidP="00064C83">
      <w:pPr>
        <w:spacing w:line="360" w:lineRule="auto"/>
        <w:jc w:val="both"/>
        <w:rPr>
          <w:rFonts w:ascii="Times New Roman" w:hAnsi="Times New Roman" w:cs="Times New Roman"/>
        </w:rPr>
      </w:pPr>
      <w:r w:rsidRPr="008373A2">
        <w:rPr>
          <w:rFonts w:ascii="Times New Roman" w:hAnsi="Times New Roman" w:cs="Times New Roman"/>
        </w:rPr>
        <w:t xml:space="preserve">This article argues that these judgments </w:t>
      </w:r>
      <w:r w:rsidR="005F45FD" w:rsidRPr="008373A2">
        <w:rPr>
          <w:rFonts w:ascii="Times New Roman" w:hAnsi="Times New Roman" w:cs="Times New Roman"/>
        </w:rPr>
        <w:t xml:space="preserve">do not undermine </w:t>
      </w:r>
      <w:r w:rsidR="004559AA">
        <w:rPr>
          <w:rFonts w:ascii="Times New Roman" w:hAnsi="Times New Roman" w:cs="Times New Roman"/>
        </w:rPr>
        <w:t xml:space="preserve">or contradict </w:t>
      </w:r>
      <w:r w:rsidR="005F45FD" w:rsidRPr="008373A2">
        <w:rPr>
          <w:rFonts w:ascii="Times New Roman" w:hAnsi="Times New Roman" w:cs="Times New Roman"/>
        </w:rPr>
        <w:t>the</w:t>
      </w:r>
      <w:r w:rsidR="004559AA">
        <w:rPr>
          <w:rFonts w:ascii="Times New Roman" w:hAnsi="Times New Roman" w:cs="Times New Roman"/>
        </w:rPr>
        <w:t xml:space="preserve"> Court’s claim to be applying a</w:t>
      </w:r>
      <w:r w:rsidR="005F45FD" w:rsidRPr="008373A2">
        <w:rPr>
          <w:rFonts w:ascii="Times New Roman" w:hAnsi="Times New Roman" w:cs="Times New Roman"/>
        </w:rPr>
        <w:t xml:space="preserve"> two-element </w:t>
      </w:r>
      <w:r w:rsidR="004B01BE" w:rsidRPr="008373A2">
        <w:rPr>
          <w:rFonts w:ascii="Times New Roman" w:hAnsi="Times New Roman" w:cs="Times New Roman"/>
        </w:rPr>
        <w:t>a</w:t>
      </w:r>
      <w:r w:rsidR="004B01BE">
        <w:rPr>
          <w:rFonts w:ascii="Times New Roman" w:hAnsi="Times New Roman" w:cs="Times New Roman"/>
        </w:rPr>
        <w:t>nalysis</w:t>
      </w:r>
      <w:r w:rsidR="004B01BE" w:rsidRPr="008373A2">
        <w:rPr>
          <w:rFonts w:ascii="Times New Roman" w:hAnsi="Times New Roman" w:cs="Times New Roman"/>
        </w:rPr>
        <w:t xml:space="preserve"> </w:t>
      </w:r>
      <w:r w:rsidR="005F45FD" w:rsidRPr="008373A2">
        <w:rPr>
          <w:rFonts w:ascii="Times New Roman" w:hAnsi="Times New Roman" w:cs="Times New Roman"/>
        </w:rPr>
        <w:t>but</w:t>
      </w:r>
      <w:r w:rsidR="00107CC0">
        <w:rPr>
          <w:rFonts w:ascii="Times New Roman" w:hAnsi="Times New Roman" w:cs="Times New Roman"/>
        </w:rPr>
        <w:t>, properly understood,</w:t>
      </w:r>
      <w:r w:rsidR="005F45FD" w:rsidRPr="008373A2">
        <w:rPr>
          <w:rFonts w:ascii="Times New Roman" w:hAnsi="Times New Roman" w:cs="Times New Roman"/>
        </w:rPr>
        <w:t xml:space="preserve"> </w:t>
      </w:r>
      <w:r w:rsidRPr="008373A2">
        <w:rPr>
          <w:rFonts w:ascii="Times New Roman" w:hAnsi="Times New Roman" w:cs="Times New Roman"/>
        </w:rPr>
        <w:t xml:space="preserve">reveal something fundamental about how customary international law </w:t>
      </w:r>
      <w:r w:rsidR="004559AA">
        <w:rPr>
          <w:rFonts w:ascii="Times New Roman" w:hAnsi="Times New Roman" w:cs="Times New Roman"/>
        </w:rPr>
        <w:t>is</w:t>
      </w:r>
      <w:r w:rsidRPr="008373A2">
        <w:rPr>
          <w:rFonts w:ascii="Times New Roman" w:hAnsi="Times New Roman" w:cs="Times New Roman"/>
        </w:rPr>
        <w:t xml:space="preserve"> identified: that how the existence of state practice and </w:t>
      </w:r>
      <w:r w:rsidRPr="008373A2">
        <w:rPr>
          <w:rFonts w:ascii="Times New Roman" w:hAnsi="Times New Roman" w:cs="Times New Roman"/>
          <w:i/>
          <w:iCs/>
        </w:rPr>
        <w:t>opinio juris</w:t>
      </w:r>
      <w:r w:rsidRPr="008373A2">
        <w:rPr>
          <w:rFonts w:ascii="Times New Roman" w:hAnsi="Times New Roman" w:cs="Times New Roman"/>
        </w:rPr>
        <w:t xml:space="preserve"> is evaluated</w:t>
      </w:r>
      <w:r w:rsidR="003229F7">
        <w:rPr>
          <w:rFonts w:ascii="Times New Roman" w:hAnsi="Times New Roman" w:cs="Times New Roman"/>
        </w:rPr>
        <w:t>, and the kind of evidence that may be used to satisfy each element,</w:t>
      </w:r>
      <w:r w:rsidR="00D95E6A" w:rsidRPr="008373A2">
        <w:rPr>
          <w:rFonts w:ascii="Times New Roman" w:hAnsi="Times New Roman" w:cs="Times New Roman"/>
        </w:rPr>
        <w:t xml:space="preserve"> </w:t>
      </w:r>
      <w:r w:rsidR="00D92BC9" w:rsidRPr="008373A2">
        <w:rPr>
          <w:rFonts w:ascii="Times New Roman" w:hAnsi="Times New Roman" w:cs="Times New Roman"/>
        </w:rPr>
        <w:t xml:space="preserve">may </w:t>
      </w:r>
      <w:r w:rsidR="00D447DC" w:rsidRPr="008373A2">
        <w:rPr>
          <w:rFonts w:ascii="Times New Roman" w:hAnsi="Times New Roman" w:cs="Times New Roman"/>
        </w:rPr>
        <w:t>vary</w:t>
      </w:r>
      <w:r w:rsidR="006442AA" w:rsidRPr="008373A2">
        <w:rPr>
          <w:rFonts w:ascii="Times New Roman" w:hAnsi="Times New Roman" w:cs="Times New Roman"/>
        </w:rPr>
        <w:t xml:space="preserve"> depending on the nature of the </w:t>
      </w:r>
      <w:r w:rsidR="005D7B72" w:rsidRPr="008373A2">
        <w:rPr>
          <w:rFonts w:ascii="Times New Roman" w:hAnsi="Times New Roman" w:cs="Times New Roman"/>
        </w:rPr>
        <w:t xml:space="preserve">customary </w:t>
      </w:r>
      <w:r w:rsidR="006442AA" w:rsidRPr="008373A2">
        <w:rPr>
          <w:rFonts w:ascii="Times New Roman" w:hAnsi="Times New Roman" w:cs="Times New Roman"/>
        </w:rPr>
        <w:t>rule under investigation</w:t>
      </w:r>
      <w:r w:rsidR="00CD361A">
        <w:rPr>
          <w:rFonts w:ascii="Times New Roman" w:hAnsi="Times New Roman" w:cs="Times New Roman"/>
        </w:rPr>
        <w:t xml:space="preserve"> (for example, whether it is a permissive or prohibitive rule)</w:t>
      </w:r>
      <w:r w:rsidR="006442AA" w:rsidRPr="008373A2">
        <w:rPr>
          <w:rFonts w:ascii="Times New Roman" w:hAnsi="Times New Roman" w:cs="Times New Roman"/>
        </w:rPr>
        <w:t xml:space="preserve"> </w:t>
      </w:r>
      <w:r w:rsidRPr="008373A2">
        <w:rPr>
          <w:rFonts w:ascii="Times New Roman" w:hAnsi="Times New Roman" w:cs="Times New Roman"/>
        </w:rPr>
        <w:t>and</w:t>
      </w:r>
      <w:r w:rsidR="006442AA" w:rsidRPr="008373A2">
        <w:rPr>
          <w:rFonts w:ascii="Times New Roman" w:hAnsi="Times New Roman" w:cs="Times New Roman"/>
        </w:rPr>
        <w:t xml:space="preserve"> the context of </w:t>
      </w:r>
      <w:r w:rsidR="00021279" w:rsidRPr="008373A2">
        <w:rPr>
          <w:rFonts w:ascii="Times New Roman" w:hAnsi="Times New Roman" w:cs="Times New Roman"/>
        </w:rPr>
        <w:t>underlying international law rules</w:t>
      </w:r>
      <w:r w:rsidR="006442AA" w:rsidRPr="008373A2">
        <w:rPr>
          <w:rFonts w:ascii="Times New Roman" w:hAnsi="Times New Roman" w:cs="Times New Roman"/>
        </w:rPr>
        <w:t xml:space="preserve"> in which th</w:t>
      </w:r>
      <w:r w:rsidR="005D7B72" w:rsidRPr="008373A2">
        <w:rPr>
          <w:rFonts w:ascii="Times New Roman" w:hAnsi="Times New Roman" w:cs="Times New Roman"/>
        </w:rPr>
        <w:t>at</w:t>
      </w:r>
      <w:r w:rsidR="006442AA" w:rsidRPr="008373A2">
        <w:rPr>
          <w:rFonts w:ascii="Times New Roman" w:hAnsi="Times New Roman" w:cs="Times New Roman"/>
        </w:rPr>
        <w:t xml:space="preserve"> alleged rule is located. </w:t>
      </w:r>
    </w:p>
    <w:p w14:paraId="74A31473" w14:textId="77777777" w:rsidR="00D76769" w:rsidRDefault="00D76769" w:rsidP="00064C83">
      <w:pPr>
        <w:spacing w:line="360" w:lineRule="auto"/>
        <w:jc w:val="both"/>
        <w:rPr>
          <w:rFonts w:ascii="Times New Roman" w:hAnsi="Times New Roman" w:cs="Times New Roman"/>
        </w:rPr>
      </w:pPr>
    </w:p>
    <w:p w14:paraId="79A6F2A6" w14:textId="0A60DAC7" w:rsidR="00F26DAC" w:rsidRPr="008373A2" w:rsidRDefault="00F26DAC" w:rsidP="00F26DAC">
      <w:pPr>
        <w:spacing w:line="360" w:lineRule="auto"/>
        <w:jc w:val="both"/>
        <w:rPr>
          <w:rFonts w:ascii="Times New Roman" w:hAnsi="Times New Roman" w:cs="Times New Roman"/>
        </w:rPr>
      </w:pPr>
      <w:r w:rsidRPr="008373A2">
        <w:rPr>
          <w:rFonts w:ascii="Times New Roman" w:hAnsi="Times New Roman" w:cs="Times New Roman"/>
        </w:rPr>
        <w:t xml:space="preserve">For example, </w:t>
      </w:r>
      <w:r w:rsidR="00C37FA7">
        <w:rPr>
          <w:rFonts w:ascii="Times New Roman" w:hAnsi="Times New Roman" w:cs="Times New Roman"/>
        </w:rPr>
        <w:t>consider a case in which it was necessary to determine</w:t>
      </w:r>
      <w:r w:rsidRPr="008373A2">
        <w:rPr>
          <w:rFonts w:ascii="Times New Roman" w:hAnsi="Times New Roman" w:cs="Times New Roman"/>
        </w:rPr>
        <w:t xml:space="preserve"> whether a new customary </w:t>
      </w:r>
      <w:r w:rsidRPr="00EA0FD1">
        <w:rPr>
          <w:rFonts w:ascii="Times New Roman" w:hAnsi="Times New Roman" w:cs="Times New Roman"/>
        </w:rPr>
        <w:t>prohibition</w:t>
      </w:r>
      <w:r w:rsidRPr="008373A2">
        <w:rPr>
          <w:rFonts w:ascii="Times New Roman" w:hAnsi="Times New Roman" w:cs="Times New Roman"/>
        </w:rPr>
        <w:t xml:space="preserve"> on a particular conduct </w:t>
      </w:r>
      <w:r w:rsidR="00C37FA7">
        <w:rPr>
          <w:rFonts w:ascii="Times New Roman" w:hAnsi="Times New Roman" w:cs="Times New Roman"/>
        </w:rPr>
        <w:t>had been established</w:t>
      </w:r>
      <w:r w:rsidRPr="008373A2">
        <w:rPr>
          <w:rFonts w:ascii="Times New Roman" w:hAnsi="Times New Roman" w:cs="Times New Roman"/>
        </w:rPr>
        <w:t xml:space="preserve">, as in the </w:t>
      </w:r>
      <w:r w:rsidRPr="008373A2">
        <w:rPr>
          <w:rFonts w:ascii="Times New Roman" w:hAnsi="Times New Roman" w:cs="Times New Roman"/>
          <w:i/>
          <w:iCs/>
        </w:rPr>
        <w:t>Case of the SS Lotus</w:t>
      </w:r>
      <w:r w:rsidR="00C37FA7">
        <w:rPr>
          <w:rFonts w:ascii="Times New Roman" w:hAnsi="Times New Roman" w:cs="Times New Roman"/>
        </w:rPr>
        <w:t>. In that case,</w:t>
      </w:r>
      <w:r w:rsidRPr="008373A2">
        <w:rPr>
          <w:rFonts w:ascii="Times New Roman" w:hAnsi="Times New Roman" w:cs="Times New Roman"/>
        </w:rPr>
        <w:t xml:space="preserve"> the state practice </w:t>
      </w:r>
      <w:r>
        <w:rPr>
          <w:rFonts w:ascii="Times New Roman" w:hAnsi="Times New Roman" w:cs="Times New Roman"/>
        </w:rPr>
        <w:t>that would</w:t>
      </w:r>
      <w:r w:rsidRPr="008373A2">
        <w:rPr>
          <w:rFonts w:ascii="Times New Roman" w:hAnsi="Times New Roman" w:cs="Times New Roman"/>
        </w:rPr>
        <w:t xml:space="preserve"> support </w:t>
      </w:r>
      <w:r w:rsidR="00EE25B4">
        <w:rPr>
          <w:rFonts w:ascii="Times New Roman" w:hAnsi="Times New Roman" w:cs="Times New Roman"/>
        </w:rPr>
        <w:t>an</w:t>
      </w:r>
      <w:r>
        <w:rPr>
          <w:rFonts w:ascii="Times New Roman" w:hAnsi="Times New Roman" w:cs="Times New Roman"/>
        </w:rPr>
        <w:t xml:space="preserve"> alleged new customary prohibition</w:t>
      </w:r>
      <w:r w:rsidRPr="008373A2">
        <w:rPr>
          <w:rFonts w:ascii="Times New Roman" w:hAnsi="Times New Roman" w:cs="Times New Roman"/>
        </w:rPr>
        <w:t xml:space="preserve"> </w:t>
      </w:r>
      <w:r>
        <w:rPr>
          <w:rFonts w:ascii="Times New Roman" w:hAnsi="Times New Roman" w:cs="Times New Roman"/>
        </w:rPr>
        <w:t>on the exercise of extraterritorial jurisdiction</w:t>
      </w:r>
      <w:r w:rsidRPr="008373A2">
        <w:rPr>
          <w:rFonts w:ascii="Times New Roman" w:hAnsi="Times New Roman" w:cs="Times New Roman"/>
        </w:rPr>
        <w:t xml:space="preserve"> – omission</w:t>
      </w:r>
      <w:r w:rsidR="00EE25B4">
        <w:rPr>
          <w:rFonts w:ascii="Times New Roman" w:hAnsi="Times New Roman" w:cs="Times New Roman"/>
        </w:rPr>
        <w:t xml:space="preserve"> by states</w:t>
      </w:r>
      <w:r w:rsidRPr="008373A2">
        <w:rPr>
          <w:rFonts w:ascii="Times New Roman" w:hAnsi="Times New Roman" w:cs="Times New Roman"/>
        </w:rPr>
        <w:t xml:space="preserve"> to </w:t>
      </w:r>
      <w:r>
        <w:rPr>
          <w:rFonts w:ascii="Times New Roman" w:hAnsi="Times New Roman" w:cs="Times New Roman"/>
        </w:rPr>
        <w:t>exercise extraterritorial jurisdiction</w:t>
      </w:r>
      <w:r w:rsidRPr="008373A2">
        <w:rPr>
          <w:rFonts w:ascii="Times New Roman" w:hAnsi="Times New Roman" w:cs="Times New Roman"/>
        </w:rPr>
        <w:t xml:space="preserve"> – </w:t>
      </w:r>
      <w:r w:rsidR="00EE25B4">
        <w:rPr>
          <w:rFonts w:ascii="Times New Roman" w:hAnsi="Times New Roman" w:cs="Times New Roman"/>
        </w:rPr>
        <w:t>wa</w:t>
      </w:r>
      <w:r w:rsidRPr="008373A2">
        <w:rPr>
          <w:rFonts w:ascii="Times New Roman" w:hAnsi="Times New Roman" w:cs="Times New Roman"/>
        </w:rPr>
        <w:t xml:space="preserve">s also consistent with </w:t>
      </w:r>
      <w:r>
        <w:rPr>
          <w:rFonts w:ascii="Times New Roman" w:hAnsi="Times New Roman" w:cs="Times New Roman"/>
        </w:rPr>
        <w:t>the</w:t>
      </w:r>
      <w:r w:rsidRPr="008373A2">
        <w:rPr>
          <w:rFonts w:ascii="Times New Roman" w:hAnsi="Times New Roman" w:cs="Times New Roman"/>
        </w:rPr>
        <w:t xml:space="preserve"> context of underlying international law rules in which states </w:t>
      </w:r>
      <w:r w:rsidR="00C37FA7">
        <w:rPr>
          <w:rFonts w:ascii="Times New Roman" w:hAnsi="Times New Roman" w:cs="Times New Roman"/>
        </w:rPr>
        <w:t>we</w:t>
      </w:r>
      <w:r w:rsidRPr="008373A2">
        <w:rPr>
          <w:rFonts w:ascii="Times New Roman" w:hAnsi="Times New Roman" w:cs="Times New Roman"/>
        </w:rPr>
        <w:t xml:space="preserve">re currently </w:t>
      </w:r>
      <w:r w:rsidRPr="000D25E3">
        <w:rPr>
          <w:rFonts w:ascii="Times New Roman" w:hAnsi="Times New Roman" w:cs="Times New Roman"/>
          <w:i/>
          <w:iCs/>
        </w:rPr>
        <w:t>permitted</w:t>
      </w:r>
      <w:r w:rsidRPr="008373A2">
        <w:rPr>
          <w:rFonts w:ascii="Times New Roman" w:hAnsi="Times New Roman" w:cs="Times New Roman"/>
        </w:rPr>
        <w:t xml:space="preserve"> </w:t>
      </w:r>
      <w:r w:rsidRPr="000D25E3">
        <w:rPr>
          <w:rFonts w:ascii="Times New Roman" w:hAnsi="Times New Roman" w:cs="Times New Roman"/>
          <w:i/>
          <w:iCs/>
        </w:rPr>
        <w:t>but not required</w:t>
      </w:r>
      <w:r w:rsidRPr="008373A2">
        <w:rPr>
          <w:rFonts w:ascii="Times New Roman" w:hAnsi="Times New Roman" w:cs="Times New Roman"/>
        </w:rPr>
        <w:t xml:space="preserve"> to perform that conduct. </w:t>
      </w:r>
      <w:r>
        <w:rPr>
          <w:rFonts w:ascii="Times New Roman" w:hAnsi="Times New Roman" w:cs="Times New Roman"/>
        </w:rPr>
        <w:t>F</w:t>
      </w:r>
      <w:r w:rsidRPr="008373A2">
        <w:rPr>
          <w:rFonts w:ascii="Times New Roman" w:hAnsi="Times New Roman" w:cs="Times New Roman"/>
        </w:rPr>
        <w:t>or the new</w:t>
      </w:r>
      <w:r>
        <w:rPr>
          <w:rFonts w:ascii="Times New Roman" w:hAnsi="Times New Roman" w:cs="Times New Roman"/>
        </w:rPr>
        <w:t xml:space="preserve"> prohibitive</w:t>
      </w:r>
      <w:r w:rsidRPr="008373A2">
        <w:rPr>
          <w:rFonts w:ascii="Times New Roman" w:hAnsi="Times New Roman" w:cs="Times New Roman"/>
        </w:rPr>
        <w:t xml:space="preserve"> </w:t>
      </w:r>
      <w:r w:rsidR="00C37FA7">
        <w:rPr>
          <w:rFonts w:ascii="Times New Roman" w:hAnsi="Times New Roman" w:cs="Times New Roman"/>
        </w:rPr>
        <w:t xml:space="preserve">customary </w:t>
      </w:r>
      <w:r w:rsidRPr="008373A2">
        <w:rPr>
          <w:rFonts w:ascii="Times New Roman" w:hAnsi="Times New Roman" w:cs="Times New Roman"/>
        </w:rPr>
        <w:t>rule to be identified</w:t>
      </w:r>
      <w:r w:rsidR="00EE25B4">
        <w:rPr>
          <w:rFonts w:ascii="Times New Roman" w:hAnsi="Times New Roman" w:cs="Times New Roman"/>
        </w:rPr>
        <w:t xml:space="preserve"> it needed to be shown that their omission was due to an acceptance that that conduct was required by a customary prohibition, otherwise it would simply be presumed that states were acting pursuant to the </w:t>
      </w:r>
      <w:r w:rsidR="00C37FA7">
        <w:rPr>
          <w:rFonts w:ascii="Times New Roman" w:hAnsi="Times New Roman" w:cs="Times New Roman"/>
        </w:rPr>
        <w:t xml:space="preserve">existing </w:t>
      </w:r>
      <w:r w:rsidR="00EE25B4">
        <w:rPr>
          <w:rFonts w:ascii="Times New Roman" w:hAnsi="Times New Roman" w:cs="Times New Roman"/>
        </w:rPr>
        <w:t>permission granted by the underlying international law rules. That is,</w:t>
      </w:r>
      <w:r w:rsidRPr="008373A2">
        <w:rPr>
          <w:rFonts w:ascii="Times New Roman" w:hAnsi="Times New Roman" w:cs="Times New Roman"/>
        </w:rPr>
        <w:t xml:space="preserve"> </w:t>
      </w:r>
      <w:r w:rsidR="00C37FA7">
        <w:rPr>
          <w:rFonts w:ascii="Times New Roman" w:hAnsi="Times New Roman" w:cs="Times New Roman"/>
        </w:rPr>
        <w:t xml:space="preserve">for the new customary prohibition to be identified, </w:t>
      </w:r>
      <w:r w:rsidRPr="008373A2">
        <w:rPr>
          <w:rFonts w:ascii="Times New Roman" w:hAnsi="Times New Roman" w:cs="Times New Roman"/>
        </w:rPr>
        <w:t xml:space="preserve">positive evidence of </w:t>
      </w:r>
      <w:r w:rsidRPr="008373A2">
        <w:rPr>
          <w:rFonts w:ascii="Times New Roman" w:hAnsi="Times New Roman" w:cs="Times New Roman"/>
          <w:i/>
          <w:iCs/>
        </w:rPr>
        <w:t>opinio juris</w:t>
      </w:r>
      <w:r w:rsidRPr="008373A2">
        <w:rPr>
          <w:rFonts w:ascii="Times New Roman" w:hAnsi="Times New Roman" w:cs="Times New Roman"/>
        </w:rPr>
        <w:t xml:space="preserve"> on the part of states </w:t>
      </w:r>
      <w:r>
        <w:rPr>
          <w:rFonts w:ascii="Times New Roman" w:hAnsi="Times New Roman" w:cs="Times New Roman"/>
        </w:rPr>
        <w:t>omitting to exercise extraterritorial jurisdiction</w:t>
      </w:r>
      <w:r w:rsidRPr="008373A2">
        <w:rPr>
          <w:rFonts w:ascii="Times New Roman" w:hAnsi="Times New Roman" w:cs="Times New Roman"/>
        </w:rPr>
        <w:t xml:space="preserve"> w</w:t>
      </w:r>
      <w:r>
        <w:rPr>
          <w:rFonts w:ascii="Times New Roman" w:hAnsi="Times New Roman" w:cs="Times New Roman"/>
        </w:rPr>
        <w:t>as</w:t>
      </w:r>
      <w:r w:rsidRPr="008373A2">
        <w:rPr>
          <w:rFonts w:ascii="Times New Roman" w:hAnsi="Times New Roman" w:cs="Times New Roman"/>
        </w:rPr>
        <w:t xml:space="preserve"> </w:t>
      </w:r>
      <w:r>
        <w:rPr>
          <w:rFonts w:ascii="Times New Roman" w:hAnsi="Times New Roman" w:cs="Times New Roman"/>
        </w:rPr>
        <w:t>needed to clarify the meaning of their practice</w:t>
      </w:r>
      <w:r w:rsidR="00EE25B4">
        <w:rPr>
          <w:rFonts w:ascii="Times New Roman" w:hAnsi="Times New Roman" w:cs="Times New Roman"/>
        </w:rPr>
        <w:t xml:space="preserve"> and </w:t>
      </w:r>
      <w:r w:rsidR="00C37FA7">
        <w:rPr>
          <w:rFonts w:ascii="Times New Roman" w:hAnsi="Times New Roman" w:cs="Times New Roman"/>
        </w:rPr>
        <w:t>determine</w:t>
      </w:r>
      <w:r w:rsidR="00EE25B4">
        <w:rPr>
          <w:rFonts w:ascii="Times New Roman" w:hAnsi="Times New Roman" w:cs="Times New Roman"/>
        </w:rPr>
        <w:t xml:space="preserve"> whether it supported the alleged new customary rule</w:t>
      </w:r>
      <w:r w:rsidRPr="008373A2">
        <w:rPr>
          <w:rFonts w:ascii="Times New Roman" w:hAnsi="Times New Roman" w:cs="Times New Roman"/>
        </w:rPr>
        <w:t>.</w:t>
      </w:r>
      <w:r>
        <w:rPr>
          <w:rFonts w:ascii="Times New Roman" w:hAnsi="Times New Roman" w:cs="Times New Roman"/>
        </w:rPr>
        <w:t xml:space="preserve"> </w:t>
      </w:r>
      <w:r w:rsidR="00C37FA7">
        <w:rPr>
          <w:rFonts w:ascii="Times New Roman" w:hAnsi="Times New Roman" w:cs="Times New Roman"/>
        </w:rPr>
        <w:t>Contrast this with a case in which it was necessary to determine</w:t>
      </w:r>
      <w:r w:rsidR="00C37FA7" w:rsidRPr="008373A2">
        <w:rPr>
          <w:rFonts w:ascii="Times New Roman" w:hAnsi="Times New Roman" w:cs="Times New Roman"/>
        </w:rPr>
        <w:t xml:space="preserve"> whether</w:t>
      </w:r>
      <w:r w:rsidR="00C37FA7">
        <w:rPr>
          <w:rFonts w:ascii="Times New Roman" w:hAnsi="Times New Roman" w:cs="Times New Roman"/>
        </w:rPr>
        <w:t xml:space="preserve"> conduct</w:t>
      </w:r>
      <w:r w:rsidRPr="008373A2">
        <w:rPr>
          <w:rFonts w:ascii="Times New Roman" w:hAnsi="Times New Roman" w:cs="Times New Roman"/>
        </w:rPr>
        <w:t xml:space="preserve"> </w:t>
      </w:r>
      <w:r w:rsidRPr="000D25E3">
        <w:rPr>
          <w:rFonts w:ascii="Times New Roman" w:hAnsi="Times New Roman" w:cs="Times New Roman"/>
          <w:i/>
          <w:iCs/>
        </w:rPr>
        <w:t>prohibited</w:t>
      </w:r>
      <w:r w:rsidRPr="008373A2">
        <w:rPr>
          <w:rFonts w:ascii="Times New Roman" w:hAnsi="Times New Roman" w:cs="Times New Roman"/>
        </w:rPr>
        <w:t xml:space="preserve"> </w:t>
      </w:r>
      <w:r>
        <w:rPr>
          <w:rFonts w:ascii="Times New Roman" w:hAnsi="Times New Roman" w:cs="Times New Roman"/>
        </w:rPr>
        <w:t xml:space="preserve">by </w:t>
      </w:r>
      <w:r w:rsidRPr="008373A2">
        <w:rPr>
          <w:rFonts w:ascii="Times New Roman" w:hAnsi="Times New Roman" w:cs="Times New Roman"/>
        </w:rPr>
        <w:t>international law</w:t>
      </w:r>
      <w:r>
        <w:rPr>
          <w:rFonts w:ascii="Times New Roman" w:hAnsi="Times New Roman" w:cs="Times New Roman"/>
        </w:rPr>
        <w:t xml:space="preserve"> </w:t>
      </w:r>
      <w:r w:rsidR="00D211C9">
        <w:rPr>
          <w:rFonts w:ascii="Times New Roman" w:hAnsi="Times New Roman" w:cs="Times New Roman"/>
        </w:rPr>
        <w:t>wa</w:t>
      </w:r>
      <w:r w:rsidRPr="008373A2">
        <w:rPr>
          <w:rFonts w:ascii="Times New Roman" w:hAnsi="Times New Roman" w:cs="Times New Roman"/>
        </w:rPr>
        <w:t>s now</w:t>
      </w:r>
      <w:r w:rsidR="00C37FA7">
        <w:rPr>
          <w:rFonts w:ascii="Times New Roman" w:hAnsi="Times New Roman" w:cs="Times New Roman"/>
        </w:rPr>
        <w:t xml:space="preserve"> allowed</w:t>
      </w:r>
      <w:r w:rsidRPr="008373A2">
        <w:rPr>
          <w:rFonts w:ascii="Times New Roman" w:hAnsi="Times New Roman" w:cs="Times New Roman"/>
        </w:rPr>
        <w:t xml:space="preserve"> under a new </w:t>
      </w:r>
      <w:r w:rsidR="00C37FA7" w:rsidRPr="00437B04">
        <w:rPr>
          <w:rFonts w:ascii="Times New Roman" w:hAnsi="Times New Roman" w:cs="Times New Roman"/>
          <w:i/>
          <w:iCs/>
        </w:rPr>
        <w:t>permissive</w:t>
      </w:r>
      <w:r w:rsidR="00C37FA7">
        <w:rPr>
          <w:rFonts w:ascii="Times New Roman" w:hAnsi="Times New Roman" w:cs="Times New Roman"/>
        </w:rPr>
        <w:t xml:space="preserve"> </w:t>
      </w:r>
      <w:r w:rsidRPr="008373A2">
        <w:rPr>
          <w:rFonts w:ascii="Times New Roman" w:hAnsi="Times New Roman" w:cs="Times New Roman"/>
        </w:rPr>
        <w:t xml:space="preserve">customary rule, as in the </w:t>
      </w:r>
      <w:r w:rsidRPr="008373A2">
        <w:rPr>
          <w:rFonts w:ascii="Times New Roman" w:hAnsi="Times New Roman" w:cs="Times New Roman"/>
          <w:i/>
          <w:iCs/>
        </w:rPr>
        <w:t>Case concerning Right of Passage</w:t>
      </w:r>
      <w:r w:rsidR="00C37FA7">
        <w:rPr>
          <w:rFonts w:ascii="Times New Roman" w:hAnsi="Times New Roman" w:cs="Times New Roman"/>
        </w:rPr>
        <w:t>. In this case,</w:t>
      </w:r>
      <w:r w:rsidRPr="008373A2">
        <w:rPr>
          <w:rFonts w:ascii="Times New Roman" w:hAnsi="Times New Roman" w:cs="Times New Roman"/>
        </w:rPr>
        <w:t xml:space="preserve"> the state practice </w:t>
      </w:r>
      <w:r>
        <w:rPr>
          <w:rFonts w:ascii="Times New Roman" w:hAnsi="Times New Roman" w:cs="Times New Roman"/>
        </w:rPr>
        <w:t>that would</w:t>
      </w:r>
      <w:r w:rsidRPr="008373A2">
        <w:rPr>
          <w:rFonts w:ascii="Times New Roman" w:hAnsi="Times New Roman" w:cs="Times New Roman"/>
        </w:rPr>
        <w:t xml:space="preserve"> support a </w:t>
      </w:r>
      <w:r w:rsidR="00D211C9">
        <w:rPr>
          <w:rFonts w:ascii="Times New Roman" w:hAnsi="Times New Roman" w:cs="Times New Roman"/>
        </w:rPr>
        <w:t xml:space="preserve">customary </w:t>
      </w:r>
      <w:r w:rsidRPr="008373A2">
        <w:rPr>
          <w:rFonts w:ascii="Times New Roman" w:hAnsi="Times New Roman" w:cs="Times New Roman"/>
        </w:rPr>
        <w:t>rule</w:t>
      </w:r>
      <w:r>
        <w:rPr>
          <w:rFonts w:ascii="Times New Roman" w:hAnsi="Times New Roman" w:cs="Times New Roman"/>
        </w:rPr>
        <w:t xml:space="preserve"> permitting passage</w:t>
      </w:r>
      <w:r w:rsidRPr="008373A2">
        <w:rPr>
          <w:rFonts w:ascii="Times New Roman" w:hAnsi="Times New Roman" w:cs="Times New Roman"/>
        </w:rPr>
        <w:t xml:space="preserve"> – </w:t>
      </w:r>
      <w:r>
        <w:rPr>
          <w:rFonts w:ascii="Times New Roman" w:hAnsi="Times New Roman" w:cs="Times New Roman"/>
        </w:rPr>
        <w:t>a practice of passing across a state’s territory without authori</w:t>
      </w:r>
      <w:r w:rsidR="0007321F">
        <w:rPr>
          <w:rFonts w:ascii="Times New Roman" w:hAnsi="Times New Roman" w:cs="Times New Roman"/>
        </w:rPr>
        <w:t>z</w:t>
      </w:r>
      <w:r>
        <w:rPr>
          <w:rFonts w:ascii="Times New Roman" w:hAnsi="Times New Roman" w:cs="Times New Roman"/>
        </w:rPr>
        <w:t>ation</w:t>
      </w:r>
      <w:r w:rsidRPr="008373A2">
        <w:rPr>
          <w:rFonts w:ascii="Times New Roman" w:hAnsi="Times New Roman" w:cs="Times New Roman"/>
        </w:rPr>
        <w:t xml:space="preserve"> – </w:t>
      </w:r>
      <w:r w:rsidR="00EE25B4">
        <w:rPr>
          <w:rFonts w:ascii="Times New Roman" w:hAnsi="Times New Roman" w:cs="Times New Roman"/>
        </w:rPr>
        <w:t>wa</w:t>
      </w:r>
      <w:r>
        <w:rPr>
          <w:rFonts w:ascii="Times New Roman" w:hAnsi="Times New Roman" w:cs="Times New Roman"/>
        </w:rPr>
        <w:t>s</w:t>
      </w:r>
      <w:r w:rsidRPr="008373A2">
        <w:rPr>
          <w:rFonts w:ascii="Times New Roman" w:hAnsi="Times New Roman" w:cs="Times New Roman"/>
        </w:rPr>
        <w:t xml:space="preserve"> </w:t>
      </w:r>
      <w:r w:rsidRPr="00437B04">
        <w:rPr>
          <w:rFonts w:ascii="Times New Roman" w:hAnsi="Times New Roman" w:cs="Times New Roman"/>
          <w:i/>
          <w:iCs/>
        </w:rPr>
        <w:t>inconsistent</w:t>
      </w:r>
      <w:r w:rsidRPr="008373A2">
        <w:rPr>
          <w:rFonts w:ascii="Times New Roman" w:hAnsi="Times New Roman" w:cs="Times New Roman"/>
        </w:rPr>
        <w:t xml:space="preserve"> with the underlying international law rules</w:t>
      </w:r>
      <w:r w:rsidR="00D211C9">
        <w:rPr>
          <w:rFonts w:ascii="Times New Roman" w:hAnsi="Times New Roman" w:cs="Times New Roman"/>
        </w:rPr>
        <w:t>: the principles of</w:t>
      </w:r>
      <w:r>
        <w:rPr>
          <w:rFonts w:ascii="Times New Roman" w:hAnsi="Times New Roman" w:cs="Times New Roman"/>
        </w:rPr>
        <w:t xml:space="preserve"> territorial sovereignty and integrity</w:t>
      </w:r>
      <w:r w:rsidR="00EE25B4">
        <w:rPr>
          <w:rFonts w:ascii="Times New Roman" w:hAnsi="Times New Roman" w:cs="Times New Roman"/>
        </w:rPr>
        <w:t xml:space="preserve"> prohibit entry onto a state’s territory without its consent</w:t>
      </w:r>
      <w:r w:rsidRPr="008373A2">
        <w:rPr>
          <w:rFonts w:ascii="Times New Roman" w:hAnsi="Times New Roman" w:cs="Times New Roman"/>
        </w:rPr>
        <w:t>.</w:t>
      </w:r>
      <w:r>
        <w:rPr>
          <w:rFonts w:ascii="Times New Roman" w:hAnsi="Times New Roman" w:cs="Times New Roman"/>
        </w:rPr>
        <w:t xml:space="preserve"> </w:t>
      </w:r>
      <w:r w:rsidR="00604970">
        <w:rPr>
          <w:rFonts w:ascii="Times New Roman" w:hAnsi="Times New Roman" w:cs="Times New Roman"/>
        </w:rPr>
        <w:t>W</w:t>
      </w:r>
      <w:r w:rsidR="00EE25B4">
        <w:rPr>
          <w:rFonts w:ascii="Times New Roman" w:hAnsi="Times New Roman" w:cs="Times New Roman"/>
        </w:rPr>
        <w:t>here</w:t>
      </w:r>
      <w:r w:rsidRPr="008373A2">
        <w:rPr>
          <w:rFonts w:ascii="Times New Roman" w:hAnsi="Times New Roman" w:cs="Times New Roman"/>
        </w:rPr>
        <w:t xml:space="preserve"> practice supporting an alleged customary rule is inconsistent with the context of underlying international law rules</w:t>
      </w:r>
      <w:r w:rsidR="00D211C9">
        <w:rPr>
          <w:rFonts w:ascii="Times New Roman" w:hAnsi="Times New Roman" w:cs="Times New Roman"/>
        </w:rPr>
        <w:t xml:space="preserve"> in this way</w:t>
      </w:r>
      <w:r w:rsidRPr="008373A2">
        <w:rPr>
          <w:rFonts w:ascii="Times New Roman" w:hAnsi="Times New Roman" w:cs="Times New Roman"/>
        </w:rPr>
        <w:t>,</w:t>
      </w:r>
      <w:r>
        <w:rPr>
          <w:rFonts w:ascii="Times New Roman" w:hAnsi="Times New Roman" w:cs="Times New Roman"/>
        </w:rPr>
        <w:t xml:space="preserve"> </w:t>
      </w:r>
      <w:r w:rsidR="00223E0C">
        <w:rPr>
          <w:rFonts w:ascii="Times New Roman" w:hAnsi="Times New Roman" w:cs="Times New Roman"/>
        </w:rPr>
        <w:t>it is argued that</w:t>
      </w:r>
      <w:r w:rsidRPr="008373A2">
        <w:rPr>
          <w:rFonts w:ascii="Times New Roman" w:hAnsi="Times New Roman" w:cs="Times New Roman"/>
        </w:rPr>
        <w:t xml:space="preserve"> </w:t>
      </w:r>
      <w:r w:rsidRPr="008373A2">
        <w:rPr>
          <w:rFonts w:ascii="Times New Roman" w:hAnsi="Times New Roman" w:cs="Times New Roman"/>
          <w:i/>
          <w:iCs/>
        </w:rPr>
        <w:lastRenderedPageBreak/>
        <w:t xml:space="preserve">opinio juris </w:t>
      </w:r>
      <w:r w:rsidRPr="008373A2">
        <w:rPr>
          <w:rFonts w:ascii="Times New Roman" w:hAnsi="Times New Roman" w:cs="Times New Roman"/>
        </w:rPr>
        <w:t xml:space="preserve">for the new rule may – in certain circumstances – be inferred from a state’s participation in the supportive practice. </w:t>
      </w:r>
    </w:p>
    <w:p w14:paraId="371D58E1" w14:textId="77777777" w:rsidR="00224F71" w:rsidRPr="008373A2" w:rsidRDefault="00224F71" w:rsidP="00064C83">
      <w:pPr>
        <w:spacing w:line="360" w:lineRule="auto"/>
        <w:jc w:val="both"/>
        <w:rPr>
          <w:rFonts w:ascii="Times New Roman" w:hAnsi="Times New Roman" w:cs="Times New Roman"/>
        </w:rPr>
      </w:pPr>
    </w:p>
    <w:p w14:paraId="16EB1375" w14:textId="6632C520" w:rsidR="008C10CB" w:rsidRPr="008373A2" w:rsidRDefault="006442AA" w:rsidP="00064C83">
      <w:pPr>
        <w:spacing w:line="360" w:lineRule="auto"/>
        <w:jc w:val="both"/>
        <w:rPr>
          <w:rFonts w:ascii="Times New Roman" w:hAnsi="Times New Roman" w:cs="Times New Roman"/>
        </w:rPr>
      </w:pPr>
      <w:r w:rsidRPr="008373A2">
        <w:rPr>
          <w:rFonts w:ascii="Times New Roman" w:hAnsi="Times New Roman" w:cs="Times New Roman"/>
        </w:rPr>
        <w:t xml:space="preserve">Section one </w:t>
      </w:r>
      <w:r w:rsidR="00117D15">
        <w:rPr>
          <w:rFonts w:ascii="Times New Roman" w:hAnsi="Times New Roman" w:cs="Times New Roman"/>
        </w:rPr>
        <w:t>introduces</w:t>
      </w:r>
      <w:r w:rsidR="005D7B72" w:rsidRPr="008373A2">
        <w:rPr>
          <w:rFonts w:ascii="Times New Roman" w:hAnsi="Times New Roman" w:cs="Times New Roman"/>
        </w:rPr>
        <w:t xml:space="preserve"> </w:t>
      </w:r>
      <w:r w:rsidRPr="008373A2">
        <w:rPr>
          <w:rFonts w:ascii="Times New Roman" w:hAnsi="Times New Roman" w:cs="Times New Roman"/>
        </w:rPr>
        <w:t xml:space="preserve">the two-element test </w:t>
      </w:r>
      <w:r w:rsidR="000A689A" w:rsidRPr="008373A2">
        <w:rPr>
          <w:rFonts w:ascii="Times New Roman" w:hAnsi="Times New Roman" w:cs="Times New Roman"/>
        </w:rPr>
        <w:t>for the identification of customary international law</w:t>
      </w:r>
      <w:r w:rsidRPr="008373A2">
        <w:rPr>
          <w:rFonts w:ascii="Times New Roman" w:hAnsi="Times New Roman" w:cs="Times New Roman"/>
        </w:rPr>
        <w:t>. Section two explain</w:t>
      </w:r>
      <w:r w:rsidR="00F23AD2" w:rsidRPr="008373A2">
        <w:rPr>
          <w:rFonts w:ascii="Times New Roman" w:hAnsi="Times New Roman" w:cs="Times New Roman"/>
        </w:rPr>
        <w:t>s</w:t>
      </w:r>
      <w:r w:rsidRPr="008373A2">
        <w:rPr>
          <w:rFonts w:ascii="Times New Roman" w:hAnsi="Times New Roman" w:cs="Times New Roman"/>
        </w:rPr>
        <w:t xml:space="preserve"> how the nature and context of a customary rule </w:t>
      </w:r>
      <w:r w:rsidR="00D92BC9" w:rsidRPr="008373A2">
        <w:rPr>
          <w:rFonts w:ascii="Times New Roman" w:hAnsi="Times New Roman" w:cs="Times New Roman"/>
        </w:rPr>
        <w:t xml:space="preserve">may </w:t>
      </w:r>
      <w:r w:rsidR="000A689A" w:rsidRPr="008373A2">
        <w:rPr>
          <w:rFonts w:ascii="Times New Roman" w:hAnsi="Times New Roman" w:cs="Times New Roman"/>
        </w:rPr>
        <w:t>influence</w:t>
      </w:r>
      <w:r w:rsidRPr="008373A2">
        <w:rPr>
          <w:rFonts w:ascii="Times New Roman" w:hAnsi="Times New Roman" w:cs="Times New Roman"/>
        </w:rPr>
        <w:t xml:space="preserve"> the application of the two-element test and how these factors impact the </w:t>
      </w:r>
      <w:r w:rsidR="00C73D43" w:rsidRPr="008373A2">
        <w:rPr>
          <w:rFonts w:ascii="Times New Roman" w:hAnsi="Times New Roman" w:cs="Times New Roman"/>
        </w:rPr>
        <w:t>inquiry into</w:t>
      </w:r>
      <w:r w:rsidR="00E35D80">
        <w:rPr>
          <w:rFonts w:ascii="Times New Roman" w:hAnsi="Times New Roman" w:cs="Times New Roman"/>
        </w:rPr>
        <w:t xml:space="preserve"> the existence of</w:t>
      </w:r>
      <w:r w:rsidRPr="008373A2">
        <w:rPr>
          <w:rFonts w:ascii="Times New Roman" w:hAnsi="Times New Roman" w:cs="Times New Roman"/>
        </w:rPr>
        <w:t xml:space="preserve"> </w:t>
      </w:r>
      <w:r w:rsidRPr="008373A2">
        <w:rPr>
          <w:rFonts w:ascii="Times New Roman" w:hAnsi="Times New Roman" w:cs="Times New Roman"/>
          <w:i/>
          <w:iCs/>
        </w:rPr>
        <w:t>opinio juris</w:t>
      </w:r>
      <w:r w:rsidRPr="008373A2">
        <w:rPr>
          <w:rFonts w:ascii="Times New Roman" w:hAnsi="Times New Roman" w:cs="Times New Roman"/>
        </w:rPr>
        <w:t xml:space="preserve">. </w:t>
      </w:r>
      <w:r w:rsidR="008550E5" w:rsidRPr="008373A2">
        <w:rPr>
          <w:rFonts w:ascii="Times New Roman" w:hAnsi="Times New Roman" w:cs="Times New Roman"/>
        </w:rPr>
        <w:t>S</w:t>
      </w:r>
      <w:r w:rsidR="00E82233" w:rsidRPr="008373A2">
        <w:rPr>
          <w:rFonts w:ascii="Times New Roman" w:hAnsi="Times New Roman" w:cs="Times New Roman"/>
        </w:rPr>
        <w:t xml:space="preserve">ections </w:t>
      </w:r>
      <w:r w:rsidR="006F0024" w:rsidRPr="008373A2">
        <w:rPr>
          <w:rFonts w:ascii="Times New Roman" w:hAnsi="Times New Roman" w:cs="Times New Roman"/>
        </w:rPr>
        <w:t>three and four</w:t>
      </w:r>
      <w:r w:rsidR="00E82233" w:rsidRPr="008373A2">
        <w:rPr>
          <w:rFonts w:ascii="Times New Roman" w:hAnsi="Times New Roman" w:cs="Times New Roman"/>
        </w:rPr>
        <w:t xml:space="preserve"> </w:t>
      </w:r>
      <w:r w:rsidR="009A08DA" w:rsidRPr="008373A2">
        <w:rPr>
          <w:rFonts w:ascii="Times New Roman" w:hAnsi="Times New Roman" w:cs="Times New Roman"/>
        </w:rPr>
        <w:t xml:space="preserve">then </w:t>
      </w:r>
      <w:r w:rsidR="00E82233" w:rsidRPr="008373A2">
        <w:rPr>
          <w:rFonts w:ascii="Times New Roman" w:hAnsi="Times New Roman" w:cs="Times New Roman"/>
        </w:rPr>
        <w:t>show how</w:t>
      </w:r>
      <w:r w:rsidR="00AF00D5" w:rsidRPr="008373A2">
        <w:rPr>
          <w:rFonts w:ascii="Times New Roman" w:hAnsi="Times New Roman" w:cs="Times New Roman"/>
        </w:rPr>
        <w:t>,</w:t>
      </w:r>
      <w:r w:rsidR="00E82233" w:rsidRPr="008373A2">
        <w:rPr>
          <w:rFonts w:ascii="Times New Roman" w:hAnsi="Times New Roman" w:cs="Times New Roman"/>
        </w:rPr>
        <w:t xml:space="preserve"> when the nature and context of a rule are </w:t>
      </w:r>
      <w:proofErr w:type="gramStart"/>
      <w:r w:rsidR="00E82233" w:rsidRPr="008373A2">
        <w:rPr>
          <w:rFonts w:ascii="Times New Roman" w:hAnsi="Times New Roman" w:cs="Times New Roman"/>
        </w:rPr>
        <w:t>taken into account</w:t>
      </w:r>
      <w:proofErr w:type="gramEnd"/>
      <w:r w:rsidR="00E82233" w:rsidRPr="008373A2">
        <w:rPr>
          <w:rFonts w:ascii="Times New Roman" w:hAnsi="Times New Roman" w:cs="Times New Roman"/>
        </w:rPr>
        <w:t xml:space="preserve">, those cases in which the Court has </w:t>
      </w:r>
      <w:r w:rsidR="00C31CE4" w:rsidRPr="008373A2">
        <w:rPr>
          <w:rFonts w:ascii="Times New Roman" w:hAnsi="Times New Roman" w:cs="Times New Roman"/>
        </w:rPr>
        <w:t>found</w:t>
      </w:r>
      <w:r w:rsidR="00E82233" w:rsidRPr="008373A2">
        <w:rPr>
          <w:rFonts w:ascii="Times New Roman" w:hAnsi="Times New Roman" w:cs="Times New Roman"/>
        </w:rPr>
        <w:t xml:space="preserve"> the existence of a customary rule even when </w:t>
      </w:r>
      <w:r w:rsidR="00E82233" w:rsidRPr="008373A2">
        <w:rPr>
          <w:rFonts w:ascii="Times New Roman" w:hAnsi="Times New Roman" w:cs="Times New Roman"/>
          <w:i/>
          <w:iCs/>
        </w:rPr>
        <w:t>opinio juris</w:t>
      </w:r>
      <w:r w:rsidR="00E82233" w:rsidRPr="008373A2">
        <w:rPr>
          <w:rFonts w:ascii="Times New Roman" w:hAnsi="Times New Roman" w:cs="Times New Roman"/>
        </w:rPr>
        <w:t xml:space="preserve"> or state practice appears to be absent </w:t>
      </w:r>
      <w:r w:rsidR="000A689A" w:rsidRPr="008373A2">
        <w:rPr>
          <w:rFonts w:ascii="Times New Roman" w:hAnsi="Times New Roman" w:cs="Times New Roman"/>
        </w:rPr>
        <w:t xml:space="preserve">are correct </w:t>
      </w:r>
      <w:r w:rsidR="00E82233" w:rsidRPr="008373A2">
        <w:rPr>
          <w:rFonts w:ascii="Times New Roman" w:hAnsi="Times New Roman" w:cs="Times New Roman"/>
        </w:rPr>
        <w:t>applications of the two-element test</w:t>
      </w:r>
      <w:r w:rsidR="00F23AD2" w:rsidRPr="008373A2">
        <w:rPr>
          <w:rFonts w:ascii="Times New Roman" w:hAnsi="Times New Roman" w:cs="Times New Roman"/>
        </w:rPr>
        <w:t xml:space="preserve">. </w:t>
      </w:r>
    </w:p>
    <w:p w14:paraId="713E8D8B" w14:textId="6A56AF9D" w:rsidR="00F100EB" w:rsidRPr="008373A2" w:rsidRDefault="00F100EB" w:rsidP="00064C83">
      <w:pPr>
        <w:spacing w:line="360" w:lineRule="auto"/>
        <w:jc w:val="both"/>
        <w:rPr>
          <w:rFonts w:ascii="Times New Roman" w:hAnsi="Times New Roman" w:cs="Times New Roman"/>
        </w:rPr>
      </w:pPr>
    </w:p>
    <w:p w14:paraId="1A9C1CCA" w14:textId="77777777" w:rsidR="006F0024" w:rsidRPr="008373A2" w:rsidRDefault="006F0024" w:rsidP="00064C83">
      <w:pPr>
        <w:spacing w:line="360" w:lineRule="auto"/>
        <w:jc w:val="both"/>
        <w:rPr>
          <w:rFonts w:ascii="Times New Roman" w:hAnsi="Times New Roman" w:cs="Times New Roman"/>
        </w:rPr>
      </w:pPr>
    </w:p>
    <w:p w14:paraId="5C5E3D80" w14:textId="07120E71" w:rsidR="00C20602" w:rsidRPr="008373A2" w:rsidRDefault="00C20602" w:rsidP="00064C83">
      <w:pPr>
        <w:pStyle w:val="ListParagraph"/>
        <w:numPr>
          <w:ilvl w:val="0"/>
          <w:numId w:val="5"/>
        </w:numPr>
        <w:spacing w:line="360" w:lineRule="auto"/>
        <w:jc w:val="both"/>
        <w:rPr>
          <w:rFonts w:ascii="Times New Roman" w:hAnsi="Times New Roman" w:cs="Times New Roman"/>
          <w:b/>
          <w:bCs/>
        </w:rPr>
      </w:pPr>
      <w:r w:rsidRPr="008373A2">
        <w:rPr>
          <w:rFonts w:ascii="Times New Roman" w:hAnsi="Times New Roman" w:cs="Times New Roman"/>
          <w:b/>
          <w:bCs/>
        </w:rPr>
        <w:t xml:space="preserve">The </w:t>
      </w:r>
      <w:r w:rsidR="0077250D" w:rsidRPr="008373A2">
        <w:rPr>
          <w:rFonts w:ascii="Times New Roman" w:hAnsi="Times New Roman" w:cs="Times New Roman"/>
          <w:b/>
          <w:bCs/>
        </w:rPr>
        <w:t>T</w:t>
      </w:r>
      <w:r w:rsidRPr="008373A2">
        <w:rPr>
          <w:rFonts w:ascii="Times New Roman" w:hAnsi="Times New Roman" w:cs="Times New Roman"/>
          <w:b/>
          <w:bCs/>
        </w:rPr>
        <w:t xml:space="preserve">wo-element </w:t>
      </w:r>
      <w:r w:rsidR="0077250D" w:rsidRPr="008373A2">
        <w:rPr>
          <w:rFonts w:ascii="Times New Roman" w:hAnsi="Times New Roman" w:cs="Times New Roman"/>
          <w:b/>
          <w:bCs/>
        </w:rPr>
        <w:t>T</w:t>
      </w:r>
      <w:r w:rsidRPr="008373A2">
        <w:rPr>
          <w:rFonts w:ascii="Times New Roman" w:hAnsi="Times New Roman" w:cs="Times New Roman"/>
          <w:b/>
          <w:bCs/>
        </w:rPr>
        <w:t xml:space="preserve">est in the </w:t>
      </w:r>
      <w:r w:rsidR="0077250D" w:rsidRPr="008373A2">
        <w:rPr>
          <w:rFonts w:ascii="Times New Roman" w:hAnsi="Times New Roman" w:cs="Times New Roman"/>
          <w:b/>
          <w:bCs/>
        </w:rPr>
        <w:t>J</w:t>
      </w:r>
      <w:r w:rsidRPr="008373A2">
        <w:rPr>
          <w:rFonts w:ascii="Times New Roman" w:hAnsi="Times New Roman" w:cs="Times New Roman"/>
          <w:b/>
          <w:bCs/>
        </w:rPr>
        <w:t>urisprudence of the ICJ</w:t>
      </w:r>
    </w:p>
    <w:p w14:paraId="3D4CE857" w14:textId="41FD6492" w:rsidR="00740C63" w:rsidRPr="008373A2" w:rsidRDefault="00740C63" w:rsidP="00064C83">
      <w:pPr>
        <w:spacing w:line="360" w:lineRule="auto"/>
        <w:jc w:val="both"/>
        <w:rPr>
          <w:rFonts w:ascii="Times New Roman" w:hAnsi="Times New Roman" w:cs="Times New Roman"/>
        </w:rPr>
      </w:pPr>
    </w:p>
    <w:p w14:paraId="63C24CD6" w14:textId="1206B33C" w:rsidR="0018634D" w:rsidRPr="008373A2" w:rsidRDefault="00740C63" w:rsidP="00064C83">
      <w:pPr>
        <w:spacing w:line="360" w:lineRule="auto"/>
        <w:jc w:val="both"/>
        <w:rPr>
          <w:rFonts w:ascii="Times New Roman" w:hAnsi="Times New Roman" w:cs="Times New Roman"/>
        </w:rPr>
      </w:pPr>
      <w:r w:rsidRPr="008373A2">
        <w:rPr>
          <w:rFonts w:ascii="Times New Roman" w:hAnsi="Times New Roman" w:cs="Times New Roman"/>
        </w:rPr>
        <w:t xml:space="preserve">Article 38(1)(b) of the </w:t>
      </w:r>
      <w:r w:rsidR="00DE7A1A" w:rsidRPr="008373A2">
        <w:rPr>
          <w:rFonts w:ascii="Times New Roman" w:hAnsi="Times New Roman" w:cs="Times New Roman"/>
        </w:rPr>
        <w:t xml:space="preserve">ICJ </w:t>
      </w:r>
      <w:r w:rsidRPr="008373A2">
        <w:rPr>
          <w:rFonts w:ascii="Times New Roman" w:hAnsi="Times New Roman" w:cs="Times New Roman"/>
        </w:rPr>
        <w:t>Statute refers to ‘international custom, as evidence of a general practice accepted as law’.</w:t>
      </w:r>
      <w:r w:rsidRPr="008373A2">
        <w:rPr>
          <w:rStyle w:val="FootnoteReference"/>
          <w:rFonts w:ascii="Times New Roman" w:hAnsi="Times New Roman" w:cs="Times New Roman"/>
        </w:rPr>
        <w:footnoteReference w:id="4"/>
      </w:r>
      <w:r w:rsidRPr="008373A2">
        <w:rPr>
          <w:rFonts w:ascii="Times New Roman" w:hAnsi="Times New Roman" w:cs="Times New Roman"/>
        </w:rPr>
        <w:t xml:space="preserve"> </w:t>
      </w:r>
      <w:r w:rsidR="000F37EC">
        <w:rPr>
          <w:rFonts w:ascii="Times New Roman" w:hAnsi="Times New Roman" w:cs="Times New Roman"/>
        </w:rPr>
        <w:t>T</w:t>
      </w:r>
      <w:r w:rsidRPr="008373A2">
        <w:rPr>
          <w:rFonts w:ascii="Times New Roman" w:hAnsi="Times New Roman" w:cs="Times New Roman"/>
        </w:rPr>
        <w:t>he confusing drafting of that provision</w:t>
      </w:r>
      <w:r w:rsidR="000F37EC">
        <w:rPr>
          <w:rFonts w:ascii="Times New Roman" w:hAnsi="Times New Roman" w:cs="Times New Roman"/>
        </w:rPr>
        <w:t xml:space="preserve"> is widely recognised</w:t>
      </w:r>
      <w:r w:rsidRPr="008373A2">
        <w:rPr>
          <w:rFonts w:ascii="Times New Roman" w:hAnsi="Times New Roman" w:cs="Times New Roman"/>
        </w:rPr>
        <w:t>,</w:t>
      </w:r>
      <w:r w:rsidRPr="008373A2">
        <w:rPr>
          <w:rStyle w:val="FootnoteReference"/>
          <w:rFonts w:ascii="Times New Roman" w:hAnsi="Times New Roman" w:cs="Times New Roman"/>
        </w:rPr>
        <w:footnoteReference w:id="5"/>
      </w:r>
      <w:r w:rsidRPr="008373A2">
        <w:rPr>
          <w:rFonts w:ascii="Times New Roman" w:hAnsi="Times New Roman" w:cs="Times New Roman"/>
        </w:rPr>
        <w:t xml:space="preserve"> </w:t>
      </w:r>
      <w:r w:rsidR="000F37EC">
        <w:rPr>
          <w:rFonts w:ascii="Times New Roman" w:hAnsi="Times New Roman" w:cs="Times New Roman"/>
        </w:rPr>
        <w:t xml:space="preserve">and </w:t>
      </w:r>
      <w:r w:rsidR="00EF0894">
        <w:rPr>
          <w:rFonts w:ascii="Times New Roman" w:hAnsi="Times New Roman" w:cs="Times New Roman"/>
        </w:rPr>
        <w:t>it</w:t>
      </w:r>
      <w:r w:rsidRPr="008373A2">
        <w:rPr>
          <w:rFonts w:ascii="Times New Roman" w:hAnsi="Times New Roman" w:cs="Times New Roman"/>
        </w:rPr>
        <w:t xml:space="preserve"> is of little assistance in determining how customary international law rules are to be identified</w:t>
      </w:r>
      <w:r w:rsidR="00DE3A74" w:rsidRPr="008373A2">
        <w:rPr>
          <w:rFonts w:ascii="Times New Roman" w:hAnsi="Times New Roman" w:cs="Times New Roman"/>
        </w:rPr>
        <w:t xml:space="preserve"> in practice</w:t>
      </w:r>
      <w:r w:rsidRPr="008373A2">
        <w:rPr>
          <w:rFonts w:ascii="Times New Roman" w:hAnsi="Times New Roman" w:cs="Times New Roman"/>
        </w:rPr>
        <w:t xml:space="preserve">. Rather, </w:t>
      </w:r>
      <w:r w:rsidR="00E9191D" w:rsidRPr="008373A2">
        <w:rPr>
          <w:rFonts w:ascii="Times New Roman" w:hAnsi="Times New Roman" w:cs="Times New Roman"/>
        </w:rPr>
        <w:t>through</w:t>
      </w:r>
      <w:r w:rsidRPr="008373A2">
        <w:rPr>
          <w:rFonts w:ascii="Times New Roman" w:hAnsi="Times New Roman" w:cs="Times New Roman"/>
        </w:rPr>
        <w:t xml:space="preserve"> </w:t>
      </w:r>
      <w:r w:rsidR="00AF00D5" w:rsidRPr="008373A2">
        <w:rPr>
          <w:rFonts w:ascii="Times New Roman" w:hAnsi="Times New Roman" w:cs="Times New Roman"/>
        </w:rPr>
        <w:t>its</w:t>
      </w:r>
      <w:r w:rsidRPr="008373A2">
        <w:rPr>
          <w:rFonts w:ascii="Times New Roman" w:hAnsi="Times New Roman" w:cs="Times New Roman"/>
        </w:rPr>
        <w:t xml:space="preserve"> jurisprudence </w:t>
      </w:r>
      <w:r w:rsidR="005C51B9" w:rsidRPr="008373A2">
        <w:rPr>
          <w:rFonts w:ascii="Times New Roman" w:hAnsi="Times New Roman" w:cs="Times New Roman"/>
        </w:rPr>
        <w:t xml:space="preserve">the Court </w:t>
      </w:r>
      <w:r w:rsidR="00E9191D" w:rsidRPr="008373A2">
        <w:rPr>
          <w:rFonts w:ascii="Times New Roman" w:hAnsi="Times New Roman" w:cs="Times New Roman"/>
        </w:rPr>
        <w:t>has elaborated a two-</w:t>
      </w:r>
      <w:r w:rsidR="007A309D" w:rsidRPr="008373A2">
        <w:rPr>
          <w:rFonts w:ascii="Times New Roman" w:hAnsi="Times New Roman" w:cs="Times New Roman"/>
        </w:rPr>
        <w:t>element</w:t>
      </w:r>
      <w:r w:rsidR="00E9191D" w:rsidRPr="008373A2">
        <w:rPr>
          <w:rFonts w:ascii="Times New Roman" w:hAnsi="Times New Roman" w:cs="Times New Roman"/>
        </w:rPr>
        <w:t xml:space="preserve"> approach, distinguishing between state practice and </w:t>
      </w:r>
      <w:r w:rsidR="00E9191D" w:rsidRPr="008373A2">
        <w:rPr>
          <w:rFonts w:ascii="Times New Roman" w:hAnsi="Times New Roman" w:cs="Times New Roman"/>
          <w:i/>
          <w:iCs/>
        </w:rPr>
        <w:t>opinio juris</w:t>
      </w:r>
      <w:r w:rsidR="00E9191D" w:rsidRPr="008373A2">
        <w:rPr>
          <w:rFonts w:ascii="Times New Roman" w:hAnsi="Times New Roman" w:cs="Times New Roman"/>
        </w:rPr>
        <w:t xml:space="preserve"> </w:t>
      </w:r>
      <w:r w:rsidR="00093483" w:rsidRPr="008373A2">
        <w:rPr>
          <w:rFonts w:ascii="Times New Roman" w:hAnsi="Times New Roman" w:cs="Times New Roman"/>
        </w:rPr>
        <w:t>and elaborating</w:t>
      </w:r>
      <w:r w:rsidR="00E9191D" w:rsidRPr="008373A2">
        <w:rPr>
          <w:rFonts w:ascii="Times New Roman" w:hAnsi="Times New Roman" w:cs="Times New Roman"/>
        </w:rPr>
        <w:t xml:space="preserve"> </w:t>
      </w:r>
      <w:r w:rsidR="00207EA2">
        <w:rPr>
          <w:rFonts w:ascii="Times New Roman" w:hAnsi="Times New Roman" w:cs="Times New Roman"/>
        </w:rPr>
        <w:t xml:space="preserve">on </w:t>
      </w:r>
      <w:r w:rsidR="00E9191D" w:rsidRPr="008373A2">
        <w:rPr>
          <w:rFonts w:ascii="Times New Roman" w:hAnsi="Times New Roman" w:cs="Times New Roman"/>
        </w:rPr>
        <w:t>how each element is to be fulfilled, such as the generality of practice required, and the kinds of evidence that may be consulted.</w:t>
      </w:r>
      <w:r w:rsidR="00AF00D5" w:rsidRPr="008373A2">
        <w:rPr>
          <w:rStyle w:val="FootnoteReference"/>
          <w:rFonts w:ascii="Times New Roman" w:hAnsi="Times New Roman" w:cs="Times New Roman"/>
        </w:rPr>
        <w:footnoteReference w:id="6"/>
      </w:r>
    </w:p>
    <w:p w14:paraId="2ABFAF13" w14:textId="77777777" w:rsidR="002C5421" w:rsidRPr="008373A2" w:rsidRDefault="002C5421" w:rsidP="00064C83">
      <w:pPr>
        <w:spacing w:line="360" w:lineRule="auto"/>
        <w:jc w:val="both"/>
        <w:rPr>
          <w:rFonts w:ascii="Times New Roman" w:hAnsi="Times New Roman" w:cs="Times New Roman"/>
        </w:rPr>
      </w:pPr>
    </w:p>
    <w:p w14:paraId="6822FAC0" w14:textId="71181A51" w:rsidR="00A05C5B" w:rsidRPr="008373A2" w:rsidRDefault="00CD78C3" w:rsidP="00064C83">
      <w:pPr>
        <w:spacing w:line="360" w:lineRule="auto"/>
        <w:jc w:val="both"/>
        <w:rPr>
          <w:rFonts w:ascii="Times New Roman" w:hAnsi="Times New Roman" w:cs="Times New Roman"/>
        </w:rPr>
      </w:pPr>
      <w:r w:rsidRPr="008373A2">
        <w:rPr>
          <w:rFonts w:ascii="Times New Roman" w:hAnsi="Times New Roman" w:cs="Times New Roman"/>
        </w:rPr>
        <w:t>T</w:t>
      </w:r>
      <w:r w:rsidR="00D4375A" w:rsidRPr="008373A2">
        <w:rPr>
          <w:rFonts w:ascii="Times New Roman" w:hAnsi="Times New Roman" w:cs="Times New Roman"/>
        </w:rPr>
        <w:t>he ICJ has been consistent in its expression of th</w:t>
      </w:r>
      <w:r w:rsidR="001D285B" w:rsidRPr="008373A2">
        <w:rPr>
          <w:rFonts w:ascii="Times New Roman" w:hAnsi="Times New Roman" w:cs="Times New Roman"/>
        </w:rPr>
        <w:t>e</w:t>
      </w:r>
      <w:r w:rsidR="00D4375A" w:rsidRPr="008373A2">
        <w:rPr>
          <w:rFonts w:ascii="Times New Roman" w:hAnsi="Times New Roman" w:cs="Times New Roman"/>
        </w:rPr>
        <w:t xml:space="preserve"> view that customary international law is general practice accepted as law.</w:t>
      </w:r>
      <w:r w:rsidR="00D4375A" w:rsidRPr="008373A2">
        <w:rPr>
          <w:rStyle w:val="FootnoteReference"/>
          <w:rFonts w:ascii="Times New Roman" w:hAnsi="Times New Roman" w:cs="Times New Roman"/>
        </w:rPr>
        <w:footnoteReference w:id="7"/>
      </w:r>
      <w:r w:rsidR="00D4375A" w:rsidRPr="008373A2">
        <w:rPr>
          <w:rFonts w:ascii="Times New Roman" w:hAnsi="Times New Roman" w:cs="Times New Roman"/>
        </w:rPr>
        <w:t xml:space="preserve"> Yet </w:t>
      </w:r>
      <w:r w:rsidR="00093483" w:rsidRPr="008373A2">
        <w:rPr>
          <w:rFonts w:ascii="Times New Roman" w:hAnsi="Times New Roman" w:cs="Times New Roman"/>
        </w:rPr>
        <w:t>t</w:t>
      </w:r>
      <w:r w:rsidR="00A05C5B" w:rsidRPr="008373A2">
        <w:rPr>
          <w:rFonts w:ascii="Times New Roman" w:hAnsi="Times New Roman" w:cs="Times New Roman"/>
        </w:rPr>
        <w:t xml:space="preserve">he Court has in certain cases </w:t>
      </w:r>
      <w:r w:rsidR="00B46123" w:rsidRPr="008373A2">
        <w:rPr>
          <w:rFonts w:ascii="Times New Roman" w:hAnsi="Times New Roman" w:cs="Times New Roman"/>
        </w:rPr>
        <w:t xml:space="preserve">simply asserted </w:t>
      </w:r>
      <w:r w:rsidR="00A05C5B" w:rsidRPr="008373A2">
        <w:rPr>
          <w:rFonts w:ascii="Times New Roman" w:hAnsi="Times New Roman" w:cs="Times New Roman"/>
        </w:rPr>
        <w:t xml:space="preserve">that customary </w:t>
      </w:r>
      <w:r w:rsidR="00890E7F" w:rsidRPr="008373A2">
        <w:rPr>
          <w:rFonts w:ascii="Times New Roman" w:hAnsi="Times New Roman" w:cs="Times New Roman"/>
        </w:rPr>
        <w:t>rule</w:t>
      </w:r>
      <w:r w:rsidR="00A05C5B" w:rsidRPr="008373A2">
        <w:rPr>
          <w:rFonts w:ascii="Times New Roman" w:hAnsi="Times New Roman" w:cs="Times New Roman"/>
        </w:rPr>
        <w:t xml:space="preserve">s exist </w:t>
      </w:r>
      <w:r w:rsidR="00D770E8" w:rsidRPr="008373A2">
        <w:rPr>
          <w:rFonts w:ascii="Times New Roman" w:hAnsi="Times New Roman" w:cs="Times New Roman"/>
        </w:rPr>
        <w:t>without</w:t>
      </w:r>
      <w:r w:rsidR="00A05C5B" w:rsidRPr="008373A2">
        <w:rPr>
          <w:rFonts w:ascii="Times New Roman" w:hAnsi="Times New Roman" w:cs="Times New Roman"/>
        </w:rPr>
        <w:t xml:space="preserve"> </w:t>
      </w:r>
      <w:r w:rsidR="00B46123" w:rsidRPr="008373A2">
        <w:rPr>
          <w:rFonts w:ascii="Times New Roman" w:hAnsi="Times New Roman" w:cs="Times New Roman"/>
        </w:rPr>
        <w:t>conducting any analysis</w:t>
      </w:r>
      <w:r w:rsidR="00A05C5B" w:rsidRPr="008373A2">
        <w:rPr>
          <w:rFonts w:ascii="Times New Roman" w:hAnsi="Times New Roman" w:cs="Times New Roman"/>
        </w:rPr>
        <w:t xml:space="preserve"> of </w:t>
      </w:r>
      <w:r w:rsidR="00B46123" w:rsidRPr="008373A2">
        <w:rPr>
          <w:rFonts w:ascii="Times New Roman" w:hAnsi="Times New Roman" w:cs="Times New Roman"/>
        </w:rPr>
        <w:t xml:space="preserve">state </w:t>
      </w:r>
      <w:r w:rsidR="00A05C5B" w:rsidRPr="008373A2">
        <w:rPr>
          <w:rFonts w:ascii="Times New Roman" w:hAnsi="Times New Roman" w:cs="Times New Roman"/>
        </w:rPr>
        <w:t xml:space="preserve">practice and </w:t>
      </w:r>
      <w:r w:rsidR="00A05C5B" w:rsidRPr="008373A2">
        <w:rPr>
          <w:rFonts w:ascii="Times New Roman" w:hAnsi="Times New Roman" w:cs="Times New Roman"/>
          <w:i/>
          <w:iCs/>
        </w:rPr>
        <w:t>opinio juris</w:t>
      </w:r>
      <w:r w:rsidR="00A05C5B" w:rsidRPr="008373A2">
        <w:rPr>
          <w:rFonts w:ascii="Times New Roman" w:hAnsi="Times New Roman" w:cs="Times New Roman"/>
        </w:rPr>
        <w:t>.</w:t>
      </w:r>
      <w:r w:rsidR="00A05C5B" w:rsidRPr="008373A2">
        <w:rPr>
          <w:rStyle w:val="FootnoteReference"/>
          <w:rFonts w:ascii="Times New Roman" w:hAnsi="Times New Roman" w:cs="Times New Roman"/>
        </w:rPr>
        <w:footnoteReference w:id="8"/>
      </w:r>
      <w:r w:rsidR="008448EE" w:rsidRPr="008373A2">
        <w:rPr>
          <w:rFonts w:ascii="Times New Roman" w:hAnsi="Times New Roman" w:cs="Times New Roman"/>
        </w:rPr>
        <w:t xml:space="preserve"> </w:t>
      </w:r>
      <w:r w:rsidR="00093483" w:rsidRPr="008373A2">
        <w:rPr>
          <w:rFonts w:ascii="Times New Roman" w:hAnsi="Times New Roman" w:cs="Times New Roman"/>
        </w:rPr>
        <w:t>These</w:t>
      </w:r>
      <w:r w:rsidR="008448EE" w:rsidRPr="008373A2">
        <w:rPr>
          <w:rFonts w:ascii="Times New Roman" w:hAnsi="Times New Roman" w:cs="Times New Roman"/>
        </w:rPr>
        <w:t xml:space="preserve"> </w:t>
      </w:r>
      <w:r w:rsidR="008448EE" w:rsidRPr="008373A2">
        <w:rPr>
          <w:rFonts w:ascii="Times New Roman" w:hAnsi="Times New Roman" w:cs="Times New Roman"/>
        </w:rPr>
        <w:lastRenderedPageBreak/>
        <w:t>cases c</w:t>
      </w:r>
      <w:r w:rsidR="00EA3D78" w:rsidRPr="008373A2">
        <w:rPr>
          <w:rFonts w:ascii="Times New Roman" w:hAnsi="Times New Roman" w:cs="Times New Roman"/>
        </w:rPr>
        <w:t>ould</w:t>
      </w:r>
      <w:r w:rsidR="008448EE" w:rsidRPr="008373A2">
        <w:rPr>
          <w:rFonts w:ascii="Times New Roman" w:hAnsi="Times New Roman" w:cs="Times New Roman"/>
        </w:rPr>
        <w:t xml:space="preserve"> </w:t>
      </w:r>
      <w:r w:rsidR="00107CC0" w:rsidRPr="008373A2">
        <w:rPr>
          <w:rFonts w:ascii="Times New Roman" w:hAnsi="Times New Roman" w:cs="Times New Roman"/>
        </w:rPr>
        <w:t xml:space="preserve">charitably </w:t>
      </w:r>
      <w:r w:rsidR="008448EE" w:rsidRPr="008373A2">
        <w:rPr>
          <w:rFonts w:ascii="Times New Roman" w:hAnsi="Times New Roman" w:cs="Times New Roman"/>
        </w:rPr>
        <w:t xml:space="preserve">be explained as examples of </w:t>
      </w:r>
      <w:r w:rsidR="007829A5" w:rsidRPr="008373A2">
        <w:rPr>
          <w:rFonts w:ascii="Times New Roman" w:hAnsi="Times New Roman" w:cs="Times New Roman"/>
        </w:rPr>
        <w:t>‘elision in judicial reasoning’</w:t>
      </w:r>
      <w:r w:rsidR="007829A5" w:rsidRPr="008373A2">
        <w:rPr>
          <w:rStyle w:val="FootnoteReference"/>
          <w:rFonts w:ascii="Times New Roman" w:hAnsi="Times New Roman" w:cs="Times New Roman"/>
        </w:rPr>
        <w:footnoteReference w:id="9"/>
      </w:r>
      <w:r w:rsidR="007829A5" w:rsidRPr="008373A2">
        <w:rPr>
          <w:rFonts w:ascii="Times New Roman" w:hAnsi="Times New Roman" w:cs="Times New Roman"/>
        </w:rPr>
        <w:t xml:space="preserve"> or simply </w:t>
      </w:r>
      <w:r w:rsidR="008448EE" w:rsidRPr="008373A2">
        <w:rPr>
          <w:rFonts w:ascii="Times New Roman" w:hAnsi="Times New Roman" w:cs="Times New Roman"/>
        </w:rPr>
        <w:t xml:space="preserve">lack of </w:t>
      </w:r>
      <w:r w:rsidR="007829A5" w:rsidRPr="008373A2">
        <w:rPr>
          <w:rFonts w:ascii="Times New Roman" w:hAnsi="Times New Roman" w:cs="Times New Roman"/>
        </w:rPr>
        <w:t>clarity</w:t>
      </w:r>
      <w:r w:rsidR="008448EE" w:rsidRPr="008373A2">
        <w:rPr>
          <w:rFonts w:ascii="Times New Roman" w:hAnsi="Times New Roman" w:cs="Times New Roman"/>
        </w:rPr>
        <w:t xml:space="preserve"> in the </w:t>
      </w:r>
      <w:r w:rsidR="005C319A" w:rsidRPr="008373A2">
        <w:rPr>
          <w:rFonts w:ascii="Times New Roman" w:hAnsi="Times New Roman" w:cs="Times New Roman"/>
        </w:rPr>
        <w:t>drafting</w:t>
      </w:r>
      <w:r w:rsidR="008448EE" w:rsidRPr="008373A2">
        <w:rPr>
          <w:rFonts w:ascii="Times New Roman" w:hAnsi="Times New Roman" w:cs="Times New Roman"/>
        </w:rPr>
        <w:t xml:space="preserve"> of the Court’s judgment</w:t>
      </w:r>
      <w:r w:rsidR="008B3C2C" w:rsidRPr="00437B04">
        <w:rPr>
          <w:rFonts w:ascii="Times New Roman" w:hAnsi="Times New Roman" w:cs="Times New Roman"/>
        </w:rPr>
        <w:t>s</w:t>
      </w:r>
      <w:r w:rsidR="008448EE" w:rsidRPr="008373A2">
        <w:rPr>
          <w:rFonts w:ascii="Times New Roman" w:hAnsi="Times New Roman" w:cs="Times New Roman"/>
        </w:rPr>
        <w:t xml:space="preserve">. However, more problematic are </w:t>
      </w:r>
      <w:r w:rsidR="00A90273">
        <w:rPr>
          <w:rFonts w:ascii="Times New Roman" w:hAnsi="Times New Roman" w:cs="Times New Roman"/>
        </w:rPr>
        <w:t xml:space="preserve">those </w:t>
      </w:r>
      <w:r w:rsidR="008448EE" w:rsidRPr="008373A2">
        <w:rPr>
          <w:rFonts w:ascii="Times New Roman" w:hAnsi="Times New Roman" w:cs="Times New Roman"/>
        </w:rPr>
        <w:t>cases where</w:t>
      </w:r>
      <w:r w:rsidR="00EF0894">
        <w:rPr>
          <w:rFonts w:ascii="Times New Roman" w:hAnsi="Times New Roman" w:cs="Times New Roman"/>
        </w:rPr>
        <w:t xml:space="preserve"> a rule of customary international law is identified even though</w:t>
      </w:r>
      <w:r w:rsidR="008448EE" w:rsidRPr="008373A2">
        <w:rPr>
          <w:rFonts w:ascii="Times New Roman" w:hAnsi="Times New Roman" w:cs="Times New Roman"/>
        </w:rPr>
        <w:t xml:space="preserve"> </w:t>
      </w:r>
      <w:r w:rsidR="00BB647A">
        <w:rPr>
          <w:rFonts w:ascii="Times New Roman" w:hAnsi="Times New Roman" w:cs="Times New Roman"/>
        </w:rPr>
        <w:t xml:space="preserve">one of the elements – state practice or </w:t>
      </w:r>
      <w:r w:rsidR="00BB647A" w:rsidRPr="00437B04">
        <w:rPr>
          <w:rFonts w:ascii="Times New Roman" w:hAnsi="Times New Roman" w:cs="Times New Roman"/>
          <w:i/>
          <w:iCs/>
        </w:rPr>
        <w:t>opinio juris</w:t>
      </w:r>
      <w:r w:rsidR="00BB647A">
        <w:rPr>
          <w:rFonts w:ascii="Times New Roman" w:hAnsi="Times New Roman" w:cs="Times New Roman"/>
        </w:rPr>
        <w:t xml:space="preserve"> – appears to be missing</w:t>
      </w:r>
      <w:r w:rsidR="008448EE" w:rsidRPr="008373A2">
        <w:rPr>
          <w:rFonts w:ascii="Times New Roman" w:hAnsi="Times New Roman" w:cs="Times New Roman"/>
        </w:rPr>
        <w:t>.</w:t>
      </w:r>
      <w:r w:rsidR="001268A8" w:rsidRPr="008373A2">
        <w:rPr>
          <w:rFonts w:ascii="Times New Roman" w:hAnsi="Times New Roman" w:cs="Times New Roman"/>
        </w:rPr>
        <w:t xml:space="preserve"> </w:t>
      </w:r>
      <w:r w:rsidR="008B65A5" w:rsidRPr="008373A2">
        <w:rPr>
          <w:rFonts w:ascii="Times New Roman" w:hAnsi="Times New Roman" w:cs="Times New Roman"/>
        </w:rPr>
        <w:t>In some cases</w:t>
      </w:r>
      <w:r w:rsidR="00210E49" w:rsidRPr="008373A2">
        <w:rPr>
          <w:rFonts w:ascii="Times New Roman" w:hAnsi="Times New Roman" w:cs="Times New Roman"/>
        </w:rPr>
        <w:t xml:space="preserve">, as the two-element approach would predict, an absence of evidence of </w:t>
      </w:r>
      <w:r w:rsidR="00210E49" w:rsidRPr="008373A2">
        <w:rPr>
          <w:rFonts w:ascii="Times New Roman" w:hAnsi="Times New Roman" w:cs="Times New Roman"/>
          <w:i/>
          <w:iCs/>
        </w:rPr>
        <w:t xml:space="preserve">opinio juris </w:t>
      </w:r>
      <w:r w:rsidR="00210E49" w:rsidRPr="008373A2">
        <w:rPr>
          <w:rFonts w:ascii="Times New Roman" w:hAnsi="Times New Roman" w:cs="Times New Roman"/>
        </w:rPr>
        <w:t xml:space="preserve">leads to a finding by the Court that an alleged rule of customary international law does not exist: the </w:t>
      </w:r>
      <w:r w:rsidR="00210E49" w:rsidRPr="008373A2">
        <w:rPr>
          <w:rFonts w:ascii="Times New Roman" w:hAnsi="Times New Roman" w:cs="Times New Roman"/>
          <w:i/>
          <w:iCs/>
        </w:rPr>
        <w:t>Colombian-Peruvian Asylum</w:t>
      </w:r>
      <w:r w:rsidR="00210E49" w:rsidRPr="008373A2">
        <w:rPr>
          <w:rFonts w:ascii="Times New Roman" w:hAnsi="Times New Roman" w:cs="Times New Roman"/>
        </w:rPr>
        <w:t xml:space="preserve"> case, </w:t>
      </w:r>
      <w:r w:rsidR="00210E49" w:rsidRPr="003973A8">
        <w:rPr>
          <w:rFonts w:ascii="Times New Roman" w:hAnsi="Times New Roman" w:cs="Times New Roman"/>
        </w:rPr>
        <w:t xml:space="preserve">the </w:t>
      </w:r>
      <w:r w:rsidR="00210E49" w:rsidRPr="008373A2">
        <w:rPr>
          <w:rFonts w:ascii="Times New Roman" w:hAnsi="Times New Roman" w:cs="Times New Roman"/>
          <w:i/>
          <w:iCs/>
        </w:rPr>
        <w:t xml:space="preserve">Legality of the Threat or Use of </w:t>
      </w:r>
      <w:proofErr w:type="gramStart"/>
      <w:r w:rsidR="00210E49" w:rsidRPr="008373A2">
        <w:rPr>
          <w:rFonts w:ascii="Times New Roman" w:hAnsi="Times New Roman" w:cs="Times New Roman"/>
          <w:i/>
          <w:iCs/>
        </w:rPr>
        <w:t>Nuclear Weapons</w:t>
      </w:r>
      <w:proofErr w:type="gramEnd"/>
      <w:r w:rsidR="00210E49" w:rsidRPr="008373A2">
        <w:rPr>
          <w:rFonts w:ascii="Times New Roman" w:hAnsi="Times New Roman" w:cs="Times New Roman"/>
          <w:i/>
          <w:iCs/>
        </w:rPr>
        <w:t xml:space="preserve"> </w:t>
      </w:r>
      <w:r w:rsidR="00210E49" w:rsidRPr="008373A2">
        <w:rPr>
          <w:rFonts w:ascii="Times New Roman" w:hAnsi="Times New Roman" w:cs="Times New Roman"/>
        </w:rPr>
        <w:t xml:space="preserve">advisory opinion, and the </w:t>
      </w:r>
      <w:r w:rsidR="00210E49" w:rsidRPr="008373A2">
        <w:rPr>
          <w:rFonts w:ascii="Times New Roman" w:hAnsi="Times New Roman" w:cs="Times New Roman"/>
          <w:i/>
          <w:iCs/>
        </w:rPr>
        <w:t>North Sea Continental Shelf</w:t>
      </w:r>
      <w:r w:rsidR="00210E49" w:rsidRPr="008373A2">
        <w:rPr>
          <w:rFonts w:ascii="Times New Roman" w:hAnsi="Times New Roman" w:cs="Times New Roman"/>
        </w:rPr>
        <w:t xml:space="preserve"> cases. Yet in </w:t>
      </w:r>
      <w:r w:rsidR="00210E49" w:rsidRPr="008373A2">
        <w:rPr>
          <w:rFonts w:ascii="Times New Roman" w:hAnsi="Times New Roman" w:cs="Times New Roman"/>
          <w:i/>
          <w:iCs/>
        </w:rPr>
        <w:t>Military and Paramilitary Activities in and against Nicaragua</w:t>
      </w:r>
      <w:r w:rsidR="00210E49" w:rsidRPr="008373A2">
        <w:rPr>
          <w:rFonts w:ascii="Times New Roman" w:hAnsi="Times New Roman" w:cs="Times New Roman"/>
        </w:rPr>
        <w:t xml:space="preserve">, the Court concludes that a customary rule exists apparently based on evidence of </w:t>
      </w:r>
      <w:r w:rsidR="00210E49" w:rsidRPr="008373A2">
        <w:rPr>
          <w:rFonts w:ascii="Times New Roman" w:hAnsi="Times New Roman" w:cs="Times New Roman"/>
          <w:i/>
          <w:iCs/>
        </w:rPr>
        <w:t>opinio juris</w:t>
      </w:r>
      <w:r w:rsidR="00210E49" w:rsidRPr="008373A2">
        <w:rPr>
          <w:rFonts w:ascii="Times New Roman" w:hAnsi="Times New Roman" w:cs="Times New Roman"/>
        </w:rPr>
        <w:t xml:space="preserve"> alone. In other cases</w:t>
      </w:r>
      <w:r w:rsidR="000442FD">
        <w:rPr>
          <w:rFonts w:ascii="Times New Roman" w:hAnsi="Times New Roman" w:cs="Times New Roman"/>
        </w:rPr>
        <w:t>,</w:t>
      </w:r>
      <w:r w:rsidR="00210E49" w:rsidRPr="008373A2">
        <w:rPr>
          <w:rFonts w:ascii="Times New Roman" w:hAnsi="Times New Roman" w:cs="Times New Roman"/>
        </w:rPr>
        <w:t xml:space="preserve"> there is no clear evidence of </w:t>
      </w:r>
      <w:r w:rsidR="00210E49" w:rsidRPr="008373A2">
        <w:rPr>
          <w:rFonts w:ascii="Times New Roman" w:hAnsi="Times New Roman" w:cs="Times New Roman"/>
          <w:i/>
          <w:iCs/>
        </w:rPr>
        <w:t>opinio juris</w:t>
      </w:r>
      <w:r w:rsidR="00210E49" w:rsidRPr="008373A2">
        <w:rPr>
          <w:rFonts w:ascii="Times New Roman" w:hAnsi="Times New Roman" w:cs="Times New Roman"/>
        </w:rPr>
        <w:t xml:space="preserve"> </w:t>
      </w:r>
      <w:r w:rsidR="00753388" w:rsidRPr="008373A2">
        <w:rPr>
          <w:rFonts w:ascii="Times New Roman" w:hAnsi="Times New Roman" w:cs="Times New Roman"/>
        </w:rPr>
        <w:t xml:space="preserve">on the part of states participating in the practice, </w:t>
      </w:r>
      <w:r w:rsidR="00210E49" w:rsidRPr="008373A2">
        <w:rPr>
          <w:rFonts w:ascii="Times New Roman" w:hAnsi="Times New Roman" w:cs="Times New Roman"/>
        </w:rPr>
        <w:t xml:space="preserve">but the Court nevertheless concludes that the alleged customary rule exists: the </w:t>
      </w:r>
      <w:r w:rsidR="00210E49" w:rsidRPr="008373A2">
        <w:rPr>
          <w:rFonts w:ascii="Times New Roman" w:hAnsi="Times New Roman" w:cs="Times New Roman"/>
          <w:i/>
          <w:iCs/>
        </w:rPr>
        <w:t>Case concerning Right of Passage over Indian Territory</w:t>
      </w:r>
      <w:r w:rsidR="00210E49" w:rsidRPr="008373A2">
        <w:rPr>
          <w:rFonts w:ascii="Times New Roman" w:hAnsi="Times New Roman" w:cs="Times New Roman"/>
        </w:rPr>
        <w:t xml:space="preserve"> and the more recent </w:t>
      </w:r>
      <w:r w:rsidR="00210E49" w:rsidRPr="008373A2">
        <w:rPr>
          <w:rFonts w:ascii="Times New Roman" w:hAnsi="Times New Roman" w:cs="Times New Roman"/>
          <w:i/>
          <w:iCs/>
        </w:rPr>
        <w:t>Dispute Regarding Navigational and Related Rights</w:t>
      </w:r>
      <w:r w:rsidR="00210E49" w:rsidRPr="008373A2">
        <w:rPr>
          <w:rFonts w:ascii="Times New Roman" w:hAnsi="Times New Roman" w:cs="Times New Roman"/>
        </w:rPr>
        <w:t>.</w:t>
      </w:r>
    </w:p>
    <w:p w14:paraId="116D1B6B" w14:textId="3A6D40A5" w:rsidR="004B53CB" w:rsidRPr="008373A2" w:rsidRDefault="004B53CB" w:rsidP="00064C83">
      <w:pPr>
        <w:spacing w:line="360" w:lineRule="auto"/>
        <w:jc w:val="both"/>
        <w:rPr>
          <w:rFonts w:ascii="Times New Roman" w:hAnsi="Times New Roman" w:cs="Times New Roman"/>
        </w:rPr>
      </w:pPr>
    </w:p>
    <w:p w14:paraId="19B9D08F" w14:textId="7C832BE6" w:rsidR="006F3DFC" w:rsidRDefault="00A90273">
      <w:pPr>
        <w:spacing w:line="360" w:lineRule="auto"/>
        <w:jc w:val="both"/>
        <w:rPr>
          <w:rFonts w:ascii="Times New Roman" w:hAnsi="Times New Roman" w:cs="Times New Roman"/>
        </w:rPr>
      </w:pPr>
      <w:r>
        <w:rPr>
          <w:rFonts w:ascii="Times New Roman" w:hAnsi="Times New Roman" w:cs="Times New Roman"/>
        </w:rPr>
        <w:t>Th</w:t>
      </w:r>
      <w:r w:rsidR="004B01BE">
        <w:rPr>
          <w:rFonts w:ascii="Times New Roman" w:hAnsi="Times New Roman" w:cs="Times New Roman"/>
        </w:rPr>
        <w:t>ese</w:t>
      </w:r>
      <w:r>
        <w:rPr>
          <w:rFonts w:ascii="Times New Roman" w:hAnsi="Times New Roman" w:cs="Times New Roman"/>
        </w:rPr>
        <w:t xml:space="preserve"> apparent inconsistenc</w:t>
      </w:r>
      <w:r w:rsidR="004B01BE">
        <w:rPr>
          <w:rFonts w:ascii="Times New Roman" w:hAnsi="Times New Roman" w:cs="Times New Roman"/>
        </w:rPr>
        <w:t>ies</w:t>
      </w:r>
      <w:r>
        <w:rPr>
          <w:rFonts w:ascii="Times New Roman" w:hAnsi="Times New Roman" w:cs="Times New Roman"/>
        </w:rPr>
        <w:t xml:space="preserve"> in the Court’s approach ha</w:t>
      </w:r>
      <w:r w:rsidR="004B01BE">
        <w:rPr>
          <w:rFonts w:ascii="Times New Roman" w:hAnsi="Times New Roman" w:cs="Times New Roman"/>
        </w:rPr>
        <w:t>ve</w:t>
      </w:r>
      <w:r>
        <w:rPr>
          <w:rFonts w:ascii="Times New Roman" w:hAnsi="Times New Roman" w:cs="Times New Roman"/>
        </w:rPr>
        <w:t xml:space="preserve"> led scholars to cast doubt on whether the Court really does, as it claims, apply </w:t>
      </w:r>
      <w:r w:rsidR="00DA11F4">
        <w:rPr>
          <w:rFonts w:ascii="Times New Roman" w:hAnsi="Times New Roman" w:cs="Times New Roman"/>
        </w:rPr>
        <w:t>a</w:t>
      </w:r>
      <w:r w:rsidR="00DA11F4">
        <w:rPr>
          <w:rFonts w:ascii="Times New Roman" w:hAnsi="Times New Roman" w:cs="Times New Roman"/>
        </w:rPr>
        <w:t xml:space="preserve"> </w:t>
      </w:r>
      <w:r>
        <w:rPr>
          <w:rFonts w:ascii="Times New Roman" w:hAnsi="Times New Roman" w:cs="Times New Roman"/>
        </w:rPr>
        <w:t xml:space="preserve">two-element test when identifying rules of customary international law. </w:t>
      </w:r>
      <w:r w:rsidR="00D55322" w:rsidRPr="008373A2">
        <w:rPr>
          <w:rFonts w:ascii="Times New Roman" w:hAnsi="Times New Roman" w:cs="Times New Roman"/>
        </w:rPr>
        <w:t>Geiger has argued that</w:t>
      </w:r>
      <w:r w:rsidR="004B53CB" w:rsidRPr="008373A2">
        <w:rPr>
          <w:rFonts w:ascii="Times New Roman" w:hAnsi="Times New Roman" w:cs="Times New Roman"/>
        </w:rPr>
        <w:t xml:space="preserve"> </w:t>
      </w:r>
      <w:r w:rsidR="008B3C2C" w:rsidRPr="00437B04">
        <w:rPr>
          <w:rFonts w:ascii="Times New Roman" w:hAnsi="Times New Roman" w:cs="Times New Roman"/>
        </w:rPr>
        <w:t>such</w:t>
      </w:r>
      <w:r w:rsidR="008B3C2C" w:rsidRPr="008373A2">
        <w:rPr>
          <w:rFonts w:ascii="Times New Roman" w:hAnsi="Times New Roman" w:cs="Times New Roman"/>
        </w:rPr>
        <w:t xml:space="preserve"> </w:t>
      </w:r>
      <w:r w:rsidR="00093483" w:rsidRPr="008373A2">
        <w:rPr>
          <w:rFonts w:ascii="Times New Roman" w:hAnsi="Times New Roman" w:cs="Times New Roman"/>
        </w:rPr>
        <w:t>inconsistenc</w:t>
      </w:r>
      <w:r w:rsidR="008B3C2C" w:rsidRPr="00437B04">
        <w:rPr>
          <w:rFonts w:ascii="Times New Roman" w:hAnsi="Times New Roman" w:cs="Times New Roman"/>
        </w:rPr>
        <w:t>ies</w:t>
      </w:r>
      <w:r w:rsidR="00093483" w:rsidRPr="008373A2">
        <w:rPr>
          <w:rFonts w:ascii="Times New Roman" w:hAnsi="Times New Roman" w:cs="Times New Roman"/>
        </w:rPr>
        <w:t xml:space="preserve"> </w:t>
      </w:r>
      <w:r w:rsidR="009C16C0" w:rsidRPr="008373A2">
        <w:rPr>
          <w:rFonts w:ascii="Times New Roman" w:hAnsi="Times New Roman" w:cs="Times New Roman"/>
        </w:rPr>
        <w:t>indicate</w:t>
      </w:r>
      <w:r w:rsidR="004B53CB" w:rsidRPr="008373A2">
        <w:rPr>
          <w:rFonts w:ascii="Times New Roman" w:hAnsi="Times New Roman" w:cs="Times New Roman"/>
        </w:rPr>
        <w:t xml:space="preserve"> that ‘the Court’s openly proclaimed standards for establishing specific customary rules are quite different from how the Court really proceeds.’</w:t>
      </w:r>
      <w:r w:rsidR="004B53CB" w:rsidRPr="008373A2">
        <w:rPr>
          <w:rStyle w:val="FootnoteReference"/>
          <w:rFonts w:ascii="Times New Roman" w:hAnsi="Times New Roman" w:cs="Times New Roman"/>
        </w:rPr>
        <w:footnoteReference w:id="10"/>
      </w:r>
      <w:r w:rsidR="004B53CB" w:rsidRPr="008373A2">
        <w:rPr>
          <w:rFonts w:ascii="Times New Roman" w:hAnsi="Times New Roman" w:cs="Times New Roman"/>
        </w:rPr>
        <w:t xml:space="preserve"> </w:t>
      </w:r>
      <w:r w:rsidR="00F24158">
        <w:rPr>
          <w:rFonts w:ascii="Times New Roman" w:hAnsi="Times New Roman" w:cs="Times New Roman"/>
        </w:rPr>
        <w:t xml:space="preserve">Likewise, </w:t>
      </w:r>
      <w:r w:rsidR="00253E90" w:rsidRPr="008373A2">
        <w:rPr>
          <w:rFonts w:ascii="Times New Roman" w:hAnsi="Times New Roman" w:cs="Times New Roman"/>
        </w:rPr>
        <w:t>Alvarez-</w:t>
      </w:r>
      <w:proofErr w:type="spellStart"/>
      <w:r w:rsidR="00253E90" w:rsidRPr="008373A2">
        <w:rPr>
          <w:rFonts w:ascii="Times New Roman" w:hAnsi="Times New Roman" w:cs="Times New Roman"/>
        </w:rPr>
        <w:t>Jímenez</w:t>
      </w:r>
      <w:proofErr w:type="spellEnd"/>
      <w:r w:rsidR="00253E90" w:rsidRPr="008373A2" w:rsidDel="00253E90">
        <w:rPr>
          <w:rFonts w:ascii="Times New Roman" w:hAnsi="Times New Roman" w:cs="Times New Roman"/>
        </w:rPr>
        <w:t xml:space="preserve"> </w:t>
      </w:r>
      <w:r w:rsidR="00253E90" w:rsidRPr="008373A2">
        <w:rPr>
          <w:rFonts w:ascii="Times New Roman" w:hAnsi="Times New Roman" w:cs="Times New Roman"/>
        </w:rPr>
        <w:t xml:space="preserve">has </w:t>
      </w:r>
      <w:r w:rsidR="004B53CB" w:rsidRPr="008373A2">
        <w:rPr>
          <w:rFonts w:ascii="Times New Roman" w:hAnsi="Times New Roman" w:cs="Times New Roman"/>
        </w:rPr>
        <w:t>suggested that the Court does not really apply the two-element test, but has developed a new ‘flexible deductive’ approach to the identification of customary international law;</w:t>
      </w:r>
      <w:r w:rsidR="004B53CB" w:rsidRPr="008373A2">
        <w:rPr>
          <w:rStyle w:val="FootnoteReference"/>
          <w:rFonts w:ascii="Times New Roman" w:hAnsi="Times New Roman" w:cs="Times New Roman"/>
        </w:rPr>
        <w:footnoteReference w:id="11"/>
      </w:r>
      <w:r w:rsidR="004B53CB" w:rsidRPr="008373A2">
        <w:rPr>
          <w:rFonts w:ascii="Times New Roman" w:hAnsi="Times New Roman" w:cs="Times New Roman"/>
        </w:rPr>
        <w:t xml:space="preserve"> </w:t>
      </w:r>
      <w:r w:rsidR="00253E90" w:rsidRPr="008373A2">
        <w:rPr>
          <w:rFonts w:ascii="Times New Roman" w:hAnsi="Times New Roman" w:cs="Times New Roman"/>
        </w:rPr>
        <w:t>while Chan has argued</w:t>
      </w:r>
      <w:r w:rsidR="004B53CB" w:rsidRPr="008373A2">
        <w:rPr>
          <w:rFonts w:ascii="Times New Roman" w:hAnsi="Times New Roman" w:cs="Times New Roman"/>
        </w:rPr>
        <w:t xml:space="preserve"> that the Court is engaging in law creation.</w:t>
      </w:r>
      <w:r w:rsidR="004B53CB" w:rsidRPr="008373A2">
        <w:rPr>
          <w:rStyle w:val="FootnoteReference"/>
          <w:rFonts w:ascii="Times New Roman" w:hAnsi="Times New Roman" w:cs="Times New Roman"/>
        </w:rPr>
        <w:footnoteReference w:id="12"/>
      </w:r>
      <w:r w:rsidR="004B53CB" w:rsidRPr="008373A2">
        <w:rPr>
          <w:rFonts w:ascii="Times New Roman" w:hAnsi="Times New Roman" w:cs="Times New Roman"/>
        </w:rPr>
        <w:t xml:space="preserve"> Ambitious alternative accounts of the nature and identification of customary international law have reject</w:t>
      </w:r>
      <w:r w:rsidR="00093483" w:rsidRPr="008373A2">
        <w:rPr>
          <w:rFonts w:ascii="Times New Roman" w:hAnsi="Times New Roman" w:cs="Times New Roman"/>
        </w:rPr>
        <w:t>ed</w:t>
      </w:r>
      <w:r w:rsidR="004B53CB" w:rsidRPr="008373A2">
        <w:rPr>
          <w:rFonts w:ascii="Times New Roman" w:hAnsi="Times New Roman" w:cs="Times New Roman"/>
        </w:rPr>
        <w:t xml:space="preserve"> the two-element test in favour of, for example, </w:t>
      </w:r>
      <w:r w:rsidR="00253E90" w:rsidRPr="008373A2">
        <w:rPr>
          <w:rFonts w:ascii="Times New Roman" w:hAnsi="Times New Roman" w:cs="Times New Roman"/>
        </w:rPr>
        <w:t>the</w:t>
      </w:r>
      <w:r w:rsidR="004B53CB" w:rsidRPr="008373A2">
        <w:rPr>
          <w:rFonts w:ascii="Times New Roman" w:hAnsi="Times New Roman" w:cs="Times New Roman"/>
        </w:rPr>
        <w:t xml:space="preserve"> ‘reflective interpretive approach’ </w:t>
      </w:r>
      <w:r w:rsidR="00253E90" w:rsidRPr="008373A2">
        <w:rPr>
          <w:rFonts w:ascii="Times New Roman" w:hAnsi="Times New Roman" w:cs="Times New Roman"/>
        </w:rPr>
        <w:t xml:space="preserve">developed by Roberts, </w:t>
      </w:r>
      <w:r w:rsidR="004B53CB" w:rsidRPr="008373A2">
        <w:rPr>
          <w:rFonts w:ascii="Times New Roman" w:hAnsi="Times New Roman" w:cs="Times New Roman"/>
        </w:rPr>
        <w:t xml:space="preserve">which claims to </w:t>
      </w:r>
      <w:r w:rsidR="004B53CB" w:rsidRPr="008373A2">
        <w:rPr>
          <w:rFonts w:ascii="Times New Roman" w:hAnsi="Times New Roman" w:cs="Times New Roman"/>
        </w:rPr>
        <w:lastRenderedPageBreak/>
        <w:t xml:space="preserve">reconcile the varying weight given to practice and </w:t>
      </w:r>
      <w:r w:rsidR="004B53CB" w:rsidRPr="008373A2">
        <w:rPr>
          <w:rFonts w:ascii="Times New Roman" w:hAnsi="Times New Roman" w:cs="Times New Roman"/>
          <w:i/>
          <w:iCs/>
        </w:rPr>
        <w:t>opinio juris</w:t>
      </w:r>
      <w:r w:rsidR="00E95A77" w:rsidRPr="008373A2">
        <w:rPr>
          <w:rFonts w:ascii="Times New Roman" w:hAnsi="Times New Roman" w:cs="Times New Roman"/>
        </w:rPr>
        <w:t>;</w:t>
      </w:r>
      <w:r w:rsidR="00B92EDA" w:rsidRPr="008373A2">
        <w:rPr>
          <w:rStyle w:val="FootnoteReference"/>
          <w:rFonts w:ascii="Times New Roman" w:hAnsi="Times New Roman" w:cs="Times New Roman"/>
        </w:rPr>
        <w:footnoteReference w:id="13"/>
      </w:r>
      <w:r w:rsidR="004B53CB" w:rsidRPr="008373A2">
        <w:rPr>
          <w:rFonts w:ascii="Times New Roman" w:hAnsi="Times New Roman" w:cs="Times New Roman"/>
        </w:rPr>
        <w:t xml:space="preserve"> </w:t>
      </w:r>
      <w:proofErr w:type="spellStart"/>
      <w:r w:rsidR="00253E90" w:rsidRPr="008373A2">
        <w:rPr>
          <w:rFonts w:ascii="Times New Roman" w:hAnsi="Times New Roman" w:cs="Times New Roman"/>
        </w:rPr>
        <w:t>Kirgis’s</w:t>
      </w:r>
      <w:proofErr w:type="spellEnd"/>
      <w:r w:rsidR="004A388F" w:rsidRPr="008373A2">
        <w:rPr>
          <w:rFonts w:ascii="Times New Roman" w:hAnsi="Times New Roman" w:cs="Times New Roman"/>
        </w:rPr>
        <w:t xml:space="preserve"> ‘sliding scale’ between practice and </w:t>
      </w:r>
      <w:r w:rsidR="004A388F" w:rsidRPr="008373A2">
        <w:rPr>
          <w:rFonts w:ascii="Times New Roman" w:hAnsi="Times New Roman" w:cs="Times New Roman"/>
          <w:i/>
          <w:iCs/>
        </w:rPr>
        <w:t>opinio juris</w:t>
      </w:r>
      <w:r w:rsidR="00E95A77" w:rsidRPr="008373A2">
        <w:rPr>
          <w:rFonts w:ascii="Times New Roman" w:hAnsi="Times New Roman" w:cs="Times New Roman"/>
        </w:rPr>
        <w:t>;</w:t>
      </w:r>
      <w:r w:rsidR="004A388F" w:rsidRPr="008373A2">
        <w:rPr>
          <w:rStyle w:val="FootnoteReference"/>
          <w:rFonts w:ascii="Times New Roman" w:hAnsi="Times New Roman" w:cs="Times New Roman"/>
        </w:rPr>
        <w:footnoteReference w:id="14"/>
      </w:r>
      <w:r w:rsidR="004A388F" w:rsidRPr="008373A2">
        <w:rPr>
          <w:rFonts w:ascii="Times New Roman" w:hAnsi="Times New Roman" w:cs="Times New Roman"/>
        </w:rPr>
        <w:t xml:space="preserve"> </w:t>
      </w:r>
      <w:r w:rsidR="004B53CB" w:rsidRPr="008373A2">
        <w:rPr>
          <w:rFonts w:ascii="Times New Roman" w:hAnsi="Times New Roman" w:cs="Times New Roman"/>
        </w:rPr>
        <w:t xml:space="preserve">or </w:t>
      </w:r>
      <w:r w:rsidR="00253E90" w:rsidRPr="008373A2">
        <w:rPr>
          <w:rFonts w:ascii="Times New Roman" w:hAnsi="Times New Roman" w:cs="Times New Roman"/>
        </w:rPr>
        <w:t>the</w:t>
      </w:r>
      <w:r w:rsidR="004B53CB" w:rsidRPr="008373A2">
        <w:rPr>
          <w:rFonts w:ascii="Times New Roman" w:hAnsi="Times New Roman" w:cs="Times New Roman"/>
        </w:rPr>
        <w:t xml:space="preserve"> single element approach</w:t>
      </w:r>
      <w:r w:rsidR="00253E90" w:rsidRPr="008373A2">
        <w:rPr>
          <w:rFonts w:ascii="Times New Roman" w:hAnsi="Times New Roman" w:cs="Times New Roman"/>
        </w:rPr>
        <w:t xml:space="preserve"> advanced by the International Law Association</w:t>
      </w:r>
      <w:r w:rsidR="004B53CB" w:rsidRPr="008373A2">
        <w:rPr>
          <w:rFonts w:ascii="Times New Roman" w:hAnsi="Times New Roman" w:cs="Times New Roman"/>
        </w:rPr>
        <w:t xml:space="preserve">, in which the role of </w:t>
      </w:r>
      <w:r w:rsidR="004B53CB" w:rsidRPr="008373A2">
        <w:rPr>
          <w:rFonts w:ascii="Times New Roman" w:hAnsi="Times New Roman" w:cs="Times New Roman"/>
          <w:i/>
          <w:iCs/>
        </w:rPr>
        <w:t>opinio juris</w:t>
      </w:r>
      <w:r w:rsidR="004B53CB" w:rsidRPr="008373A2">
        <w:rPr>
          <w:rFonts w:ascii="Times New Roman" w:hAnsi="Times New Roman" w:cs="Times New Roman"/>
        </w:rPr>
        <w:t xml:space="preserve"> is diminished.</w:t>
      </w:r>
      <w:r w:rsidR="004B53CB" w:rsidRPr="008373A2">
        <w:rPr>
          <w:rStyle w:val="FootnoteReference"/>
          <w:rFonts w:ascii="Times New Roman" w:hAnsi="Times New Roman" w:cs="Times New Roman"/>
        </w:rPr>
        <w:footnoteReference w:id="15"/>
      </w:r>
      <w:r w:rsidR="004B53CB" w:rsidRPr="008373A2">
        <w:rPr>
          <w:rFonts w:ascii="Times New Roman" w:hAnsi="Times New Roman" w:cs="Times New Roman"/>
        </w:rPr>
        <w:t xml:space="preserve"> </w:t>
      </w:r>
      <w:r w:rsidR="00C8376A" w:rsidRPr="008373A2">
        <w:rPr>
          <w:rFonts w:ascii="Times New Roman" w:hAnsi="Times New Roman" w:cs="Times New Roman"/>
        </w:rPr>
        <w:t xml:space="preserve">Goldsmith and Posner have sought to </w:t>
      </w:r>
      <w:r w:rsidR="004B53CB" w:rsidRPr="008373A2">
        <w:rPr>
          <w:rFonts w:ascii="Times New Roman" w:hAnsi="Times New Roman" w:cs="Times New Roman"/>
        </w:rPr>
        <w:t>explain customary international law on the basis of game theory</w:t>
      </w:r>
      <w:r w:rsidR="00C8376A" w:rsidRPr="008373A2">
        <w:rPr>
          <w:rFonts w:ascii="Times New Roman" w:hAnsi="Times New Roman" w:cs="Times New Roman"/>
        </w:rPr>
        <w:t>,</w:t>
      </w:r>
      <w:r w:rsidR="004B53CB" w:rsidRPr="008373A2">
        <w:rPr>
          <w:rStyle w:val="FootnoteReference"/>
          <w:rFonts w:ascii="Times New Roman" w:hAnsi="Times New Roman" w:cs="Times New Roman"/>
        </w:rPr>
        <w:footnoteReference w:id="16"/>
      </w:r>
      <w:r w:rsidR="004B53CB" w:rsidRPr="008373A2">
        <w:rPr>
          <w:rFonts w:ascii="Times New Roman" w:hAnsi="Times New Roman" w:cs="Times New Roman"/>
        </w:rPr>
        <w:t xml:space="preserve"> </w:t>
      </w:r>
      <w:r w:rsidR="00C8376A" w:rsidRPr="008373A2">
        <w:rPr>
          <w:rFonts w:ascii="Times New Roman" w:hAnsi="Times New Roman" w:cs="Times New Roman"/>
        </w:rPr>
        <w:t>while Guzman has applied</w:t>
      </w:r>
      <w:r w:rsidR="004B53CB" w:rsidRPr="008373A2">
        <w:rPr>
          <w:rFonts w:ascii="Times New Roman" w:hAnsi="Times New Roman" w:cs="Times New Roman"/>
        </w:rPr>
        <w:t xml:space="preserve"> rational choice theory.</w:t>
      </w:r>
      <w:r w:rsidR="004B53CB" w:rsidRPr="008373A2">
        <w:rPr>
          <w:rStyle w:val="FootnoteReference"/>
          <w:rFonts w:ascii="Times New Roman" w:hAnsi="Times New Roman" w:cs="Times New Roman"/>
        </w:rPr>
        <w:footnoteReference w:id="17"/>
      </w:r>
      <w:r w:rsidR="00BC5397" w:rsidRPr="008373A2">
        <w:rPr>
          <w:rFonts w:ascii="Times New Roman" w:hAnsi="Times New Roman" w:cs="Times New Roman"/>
        </w:rPr>
        <w:t xml:space="preserve"> </w:t>
      </w:r>
    </w:p>
    <w:p w14:paraId="2743FB34" w14:textId="77777777" w:rsidR="006F3DFC" w:rsidRDefault="006F3DFC">
      <w:pPr>
        <w:spacing w:line="360" w:lineRule="auto"/>
        <w:jc w:val="both"/>
        <w:rPr>
          <w:rFonts w:ascii="Times New Roman" w:hAnsi="Times New Roman" w:cs="Times New Roman"/>
        </w:rPr>
      </w:pPr>
    </w:p>
    <w:p w14:paraId="10DB7DBD" w14:textId="593D2100" w:rsidR="00BC5397" w:rsidRPr="008373A2" w:rsidRDefault="00E56E7A">
      <w:pPr>
        <w:spacing w:line="360" w:lineRule="auto"/>
        <w:jc w:val="both"/>
        <w:rPr>
          <w:rFonts w:ascii="Times New Roman" w:hAnsi="Times New Roman" w:cs="Times New Roman"/>
        </w:rPr>
      </w:pPr>
      <w:r w:rsidRPr="008373A2">
        <w:rPr>
          <w:rFonts w:ascii="Times New Roman" w:hAnsi="Times New Roman" w:cs="Times New Roman"/>
        </w:rPr>
        <w:t xml:space="preserve">However, </w:t>
      </w:r>
      <w:r w:rsidR="00A90273">
        <w:rPr>
          <w:rFonts w:ascii="Times New Roman" w:hAnsi="Times New Roman" w:cs="Times New Roman"/>
        </w:rPr>
        <w:t>s</w:t>
      </w:r>
      <w:r w:rsidRPr="008373A2">
        <w:rPr>
          <w:rFonts w:ascii="Times New Roman" w:hAnsi="Times New Roman" w:cs="Times New Roman"/>
        </w:rPr>
        <w:t>upport for such alternative approaches remains limited to scholarly writings and they have ‘gained no traction with states and no significant following among practitioners’.</w:t>
      </w:r>
      <w:r w:rsidRPr="008373A2">
        <w:rPr>
          <w:rStyle w:val="FootnoteReference"/>
          <w:rFonts w:ascii="Times New Roman" w:hAnsi="Times New Roman" w:cs="Times New Roman"/>
        </w:rPr>
        <w:footnoteReference w:id="18"/>
      </w:r>
      <w:r w:rsidRPr="008373A2">
        <w:rPr>
          <w:rFonts w:ascii="Times New Roman" w:hAnsi="Times New Roman" w:cs="Times New Roman"/>
        </w:rPr>
        <w:t xml:space="preserve"> </w:t>
      </w:r>
      <w:r w:rsidR="00A90273">
        <w:rPr>
          <w:rFonts w:ascii="Times New Roman" w:hAnsi="Times New Roman" w:cs="Times New Roman"/>
        </w:rPr>
        <w:t>Despite the ongoing debate, i</w:t>
      </w:r>
      <w:r w:rsidR="00A90273" w:rsidRPr="008373A2">
        <w:rPr>
          <w:rFonts w:ascii="Times New Roman" w:hAnsi="Times New Roman" w:cs="Times New Roman"/>
        </w:rPr>
        <w:t>t seems that the Court at least still considers itself to be adhering to the two-element test.</w:t>
      </w:r>
      <w:r w:rsidR="00A90273" w:rsidRPr="008373A2">
        <w:rPr>
          <w:rStyle w:val="FootnoteReference"/>
          <w:rFonts w:ascii="Times New Roman" w:hAnsi="Times New Roman" w:cs="Times New Roman"/>
        </w:rPr>
        <w:footnoteReference w:id="19"/>
      </w:r>
      <w:r w:rsidR="00A90273">
        <w:rPr>
          <w:rFonts w:ascii="Times New Roman" w:hAnsi="Times New Roman" w:cs="Times New Roman"/>
        </w:rPr>
        <w:t xml:space="preserve"> </w:t>
      </w:r>
      <w:r w:rsidR="00E64DD5" w:rsidRPr="008373A2">
        <w:rPr>
          <w:rFonts w:ascii="Times New Roman" w:hAnsi="Times New Roman" w:cs="Times New Roman"/>
        </w:rPr>
        <w:t>T</w:t>
      </w:r>
      <w:r w:rsidR="008F3A9E" w:rsidRPr="008373A2">
        <w:rPr>
          <w:rFonts w:ascii="Times New Roman" w:hAnsi="Times New Roman" w:cs="Times New Roman"/>
        </w:rPr>
        <w:t xml:space="preserve">his article seeks to defend the </w:t>
      </w:r>
      <w:r w:rsidR="00F759CC" w:rsidRPr="008373A2">
        <w:rPr>
          <w:rFonts w:ascii="Times New Roman" w:hAnsi="Times New Roman" w:cs="Times New Roman"/>
        </w:rPr>
        <w:t>position</w:t>
      </w:r>
      <w:r w:rsidR="008F3A9E" w:rsidRPr="008373A2">
        <w:rPr>
          <w:rFonts w:ascii="Times New Roman" w:hAnsi="Times New Roman" w:cs="Times New Roman"/>
        </w:rPr>
        <w:t xml:space="preserve"> that </w:t>
      </w:r>
      <w:r w:rsidR="00107CC0">
        <w:rPr>
          <w:rFonts w:ascii="Times New Roman" w:hAnsi="Times New Roman" w:cs="Times New Roman"/>
        </w:rPr>
        <w:t xml:space="preserve">in the cases </w:t>
      </w:r>
      <w:r w:rsidR="006F3DFC">
        <w:rPr>
          <w:rFonts w:ascii="Times New Roman" w:hAnsi="Times New Roman" w:cs="Times New Roman"/>
        </w:rPr>
        <w:t xml:space="preserve">listed above </w:t>
      </w:r>
      <w:r w:rsidR="008F3A9E" w:rsidRPr="008373A2">
        <w:rPr>
          <w:rFonts w:ascii="Times New Roman" w:hAnsi="Times New Roman" w:cs="Times New Roman"/>
        </w:rPr>
        <w:t xml:space="preserve">the </w:t>
      </w:r>
      <w:r w:rsidR="0093120F">
        <w:rPr>
          <w:rFonts w:ascii="Times New Roman" w:hAnsi="Times New Roman" w:cs="Times New Roman"/>
        </w:rPr>
        <w:t>ICJ</w:t>
      </w:r>
      <w:r w:rsidR="008F3A9E" w:rsidRPr="008373A2">
        <w:rPr>
          <w:rFonts w:ascii="Times New Roman" w:hAnsi="Times New Roman" w:cs="Times New Roman"/>
        </w:rPr>
        <w:t xml:space="preserve"> is indeed doing what it says it is doing</w:t>
      </w:r>
      <w:r w:rsidRPr="008373A2">
        <w:rPr>
          <w:rFonts w:ascii="Times New Roman" w:hAnsi="Times New Roman" w:cs="Times New Roman"/>
        </w:rPr>
        <w:t xml:space="preserve"> and</w:t>
      </w:r>
      <w:r w:rsidR="00107CC0">
        <w:rPr>
          <w:rFonts w:ascii="Times New Roman" w:hAnsi="Times New Roman" w:cs="Times New Roman"/>
        </w:rPr>
        <w:t xml:space="preserve"> </w:t>
      </w:r>
      <w:r w:rsidR="007978A2">
        <w:rPr>
          <w:rFonts w:ascii="Times New Roman" w:hAnsi="Times New Roman" w:cs="Times New Roman"/>
        </w:rPr>
        <w:t xml:space="preserve">is </w:t>
      </w:r>
      <w:r w:rsidRPr="008373A2">
        <w:rPr>
          <w:rFonts w:ascii="Times New Roman" w:hAnsi="Times New Roman" w:cs="Times New Roman"/>
        </w:rPr>
        <w:t>applying the two-element test for the identification of customary international law</w:t>
      </w:r>
      <w:r w:rsidR="000A2C51">
        <w:rPr>
          <w:rFonts w:ascii="Times New Roman" w:hAnsi="Times New Roman" w:cs="Times New Roman"/>
        </w:rPr>
        <w:t>.</w:t>
      </w:r>
      <w:r w:rsidR="00A82688" w:rsidRPr="008373A2">
        <w:rPr>
          <w:rFonts w:ascii="Times New Roman" w:hAnsi="Times New Roman" w:cs="Times New Roman"/>
        </w:rPr>
        <w:t xml:space="preserve"> </w:t>
      </w:r>
      <w:r w:rsidR="000A2C51">
        <w:rPr>
          <w:rFonts w:ascii="Times New Roman" w:hAnsi="Times New Roman" w:cs="Times New Roman"/>
        </w:rPr>
        <w:t>The apparent inconsistencies in the Court’s approach can be explained by</w:t>
      </w:r>
      <w:r w:rsidR="00F24158">
        <w:rPr>
          <w:rFonts w:ascii="Times New Roman" w:hAnsi="Times New Roman" w:cs="Times New Roman"/>
        </w:rPr>
        <w:t xml:space="preserve"> how </w:t>
      </w:r>
      <w:r w:rsidR="00E36F13" w:rsidRPr="008373A2">
        <w:rPr>
          <w:rFonts w:ascii="Times New Roman" w:hAnsi="Times New Roman" w:cs="Times New Roman"/>
        </w:rPr>
        <w:t xml:space="preserve">the nature and context of an alleged customary rule </w:t>
      </w:r>
      <w:r w:rsidR="00D92BC9" w:rsidRPr="008373A2">
        <w:rPr>
          <w:rFonts w:ascii="Times New Roman" w:hAnsi="Times New Roman" w:cs="Times New Roman"/>
        </w:rPr>
        <w:t xml:space="preserve">can </w:t>
      </w:r>
      <w:r w:rsidR="00D17599">
        <w:rPr>
          <w:rFonts w:ascii="Times New Roman" w:hAnsi="Times New Roman" w:cs="Times New Roman"/>
        </w:rPr>
        <w:t>influence</w:t>
      </w:r>
      <w:r w:rsidR="00E36F13" w:rsidRPr="008373A2">
        <w:rPr>
          <w:rFonts w:ascii="Times New Roman" w:hAnsi="Times New Roman" w:cs="Times New Roman"/>
        </w:rPr>
        <w:t xml:space="preserve"> </w:t>
      </w:r>
      <w:r w:rsidR="00D17599">
        <w:rPr>
          <w:rFonts w:ascii="Times New Roman" w:hAnsi="Times New Roman" w:cs="Times New Roman"/>
        </w:rPr>
        <w:t xml:space="preserve">how that </w:t>
      </w:r>
      <w:r w:rsidR="000A2C51">
        <w:rPr>
          <w:rFonts w:ascii="Times New Roman" w:hAnsi="Times New Roman" w:cs="Times New Roman"/>
        </w:rPr>
        <w:t xml:space="preserve">two-element </w:t>
      </w:r>
      <w:r w:rsidR="00D17599">
        <w:rPr>
          <w:rFonts w:ascii="Times New Roman" w:hAnsi="Times New Roman" w:cs="Times New Roman"/>
        </w:rPr>
        <w:t>test is applied in different cases</w:t>
      </w:r>
      <w:r w:rsidR="00E35D80">
        <w:rPr>
          <w:rFonts w:ascii="Times New Roman" w:hAnsi="Times New Roman" w:cs="Times New Roman"/>
        </w:rPr>
        <w:t xml:space="preserve">, and in particular the type of evidence that </w:t>
      </w:r>
      <w:r w:rsidR="00D978F2">
        <w:rPr>
          <w:rFonts w:ascii="Times New Roman" w:hAnsi="Times New Roman" w:cs="Times New Roman"/>
        </w:rPr>
        <w:t xml:space="preserve">may be used </w:t>
      </w:r>
      <w:r w:rsidR="00E35D80">
        <w:rPr>
          <w:rFonts w:ascii="Times New Roman" w:hAnsi="Times New Roman" w:cs="Times New Roman"/>
        </w:rPr>
        <w:t>to satisfy each element</w:t>
      </w:r>
      <w:r w:rsidR="00E36F13" w:rsidRPr="008373A2">
        <w:rPr>
          <w:rFonts w:ascii="Times New Roman" w:hAnsi="Times New Roman" w:cs="Times New Roman"/>
        </w:rPr>
        <w:t xml:space="preserve">. </w:t>
      </w:r>
    </w:p>
    <w:p w14:paraId="1C332F9A" w14:textId="77777777" w:rsidR="00BC5397" w:rsidRPr="008373A2" w:rsidRDefault="00BC5397" w:rsidP="00064C83">
      <w:pPr>
        <w:spacing w:line="360" w:lineRule="auto"/>
        <w:jc w:val="both"/>
        <w:rPr>
          <w:rFonts w:ascii="Times New Roman" w:hAnsi="Times New Roman" w:cs="Times New Roman"/>
        </w:rPr>
      </w:pPr>
    </w:p>
    <w:p w14:paraId="421648CB" w14:textId="197665AF" w:rsidR="007322C0" w:rsidRPr="008373A2" w:rsidRDefault="00E36F13" w:rsidP="00064C83">
      <w:pPr>
        <w:spacing w:line="360" w:lineRule="auto"/>
        <w:jc w:val="both"/>
        <w:rPr>
          <w:rFonts w:ascii="Times New Roman" w:hAnsi="Times New Roman" w:cs="Times New Roman"/>
        </w:rPr>
      </w:pPr>
      <w:r w:rsidRPr="008373A2">
        <w:rPr>
          <w:rFonts w:ascii="Times New Roman" w:hAnsi="Times New Roman" w:cs="Times New Roman"/>
        </w:rPr>
        <w:t>It is true that</w:t>
      </w:r>
      <w:r w:rsidR="009B0BB8">
        <w:rPr>
          <w:rFonts w:ascii="Times New Roman" w:hAnsi="Times New Roman" w:cs="Times New Roman"/>
        </w:rPr>
        <w:t>, besides the nature and context of the customary rule concerned,</w:t>
      </w:r>
      <w:r w:rsidRPr="008373A2">
        <w:rPr>
          <w:rFonts w:ascii="Times New Roman" w:hAnsi="Times New Roman" w:cs="Times New Roman"/>
        </w:rPr>
        <w:t xml:space="preserve"> t</w:t>
      </w:r>
      <w:r w:rsidR="000E3B1E" w:rsidRPr="008373A2">
        <w:rPr>
          <w:rFonts w:ascii="Times New Roman" w:hAnsi="Times New Roman" w:cs="Times New Roman"/>
        </w:rPr>
        <w:t xml:space="preserve">here are many </w:t>
      </w:r>
      <w:r w:rsidR="00E95A77" w:rsidRPr="008373A2">
        <w:rPr>
          <w:rFonts w:ascii="Times New Roman" w:hAnsi="Times New Roman" w:cs="Times New Roman"/>
        </w:rPr>
        <w:t xml:space="preserve">other </w:t>
      </w:r>
      <w:r w:rsidR="000E3B1E" w:rsidRPr="008373A2">
        <w:rPr>
          <w:rFonts w:ascii="Times New Roman" w:hAnsi="Times New Roman" w:cs="Times New Roman"/>
        </w:rPr>
        <w:t xml:space="preserve">factors that can account, to some extent, for </w:t>
      </w:r>
      <w:r w:rsidR="0083229F" w:rsidRPr="008373A2">
        <w:rPr>
          <w:rFonts w:ascii="Times New Roman" w:hAnsi="Times New Roman" w:cs="Times New Roman"/>
        </w:rPr>
        <w:t>variation</w:t>
      </w:r>
      <w:r w:rsidR="000E3B1E" w:rsidRPr="008373A2">
        <w:rPr>
          <w:rFonts w:ascii="Times New Roman" w:hAnsi="Times New Roman" w:cs="Times New Roman"/>
        </w:rPr>
        <w:t xml:space="preserve"> in the Court’s jurisprudence, without requiring abandonment of the two-element test. </w:t>
      </w:r>
      <w:r w:rsidR="000A2C51">
        <w:rPr>
          <w:rFonts w:ascii="Times New Roman" w:hAnsi="Times New Roman" w:cs="Times New Roman"/>
        </w:rPr>
        <w:t>For example, t</w:t>
      </w:r>
      <w:r w:rsidR="008D7AC7" w:rsidRPr="008373A2">
        <w:rPr>
          <w:rFonts w:ascii="Times New Roman" w:hAnsi="Times New Roman" w:cs="Times New Roman"/>
        </w:rPr>
        <w:t xml:space="preserve">he application of the two-element test </w:t>
      </w:r>
      <w:r w:rsidR="009B0BB8">
        <w:rPr>
          <w:rFonts w:ascii="Times New Roman" w:hAnsi="Times New Roman" w:cs="Times New Roman"/>
        </w:rPr>
        <w:t>may</w:t>
      </w:r>
      <w:r w:rsidR="009B0BB8" w:rsidRPr="008373A2">
        <w:rPr>
          <w:rFonts w:ascii="Times New Roman" w:hAnsi="Times New Roman" w:cs="Times New Roman"/>
        </w:rPr>
        <w:t xml:space="preserve"> </w:t>
      </w:r>
      <w:r w:rsidR="007476F3" w:rsidRPr="008373A2">
        <w:rPr>
          <w:rFonts w:ascii="Times New Roman" w:hAnsi="Times New Roman" w:cs="Times New Roman"/>
        </w:rPr>
        <w:t>vary</w:t>
      </w:r>
      <w:r w:rsidR="008D7AC7" w:rsidRPr="008373A2">
        <w:rPr>
          <w:rFonts w:ascii="Times New Roman" w:hAnsi="Times New Roman" w:cs="Times New Roman"/>
        </w:rPr>
        <w:t xml:space="preserve"> depending on the subject matter concerned.</w:t>
      </w:r>
      <w:r w:rsidR="008D7AC7" w:rsidRPr="008373A2">
        <w:rPr>
          <w:rStyle w:val="FootnoteReference"/>
          <w:rFonts w:ascii="Times New Roman" w:hAnsi="Times New Roman" w:cs="Times New Roman"/>
        </w:rPr>
        <w:footnoteReference w:id="20"/>
      </w:r>
      <w:r w:rsidR="008D7AC7" w:rsidRPr="008373A2">
        <w:rPr>
          <w:rFonts w:ascii="Times New Roman" w:hAnsi="Times New Roman" w:cs="Times New Roman"/>
        </w:rPr>
        <w:t xml:space="preserve"> </w:t>
      </w:r>
      <w:r w:rsidR="00701A86" w:rsidRPr="008373A2">
        <w:rPr>
          <w:rFonts w:ascii="Times New Roman" w:hAnsi="Times New Roman" w:cs="Times New Roman"/>
        </w:rPr>
        <w:t xml:space="preserve">The </w:t>
      </w:r>
      <w:r w:rsidR="005353D9" w:rsidRPr="008373A2">
        <w:rPr>
          <w:rFonts w:ascii="Times New Roman" w:hAnsi="Times New Roman" w:cs="Times New Roman"/>
        </w:rPr>
        <w:t>ICJ</w:t>
      </w:r>
      <w:r w:rsidR="00701A86" w:rsidRPr="008373A2">
        <w:rPr>
          <w:rFonts w:ascii="Times New Roman" w:hAnsi="Times New Roman" w:cs="Times New Roman"/>
        </w:rPr>
        <w:t xml:space="preserve">’s jurisprudence spans 72 years – 97 </w:t>
      </w:r>
      <w:r w:rsidR="005353D9" w:rsidRPr="008373A2">
        <w:rPr>
          <w:rFonts w:ascii="Times New Roman" w:hAnsi="Times New Roman" w:cs="Times New Roman"/>
        </w:rPr>
        <w:t>including the P</w:t>
      </w:r>
      <w:r w:rsidR="00144C4D" w:rsidRPr="008373A2">
        <w:rPr>
          <w:rFonts w:ascii="Times New Roman" w:hAnsi="Times New Roman" w:cs="Times New Roman"/>
        </w:rPr>
        <w:t>ermanent Court of International Justice (PCIJ)</w:t>
      </w:r>
      <w:r w:rsidR="00701A86" w:rsidRPr="008373A2">
        <w:rPr>
          <w:rFonts w:ascii="Times New Roman" w:hAnsi="Times New Roman" w:cs="Times New Roman"/>
        </w:rPr>
        <w:t xml:space="preserve"> –</w:t>
      </w:r>
      <w:r w:rsidR="001B3433" w:rsidRPr="008373A2">
        <w:rPr>
          <w:rFonts w:ascii="Times New Roman" w:hAnsi="Times New Roman" w:cs="Times New Roman"/>
        </w:rPr>
        <w:t xml:space="preserve"> </w:t>
      </w:r>
      <w:r w:rsidR="00701A86" w:rsidRPr="008373A2">
        <w:rPr>
          <w:rFonts w:ascii="Times New Roman" w:hAnsi="Times New Roman" w:cs="Times New Roman"/>
        </w:rPr>
        <w:t xml:space="preserve">so it is </w:t>
      </w:r>
      <w:r w:rsidR="00E56E7A" w:rsidRPr="008373A2">
        <w:rPr>
          <w:rFonts w:ascii="Times New Roman" w:hAnsi="Times New Roman" w:cs="Times New Roman"/>
        </w:rPr>
        <w:t xml:space="preserve">also </w:t>
      </w:r>
      <w:r w:rsidR="00701A86" w:rsidRPr="008373A2">
        <w:rPr>
          <w:rFonts w:ascii="Times New Roman" w:hAnsi="Times New Roman" w:cs="Times New Roman"/>
        </w:rPr>
        <w:t xml:space="preserve">unsurprising to find that its approach to the two-element test has evolved over </w:t>
      </w:r>
      <w:r w:rsidR="00701A86" w:rsidRPr="008373A2">
        <w:rPr>
          <w:rFonts w:ascii="Times New Roman" w:hAnsi="Times New Roman" w:cs="Times New Roman"/>
        </w:rPr>
        <w:lastRenderedPageBreak/>
        <w:t xml:space="preserve">time. </w:t>
      </w:r>
      <w:r w:rsidR="005353D9" w:rsidRPr="008373A2">
        <w:rPr>
          <w:rFonts w:ascii="Times New Roman" w:hAnsi="Times New Roman" w:cs="Times New Roman"/>
        </w:rPr>
        <w:t>T</w:t>
      </w:r>
      <w:r w:rsidR="00701A86" w:rsidRPr="008373A2">
        <w:rPr>
          <w:rFonts w:ascii="Times New Roman" w:hAnsi="Times New Roman" w:cs="Times New Roman"/>
        </w:rPr>
        <w:t xml:space="preserve">he Court has shown greater flexibility in the kinds of materials it has accepted as evidence of state practice, </w:t>
      </w:r>
      <w:r w:rsidR="00CD4685" w:rsidRPr="008373A2">
        <w:rPr>
          <w:rFonts w:ascii="Times New Roman" w:hAnsi="Times New Roman" w:cs="Times New Roman"/>
        </w:rPr>
        <w:t>accepting</w:t>
      </w:r>
      <w:r w:rsidR="00701A86" w:rsidRPr="008373A2">
        <w:rPr>
          <w:rFonts w:ascii="Times New Roman" w:hAnsi="Times New Roman" w:cs="Times New Roman"/>
        </w:rPr>
        <w:t xml:space="preserve"> that statements as well as </w:t>
      </w:r>
      <w:r w:rsidR="00252AB8" w:rsidRPr="008373A2">
        <w:rPr>
          <w:rFonts w:ascii="Times New Roman" w:hAnsi="Times New Roman" w:cs="Times New Roman"/>
        </w:rPr>
        <w:t>conduct</w:t>
      </w:r>
      <w:r w:rsidR="00701A86" w:rsidRPr="008373A2">
        <w:rPr>
          <w:rFonts w:ascii="Times New Roman" w:hAnsi="Times New Roman" w:cs="Times New Roman"/>
        </w:rPr>
        <w:t xml:space="preserve"> may constitute practice</w:t>
      </w:r>
      <w:r w:rsidR="00885F98" w:rsidRPr="008373A2">
        <w:rPr>
          <w:rFonts w:ascii="Times New Roman" w:hAnsi="Times New Roman" w:cs="Times New Roman"/>
        </w:rPr>
        <w:t>.</w:t>
      </w:r>
      <w:r w:rsidR="00701A86" w:rsidRPr="008373A2">
        <w:rPr>
          <w:rStyle w:val="FootnoteReference"/>
          <w:rFonts w:ascii="Times New Roman" w:hAnsi="Times New Roman" w:cs="Times New Roman"/>
        </w:rPr>
        <w:footnoteReference w:id="21"/>
      </w:r>
      <w:r w:rsidR="006A7CDA" w:rsidRPr="008373A2">
        <w:rPr>
          <w:rFonts w:ascii="Times New Roman" w:hAnsi="Times New Roman" w:cs="Times New Roman"/>
        </w:rPr>
        <w:t xml:space="preserve"> </w:t>
      </w:r>
      <w:r w:rsidR="00E56E7A" w:rsidRPr="008373A2">
        <w:rPr>
          <w:rFonts w:ascii="Times New Roman" w:hAnsi="Times New Roman" w:cs="Times New Roman"/>
        </w:rPr>
        <w:t>W</w:t>
      </w:r>
      <w:r w:rsidR="00885F98" w:rsidRPr="008373A2">
        <w:rPr>
          <w:rFonts w:ascii="Times New Roman" w:hAnsi="Times New Roman" w:cs="Times New Roman"/>
        </w:rPr>
        <w:t>ith now nearly 200 states whose practice must be assessed, and especially in light of the Court’s limited fact-finding powers,</w:t>
      </w:r>
      <w:r w:rsidR="00885F98" w:rsidRPr="008373A2">
        <w:rPr>
          <w:rStyle w:val="FootnoteReference"/>
          <w:rFonts w:ascii="Times New Roman" w:hAnsi="Times New Roman" w:cs="Times New Roman"/>
        </w:rPr>
        <w:footnoteReference w:id="22"/>
      </w:r>
      <w:r w:rsidR="00885F98" w:rsidRPr="008373A2">
        <w:rPr>
          <w:rFonts w:ascii="Times New Roman" w:hAnsi="Times New Roman" w:cs="Times New Roman"/>
        </w:rPr>
        <w:t xml:space="preserve"> the Court</w:t>
      </w:r>
      <w:r w:rsidR="006A7CDA" w:rsidRPr="008373A2">
        <w:rPr>
          <w:rFonts w:ascii="Times New Roman" w:hAnsi="Times New Roman" w:cs="Times New Roman"/>
        </w:rPr>
        <w:t xml:space="preserve"> </w:t>
      </w:r>
      <w:r w:rsidR="00722183" w:rsidRPr="008373A2">
        <w:rPr>
          <w:rFonts w:ascii="Times New Roman" w:hAnsi="Times New Roman" w:cs="Times New Roman"/>
        </w:rPr>
        <w:t xml:space="preserve">increasingly relies </w:t>
      </w:r>
      <w:r w:rsidR="006A7CDA" w:rsidRPr="008373A2">
        <w:rPr>
          <w:rFonts w:ascii="Times New Roman" w:hAnsi="Times New Roman" w:cs="Times New Roman"/>
        </w:rPr>
        <w:t>on its own precedents</w:t>
      </w:r>
      <w:r w:rsidR="00885F98" w:rsidRPr="008373A2">
        <w:rPr>
          <w:rFonts w:ascii="Times New Roman" w:hAnsi="Times New Roman" w:cs="Times New Roman"/>
        </w:rPr>
        <w:t xml:space="preserve"> and work already conducted by the I</w:t>
      </w:r>
      <w:r w:rsidR="000F3E81" w:rsidRPr="008373A2">
        <w:rPr>
          <w:rFonts w:ascii="Times New Roman" w:hAnsi="Times New Roman" w:cs="Times New Roman"/>
        </w:rPr>
        <w:t xml:space="preserve">nternational </w:t>
      </w:r>
      <w:r w:rsidR="00885F98" w:rsidRPr="008373A2">
        <w:rPr>
          <w:rFonts w:ascii="Times New Roman" w:hAnsi="Times New Roman" w:cs="Times New Roman"/>
        </w:rPr>
        <w:t>L</w:t>
      </w:r>
      <w:r w:rsidR="000F3E81" w:rsidRPr="008373A2">
        <w:rPr>
          <w:rFonts w:ascii="Times New Roman" w:hAnsi="Times New Roman" w:cs="Times New Roman"/>
        </w:rPr>
        <w:t xml:space="preserve">aw </w:t>
      </w:r>
      <w:r w:rsidR="00885F98" w:rsidRPr="008373A2">
        <w:rPr>
          <w:rFonts w:ascii="Times New Roman" w:hAnsi="Times New Roman" w:cs="Times New Roman"/>
        </w:rPr>
        <w:t>C</w:t>
      </w:r>
      <w:r w:rsidR="000F3E81" w:rsidRPr="008373A2">
        <w:rPr>
          <w:rFonts w:ascii="Times New Roman" w:hAnsi="Times New Roman" w:cs="Times New Roman"/>
        </w:rPr>
        <w:t>ommission (ILC)</w:t>
      </w:r>
      <w:r w:rsidR="00885F98" w:rsidRPr="008373A2">
        <w:rPr>
          <w:rFonts w:ascii="Times New Roman" w:hAnsi="Times New Roman" w:cs="Times New Roman"/>
        </w:rPr>
        <w:t>,</w:t>
      </w:r>
      <w:r w:rsidR="00885F98" w:rsidRPr="008373A2">
        <w:rPr>
          <w:rStyle w:val="FootnoteReference"/>
          <w:rFonts w:ascii="Times New Roman" w:hAnsi="Times New Roman" w:cs="Times New Roman"/>
        </w:rPr>
        <w:footnoteReference w:id="23"/>
      </w:r>
      <w:r w:rsidR="00885F98" w:rsidRPr="008373A2">
        <w:rPr>
          <w:rFonts w:ascii="Times New Roman" w:hAnsi="Times New Roman" w:cs="Times New Roman"/>
        </w:rPr>
        <w:t xml:space="preserve"> </w:t>
      </w:r>
      <w:r w:rsidR="006A7CDA" w:rsidRPr="008373A2">
        <w:rPr>
          <w:rFonts w:ascii="Times New Roman" w:hAnsi="Times New Roman" w:cs="Times New Roman"/>
        </w:rPr>
        <w:t>rather than engaging in a detailed evaluation of practice.</w:t>
      </w:r>
      <w:r w:rsidR="006A7CDA" w:rsidRPr="008373A2">
        <w:rPr>
          <w:rStyle w:val="FootnoteReference"/>
          <w:rFonts w:ascii="Times New Roman" w:hAnsi="Times New Roman" w:cs="Times New Roman"/>
        </w:rPr>
        <w:footnoteReference w:id="24"/>
      </w:r>
      <w:r w:rsidR="00885F98" w:rsidRPr="008373A2">
        <w:rPr>
          <w:rFonts w:ascii="Times New Roman" w:hAnsi="Times New Roman" w:cs="Times New Roman"/>
        </w:rPr>
        <w:t xml:space="preserve"> </w:t>
      </w:r>
    </w:p>
    <w:p w14:paraId="46057D07" w14:textId="5B9A5440" w:rsidR="00892F03" w:rsidRPr="008373A2" w:rsidRDefault="00892F03" w:rsidP="00064C83">
      <w:pPr>
        <w:spacing w:line="360" w:lineRule="auto"/>
        <w:ind w:left="360"/>
        <w:jc w:val="both"/>
        <w:rPr>
          <w:rFonts w:ascii="Times New Roman" w:hAnsi="Times New Roman" w:cs="Times New Roman"/>
        </w:rPr>
      </w:pPr>
    </w:p>
    <w:p w14:paraId="297E744C" w14:textId="4AB2D758" w:rsidR="006442AA" w:rsidRPr="008373A2" w:rsidRDefault="00E56E7A" w:rsidP="00064C83">
      <w:pPr>
        <w:spacing w:line="360" w:lineRule="auto"/>
        <w:jc w:val="both"/>
        <w:rPr>
          <w:rFonts w:ascii="Times New Roman" w:hAnsi="Times New Roman" w:cs="Times New Roman"/>
        </w:rPr>
      </w:pPr>
      <w:r w:rsidRPr="008373A2">
        <w:rPr>
          <w:rFonts w:ascii="Times New Roman" w:hAnsi="Times New Roman" w:cs="Times New Roman"/>
        </w:rPr>
        <w:t>However, t</w:t>
      </w:r>
      <w:r w:rsidR="00881DD6" w:rsidRPr="008373A2">
        <w:rPr>
          <w:rFonts w:ascii="Times New Roman" w:hAnsi="Times New Roman" w:cs="Times New Roman"/>
        </w:rPr>
        <w:t>his article is not concerned with how variation</w:t>
      </w:r>
      <w:r w:rsidR="00234726" w:rsidRPr="008373A2">
        <w:rPr>
          <w:rFonts w:ascii="Times New Roman" w:hAnsi="Times New Roman" w:cs="Times New Roman"/>
        </w:rPr>
        <w:t>s</w:t>
      </w:r>
      <w:r w:rsidR="00881DD6" w:rsidRPr="008373A2">
        <w:rPr>
          <w:rFonts w:ascii="Times New Roman" w:hAnsi="Times New Roman" w:cs="Times New Roman"/>
        </w:rPr>
        <w:t xml:space="preserve"> according to chronology or subject matter, or the political context of the various cases, </w:t>
      </w:r>
      <w:r w:rsidR="00773806" w:rsidRPr="008373A2">
        <w:rPr>
          <w:rFonts w:ascii="Times New Roman" w:hAnsi="Times New Roman" w:cs="Times New Roman"/>
        </w:rPr>
        <w:t xml:space="preserve">may </w:t>
      </w:r>
      <w:r w:rsidR="00881DD6" w:rsidRPr="008373A2">
        <w:rPr>
          <w:rFonts w:ascii="Times New Roman" w:hAnsi="Times New Roman" w:cs="Times New Roman"/>
        </w:rPr>
        <w:t>have impacted the application of the test for custom</w:t>
      </w:r>
      <w:r w:rsidR="00357E55" w:rsidRPr="008373A2">
        <w:rPr>
          <w:rFonts w:ascii="Times New Roman" w:hAnsi="Times New Roman" w:cs="Times New Roman"/>
        </w:rPr>
        <w:t xml:space="preserve"> by the </w:t>
      </w:r>
      <w:r w:rsidR="006F5871" w:rsidRPr="008373A2">
        <w:rPr>
          <w:rFonts w:ascii="Times New Roman" w:hAnsi="Times New Roman" w:cs="Times New Roman"/>
        </w:rPr>
        <w:t>Court</w:t>
      </w:r>
      <w:r w:rsidR="00881DD6" w:rsidRPr="008373A2">
        <w:rPr>
          <w:rFonts w:ascii="Times New Roman" w:hAnsi="Times New Roman" w:cs="Times New Roman"/>
        </w:rPr>
        <w:t>.</w:t>
      </w:r>
      <w:r w:rsidR="00176DE8" w:rsidRPr="008373A2">
        <w:rPr>
          <w:rFonts w:ascii="Times New Roman" w:hAnsi="Times New Roman" w:cs="Times New Roman"/>
        </w:rPr>
        <w:t xml:space="preserve"> </w:t>
      </w:r>
      <w:r w:rsidR="00E36F13" w:rsidRPr="008373A2">
        <w:rPr>
          <w:rFonts w:ascii="Times New Roman" w:hAnsi="Times New Roman" w:cs="Times New Roman"/>
        </w:rPr>
        <w:t xml:space="preserve">The argument made here is that taking the nature and context of the alleged customary rule into account can explain why in the cases mentioned above, despite applying the same two-element test for custom, the Court’s </w:t>
      </w:r>
      <w:r w:rsidR="008F47BD">
        <w:rPr>
          <w:rFonts w:ascii="Times New Roman" w:hAnsi="Times New Roman" w:cs="Times New Roman"/>
        </w:rPr>
        <w:t>approach</w:t>
      </w:r>
      <w:r w:rsidR="00E36F13" w:rsidRPr="008373A2">
        <w:rPr>
          <w:rFonts w:ascii="Times New Roman" w:hAnsi="Times New Roman" w:cs="Times New Roman"/>
        </w:rPr>
        <w:t xml:space="preserve"> has varied. </w:t>
      </w:r>
      <w:r w:rsidR="00A1547C" w:rsidRPr="008373A2">
        <w:rPr>
          <w:rFonts w:ascii="Times New Roman" w:hAnsi="Times New Roman" w:cs="Times New Roman"/>
        </w:rPr>
        <w:t>More</w:t>
      </w:r>
      <w:r w:rsidR="00DF519F">
        <w:rPr>
          <w:rFonts w:ascii="Times New Roman" w:hAnsi="Times New Roman" w:cs="Times New Roman"/>
        </w:rPr>
        <w:t xml:space="preserve"> significantly</w:t>
      </w:r>
      <w:r w:rsidR="00A1547C" w:rsidRPr="008373A2">
        <w:rPr>
          <w:rFonts w:ascii="Times New Roman" w:hAnsi="Times New Roman" w:cs="Times New Roman"/>
        </w:rPr>
        <w:t xml:space="preserve">, </w:t>
      </w:r>
      <w:r w:rsidR="005B7870">
        <w:rPr>
          <w:rFonts w:ascii="Times New Roman" w:hAnsi="Times New Roman" w:cs="Times New Roman"/>
        </w:rPr>
        <w:t xml:space="preserve">this analysis </w:t>
      </w:r>
      <w:r w:rsidR="005B7870" w:rsidRPr="008373A2">
        <w:rPr>
          <w:rFonts w:ascii="Times New Roman" w:hAnsi="Times New Roman" w:cs="Times New Roman"/>
        </w:rPr>
        <w:t>bring</w:t>
      </w:r>
      <w:r w:rsidR="000A2C51">
        <w:rPr>
          <w:rFonts w:ascii="Times New Roman" w:hAnsi="Times New Roman" w:cs="Times New Roman"/>
        </w:rPr>
        <w:t>s</w:t>
      </w:r>
      <w:r w:rsidR="005B7870" w:rsidRPr="008373A2">
        <w:rPr>
          <w:rFonts w:ascii="Times New Roman" w:hAnsi="Times New Roman" w:cs="Times New Roman"/>
        </w:rPr>
        <w:t xml:space="preserve"> greater clarity and precision to our understanding of </w:t>
      </w:r>
      <w:r w:rsidR="00DF519F">
        <w:rPr>
          <w:rFonts w:ascii="Times New Roman" w:hAnsi="Times New Roman" w:cs="Times New Roman"/>
        </w:rPr>
        <w:t xml:space="preserve">the process by which </w:t>
      </w:r>
      <w:r w:rsidR="005B7870" w:rsidRPr="008373A2">
        <w:rPr>
          <w:rFonts w:ascii="Times New Roman" w:hAnsi="Times New Roman" w:cs="Times New Roman"/>
        </w:rPr>
        <w:t>customary international law is identified.</w:t>
      </w:r>
    </w:p>
    <w:p w14:paraId="75DE6A11" w14:textId="093368AD" w:rsidR="00217468" w:rsidRPr="008373A2" w:rsidRDefault="006F0024" w:rsidP="006F0024">
      <w:pPr>
        <w:tabs>
          <w:tab w:val="left" w:pos="2923"/>
        </w:tabs>
        <w:spacing w:line="360" w:lineRule="auto"/>
        <w:jc w:val="both"/>
        <w:rPr>
          <w:rFonts w:ascii="Times New Roman" w:hAnsi="Times New Roman" w:cs="Times New Roman"/>
        </w:rPr>
      </w:pPr>
      <w:r w:rsidRPr="008373A2">
        <w:rPr>
          <w:rFonts w:ascii="Times New Roman" w:hAnsi="Times New Roman" w:cs="Times New Roman"/>
        </w:rPr>
        <w:tab/>
      </w:r>
    </w:p>
    <w:p w14:paraId="1B07C651" w14:textId="77777777" w:rsidR="00DB0356" w:rsidRPr="008373A2" w:rsidRDefault="00DB0356" w:rsidP="00437B04">
      <w:pPr>
        <w:tabs>
          <w:tab w:val="left" w:pos="2923"/>
        </w:tabs>
        <w:spacing w:line="360" w:lineRule="auto"/>
        <w:jc w:val="both"/>
        <w:rPr>
          <w:rFonts w:ascii="Times New Roman" w:hAnsi="Times New Roman" w:cs="Times New Roman"/>
        </w:rPr>
      </w:pPr>
    </w:p>
    <w:p w14:paraId="3348B76A" w14:textId="230D51EF" w:rsidR="00AB1585" w:rsidRPr="008373A2" w:rsidRDefault="00217468" w:rsidP="00437B04">
      <w:pPr>
        <w:pStyle w:val="ListParagraph"/>
        <w:numPr>
          <w:ilvl w:val="0"/>
          <w:numId w:val="5"/>
        </w:numPr>
        <w:spacing w:line="360" w:lineRule="auto"/>
        <w:jc w:val="both"/>
        <w:rPr>
          <w:rFonts w:ascii="Times New Roman" w:hAnsi="Times New Roman" w:cs="Times New Roman"/>
        </w:rPr>
      </w:pPr>
      <w:r w:rsidRPr="00437B04">
        <w:rPr>
          <w:rFonts w:ascii="Times New Roman" w:hAnsi="Times New Roman" w:cs="Times New Roman"/>
          <w:b/>
          <w:bCs/>
        </w:rPr>
        <w:t>The Nature and Context of a Customary Rule</w:t>
      </w:r>
    </w:p>
    <w:p w14:paraId="37B85C3A" w14:textId="77777777" w:rsidR="0063755A" w:rsidRPr="008373A2" w:rsidRDefault="0063755A" w:rsidP="00064C83">
      <w:pPr>
        <w:spacing w:line="360" w:lineRule="auto"/>
        <w:jc w:val="both"/>
        <w:rPr>
          <w:rFonts w:ascii="Times New Roman" w:hAnsi="Times New Roman" w:cs="Times New Roman"/>
        </w:rPr>
      </w:pPr>
    </w:p>
    <w:p w14:paraId="5084DACD" w14:textId="6BE8408D" w:rsidR="00FB3319" w:rsidRPr="008373A2" w:rsidRDefault="006943F6" w:rsidP="00064C83">
      <w:pPr>
        <w:spacing w:line="360" w:lineRule="auto"/>
        <w:jc w:val="both"/>
        <w:rPr>
          <w:rFonts w:ascii="Times New Roman" w:hAnsi="Times New Roman" w:cs="Times New Roman"/>
        </w:rPr>
      </w:pPr>
      <w:r w:rsidRPr="008373A2">
        <w:rPr>
          <w:rFonts w:ascii="Times New Roman" w:hAnsi="Times New Roman" w:cs="Times New Roman"/>
        </w:rPr>
        <w:t>In practice, t</w:t>
      </w:r>
      <w:r w:rsidR="00FB3319" w:rsidRPr="008373A2">
        <w:rPr>
          <w:rFonts w:ascii="Times New Roman" w:hAnsi="Times New Roman" w:cs="Times New Roman"/>
        </w:rPr>
        <w:t xml:space="preserve">he kinds of acts that constitute </w:t>
      </w:r>
      <w:r w:rsidR="00FC5183" w:rsidRPr="008373A2">
        <w:rPr>
          <w:rFonts w:ascii="Times New Roman" w:hAnsi="Times New Roman" w:cs="Times New Roman"/>
        </w:rPr>
        <w:t>state</w:t>
      </w:r>
      <w:r w:rsidR="00FB3319" w:rsidRPr="008373A2">
        <w:rPr>
          <w:rFonts w:ascii="Times New Roman" w:hAnsi="Times New Roman" w:cs="Times New Roman"/>
        </w:rPr>
        <w:t xml:space="preserve"> practice </w:t>
      </w:r>
      <w:r w:rsidR="00FC5183" w:rsidRPr="008373A2">
        <w:rPr>
          <w:rFonts w:ascii="Times New Roman" w:hAnsi="Times New Roman" w:cs="Times New Roman"/>
        </w:rPr>
        <w:t>supporting</w:t>
      </w:r>
      <w:r w:rsidR="00FB3319" w:rsidRPr="008373A2">
        <w:rPr>
          <w:rFonts w:ascii="Times New Roman" w:hAnsi="Times New Roman" w:cs="Times New Roman"/>
        </w:rPr>
        <w:t xml:space="preserve"> the existence of </w:t>
      </w:r>
      <w:r w:rsidR="00BC7DD5" w:rsidRPr="008373A2">
        <w:rPr>
          <w:rFonts w:ascii="Times New Roman" w:hAnsi="Times New Roman" w:cs="Times New Roman"/>
        </w:rPr>
        <w:t>an alleged</w:t>
      </w:r>
      <w:r w:rsidR="00FB3319" w:rsidRPr="008373A2">
        <w:rPr>
          <w:rFonts w:ascii="Times New Roman" w:hAnsi="Times New Roman" w:cs="Times New Roman"/>
        </w:rPr>
        <w:t xml:space="preserve"> customary rule will </w:t>
      </w:r>
      <w:r w:rsidRPr="008373A2">
        <w:rPr>
          <w:rFonts w:ascii="Times New Roman" w:hAnsi="Times New Roman" w:cs="Times New Roman"/>
        </w:rPr>
        <w:t xml:space="preserve">normally </w:t>
      </w:r>
      <w:r w:rsidR="00FB3319" w:rsidRPr="008373A2">
        <w:rPr>
          <w:rFonts w:ascii="Times New Roman" w:hAnsi="Times New Roman" w:cs="Times New Roman"/>
        </w:rPr>
        <w:t>vary depending on the nature of the rule concerned. This can be shown by considering the kinds of acts required to constitute a practice supporting the existence of 1) permissive rules, for example the right of self-defence; 2) prohibitive rules</w:t>
      </w:r>
      <w:r w:rsidR="00C21251">
        <w:rPr>
          <w:rFonts w:ascii="Times New Roman" w:hAnsi="Times New Roman" w:cs="Times New Roman"/>
        </w:rPr>
        <w:t xml:space="preserve"> (negative duties)</w:t>
      </w:r>
      <w:r w:rsidR="00FB3319" w:rsidRPr="008373A2">
        <w:rPr>
          <w:rFonts w:ascii="Times New Roman" w:hAnsi="Times New Roman" w:cs="Times New Roman"/>
        </w:rPr>
        <w:t>, such as the prohibition on the use of force by states; and 3) prescriptive rules</w:t>
      </w:r>
      <w:r w:rsidR="00C21251">
        <w:rPr>
          <w:rFonts w:ascii="Times New Roman" w:hAnsi="Times New Roman" w:cs="Times New Roman"/>
        </w:rPr>
        <w:t xml:space="preserve"> (positive duties)</w:t>
      </w:r>
      <w:r w:rsidR="00FB3319" w:rsidRPr="008373A2">
        <w:rPr>
          <w:rFonts w:ascii="Times New Roman" w:hAnsi="Times New Roman" w:cs="Times New Roman"/>
        </w:rPr>
        <w:t xml:space="preserve">, </w:t>
      </w:r>
      <w:r w:rsidR="0039780C">
        <w:rPr>
          <w:rFonts w:ascii="Times New Roman" w:hAnsi="Times New Roman" w:cs="Times New Roman"/>
        </w:rPr>
        <w:t>for example</w:t>
      </w:r>
      <w:r w:rsidR="00FB3319" w:rsidRPr="008373A2">
        <w:rPr>
          <w:rFonts w:ascii="Times New Roman" w:hAnsi="Times New Roman" w:cs="Times New Roman"/>
        </w:rPr>
        <w:t xml:space="preserve"> the duty to render assistance to those in distress at sea. This </w:t>
      </w:r>
      <w:r w:rsidR="001E6DC3">
        <w:rPr>
          <w:rFonts w:ascii="Times New Roman" w:hAnsi="Times New Roman" w:cs="Times New Roman"/>
        </w:rPr>
        <w:t xml:space="preserve">is not the only possible </w:t>
      </w:r>
      <w:r w:rsidR="00FB3319" w:rsidRPr="008373A2">
        <w:rPr>
          <w:rFonts w:ascii="Times New Roman" w:hAnsi="Times New Roman" w:cs="Times New Roman"/>
        </w:rPr>
        <w:t xml:space="preserve">taxonomy of legal </w:t>
      </w:r>
      <w:proofErr w:type="gramStart"/>
      <w:r w:rsidR="00FB3319" w:rsidRPr="008373A2">
        <w:rPr>
          <w:rFonts w:ascii="Times New Roman" w:hAnsi="Times New Roman" w:cs="Times New Roman"/>
        </w:rPr>
        <w:t>rules</w:t>
      </w:r>
      <w:proofErr w:type="gramEnd"/>
      <w:r w:rsidR="00FB3319" w:rsidRPr="008373A2">
        <w:rPr>
          <w:rFonts w:ascii="Times New Roman" w:hAnsi="Times New Roman" w:cs="Times New Roman"/>
        </w:rPr>
        <w:t xml:space="preserve"> but </w:t>
      </w:r>
      <w:r w:rsidR="001E6DC3">
        <w:rPr>
          <w:rFonts w:ascii="Times New Roman" w:hAnsi="Times New Roman" w:cs="Times New Roman"/>
        </w:rPr>
        <w:t xml:space="preserve">it </w:t>
      </w:r>
      <w:r w:rsidR="00F24AD0" w:rsidRPr="008373A2">
        <w:rPr>
          <w:rFonts w:ascii="Times New Roman" w:hAnsi="Times New Roman" w:cs="Times New Roman"/>
        </w:rPr>
        <w:t xml:space="preserve">reflects the cases analysed below and </w:t>
      </w:r>
      <w:r w:rsidR="00FB3319" w:rsidRPr="008373A2">
        <w:rPr>
          <w:rFonts w:ascii="Times New Roman" w:hAnsi="Times New Roman" w:cs="Times New Roman"/>
        </w:rPr>
        <w:t>will be used to demonstrate how the nature of a rule impacts the application of the test for customary international law</w:t>
      </w:r>
      <w:r w:rsidR="00FB402E" w:rsidRPr="008373A2">
        <w:rPr>
          <w:rFonts w:ascii="Times New Roman" w:hAnsi="Times New Roman" w:cs="Times New Roman"/>
        </w:rPr>
        <w:t>:</w:t>
      </w:r>
    </w:p>
    <w:p w14:paraId="7F5AA418" w14:textId="448B0BEE" w:rsidR="00FB3319" w:rsidRPr="008373A2" w:rsidRDefault="00FB3319" w:rsidP="00064C83">
      <w:pPr>
        <w:spacing w:line="360" w:lineRule="auto"/>
        <w:jc w:val="both"/>
        <w:rPr>
          <w:rFonts w:ascii="Times New Roman" w:hAnsi="Times New Roman" w:cs="Times New Roman"/>
        </w:rPr>
      </w:pPr>
    </w:p>
    <w:p w14:paraId="2555761D" w14:textId="20CA2EF1" w:rsidR="00F1359D" w:rsidRPr="008373A2" w:rsidRDefault="00D77D34" w:rsidP="00064C83">
      <w:pPr>
        <w:spacing w:line="360" w:lineRule="auto"/>
        <w:jc w:val="both"/>
        <w:rPr>
          <w:rFonts w:ascii="Times New Roman" w:hAnsi="Times New Roman" w:cs="Times New Roman"/>
        </w:rPr>
      </w:pPr>
      <w:r w:rsidRPr="008373A2">
        <w:rPr>
          <w:rFonts w:ascii="Times New Roman" w:hAnsi="Times New Roman" w:cs="Times New Roman"/>
        </w:rPr>
        <w:t>Figure</w:t>
      </w:r>
      <w:r w:rsidR="00F1359D" w:rsidRPr="008373A2">
        <w:rPr>
          <w:rFonts w:ascii="Times New Roman" w:hAnsi="Times New Roman" w:cs="Times New Roman"/>
        </w:rPr>
        <w:t xml:space="preserve"> 1</w:t>
      </w:r>
      <w:r w:rsidR="00211063" w:rsidRPr="008373A2">
        <w:rPr>
          <w:rFonts w:ascii="Times New Roman" w:hAnsi="Times New Roman" w:cs="Times New Roman"/>
        </w:rPr>
        <w:t>.</w:t>
      </w:r>
    </w:p>
    <w:tbl>
      <w:tblPr>
        <w:tblStyle w:val="TableGrid"/>
        <w:tblW w:w="9067" w:type="dxa"/>
        <w:tblLook w:val="04A0" w:firstRow="1" w:lastRow="0" w:firstColumn="1" w:lastColumn="0" w:noHBand="0" w:noVBand="1"/>
      </w:tblPr>
      <w:tblGrid>
        <w:gridCol w:w="3397"/>
        <w:gridCol w:w="5670"/>
      </w:tblGrid>
      <w:tr w:rsidR="007155AF" w:rsidRPr="008373A2" w14:paraId="10970480" w14:textId="77777777" w:rsidTr="00437B04">
        <w:trPr>
          <w:trHeight w:val="894"/>
        </w:trPr>
        <w:tc>
          <w:tcPr>
            <w:tcW w:w="3397" w:type="dxa"/>
            <w:shd w:val="clear" w:color="auto" w:fill="D9E2F3" w:themeFill="accent1" w:themeFillTint="33"/>
          </w:tcPr>
          <w:p w14:paraId="5298471C" w14:textId="77777777" w:rsidR="007155AF" w:rsidRPr="008373A2" w:rsidRDefault="007155AF" w:rsidP="00C70E70">
            <w:pPr>
              <w:jc w:val="center"/>
              <w:rPr>
                <w:rFonts w:ascii="Times New Roman" w:hAnsi="Times New Roman" w:cs="Times New Roman"/>
                <w:b/>
                <w:bCs/>
                <w:sz w:val="20"/>
                <w:szCs w:val="20"/>
              </w:rPr>
            </w:pPr>
          </w:p>
          <w:p w14:paraId="36ECEE77" w14:textId="77777777" w:rsidR="007155AF" w:rsidRPr="008373A2" w:rsidRDefault="007155AF" w:rsidP="00C70E70">
            <w:pPr>
              <w:jc w:val="center"/>
              <w:rPr>
                <w:rFonts w:ascii="Times New Roman" w:hAnsi="Times New Roman" w:cs="Times New Roman"/>
                <w:b/>
                <w:bCs/>
                <w:sz w:val="20"/>
                <w:szCs w:val="20"/>
              </w:rPr>
            </w:pPr>
            <w:r w:rsidRPr="008373A2">
              <w:rPr>
                <w:rFonts w:ascii="Times New Roman" w:hAnsi="Times New Roman" w:cs="Times New Roman"/>
                <w:b/>
                <w:bCs/>
                <w:sz w:val="20"/>
                <w:szCs w:val="20"/>
              </w:rPr>
              <w:t>Alleged customary rule</w:t>
            </w:r>
          </w:p>
        </w:tc>
        <w:tc>
          <w:tcPr>
            <w:tcW w:w="5670" w:type="dxa"/>
            <w:shd w:val="clear" w:color="auto" w:fill="D9E2F3" w:themeFill="accent1" w:themeFillTint="33"/>
          </w:tcPr>
          <w:p w14:paraId="3A851749" w14:textId="77777777" w:rsidR="007155AF" w:rsidRPr="008373A2" w:rsidRDefault="007155AF" w:rsidP="00C70E70">
            <w:pPr>
              <w:jc w:val="center"/>
              <w:rPr>
                <w:rFonts w:ascii="Times New Roman" w:hAnsi="Times New Roman" w:cs="Times New Roman"/>
                <w:b/>
                <w:bCs/>
                <w:sz w:val="20"/>
                <w:szCs w:val="20"/>
              </w:rPr>
            </w:pPr>
          </w:p>
          <w:p w14:paraId="1EDB0D02" w14:textId="77777777" w:rsidR="007155AF" w:rsidRPr="008373A2" w:rsidRDefault="007155AF" w:rsidP="00C70E70">
            <w:pPr>
              <w:jc w:val="center"/>
              <w:rPr>
                <w:rFonts w:ascii="Times New Roman" w:hAnsi="Times New Roman" w:cs="Times New Roman"/>
                <w:b/>
                <w:bCs/>
                <w:sz w:val="20"/>
                <w:szCs w:val="20"/>
              </w:rPr>
            </w:pPr>
            <w:r w:rsidRPr="008373A2">
              <w:rPr>
                <w:rFonts w:ascii="Times New Roman" w:hAnsi="Times New Roman" w:cs="Times New Roman"/>
                <w:b/>
                <w:bCs/>
                <w:sz w:val="20"/>
                <w:szCs w:val="20"/>
              </w:rPr>
              <w:t>Supportive practice</w:t>
            </w:r>
          </w:p>
        </w:tc>
      </w:tr>
      <w:tr w:rsidR="007155AF" w:rsidRPr="008373A2" w14:paraId="289D5F77" w14:textId="77777777" w:rsidTr="00437B04">
        <w:trPr>
          <w:trHeight w:val="894"/>
        </w:trPr>
        <w:tc>
          <w:tcPr>
            <w:tcW w:w="3397" w:type="dxa"/>
            <w:shd w:val="clear" w:color="auto" w:fill="D9E2F3" w:themeFill="accent1" w:themeFillTint="33"/>
          </w:tcPr>
          <w:p w14:paraId="0C9467E3" w14:textId="77777777" w:rsidR="007155AF" w:rsidRPr="008373A2" w:rsidRDefault="007155AF" w:rsidP="00C70E70">
            <w:pPr>
              <w:jc w:val="center"/>
              <w:rPr>
                <w:rFonts w:ascii="Times New Roman" w:hAnsi="Times New Roman" w:cs="Times New Roman"/>
                <w:b/>
                <w:bCs/>
                <w:sz w:val="20"/>
                <w:szCs w:val="20"/>
              </w:rPr>
            </w:pPr>
          </w:p>
          <w:p w14:paraId="34622A96" w14:textId="77777777" w:rsidR="007155AF" w:rsidRPr="008373A2" w:rsidRDefault="007155AF" w:rsidP="00C70E70">
            <w:pPr>
              <w:jc w:val="center"/>
              <w:rPr>
                <w:rFonts w:ascii="Times New Roman" w:hAnsi="Times New Roman" w:cs="Times New Roman"/>
                <w:b/>
                <w:bCs/>
                <w:sz w:val="20"/>
                <w:szCs w:val="20"/>
              </w:rPr>
            </w:pPr>
            <w:r w:rsidRPr="008373A2">
              <w:rPr>
                <w:rFonts w:ascii="Times New Roman" w:hAnsi="Times New Roman" w:cs="Times New Roman"/>
                <w:b/>
                <w:bCs/>
                <w:sz w:val="20"/>
                <w:szCs w:val="20"/>
              </w:rPr>
              <w:t>Permissive rule</w:t>
            </w:r>
          </w:p>
        </w:tc>
        <w:tc>
          <w:tcPr>
            <w:tcW w:w="5670" w:type="dxa"/>
          </w:tcPr>
          <w:p w14:paraId="35087C08" w14:textId="77777777" w:rsidR="007155AF" w:rsidRPr="008373A2" w:rsidRDefault="007155AF" w:rsidP="00C70E70">
            <w:pPr>
              <w:jc w:val="center"/>
              <w:rPr>
                <w:rFonts w:ascii="Times New Roman" w:hAnsi="Times New Roman" w:cs="Times New Roman"/>
                <w:sz w:val="20"/>
                <w:szCs w:val="20"/>
              </w:rPr>
            </w:pPr>
          </w:p>
          <w:p w14:paraId="218B19F2" w14:textId="77777777" w:rsidR="007155AF" w:rsidRPr="008373A2" w:rsidRDefault="007155AF" w:rsidP="00C70E70">
            <w:pPr>
              <w:jc w:val="center"/>
              <w:rPr>
                <w:rFonts w:ascii="Times New Roman" w:hAnsi="Times New Roman" w:cs="Times New Roman"/>
                <w:sz w:val="20"/>
                <w:szCs w:val="20"/>
              </w:rPr>
            </w:pPr>
            <w:r w:rsidRPr="008373A2">
              <w:rPr>
                <w:rFonts w:ascii="Times New Roman" w:hAnsi="Times New Roman" w:cs="Times New Roman"/>
                <w:i/>
                <w:iCs/>
                <w:sz w:val="20"/>
                <w:szCs w:val="20"/>
              </w:rPr>
              <w:t xml:space="preserve">Permitted </w:t>
            </w:r>
            <w:r w:rsidRPr="008373A2">
              <w:rPr>
                <w:rFonts w:ascii="Times New Roman" w:hAnsi="Times New Roman" w:cs="Times New Roman"/>
                <w:sz w:val="20"/>
                <w:szCs w:val="20"/>
              </w:rPr>
              <w:t xml:space="preserve">conduct </w:t>
            </w:r>
            <w:r w:rsidRPr="008373A2">
              <w:rPr>
                <w:rFonts w:ascii="Times New Roman" w:hAnsi="Times New Roman" w:cs="Times New Roman"/>
                <w:i/>
                <w:iCs/>
                <w:sz w:val="20"/>
                <w:szCs w:val="20"/>
              </w:rPr>
              <w:t>being done</w:t>
            </w:r>
          </w:p>
          <w:p w14:paraId="706F26FD" w14:textId="77777777" w:rsidR="007155AF" w:rsidRPr="008373A2" w:rsidRDefault="007155AF" w:rsidP="00C70E70">
            <w:pPr>
              <w:jc w:val="center"/>
              <w:rPr>
                <w:rFonts w:ascii="Times New Roman" w:hAnsi="Times New Roman" w:cs="Times New Roman"/>
                <w:sz w:val="20"/>
                <w:szCs w:val="20"/>
              </w:rPr>
            </w:pPr>
          </w:p>
        </w:tc>
      </w:tr>
      <w:tr w:rsidR="007155AF" w:rsidRPr="008373A2" w14:paraId="7335F245" w14:textId="77777777" w:rsidTr="00437B04">
        <w:trPr>
          <w:trHeight w:val="848"/>
        </w:trPr>
        <w:tc>
          <w:tcPr>
            <w:tcW w:w="3397" w:type="dxa"/>
            <w:shd w:val="clear" w:color="auto" w:fill="D9E2F3" w:themeFill="accent1" w:themeFillTint="33"/>
          </w:tcPr>
          <w:p w14:paraId="38641C6A" w14:textId="77777777" w:rsidR="007155AF" w:rsidRPr="008373A2" w:rsidRDefault="007155AF" w:rsidP="00C70E70">
            <w:pPr>
              <w:jc w:val="center"/>
              <w:rPr>
                <w:rFonts w:ascii="Times New Roman" w:hAnsi="Times New Roman" w:cs="Times New Roman"/>
                <w:b/>
                <w:bCs/>
                <w:sz w:val="20"/>
                <w:szCs w:val="20"/>
              </w:rPr>
            </w:pPr>
          </w:p>
          <w:p w14:paraId="73A2F395" w14:textId="35974F13" w:rsidR="007155AF" w:rsidRPr="008373A2" w:rsidRDefault="007155AF" w:rsidP="00C70E70">
            <w:pPr>
              <w:jc w:val="center"/>
              <w:rPr>
                <w:rFonts w:ascii="Times New Roman" w:hAnsi="Times New Roman" w:cs="Times New Roman"/>
                <w:b/>
                <w:bCs/>
                <w:sz w:val="20"/>
                <w:szCs w:val="20"/>
              </w:rPr>
            </w:pPr>
            <w:r w:rsidRPr="008373A2">
              <w:rPr>
                <w:rFonts w:ascii="Times New Roman" w:hAnsi="Times New Roman" w:cs="Times New Roman"/>
                <w:b/>
                <w:bCs/>
                <w:sz w:val="20"/>
                <w:szCs w:val="20"/>
              </w:rPr>
              <w:t>P</w:t>
            </w:r>
            <w:r w:rsidR="00C24D04" w:rsidRPr="008373A2">
              <w:rPr>
                <w:rFonts w:ascii="Times New Roman" w:hAnsi="Times New Roman" w:cs="Times New Roman"/>
                <w:b/>
                <w:bCs/>
                <w:sz w:val="20"/>
                <w:szCs w:val="20"/>
              </w:rPr>
              <w:t>rescriptive rule/p</w:t>
            </w:r>
            <w:r w:rsidRPr="008373A2">
              <w:rPr>
                <w:rFonts w:ascii="Times New Roman" w:hAnsi="Times New Roman" w:cs="Times New Roman"/>
                <w:b/>
                <w:bCs/>
                <w:sz w:val="20"/>
                <w:szCs w:val="20"/>
              </w:rPr>
              <w:t>ositive duty</w:t>
            </w:r>
          </w:p>
        </w:tc>
        <w:tc>
          <w:tcPr>
            <w:tcW w:w="5670" w:type="dxa"/>
          </w:tcPr>
          <w:p w14:paraId="4D679C9B" w14:textId="77777777" w:rsidR="007155AF" w:rsidRPr="008373A2" w:rsidRDefault="007155AF" w:rsidP="00C70E70">
            <w:pPr>
              <w:jc w:val="center"/>
              <w:rPr>
                <w:rFonts w:ascii="Times New Roman" w:hAnsi="Times New Roman" w:cs="Times New Roman"/>
                <w:sz w:val="20"/>
                <w:szCs w:val="20"/>
              </w:rPr>
            </w:pPr>
          </w:p>
          <w:p w14:paraId="1AEFBB5B" w14:textId="77777777" w:rsidR="007155AF" w:rsidRPr="008373A2" w:rsidRDefault="007155AF" w:rsidP="00C70E70">
            <w:pPr>
              <w:jc w:val="center"/>
              <w:rPr>
                <w:rFonts w:ascii="Times New Roman" w:hAnsi="Times New Roman" w:cs="Times New Roman"/>
                <w:sz w:val="20"/>
                <w:szCs w:val="20"/>
              </w:rPr>
            </w:pPr>
            <w:r w:rsidRPr="008373A2">
              <w:rPr>
                <w:rFonts w:ascii="Times New Roman" w:hAnsi="Times New Roman" w:cs="Times New Roman"/>
                <w:i/>
                <w:iCs/>
                <w:sz w:val="20"/>
                <w:szCs w:val="20"/>
                <w:lang w:val="en-US"/>
              </w:rPr>
              <w:t>Required</w:t>
            </w:r>
            <w:r w:rsidRPr="008373A2">
              <w:rPr>
                <w:rFonts w:ascii="Times New Roman" w:hAnsi="Times New Roman" w:cs="Times New Roman"/>
                <w:sz w:val="20"/>
                <w:szCs w:val="20"/>
                <w:lang w:val="en-US"/>
              </w:rPr>
              <w:t xml:space="preserve"> conduct </w:t>
            </w:r>
            <w:r w:rsidRPr="008373A2">
              <w:rPr>
                <w:rFonts w:ascii="Times New Roman" w:hAnsi="Times New Roman" w:cs="Times New Roman"/>
                <w:i/>
                <w:iCs/>
                <w:sz w:val="20"/>
                <w:szCs w:val="20"/>
                <w:lang w:val="en-US"/>
              </w:rPr>
              <w:t>being done</w:t>
            </w:r>
          </w:p>
          <w:p w14:paraId="79F34BC0" w14:textId="77777777" w:rsidR="007155AF" w:rsidRPr="008373A2" w:rsidRDefault="007155AF" w:rsidP="00C70E70">
            <w:pPr>
              <w:jc w:val="center"/>
              <w:rPr>
                <w:rFonts w:ascii="Times New Roman" w:hAnsi="Times New Roman" w:cs="Times New Roman"/>
                <w:sz w:val="20"/>
                <w:szCs w:val="20"/>
              </w:rPr>
            </w:pPr>
          </w:p>
        </w:tc>
      </w:tr>
      <w:tr w:rsidR="007155AF" w:rsidRPr="008373A2" w14:paraId="311DADE1" w14:textId="77777777" w:rsidTr="00437B04">
        <w:trPr>
          <w:trHeight w:val="894"/>
        </w:trPr>
        <w:tc>
          <w:tcPr>
            <w:tcW w:w="3397" w:type="dxa"/>
            <w:shd w:val="clear" w:color="auto" w:fill="D9E2F3" w:themeFill="accent1" w:themeFillTint="33"/>
          </w:tcPr>
          <w:p w14:paraId="779C46F6" w14:textId="77777777" w:rsidR="007155AF" w:rsidRPr="008373A2" w:rsidRDefault="007155AF" w:rsidP="00C70E70">
            <w:pPr>
              <w:jc w:val="center"/>
              <w:rPr>
                <w:rFonts w:ascii="Times New Roman" w:hAnsi="Times New Roman" w:cs="Times New Roman"/>
                <w:b/>
                <w:bCs/>
                <w:sz w:val="20"/>
                <w:szCs w:val="20"/>
              </w:rPr>
            </w:pPr>
          </w:p>
          <w:p w14:paraId="415B3BFC" w14:textId="77777777" w:rsidR="007155AF" w:rsidRPr="008373A2" w:rsidRDefault="007155AF" w:rsidP="00C70E70">
            <w:pPr>
              <w:jc w:val="center"/>
              <w:rPr>
                <w:rFonts w:ascii="Times New Roman" w:hAnsi="Times New Roman" w:cs="Times New Roman"/>
                <w:b/>
                <w:bCs/>
                <w:sz w:val="20"/>
                <w:szCs w:val="20"/>
              </w:rPr>
            </w:pPr>
            <w:r w:rsidRPr="008373A2">
              <w:rPr>
                <w:rFonts w:ascii="Times New Roman" w:hAnsi="Times New Roman" w:cs="Times New Roman"/>
                <w:b/>
                <w:bCs/>
                <w:sz w:val="20"/>
                <w:szCs w:val="20"/>
              </w:rPr>
              <w:t>Prohibitive rule/negative duty</w:t>
            </w:r>
          </w:p>
          <w:p w14:paraId="64190CAF" w14:textId="77777777" w:rsidR="007155AF" w:rsidRPr="008373A2" w:rsidRDefault="007155AF" w:rsidP="00C70E70">
            <w:pPr>
              <w:jc w:val="center"/>
              <w:rPr>
                <w:rFonts w:ascii="Times New Roman" w:hAnsi="Times New Roman" w:cs="Times New Roman"/>
                <w:b/>
                <w:bCs/>
                <w:sz w:val="20"/>
                <w:szCs w:val="20"/>
              </w:rPr>
            </w:pPr>
          </w:p>
        </w:tc>
        <w:tc>
          <w:tcPr>
            <w:tcW w:w="5670" w:type="dxa"/>
          </w:tcPr>
          <w:p w14:paraId="3008831F" w14:textId="77777777" w:rsidR="007155AF" w:rsidRPr="008373A2" w:rsidRDefault="007155AF" w:rsidP="00C70E70">
            <w:pPr>
              <w:jc w:val="center"/>
              <w:rPr>
                <w:rFonts w:ascii="Times New Roman" w:hAnsi="Times New Roman" w:cs="Times New Roman"/>
                <w:sz w:val="20"/>
                <w:szCs w:val="20"/>
              </w:rPr>
            </w:pPr>
          </w:p>
          <w:p w14:paraId="519B052B" w14:textId="77777777" w:rsidR="007155AF" w:rsidRPr="008373A2" w:rsidRDefault="007155AF" w:rsidP="00C70E70">
            <w:pPr>
              <w:jc w:val="center"/>
              <w:rPr>
                <w:rFonts w:ascii="Times New Roman" w:hAnsi="Times New Roman" w:cs="Times New Roman"/>
                <w:sz w:val="20"/>
                <w:szCs w:val="20"/>
              </w:rPr>
            </w:pPr>
            <w:r w:rsidRPr="008373A2">
              <w:rPr>
                <w:rFonts w:ascii="Times New Roman" w:hAnsi="Times New Roman" w:cs="Times New Roman"/>
                <w:i/>
                <w:iCs/>
                <w:sz w:val="20"/>
                <w:szCs w:val="20"/>
                <w:lang w:val="en-US"/>
              </w:rPr>
              <w:t>Prohibited</w:t>
            </w:r>
            <w:r w:rsidRPr="008373A2">
              <w:rPr>
                <w:rFonts w:ascii="Times New Roman" w:hAnsi="Times New Roman" w:cs="Times New Roman"/>
                <w:sz w:val="20"/>
                <w:szCs w:val="20"/>
                <w:lang w:val="en-US"/>
              </w:rPr>
              <w:t xml:space="preserve"> conduct </w:t>
            </w:r>
            <w:r w:rsidRPr="008373A2">
              <w:rPr>
                <w:rFonts w:ascii="Times New Roman" w:hAnsi="Times New Roman" w:cs="Times New Roman"/>
                <w:i/>
                <w:iCs/>
                <w:sz w:val="20"/>
                <w:szCs w:val="20"/>
                <w:lang w:val="en-US"/>
              </w:rPr>
              <w:t>not being done</w:t>
            </w:r>
          </w:p>
          <w:p w14:paraId="43221258" w14:textId="77777777" w:rsidR="007155AF" w:rsidRPr="008373A2" w:rsidRDefault="007155AF" w:rsidP="00C70E70">
            <w:pPr>
              <w:jc w:val="center"/>
              <w:rPr>
                <w:rFonts w:ascii="Times New Roman" w:hAnsi="Times New Roman" w:cs="Times New Roman"/>
                <w:sz w:val="20"/>
                <w:szCs w:val="20"/>
              </w:rPr>
            </w:pPr>
            <w:r w:rsidRPr="008373A2">
              <w:rPr>
                <w:rFonts w:ascii="Times New Roman" w:hAnsi="Times New Roman" w:cs="Times New Roman"/>
                <w:i/>
                <w:iCs/>
                <w:sz w:val="20"/>
                <w:szCs w:val="20"/>
                <w:lang w:val="en-US"/>
              </w:rPr>
              <w:t>(omission)</w:t>
            </w:r>
          </w:p>
          <w:p w14:paraId="0D269E00" w14:textId="77777777" w:rsidR="007155AF" w:rsidRPr="008373A2" w:rsidRDefault="007155AF" w:rsidP="00C70E70">
            <w:pPr>
              <w:jc w:val="center"/>
              <w:rPr>
                <w:rFonts w:ascii="Times New Roman" w:hAnsi="Times New Roman" w:cs="Times New Roman"/>
                <w:sz w:val="20"/>
                <w:szCs w:val="20"/>
              </w:rPr>
            </w:pPr>
          </w:p>
        </w:tc>
      </w:tr>
    </w:tbl>
    <w:p w14:paraId="658C4DF9" w14:textId="77777777" w:rsidR="00F1359D" w:rsidRPr="008373A2" w:rsidRDefault="00F1359D" w:rsidP="00064C83">
      <w:pPr>
        <w:spacing w:line="360" w:lineRule="auto"/>
        <w:jc w:val="both"/>
        <w:rPr>
          <w:rFonts w:ascii="Times New Roman" w:hAnsi="Times New Roman" w:cs="Times New Roman"/>
        </w:rPr>
      </w:pPr>
    </w:p>
    <w:p w14:paraId="53B8AA4B" w14:textId="55BA518E" w:rsidR="00894749" w:rsidRPr="008373A2" w:rsidRDefault="008D38F4" w:rsidP="00064C83">
      <w:pPr>
        <w:spacing w:line="360" w:lineRule="auto"/>
        <w:jc w:val="both"/>
        <w:rPr>
          <w:rFonts w:ascii="Times New Roman" w:hAnsi="Times New Roman" w:cs="Times New Roman"/>
        </w:rPr>
      </w:pPr>
      <w:r w:rsidRPr="008373A2">
        <w:rPr>
          <w:rFonts w:ascii="Times New Roman" w:hAnsi="Times New Roman" w:cs="Times New Roman"/>
        </w:rPr>
        <w:t>So, for example, practice in support of some customary rules – prohibitions – will typically consist of omissions. T</w:t>
      </w:r>
      <w:r w:rsidR="00894749" w:rsidRPr="008373A2">
        <w:rPr>
          <w:rFonts w:ascii="Times New Roman" w:hAnsi="Times New Roman" w:cs="Times New Roman"/>
        </w:rPr>
        <w:t>his</w:t>
      </w:r>
      <w:r w:rsidR="00587960" w:rsidRPr="008373A2">
        <w:rPr>
          <w:rFonts w:ascii="Times New Roman" w:hAnsi="Times New Roman" w:cs="Times New Roman"/>
        </w:rPr>
        <w:t xml:space="preserve"> observation</w:t>
      </w:r>
      <w:r w:rsidR="00894749" w:rsidRPr="008373A2">
        <w:rPr>
          <w:rFonts w:ascii="Times New Roman" w:hAnsi="Times New Roman" w:cs="Times New Roman"/>
        </w:rPr>
        <w:t xml:space="preserve"> </w:t>
      </w:r>
      <w:r w:rsidRPr="008373A2">
        <w:rPr>
          <w:rFonts w:ascii="Times New Roman" w:hAnsi="Times New Roman" w:cs="Times New Roman"/>
        </w:rPr>
        <w:t xml:space="preserve">must be qualified, since </w:t>
      </w:r>
      <w:r w:rsidR="00894749" w:rsidRPr="008373A2">
        <w:rPr>
          <w:rFonts w:ascii="Times New Roman" w:hAnsi="Times New Roman" w:cs="Times New Roman"/>
        </w:rPr>
        <w:t xml:space="preserve">statements, such as diplomatic protests and military manuals, </w:t>
      </w:r>
      <w:r w:rsidRPr="008373A2">
        <w:rPr>
          <w:rFonts w:ascii="Times New Roman" w:hAnsi="Times New Roman" w:cs="Times New Roman"/>
        </w:rPr>
        <w:t xml:space="preserve">are now accepted to be capable of </w:t>
      </w:r>
      <w:r w:rsidR="00894749" w:rsidRPr="008373A2">
        <w:rPr>
          <w:rFonts w:ascii="Times New Roman" w:hAnsi="Times New Roman" w:cs="Times New Roman"/>
        </w:rPr>
        <w:t>constitut</w:t>
      </w:r>
      <w:r w:rsidRPr="008373A2">
        <w:rPr>
          <w:rFonts w:ascii="Times New Roman" w:hAnsi="Times New Roman" w:cs="Times New Roman"/>
        </w:rPr>
        <w:t>ing</w:t>
      </w:r>
      <w:r w:rsidR="00894749" w:rsidRPr="008373A2">
        <w:rPr>
          <w:rFonts w:ascii="Times New Roman" w:hAnsi="Times New Roman" w:cs="Times New Roman"/>
        </w:rPr>
        <w:t xml:space="preserve"> not only </w:t>
      </w:r>
      <w:r w:rsidR="00894749" w:rsidRPr="008373A2">
        <w:rPr>
          <w:rFonts w:ascii="Times New Roman" w:hAnsi="Times New Roman" w:cs="Times New Roman"/>
          <w:i/>
          <w:iCs/>
        </w:rPr>
        <w:t>opinio juris</w:t>
      </w:r>
      <w:r w:rsidR="00894749" w:rsidRPr="008373A2">
        <w:rPr>
          <w:rFonts w:ascii="Times New Roman" w:hAnsi="Times New Roman" w:cs="Times New Roman"/>
        </w:rPr>
        <w:t xml:space="preserve"> but also practice in favour of the </w:t>
      </w:r>
      <w:r w:rsidR="00890E7F" w:rsidRPr="008373A2">
        <w:rPr>
          <w:rFonts w:ascii="Times New Roman" w:hAnsi="Times New Roman" w:cs="Times New Roman"/>
        </w:rPr>
        <w:t>rule</w:t>
      </w:r>
      <w:r w:rsidR="00894749" w:rsidRPr="008373A2">
        <w:rPr>
          <w:rFonts w:ascii="Times New Roman" w:hAnsi="Times New Roman" w:cs="Times New Roman"/>
        </w:rPr>
        <w:t xml:space="preserve"> they express.</w:t>
      </w:r>
      <w:r w:rsidR="00894749" w:rsidRPr="008373A2">
        <w:rPr>
          <w:rStyle w:val="FootnoteReference"/>
          <w:rFonts w:ascii="Times New Roman" w:hAnsi="Times New Roman" w:cs="Times New Roman"/>
        </w:rPr>
        <w:footnoteReference w:id="25"/>
      </w:r>
      <w:r w:rsidR="00894749" w:rsidRPr="008373A2">
        <w:rPr>
          <w:rFonts w:ascii="Times New Roman" w:hAnsi="Times New Roman" w:cs="Times New Roman"/>
        </w:rPr>
        <w:t xml:space="preserve"> </w:t>
      </w:r>
      <w:r w:rsidRPr="008373A2">
        <w:rPr>
          <w:rFonts w:ascii="Times New Roman" w:hAnsi="Times New Roman" w:cs="Times New Roman"/>
        </w:rPr>
        <w:t>R</w:t>
      </w:r>
      <w:r w:rsidR="00894749" w:rsidRPr="008373A2">
        <w:rPr>
          <w:rFonts w:ascii="Times New Roman" w:hAnsi="Times New Roman" w:cs="Times New Roman"/>
        </w:rPr>
        <w:t>egardless of the nature of the rule</w:t>
      </w:r>
      <w:r w:rsidR="000F3AA5">
        <w:rPr>
          <w:rFonts w:ascii="Times New Roman" w:hAnsi="Times New Roman" w:cs="Times New Roman"/>
        </w:rPr>
        <w:t>,</w:t>
      </w:r>
      <w:r w:rsidR="00894749" w:rsidRPr="008373A2">
        <w:rPr>
          <w:rFonts w:ascii="Times New Roman" w:hAnsi="Times New Roman" w:cs="Times New Roman"/>
        </w:rPr>
        <w:t xml:space="preserve"> a statement </w:t>
      </w:r>
      <w:r w:rsidR="00587960" w:rsidRPr="008373A2">
        <w:rPr>
          <w:rFonts w:ascii="Times New Roman" w:hAnsi="Times New Roman" w:cs="Times New Roman"/>
        </w:rPr>
        <w:t xml:space="preserve">in support </w:t>
      </w:r>
      <w:r w:rsidR="00894749" w:rsidRPr="008373A2">
        <w:rPr>
          <w:rFonts w:ascii="Times New Roman" w:hAnsi="Times New Roman" w:cs="Times New Roman"/>
        </w:rPr>
        <w:t xml:space="preserve">can constitute a form </w:t>
      </w:r>
      <w:r w:rsidR="00587960" w:rsidRPr="008373A2">
        <w:rPr>
          <w:rFonts w:ascii="Times New Roman" w:hAnsi="Times New Roman" w:cs="Times New Roman"/>
        </w:rPr>
        <w:t xml:space="preserve">of </w:t>
      </w:r>
      <w:r w:rsidR="00894749" w:rsidRPr="008373A2">
        <w:rPr>
          <w:rFonts w:ascii="Times New Roman" w:hAnsi="Times New Roman" w:cs="Times New Roman"/>
        </w:rPr>
        <w:t>state practice</w:t>
      </w:r>
      <w:r w:rsidR="00332BA8" w:rsidRPr="008373A2">
        <w:rPr>
          <w:rFonts w:ascii="Times New Roman" w:hAnsi="Times New Roman" w:cs="Times New Roman"/>
        </w:rPr>
        <w:t>, and so there may be affirmative practice of this kind even when considering the existence of a customary prohibition</w:t>
      </w:r>
      <w:r w:rsidR="00894749" w:rsidRPr="008373A2">
        <w:rPr>
          <w:rFonts w:ascii="Times New Roman" w:hAnsi="Times New Roman" w:cs="Times New Roman"/>
        </w:rPr>
        <w:t>. However, where such statements are absent, or insufficient to establish the customary rule, the nature of the rule will help identify the</w:t>
      </w:r>
      <w:r w:rsidR="003C163A" w:rsidRPr="008373A2">
        <w:rPr>
          <w:rFonts w:ascii="Times New Roman" w:hAnsi="Times New Roman" w:cs="Times New Roman"/>
        </w:rPr>
        <w:t xml:space="preserve"> kinds of</w:t>
      </w:r>
      <w:r w:rsidR="00894749" w:rsidRPr="008373A2">
        <w:rPr>
          <w:rFonts w:ascii="Times New Roman" w:hAnsi="Times New Roman" w:cs="Times New Roman"/>
        </w:rPr>
        <w:t xml:space="preserve"> acts that would form a supportive practice.</w:t>
      </w:r>
      <w:r w:rsidRPr="008373A2">
        <w:rPr>
          <w:rFonts w:ascii="Times New Roman" w:hAnsi="Times New Roman" w:cs="Times New Roman"/>
        </w:rPr>
        <w:t xml:space="preserve"> </w:t>
      </w:r>
      <w:r w:rsidR="00822DE3" w:rsidRPr="008373A2">
        <w:rPr>
          <w:rFonts w:ascii="Times New Roman" w:hAnsi="Times New Roman" w:cs="Times New Roman"/>
        </w:rPr>
        <w:t>It is these kinds of scenarios</w:t>
      </w:r>
      <w:r w:rsidR="00CC4027" w:rsidRPr="008373A2">
        <w:rPr>
          <w:rFonts w:ascii="Times New Roman" w:hAnsi="Times New Roman" w:cs="Times New Roman"/>
        </w:rPr>
        <w:t>, not involving state practice in the form of statements,</w:t>
      </w:r>
      <w:r w:rsidR="00822DE3" w:rsidRPr="008373A2">
        <w:rPr>
          <w:rFonts w:ascii="Times New Roman" w:hAnsi="Times New Roman" w:cs="Times New Roman"/>
        </w:rPr>
        <w:t xml:space="preserve"> that the analysis below is concerned with.</w:t>
      </w:r>
    </w:p>
    <w:p w14:paraId="44D75EED" w14:textId="0F9E68CB" w:rsidR="00894749" w:rsidRPr="008373A2" w:rsidRDefault="00894749" w:rsidP="00064C83">
      <w:pPr>
        <w:spacing w:line="360" w:lineRule="auto"/>
        <w:jc w:val="both"/>
        <w:rPr>
          <w:rFonts w:ascii="Times New Roman" w:hAnsi="Times New Roman" w:cs="Times New Roman"/>
        </w:rPr>
      </w:pPr>
    </w:p>
    <w:p w14:paraId="3BE9F525" w14:textId="044B597D" w:rsidR="000B3814" w:rsidRPr="008373A2" w:rsidRDefault="00405601" w:rsidP="00064C83">
      <w:pPr>
        <w:spacing w:line="360" w:lineRule="auto"/>
        <w:jc w:val="both"/>
        <w:rPr>
          <w:rFonts w:ascii="Times New Roman" w:hAnsi="Times New Roman" w:cs="Times New Roman"/>
        </w:rPr>
      </w:pPr>
      <w:r w:rsidRPr="008373A2">
        <w:rPr>
          <w:rFonts w:ascii="Times New Roman" w:hAnsi="Times New Roman" w:cs="Times New Roman"/>
        </w:rPr>
        <w:t xml:space="preserve">Of course, how the nature of a </w:t>
      </w:r>
      <w:r w:rsidR="000F3AA5">
        <w:rPr>
          <w:rFonts w:ascii="Times New Roman" w:hAnsi="Times New Roman" w:cs="Times New Roman"/>
        </w:rPr>
        <w:t xml:space="preserve">given </w:t>
      </w:r>
      <w:r w:rsidRPr="008373A2">
        <w:rPr>
          <w:rFonts w:ascii="Times New Roman" w:hAnsi="Times New Roman" w:cs="Times New Roman"/>
        </w:rPr>
        <w:t>rule is character</w:t>
      </w:r>
      <w:r w:rsidR="002657EB" w:rsidRPr="008373A2">
        <w:rPr>
          <w:rFonts w:ascii="Times New Roman" w:hAnsi="Times New Roman" w:cs="Times New Roman"/>
        </w:rPr>
        <w:t>ize</w:t>
      </w:r>
      <w:r w:rsidRPr="008373A2">
        <w:rPr>
          <w:rFonts w:ascii="Times New Roman" w:hAnsi="Times New Roman" w:cs="Times New Roman"/>
        </w:rPr>
        <w:t xml:space="preserve">d is not an objective or neutral question. </w:t>
      </w:r>
      <w:r w:rsidR="004F3C19" w:rsidRPr="008373A2">
        <w:rPr>
          <w:rFonts w:ascii="Times New Roman" w:hAnsi="Times New Roman" w:cs="Times New Roman"/>
        </w:rPr>
        <w:t>A</w:t>
      </w:r>
      <w:r w:rsidRPr="008373A2">
        <w:rPr>
          <w:rFonts w:ascii="Times New Roman" w:hAnsi="Times New Roman" w:cs="Times New Roman"/>
        </w:rPr>
        <w:t xml:space="preserve"> prohibition on doing X </w:t>
      </w:r>
      <w:r w:rsidR="00AA01DC" w:rsidRPr="008373A2">
        <w:rPr>
          <w:rFonts w:ascii="Times New Roman" w:hAnsi="Times New Roman" w:cs="Times New Roman"/>
        </w:rPr>
        <w:t>could conceivably</w:t>
      </w:r>
      <w:r w:rsidRPr="008373A2">
        <w:rPr>
          <w:rFonts w:ascii="Times New Roman" w:hAnsi="Times New Roman" w:cs="Times New Roman"/>
        </w:rPr>
        <w:t xml:space="preserve"> be character</w:t>
      </w:r>
      <w:r w:rsidR="002657EB" w:rsidRPr="008373A2">
        <w:rPr>
          <w:rFonts w:ascii="Times New Roman" w:hAnsi="Times New Roman" w:cs="Times New Roman"/>
        </w:rPr>
        <w:t>ize</w:t>
      </w:r>
      <w:r w:rsidRPr="008373A2">
        <w:rPr>
          <w:rFonts w:ascii="Times New Roman" w:hAnsi="Times New Roman" w:cs="Times New Roman"/>
        </w:rPr>
        <w:t xml:space="preserve">d as a </w:t>
      </w:r>
      <w:r w:rsidR="00880F19" w:rsidRPr="008373A2">
        <w:rPr>
          <w:rFonts w:ascii="Times New Roman" w:hAnsi="Times New Roman" w:cs="Times New Roman"/>
        </w:rPr>
        <w:t xml:space="preserve">positive </w:t>
      </w:r>
      <w:r w:rsidRPr="008373A2">
        <w:rPr>
          <w:rFonts w:ascii="Times New Roman" w:hAnsi="Times New Roman" w:cs="Times New Roman"/>
        </w:rPr>
        <w:t xml:space="preserve">duty to do not-X, and vice versa. </w:t>
      </w:r>
      <w:r w:rsidR="00226CF3" w:rsidRPr="008373A2">
        <w:rPr>
          <w:rFonts w:ascii="Times New Roman" w:hAnsi="Times New Roman" w:cs="Times New Roman"/>
        </w:rPr>
        <w:t xml:space="preserve">Similarly, whether a particular customary rule </w:t>
      </w:r>
      <w:r w:rsidR="004F3C19" w:rsidRPr="008373A2">
        <w:rPr>
          <w:rFonts w:ascii="Times New Roman" w:hAnsi="Times New Roman" w:cs="Times New Roman"/>
        </w:rPr>
        <w:t>forms</w:t>
      </w:r>
      <w:r w:rsidR="00226CF3" w:rsidRPr="008373A2">
        <w:rPr>
          <w:rFonts w:ascii="Times New Roman" w:hAnsi="Times New Roman" w:cs="Times New Roman"/>
        </w:rPr>
        <w:t xml:space="preserve"> an exception to a more general rule, </w:t>
      </w:r>
      <w:r w:rsidR="004F3C19" w:rsidRPr="008373A2">
        <w:rPr>
          <w:rFonts w:ascii="Times New Roman" w:hAnsi="Times New Roman" w:cs="Times New Roman"/>
        </w:rPr>
        <w:t xml:space="preserve">or even an exception to an exception, </w:t>
      </w:r>
      <w:r w:rsidR="00226CF3" w:rsidRPr="008373A2">
        <w:rPr>
          <w:rFonts w:ascii="Times New Roman" w:hAnsi="Times New Roman" w:cs="Times New Roman"/>
        </w:rPr>
        <w:t>is not a</w:t>
      </w:r>
      <w:r w:rsidR="00094F60" w:rsidRPr="008373A2">
        <w:rPr>
          <w:rFonts w:ascii="Times New Roman" w:hAnsi="Times New Roman" w:cs="Times New Roman"/>
        </w:rPr>
        <w:t xml:space="preserve"> static or</w:t>
      </w:r>
      <w:r w:rsidR="00226CF3" w:rsidRPr="008373A2">
        <w:rPr>
          <w:rFonts w:ascii="Times New Roman" w:hAnsi="Times New Roman" w:cs="Times New Roman"/>
        </w:rPr>
        <w:t xml:space="preserve"> absolute truth but will depend on how the area of law and </w:t>
      </w:r>
      <w:r w:rsidR="0083477B" w:rsidRPr="008373A2">
        <w:rPr>
          <w:rFonts w:ascii="Times New Roman" w:hAnsi="Times New Roman" w:cs="Times New Roman"/>
        </w:rPr>
        <w:t xml:space="preserve">particular </w:t>
      </w:r>
      <w:r w:rsidR="00226CF3" w:rsidRPr="008373A2">
        <w:rPr>
          <w:rFonts w:ascii="Times New Roman" w:hAnsi="Times New Roman" w:cs="Times New Roman"/>
        </w:rPr>
        <w:t xml:space="preserve">dispute </w:t>
      </w:r>
      <w:r w:rsidR="0083477B" w:rsidRPr="008373A2">
        <w:rPr>
          <w:rFonts w:ascii="Times New Roman" w:hAnsi="Times New Roman" w:cs="Times New Roman"/>
        </w:rPr>
        <w:t>are</w:t>
      </w:r>
      <w:r w:rsidR="00226CF3" w:rsidRPr="008373A2">
        <w:rPr>
          <w:rFonts w:ascii="Times New Roman" w:hAnsi="Times New Roman" w:cs="Times New Roman"/>
        </w:rPr>
        <w:t xml:space="preserve"> analysed.</w:t>
      </w:r>
      <w:r w:rsidR="00226CF3" w:rsidRPr="008373A2">
        <w:rPr>
          <w:rStyle w:val="FootnoteReference"/>
          <w:rFonts w:ascii="Times New Roman" w:hAnsi="Times New Roman" w:cs="Times New Roman"/>
        </w:rPr>
        <w:footnoteReference w:id="26"/>
      </w:r>
      <w:r w:rsidR="00226CF3" w:rsidRPr="008373A2">
        <w:rPr>
          <w:rFonts w:ascii="Times New Roman" w:hAnsi="Times New Roman" w:cs="Times New Roman"/>
        </w:rPr>
        <w:t xml:space="preserve"> </w:t>
      </w:r>
      <w:r w:rsidRPr="008373A2">
        <w:rPr>
          <w:rFonts w:ascii="Times New Roman" w:hAnsi="Times New Roman" w:cs="Times New Roman"/>
        </w:rPr>
        <w:t xml:space="preserve">When the identification of </w:t>
      </w:r>
      <w:r w:rsidR="00A0114D" w:rsidRPr="008373A2">
        <w:rPr>
          <w:rFonts w:ascii="Times New Roman" w:hAnsi="Times New Roman" w:cs="Times New Roman"/>
        </w:rPr>
        <w:t>customary international law</w:t>
      </w:r>
      <w:r w:rsidRPr="008373A2">
        <w:rPr>
          <w:rFonts w:ascii="Times New Roman" w:hAnsi="Times New Roman" w:cs="Times New Roman"/>
        </w:rPr>
        <w:t xml:space="preserve"> occurs in the context of litigation, </w:t>
      </w:r>
      <w:r w:rsidR="0026295B" w:rsidRPr="008373A2">
        <w:rPr>
          <w:rFonts w:ascii="Times New Roman" w:hAnsi="Times New Roman" w:cs="Times New Roman"/>
        </w:rPr>
        <w:t>much</w:t>
      </w:r>
      <w:r w:rsidRPr="008373A2">
        <w:rPr>
          <w:rFonts w:ascii="Times New Roman" w:hAnsi="Times New Roman" w:cs="Times New Roman"/>
        </w:rPr>
        <w:t xml:space="preserve"> </w:t>
      </w:r>
      <w:r w:rsidR="00DA5FDB" w:rsidRPr="008373A2">
        <w:rPr>
          <w:rFonts w:ascii="Times New Roman" w:hAnsi="Times New Roman" w:cs="Times New Roman"/>
        </w:rPr>
        <w:t>will</w:t>
      </w:r>
      <w:r w:rsidRPr="008373A2">
        <w:rPr>
          <w:rFonts w:ascii="Times New Roman" w:hAnsi="Times New Roman" w:cs="Times New Roman"/>
        </w:rPr>
        <w:t xml:space="preserve"> </w:t>
      </w:r>
      <w:r w:rsidR="00066367" w:rsidRPr="008373A2">
        <w:rPr>
          <w:rFonts w:ascii="Times New Roman" w:hAnsi="Times New Roman" w:cs="Times New Roman"/>
        </w:rPr>
        <w:t>therefore</w:t>
      </w:r>
      <w:r w:rsidRPr="008373A2">
        <w:rPr>
          <w:rFonts w:ascii="Times New Roman" w:hAnsi="Times New Roman" w:cs="Times New Roman"/>
        </w:rPr>
        <w:t xml:space="preserve"> depend on how the issue is argued by the parties and </w:t>
      </w:r>
      <w:r w:rsidR="0026295B" w:rsidRPr="008373A2">
        <w:rPr>
          <w:rFonts w:ascii="Times New Roman" w:hAnsi="Times New Roman" w:cs="Times New Roman"/>
        </w:rPr>
        <w:t xml:space="preserve">how the rules involved are ultimately </w:t>
      </w:r>
      <w:r w:rsidRPr="008373A2">
        <w:rPr>
          <w:rFonts w:ascii="Times New Roman" w:hAnsi="Times New Roman" w:cs="Times New Roman"/>
        </w:rPr>
        <w:t>character</w:t>
      </w:r>
      <w:r w:rsidR="002657EB" w:rsidRPr="008373A2">
        <w:rPr>
          <w:rFonts w:ascii="Times New Roman" w:hAnsi="Times New Roman" w:cs="Times New Roman"/>
        </w:rPr>
        <w:t>ize</w:t>
      </w:r>
      <w:r w:rsidRPr="008373A2">
        <w:rPr>
          <w:rFonts w:ascii="Times New Roman" w:hAnsi="Times New Roman" w:cs="Times New Roman"/>
        </w:rPr>
        <w:t xml:space="preserve">d by the Court. </w:t>
      </w:r>
      <w:r w:rsidR="00587960" w:rsidRPr="008373A2">
        <w:rPr>
          <w:rFonts w:ascii="Times New Roman" w:hAnsi="Times New Roman" w:cs="Times New Roman"/>
        </w:rPr>
        <w:t xml:space="preserve">This </w:t>
      </w:r>
      <w:r w:rsidR="00880F19" w:rsidRPr="008373A2">
        <w:rPr>
          <w:rFonts w:ascii="Times New Roman" w:hAnsi="Times New Roman" w:cs="Times New Roman"/>
        </w:rPr>
        <w:t>will</w:t>
      </w:r>
      <w:r w:rsidR="00587960" w:rsidRPr="008373A2">
        <w:rPr>
          <w:rFonts w:ascii="Times New Roman" w:hAnsi="Times New Roman" w:cs="Times New Roman"/>
        </w:rPr>
        <w:t xml:space="preserve"> influence the application of the two-element test</w:t>
      </w:r>
      <w:r w:rsidR="000F3AA5">
        <w:rPr>
          <w:rFonts w:ascii="Times New Roman" w:hAnsi="Times New Roman" w:cs="Times New Roman"/>
        </w:rPr>
        <w:t xml:space="preserve"> in that case</w:t>
      </w:r>
      <w:r w:rsidR="00587960" w:rsidRPr="008373A2">
        <w:rPr>
          <w:rFonts w:ascii="Times New Roman" w:hAnsi="Times New Roman" w:cs="Times New Roman"/>
        </w:rPr>
        <w:t xml:space="preserve"> by determining what kind of conduct will constitute the supportive state practice that needs </w:t>
      </w:r>
      <w:r w:rsidR="00587960" w:rsidRPr="008373A2">
        <w:rPr>
          <w:rFonts w:ascii="Times New Roman" w:hAnsi="Times New Roman" w:cs="Times New Roman"/>
        </w:rPr>
        <w:lastRenderedPageBreak/>
        <w:t>to be established</w:t>
      </w:r>
      <w:r w:rsidR="00AA01DC" w:rsidRPr="008373A2">
        <w:rPr>
          <w:rFonts w:ascii="Times New Roman" w:hAnsi="Times New Roman" w:cs="Times New Roman"/>
        </w:rPr>
        <w:t>, and what conduct will be qualified as practice</w:t>
      </w:r>
      <w:r w:rsidR="008A3534" w:rsidRPr="008373A2">
        <w:rPr>
          <w:rFonts w:ascii="Times New Roman" w:hAnsi="Times New Roman" w:cs="Times New Roman"/>
        </w:rPr>
        <w:t xml:space="preserve"> contrary to the alleged </w:t>
      </w:r>
      <w:r w:rsidR="006A004C">
        <w:rPr>
          <w:rFonts w:ascii="Times New Roman" w:hAnsi="Times New Roman" w:cs="Times New Roman"/>
        </w:rPr>
        <w:t xml:space="preserve">customary </w:t>
      </w:r>
      <w:r w:rsidR="008A3534" w:rsidRPr="008373A2">
        <w:rPr>
          <w:rFonts w:ascii="Times New Roman" w:hAnsi="Times New Roman" w:cs="Times New Roman"/>
        </w:rPr>
        <w:t>rule</w:t>
      </w:r>
      <w:r w:rsidR="00750F7E" w:rsidRPr="008373A2">
        <w:rPr>
          <w:rFonts w:ascii="Times New Roman" w:hAnsi="Times New Roman" w:cs="Times New Roman"/>
        </w:rPr>
        <w:t xml:space="preserve">. </w:t>
      </w:r>
    </w:p>
    <w:p w14:paraId="3C312000" w14:textId="77777777" w:rsidR="000B3814" w:rsidRPr="008373A2" w:rsidRDefault="000B3814" w:rsidP="00064C83">
      <w:pPr>
        <w:spacing w:line="360" w:lineRule="auto"/>
        <w:jc w:val="both"/>
        <w:rPr>
          <w:rFonts w:ascii="Times New Roman" w:hAnsi="Times New Roman" w:cs="Times New Roman"/>
        </w:rPr>
      </w:pPr>
    </w:p>
    <w:p w14:paraId="7F20509D" w14:textId="1072C1A7" w:rsidR="00405601" w:rsidRPr="008373A2" w:rsidRDefault="00750F7E" w:rsidP="00064C83">
      <w:pPr>
        <w:spacing w:line="360" w:lineRule="auto"/>
        <w:jc w:val="both"/>
        <w:rPr>
          <w:rFonts w:ascii="Times New Roman" w:hAnsi="Times New Roman" w:cs="Times New Roman"/>
        </w:rPr>
      </w:pPr>
      <w:r w:rsidRPr="008373A2">
        <w:rPr>
          <w:rFonts w:ascii="Times New Roman" w:hAnsi="Times New Roman" w:cs="Times New Roman"/>
        </w:rPr>
        <w:t xml:space="preserve">In cases where there is practice both supportive of and contrary to an alleged customary rule this </w:t>
      </w:r>
      <w:r w:rsidR="004F3C19" w:rsidRPr="008373A2">
        <w:rPr>
          <w:rFonts w:ascii="Times New Roman" w:hAnsi="Times New Roman" w:cs="Times New Roman"/>
        </w:rPr>
        <w:t>framing</w:t>
      </w:r>
      <w:r w:rsidRPr="008373A2">
        <w:rPr>
          <w:rFonts w:ascii="Times New Roman" w:hAnsi="Times New Roman" w:cs="Times New Roman"/>
        </w:rPr>
        <w:t xml:space="preserve"> may make all the difference</w:t>
      </w:r>
      <w:r w:rsidR="00587960" w:rsidRPr="008373A2">
        <w:rPr>
          <w:rFonts w:ascii="Times New Roman" w:hAnsi="Times New Roman" w:cs="Times New Roman"/>
        </w:rPr>
        <w:t>.</w:t>
      </w:r>
      <w:r w:rsidR="0063388B" w:rsidRPr="008373A2">
        <w:rPr>
          <w:rStyle w:val="FootnoteReference"/>
          <w:rFonts w:ascii="Times New Roman" w:hAnsi="Times New Roman" w:cs="Times New Roman"/>
        </w:rPr>
        <w:footnoteReference w:id="27"/>
      </w:r>
      <w:r w:rsidR="00587960" w:rsidRPr="008373A2">
        <w:rPr>
          <w:rFonts w:ascii="Times New Roman" w:hAnsi="Times New Roman" w:cs="Times New Roman"/>
        </w:rPr>
        <w:t xml:space="preserve"> </w:t>
      </w:r>
      <w:r w:rsidR="00405601" w:rsidRPr="008373A2">
        <w:rPr>
          <w:rFonts w:ascii="Times New Roman" w:hAnsi="Times New Roman" w:cs="Times New Roman"/>
        </w:rPr>
        <w:t>In the</w:t>
      </w:r>
      <w:r w:rsidR="00C07AF7">
        <w:rPr>
          <w:rFonts w:ascii="Times New Roman" w:hAnsi="Times New Roman" w:cs="Times New Roman"/>
        </w:rPr>
        <w:t xml:space="preserve"> ICJ</w:t>
      </w:r>
      <w:r w:rsidR="00405601" w:rsidRPr="008373A2">
        <w:rPr>
          <w:rFonts w:ascii="Times New Roman" w:hAnsi="Times New Roman" w:cs="Times New Roman"/>
        </w:rPr>
        <w:t xml:space="preserve"> advisory </w:t>
      </w:r>
      <w:r w:rsidR="00C07AF7">
        <w:rPr>
          <w:rFonts w:ascii="Times New Roman" w:hAnsi="Times New Roman" w:cs="Times New Roman"/>
        </w:rPr>
        <w:t>proceedings</w:t>
      </w:r>
      <w:r w:rsidR="00C07AF7" w:rsidRPr="008373A2">
        <w:rPr>
          <w:rFonts w:ascii="Times New Roman" w:hAnsi="Times New Roman" w:cs="Times New Roman"/>
        </w:rPr>
        <w:t xml:space="preserve"> </w:t>
      </w:r>
      <w:r w:rsidR="00405601" w:rsidRPr="008373A2">
        <w:rPr>
          <w:rFonts w:ascii="Times New Roman" w:hAnsi="Times New Roman" w:cs="Times New Roman"/>
        </w:rPr>
        <w:t xml:space="preserve">concerning </w:t>
      </w:r>
      <w:r w:rsidR="00405601" w:rsidRPr="008373A2">
        <w:rPr>
          <w:rFonts w:ascii="Times New Roman" w:hAnsi="Times New Roman" w:cs="Times New Roman"/>
          <w:i/>
          <w:iCs/>
        </w:rPr>
        <w:t xml:space="preserve">Legal Consequences of the Separation of the </w:t>
      </w:r>
      <w:proofErr w:type="spellStart"/>
      <w:r w:rsidR="00405601" w:rsidRPr="008373A2">
        <w:rPr>
          <w:rFonts w:ascii="Times New Roman" w:hAnsi="Times New Roman" w:cs="Times New Roman"/>
          <w:i/>
          <w:iCs/>
        </w:rPr>
        <w:t>Chagos</w:t>
      </w:r>
      <w:proofErr w:type="spellEnd"/>
      <w:r w:rsidR="00405601" w:rsidRPr="008373A2">
        <w:rPr>
          <w:rFonts w:ascii="Times New Roman" w:hAnsi="Times New Roman" w:cs="Times New Roman"/>
          <w:i/>
          <w:iCs/>
        </w:rPr>
        <w:t xml:space="preserve"> Archipelago from Mauritius in 1965</w:t>
      </w:r>
      <w:r w:rsidR="00405601" w:rsidRPr="008373A2">
        <w:rPr>
          <w:rFonts w:ascii="Times New Roman" w:hAnsi="Times New Roman" w:cs="Times New Roman"/>
        </w:rPr>
        <w:t>, some participants argued that the customary status of the right to self-determination did not entail ‘an obligation to implement that right within the boundaries of the non-self-governing territory’</w:t>
      </w:r>
      <w:r w:rsidR="005C10C8" w:rsidRPr="008373A2">
        <w:rPr>
          <w:rFonts w:ascii="Times New Roman" w:hAnsi="Times New Roman" w:cs="Times New Roman"/>
        </w:rPr>
        <w:t>.</w:t>
      </w:r>
      <w:r w:rsidR="00405601" w:rsidRPr="008373A2">
        <w:rPr>
          <w:rFonts w:ascii="Times New Roman" w:hAnsi="Times New Roman" w:cs="Times New Roman"/>
        </w:rPr>
        <w:t xml:space="preserve"> </w:t>
      </w:r>
      <w:r w:rsidR="005C10C8" w:rsidRPr="008373A2">
        <w:rPr>
          <w:rFonts w:ascii="Times New Roman" w:hAnsi="Times New Roman" w:cs="Times New Roman"/>
        </w:rPr>
        <w:t>T</w:t>
      </w:r>
      <w:r w:rsidR="00405601" w:rsidRPr="008373A2">
        <w:rPr>
          <w:rFonts w:ascii="Times New Roman" w:hAnsi="Times New Roman" w:cs="Times New Roman"/>
        </w:rPr>
        <w:t>hat is,</w:t>
      </w:r>
      <w:r w:rsidR="00E43649" w:rsidRPr="008373A2">
        <w:rPr>
          <w:rFonts w:ascii="Times New Roman" w:hAnsi="Times New Roman" w:cs="Times New Roman"/>
        </w:rPr>
        <w:t xml:space="preserve"> they disputed the existence of</w:t>
      </w:r>
      <w:r w:rsidR="00405601" w:rsidRPr="008373A2">
        <w:rPr>
          <w:rFonts w:ascii="Times New Roman" w:hAnsi="Times New Roman" w:cs="Times New Roman"/>
        </w:rPr>
        <w:t xml:space="preserve"> a</w:t>
      </w:r>
      <w:r w:rsidR="0051362C" w:rsidRPr="008373A2">
        <w:rPr>
          <w:rFonts w:ascii="Times New Roman" w:hAnsi="Times New Roman" w:cs="Times New Roman"/>
        </w:rPr>
        <w:t xml:space="preserve"> customary</w:t>
      </w:r>
      <w:r w:rsidR="00405601" w:rsidRPr="008373A2">
        <w:rPr>
          <w:rFonts w:ascii="Times New Roman" w:hAnsi="Times New Roman" w:cs="Times New Roman"/>
        </w:rPr>
        <w:t xml:space="preserve"> </w:t>
      </w:r>
      <w:r w:rsidR="00405601" w:rsidRPr="008373A2">
        <w:rPr>
          <w:rFonts w:ascii="Times New Roman" w:hAnsi="Times New Roman" w:cs="Times New Roman"/>
          <w:i/>
          <w:iCs/>
        </w:rPr>
        <w:t>prohibition</w:t>
      </w:r>
      <w:r w:rsidR="00405601" w:rsidRPr="008373A2">
        <w:rPr>
          <w:rFonts w:ascii="Times New Roman" w:hAnsi="Times New Roman" w:cs="Times New Roman"/>
        </w:rPr>
        <w:t xml:space="preserve"> on</w:t>
      </w:r>
      <w:r w:rsidR="005C10C8" w:rsidRPr="008373A2">
        <w:rPr>
          <w:rFonts w:ascii="Times New Roman" w:hAnsi="Times New Roman" w:cs="Times New Roman"/>
        </w:rPr>
        <w:t xml:space="preserve">, for example, dividing up a non-self-governing territory </w:t>
      </w:r>
      <w:proofErr w:type="gramStart"/>
      <w:r w:rsidR="005C10C8" w:rsidRPr="008373A2">
        <w:rPr>
          <w:rFonts w:ascii="Times New Roman" w:hAnsi="Times New Roman" w:cs="Times New Roman"/>
        </w:rPr>
        <w:t>so as to</w:t>
      </w:r>
      <w:proofErr w:type="gramEnd"/>
      <w:r w:rsidR="005C10C8" w:rsidRPr="008373A2">
        <w:rPr>
          <w:rFonts w:ascii="Times New Roman" w:hAnsi="Times New Roman" w:cs="Times New Roman"/>
        </w:rPr>
        <w:t xml:space="preserve"> maintain part of it under </w:t>
      </w:r>
      <w:r w:rsidR="008347BD" w:rsidRPr="008373A2">
        <w:rPr>
          <w:rFonts w:ascii="Times New Roman" w:hAnsi="Times New Roman" w:cs="Times New Roman"/>
        </w:rPr>
        <w:t>colonial control</w:t>
      </w:r>
      <w:r w:rsidR="005C10C8" w:rsidRPr="008373A2">
        <w:rPr>
          <w:rFonts w:ascii="Times New Roman" w:hAnsi="Times New Roman" w:cs="Times New Roman"/>
        </w:rPr>
        <w:t xml:space="preserve"> after independence</w:t>
      </w:r>
      <w:r w:rsidR="00DB286C" w:rsidRPr="008373A2">
        <w:rPr>
          <w:rFonts w:ascii="Times New Roman" w:hAnsi="Times New Roman" w:cs="Times New Roman"/>
        </w:rPr>
        <w:t xml:space="preserve">. </w:t>
      </w:r>
      <w:r w:rsidR="0033766C" w:rsidRPr="008373A2">
        <w:rPr>
          <w:rFonts w:ascii="Times New Roman" w:hAnsi="Times New Roman" w:cs="Times New Roman"/>
        </w:rPr>
        <w:t>However,</w:t>
      </w:r>
      <w:r w:rsidR="00C07AF7">
        <w:rPr>
          <w:rFonts w:ascii="Times New Roman" w:hAnsi="Times New Roman" w:cs="Times New Roman"/>
        </w:rPr>
        <w:t xml:space="preserve"> in its advisory opinion</w:t>
      </w:r>
      <w:r w:rsidR="00DB286C" w:rsidRPr="008373A2">
        <w:rPr>
          <w:rFonts w:ascii="Times New Roman" w:hAnsi="Times New Roman" w:cs="Times New Roman"/>
        </w:rPr>
        <w:t xml:space="preserve"> </w:t>
      </w:r>
      <w:r w:rsidR="00405601" w:rsidRPr="008373A2">
        <w:rPr>
          <w:rFonts w:ascii="Times New Roman" w:hAnsi="Times New Roman" w:cs="Times New Roman"/>
        </w:rPr>
        <w:t>the Court character</w:t>
      </w:r>
      <w:r w:rsidR="002657EB" w:rsidRPr="008373A2">
        <w:rPr>
          <w:rFonts w:ascii="Times New Roman" w:hAnsi="Times New Roman" w:cs="Times New Roman"/>
        </w:rPr>
        <w:t>ize</w:t>
      </w:r>
      <w:r w:rsidR="00405601" w:rsidRPr="008373A2">
        <w:rPr>
          <w:rFonts w:ascii="Times New Roman" w:hAnsi="Times New Roman" w:cs="Times New Roman"/>
        </w:rPr>
        <w:t xml:space="preserve">d the question as whether there existed a </w:t>
      </w:r>
      <w:r w:rsidR="00405601" w:rsidRPr="008373A2">
        <w:rPr>
          <w:rFonts w:ascii="Times New Roman" w:hAnsi="Times New Roman" w:cs="Times New Roman"/>
          <w:i/>
          <w:iCs/>
        </w:rPr>
        <w:t>permissive</w:t>
      </w:r>
      <w:r w:rsidR="00405601" w:rsidRPr="008373A2">
        <w:rPr>
          <w:rFonts w:ascii="Times New Roman" w:hAnsi="Times New Roman" w:cs="Times New Roman"/>
        </w:rPr>
        <w:t xml:space="preserve"> </w:t>
      </w:r>
      <w:r w:rsidR="00D63FD1" w:rsidRPr="008373A2">
        <w:rPr>
          <w:rFonts w:ascii="Times New Roman" w:hAnsi="Times New Roman" w:cs="Times New Roman"/>
        </w:rPr>
        <w:t xml:space="preserve">rule, acting as an </w:t>
      </w:r>
      <w:r w:rsidR="00405601" w:rsidRPr="008373A2">
        <w:rPr>
          <w:rFonts w:ascii="Times New Roman" w:hAnsi="Times New Roman" w:cs="Times New Roman"/>
        </w:rPr>
        <w:t>exception to th</w:t>
      </w:r>
      <w:r w:rsidR="00E43649" w:rsidRPr="008373A2">
        <w:rPr>
          <w:rFonts w:ascii="Times New Roman" w:hAnsi="Times New Roman" w:cs="Times New Roman"/>
        </w:rPr>
        <w:t>at</w:t>
      </w:r>
      <w:r w:rsidR="00405601" w:rsidRPr="008373A2">
        <w:rPr>
          <w:rFonts w:ascii="Times New Roman" w:hAnsi="Times New Roman" w:cs="Times New Roman"/>
        </w:rPr>
        <w:t xml:space="preserve"> prohibition.</w:t>
      </w:r>
      <w:r w:rsidR="00405601" w:rsidRPr="008373A2">
        <w:rPr>
          <w:rStyle w:val="FootnoteReference"/>
          <w:rFonts w:ascii="Times New Roman" w:hAnsi="Times New Roman" w:cs="Times New Roman"/>
        </w:rPr>
        <w:footnoteReference w:id="28"/>
      </w:r>
      <w:r w:rsidR="00405601" w:rsidRPr="008373A2">
        <w:rPr>
          <w:rFonts w:ascii="Times New Roman" w:hAnsi="Times New Roman" w:cs="Times New Roman"/>
        </w:rPr>
        <w:t xml:space="preserve"> </w:t>
      </w:r>
      <w:r w:rsidR="00A929E9" w:rsidRPr="008373A2">
        <w:rPr>
          <w:rFonts w:ascii="Times New Roman" w:hAnsi="Times New Roman" w:cs="Times New Roman"/>
        </w:rPr>
        <w:t xml:space="preserve">Given </w:t>
      </w:r>
      <w:r w:rsidR="00511870" w:rsidRPr="008373A2">
        <w:rPr>
          <w:rFonts w:ascii="Times New Roman" w:hAnsi="Times New Roman" w:cs="Times New Roman"/>
        </w:rPr>
        <w:t xml:space="preserve">the existing </w:t>
      </w:r>
      <w:r w:rsidR="00405601" w:rsidRPr="008373A2">
        <w:rPr>
          <w:rFonts w:ascii="Times New Roman" w:hAnsi="Times New Roman" w:cs="Times New Roman"/>
        </w:rPr>
        <w:t>contrar</w:t>
      </w:r>
      <w:r w:rsidR="00E43649" w:rsidRPr="008373A2">
        <w:rPr>
          <w:rFonts w:ascii="Times New Roman" w:hAnsi="Times New Roman" w:cs="Times New Roman"/>
        </w:rPr>
        <w:t>y</w:t>
      </w:r>
      <w:r w:rsidR="00405601" w:rsidRPr="008373A2">
        <w:rPr>
          <w:rFonts w:ascii="Times New Roman" w:hAnsi="Times New Roman" w:cs="Times New Roman"/>
        </w:rPr>
        <w:t xml:space="preserve"> practice where </w:t>
      </w:r>
      <w:r w:rsidR="00D63FD1" w:rsidRPr="008373A2">
        <w:rPr>
          <w:rFonts w:ascii="Times New Roman" w:hAnsi="Times New Roman" w:cs="Times New Roman"/>
        </w:rPr>
        <w:t xml:space="preserve">colonial </w:t>
      </w:r>
      <w:r w:rsidR="00405601" w:rsidRPr="008373A2">
        <w:rPr>
          <w:rFonts w:ascii="Times New Roman" w:hAnsi="Times New Roman" w:cs="Times New Roman"/>
        </w:rPr>
        <w:t>states have failed to respect</w:t>
      </w:r>
      <w:r w:rsidR="00511870" w:rsidRPr="008373A2">
        <w:rPr>
          <w:rFonts w:ascii="Times New Roman" w:hAnsi="Times New Roman" w:cs="Times New Roman"/>
        </w:rPr>
        <w:t xml:space="preserve"> the</w:t>
      </w:r>
      <w:r w:rsidR="00405601" w:rsidRPr="008373A2">
        <w:rPr>
          <w:rFonts w:ascii="Times New Roman" w:hAnsi="Times New Roman" w:cs="Times New Roman"/>
        </w:rPr>
        <w:t xml:space="preserve"> territorial integrity of self-governing territories, it may have been difficult to </w:t>
      </w:r>
      <w:r w:rsidR="007353FC" w:rsidRPr="008373A2">
        <w:rPr>
          <w:rFonts w:ascii="Times New Roman" w:hAnsi="Times New Roman" w:cs="Times New Roman"/>
        </w:rPr>
        <w:t xml:space="preserve">show </w:t>
      </w:r>
      <w:r w:rsidR="006451B5" w:rsidRPr="008373A2">
        <w:rPr>
          <w:rFonts w:ascii="Times New Roman" w:hAnsi="Times New Roman" w:cs="Times New Roman"/>
        </w:rPr>
        <w:t>‘extensive and virtually uniform’</w:t>
      </w:r>
      <w:r w:rsidR="00D63FD1" w:rsidRPr="008373A2">
        <w:rPr>
          <w:rFonts w:ascii="Times New Roman" w:hAnsi="Times New Roman" w:cs="Times New Roman"/>
        </w:rPr>
        <w:t xml:space="preserve"> practice </w:t>
      </w:r>
      <w:r w:rsidR="00530490">
        <w:rPr>
          <w:rFonts w:ascii="Times New Roman" w:hAnsi="Times New Roman" w:cs="Times New Roman"/>
        </w:rPr>
        <w:t>in support of</w:t>
      </w:r>
      <w:r w:rsidR="007353FC" w:rsidRPr="008373A2">
        <w:rPr>
          <w:rFonts w:ascii="Times New Roman" w:hAnsi="Times New Roman" w:cs="Times New Roman"/>
        </w:rPr>
        <w:t xml:space="preserve"> </w:t>
      </w:r>
      <w:r w:rsidR="00405601" w:rsidRPr="008373A2">
        <w:rPr>
          <w:rFonts w:ascii="Times New Roman" w:hAnsi="Times New Roman" w:cs="Times New Roman"/>
        </w:rPr>
        <w:t>th</w:t>
      </w:r>
      <w:r w:rsidR="00C07AF7">
        <w:rPr>
          <w:rFonts w:ascii="Times New Roman" w:hAnsi="Times New Roman" w:cs="Times New Roman"/>
        </w:rPr>
        <w:t>e</w:t>
      </w:r>
      <w:r w:rsidR="00405601" w:rsidRPr="008373A2">
        <w:rPr>
          <w:rFonts w:ascii="Times New Roman" w:hAnsi="Times New Roman" w:cs="Times New Roman"/>
        </w:rPr>
        <w:t xml:space="preserve"> prohibitive customary rule</w:t>
      </w:r>
      <w:r w:rsidR="008658CF" w:rsidRPr="008373A2">
        <w:rPr>
          <w:rFonts w:ascii="Times New Roman" w:hAnsi="Times New Roman" w:cs="Times New Roman"/>
        </w:rPr>
        <w:t>, especially given its specificity</w:t>
      </w:r>
      <w:r w:rsidR="00405601" w:rsidRPr="008373A2">
        <w:rPr>
          <w:rFonts w:ascii="Times New Roman" w:hAnsi="Times New Roman" w:cs="Times New Roman"/>
        </w:rPr>
        <w:t>.</w:t>
      </w:r>
      <w:r w:rsidR="00880F19" w:rsidRPr="008373A2">
        <w:rPr>
          <w:rStyle w:val="FootnoteReference"/>
          <w:rFonts w:ascii="Times New Roman" w:hAnsi="Times New Roman" w:cs="Times New Roman"/>
        </w:rPr>
        <w:footnoteReference w:id="29"/>
      </w:r>
      <w:r w:rsidR="00405601" w:rsidRPr="008373A2">
        <w:rPr>
          <w:rFonts w:ascii="Times New Roman" w:hAnsi="Times New Roman" w:cs="Times New Roman"/>
        </w:rPr>
        <w:t xml:space="preserve"> Yet, when the question becomes one of </w:t>
      </w:r>
      <w:r w:rsidR="00D63FD1" w:rsidRPr="008373A2">
        <w:rPr>
          <w:rFonts w:ascii="Times New Roman" w:hAnsi="Times New Roman" w:cs="Times New Roman"/>
        </w:rPr>
        <w:t xml:space="preserve">the existence of a new </w:t>
      </w:r>
      <w:r w:rsidR="00C07AF7">
        <w:rPr>
          <w:rFonts w:ascii="Times New Roman" w:hAnsi="Times New Roman" w:cs="Times New Roman"/>
        </w:rPr>
        <w:t xml:space="preserve">customary </w:t>
      </w:r>
      <w:r w:rsidR="00D63FD1" w:rsidRPr="008373A2">
        <w:rPr>
          <w:rFonts w:ascii="Times New Roman" w:hAnsi="Times New Roman" w:cs="Times New Roman"/>
        </w:rPr>
        <w:t xml:space="preserve">rule </w:t>
      </w:r>
      <w:r w:rsidR="0013644A" w:rsidRPr="00437B04">
        <w:rPr>
          <w:rFonts w:ascii="Times New Roman" w:hAnsi="Times New Roman" w:cs="Times New Roman"/>
          <w:i/>
          <w:iCs/>
        </w:rPr>
        <w:t>permitt</w:t>
      </w:r>
      <w:r w:rsidR="00D63FD1" w:rsidRPr="00437B04">
        <w:rPr>
          <w:rFonts w:ascii="Times New Roman" w:hAnsi="Times New Roman" w:cs="Times New Roman"/>
          <w:i/>
          <w:iCs/>
        </w:rPr>
        <w:t>ing</w:t>
      </w:r>
      <w:r w:rsidR="00D63FD1" w:rsidRPr="008373A2">
        <w:rPr>
          <w:rFonts w:ascii="Times New Roman" w:hAnsi="Times New Roman" w:cs="Times New Roman"/>
        </w:rPr>
        <w:t xml:space="preserve"> </w:t>
      </w:r>
      <w:r w:rsidR="00511870" w:rsidRPr="008373A2">
        <w:rPr>
          <w:rFonts w:ascii="Times New Roman" w:hAnsi="Times New Roman" w:cs="Times New Roman"/>
        </w:rPr>
        <w:t>interference with the boundaries of a non-self-governing territory</w:t>
      </w:r>
      <w:r w:rsidR="00405601" w:rsidRPr="008373A2">
        <w:rPr>
          <w:rFonts w:ascii="Times New Roman" w:hAnsi="Times New Roman" w:cs="Times New Roman"/>
        </w:rPr>
        <w:t xml:space="preserve">, it </w:t>
      </w:r>
      <w:r w:rsidR="00A929E9" w:rsidRPr="008373A2">
        <w:rPr>
          <w:rFonts w:ascii="Times New Roman" w:hAnsi="Times New Roman" w:cs="Times New Roman"/>
        </w:rPr>
        <w:t>is</w:t>
      </w:r>
      <w:r w:rsidR="00405601" w:rsidRPr="008373A2">
        <w:rPr>
          <w:rFonts w:ascii="Times New Roman" w:hAnsi="Times New Roman" w:cs="Times New Roman"/>
        </w:rPr>
        <w:t xml:space="preserve"> much easier for the Court to find that </w:t>
      </w:r>
      <w:r w:rsidR="007353FC" w:rsidRPr="008373A2">
        <w:rPr>
          <w:rFonts w:ascii="Times New Roman" w:hAnsi="Times New Roman" w:cs="Times New Roman"/>
        </w:rPr>
        <w:t xml:space="preserve">the </w:t>
      </w:r>
      <w:r w:rsidR="00F604E0" w:rsidRPr="008373A2">
        <w:rPr>
          <w:rFonts w:ascii="Times New Roman" w:hAnsi="Times New Roman" w:cs="Times New Roman"/>
        </w:rPr>
        <w:t>conduct</w:t>
      </w:r>
      <w:r w:rsidR="007353FC" w:rsidRPr="008373A2">
        <w:rPr>
          <w:rFonts w:ascii="Times New Roman" w:hAnsi="Times New Roman" w:cs="Times New Roman"/>
        </w:rPr>
        <w:t xml:space="preserve"> in question </w:t>
      </w:r>
      <w:r w:rsidR="00530490">
        <w:rPr>
          <w:rFonts w:ascii="Times New Roman" w:hAnsi="Times New Roman" w:cs="Times New Roman"/>
        </w:rPr>
        <w:t>must be</w:t>
      </w:r>
      <w:r w:rsidR="007353FC" w:rsidRPr="008373A2">
        <w:rPr>
          <w:rFonts w:ascii="Times New Roman" w:hAnsi="Times New Roman" w:cs="Times New Roman"/>
        </w:rPr>
        <w:t xml:space="preserve"> prohibited because </w:t>
      </w:r>
      <w:r w:rsidR="00405601" w:rsidRPr="008373A2">
        <w:rPr>
          <w:rFonts w:ascii="Times New Roman" w:hAnsi="Times New Roman" w:cs="Times New Roman"/>
        </w:rPr>
        <w:t xml:space="preserve">no such </w:t>
      </w:r>
      <w:r w:rsidR="000442FD">
        <w:rPr>
          <w:rFonts w:ascii="Times New Roman" w:hAnsi="Times New Roman" w:cs="Times New Roman"/>
        </w:rPr>
        <w:t xml:space="preserve">permissive </w:t>
      </w:r>
      <w:r w:rsidR="00405601" w:rsidRPr="008373A2">
        <w:rPr>
          <w:rFonts w:ascii="Times New Roman" w:hAnsi="Times New Roman" w:cs="Times New Roman"/>
        </w:rPr>
        <w:t xml:space="preserve">customary </w:t>
      </w:r>
      <w:r w:rsidR="00D63FD1" w:rsidRPr="008373A2">
        <w:rPr>
          <w:rFonts w:ascii="Times New Roman" w:hAnsi="Times New Roman" w:cs="Times New Roman"/>
        </w:rPr>
        <w:t>rule</w:t>
      </w:r>
      <w:r w:rsidR="00AD48C2" w:rsidRPr="008373A2">
        <w:rPr>
          <w:rFonts w:ascii="Times New Roman" w:hAnsi="Times New Roman" w:cs="Times New Roman"/>
        </w:rPr>
        <w:t xml:space="preserve"> can be shown to</w:t>
      </w:r>
      <w:r w:rsidR="00405601" w:rsidRPr="008373A2">
        <w:rPr>
          <w:rFonts w:ascii="Times New Roman" w:hAnsi="Times New Roman" w:cs="Times New Roman"/>
        </w:rPr>
        <w:t xml:space="preserve"> exist, in this case due to </w:t>
      </w:r>
      <w:r w:rsidR="00D63FD1" w:rsidRPr="008373A2">
        <w:rPr>
          <w:rFonts w:ascii="Times New Roman" w:hAnsi="Times New Roman" w:cs="Times New Roman"/>
        </w:rPr>
        <w:t>the clear evidence of</w:t>
      </w:r>
      <w:r w:rsidR="00405601" w:rsidRPr="008373A2">
        <w:rPr>
          <w:rFonts w:ascii="Times New Roman" w:hAnsi="Times New Roman" w:cs="Times New Roman"/>
        </w:rPr>
        <w:t xml:space="preserve"> </w:t>
      </w:r>
      <w:r w:rsidR="00D63FD1" w:rsidRPr="008373A2">
        <w:rPr>
          <w:rFonts w:ascii="Times New Roman" w:hAnsi="Times New Roman" w:cs="Times New Roman"/>
        </w:rPr>
        <w:t xml:space="preserve">contrary </w:t>
      </w:r>
      <w:r w:rsidR="00405601" w:rsidRPr="008373A2">
        <w:rPr>
          <w:rFonts w:ascii="Times New Roman" w:hAnsi="Times New Roman" w:cs="Times New Roman"/>
          <w:i/>
          <w:iCs/>
        </w:rPr>
        <w:t>opinio juris</w:t>
      </w:r>
      <w:r w:rsidR="00405601" w:rsidRPr="008373A2">
        <w:rPr>
          <w:rFonts w:ascii="Times New Roman" w:hAnsi="Times New Roman" w:cs="Times New Roman"/>
        </w:rPr>
        <w:t>.</w:t>
      </w:r>
      <w:r w:rsidR="00405601" w:rsidRPr="008373A2">
        <w:rPr>
          <w:rStyle w:val="FootnoteReference"/>
          <w:rFonts w:ascii="Times New Roman" w:hAnsi="Times New Roman" w:cs="Times New Roman"/>
        </w:rPr>
        <w:footnoteReference w:id="30"/>
      </w:r>
      <w:r w:rsidR="00405601" w:rsidRPr="008373A2">
        <w:rPr>
          <w:rFonts w:ascii="Times New Roman" w:hAnsi="Times New Roman" w:cs="Times New Roman"/>
        </w:rPr>
        <w:t xml:space="preserve"> The </w:t>
      </w:r>
      <w:r w:rsidR="005847EE" w:rsidRPr="008373A2">
        <w:rPr>
          <w:rFonts w:ascii="Times New Roman" w:hAnsi="Times New Roman" w:cs="Times New Roman"/>
        </w:rPr>
        <w:t xml:space="preserve">body of </w:t>
      </w:r>
      <w:r w:rsidR="00405601" w:rsidRPr="008373A2">
        <w:rPr>
          <w:rFonts w:ascii="Times New Roman" w:hAnsi="Times New Roman" w:cs="Times New Roman"/>
        </w:rPr>
        <w:t xml:space="preserve">practice remains the same and the two-element test remains the same, but the characterisation of the </w:t>
      </w:r>
      <w:r w:rsidR="00066367" w:rsidRPr="008373A2">
        <w:rPr>
          <w:rFonts w:ascii="Times New Roman" w:hAnsi="Times New Roman" w:cs="Times New Roman"/>
        </w:rPr>
        <w:t xml:space="preserve">nature of the rules in question </w:t>
      </w:r>
      <w:r w:rsidR="00405601" w:rsidRPr="008373A2">
        <w:rPr>
          <w:rFonts w:ascii="Times New Roman" w:hAnsi="Times New Roman" w:cs="Times New Roman"/>
        </w:rPr>
        <w:t xml:space="preserve">effectively determines the outcome of the case. </w:t>
      </w:r>
    </w:p>
    <w:p w14:paraId="15C19152" w14:textId="77777777" w:rsidR="00405601" w:rsidRPr="008373A2" w:rsidRDefault="00405601" w:rsidP="00064C83">
      <w:pPr>
        <w:spacing w:line="360" w:lineRule="auto"/>
        <w:jc w:val="both"/>
        <w:rPr>
          <w:rFonts w:ascii="Times New Roman" w:hAnsi="Times New Roman" w:cs="Times New Roman"/>
        </w:rPr>
      </w:pPr>
    </w:p>
    <w:p w14:paraId="4B26E499" w14:textId="44B67D34" w:rsidR="00405601" w:rsidRPr="008373A2" w:rsidRDefault="000E5285" w:rsidP="00064C83">
      <w:pPr>
        <w:spacing w:line="360" w:lineRule="auto"/>
        <w:jc w:val="both"/>
        <w:rPr>
          <w:rFonts w:ascii="Times New Roman" w:hAnsi="Times New Roman" w:cs="Times New Roman"/>
        </w:rPr>
      </w:pPr>
      <w:r w:rsidRPr="008373A2">
        <w:rPr>
          <w:rFonts w:ascii="Times New Roman" w:hAnsi="Times New Roman" w:cs="Times New Roman"/>
        </w:rPr>
        <w:t>T</w:t>
      </w:r>
      <w:r w:rsidR="00405601" w:rsidRPr="008373A2">
        <w:rPr>
          <w:rFonts w:ascii="Times New Roman" w:hAnsi="Times New Roman" w:cs="Times New Roman"/>
        </w:rPr>
        <w:t>h</w:t>
      </w:r>
      <w:r w:rsidR="00B07659" w:rsidRPr="008373A2">
        <w:rPr>
          <w:rFonts w:ascii="Times New Roman" w:hAnsi="Times New Roman" w:cs="Times New Roman"/>
        </w:rPr>
        <w:t>e</w:t>
      </w:r>
      <w:r w:rsidR="00405601" w:rsidRPr="008373A2">
        <w:rPr>
          <w:rFonts w:ascii="Times New Roman" w:hAnsi="Times New Roman" w:cs="Times New Roman"/>
        </w:rPr>
        <w:t xml:space="preserve"> characterisation </w:t>
      </w:r>
      <w:r w:rsidR="00B07659" w:rsidRPr="008373A2">
        <w:rPr>
          <w:rFonts w:ascii="Times New Roman" w:hAnsi="Times New Roman" w:cs="Times New Roman"/>
        </w:rPr>
        <w:t xml:space="preserve">of the nature of the rules at issue </w:t>
      </w:r>
      <w:r w:rsidR="00405601" w:rsidRPr="008373A2">
        <w:rPr>
          <w:rFonts w:ascii="Times New Roman" w:hAnsi="Times New Roman" w:cs="Times New Roman"/>
        </w:rPr>
        <w:t xml:space="preserve">may also determine which party must bear the burden of establishing that a customary </w:t>
      </w:r>
      <w:r w:rsidR="00C07AF7">
        <w:rPr>
          <w:rFonts w:ascii="Times New Roman" w:hAnsi="Times New Roman" w:cs="Times New Roman"/>
        </w:rPr>
        <w:t xml:space="preserve">international law </w:t>
      </w:r>
      <w:r w:rsidR="00405601" w:rsidRPr="008373A2">
        <w:rPr>
          <w:rFonts w:ascii="Times New Roman" w:hAnsi="Times New Roman" w:cs="Times New Roman"/>
        </w:rPr>
        <w:t>rule exists.</w:t>
      </w:r>
      <w:r w:rsidR="00405601" w:rsidRPr="008373A2">
        <w:rPr>
          <w:rStyle w:val="FootnoteReference"/>
          <w:rFonts w:ascii="Times New Roman" w:hAnsi="Times New Roman" w:cs="Times New Roman"/>
        </w:rPr>
        <w:footnoteReference w:id="31"/>
      </w:r>
      <w:r w:rsidR="00405601" w:rsidRPr="008373A2">
        <w:rPr>
          <w:rFonts w:ascii="Times New Roman" w:hAnsi="Times New Roman" w:cs="Times New Roman"/>
        </w:rPr>
        <w:t xml:space="preserve"> In </w:t>
      </w:r>
      <w:r w:rsidR="001834EF" w:rsidRPr="008373A2">
        <w:rPr>
          <w:rFonts w:ascii="Times New Roman" w:hAnsi="Times New Roman" w:cs="Times New Roman"/>
        </w:rPr>
        <w:t xml:space="preserve">the </w:t>
      </w:r>
      <w:r w:rsidR="00405601" w:rsidRPr="008373A2">
        <w:rPr>
          <w:rFonts w:ascii="Times New Roman" w:hAnsi="Times New Roman" w:cs="Times New Roman"/>
          <w:i/>
          <w:iCs/>
        </w:rPr>
        <w:t>Jurisdictional Immunities of the State</w:t>
      </w:r>
      <w:r w:rsidR="00405601" w:rsidRPr="008373A2">
        <w:rPr>
          <w:rFonts w:ascii="Times New Roman" w:hAnsi="Times New Roman" w:cs="Times New Roman"/>
        </w:rPr>
        <w:t xml:space="preserve"> case, Italy accepted that under </w:t>
      </w:r>
      <w:r w:rsidR="00484154" w:rsidRPr="008373A2">
        <w:rPr>
          <w:rFonts w:ascii="Times New Roman" w:hAnsi="Times New Roman" w:cs="Times New Roman"/>
        </w:rPr>
        <w:t xml:space="preserve">international </w:t>
      </w:r>
      <w:r w:rsidR="00405601" w:rsidRPr="008373A2">
        <w:rPr>
          <w:rFonts w:ascii="Times New Roman" w:hAnsi="Times New Roman" w:cs="Times New Roman"/>
        </w:rPr>
        <w:t xml:space="preserve">law states are ‘generally entitled to immunity’ in respect of </w:t>
      </w:r>
      <w:r w:rsidR="00405601" w:rsidRPr="008373A2">
        <w:rPr>
          <w:rFonts w:ascii="Times New Roman" w:hAnsi="Times New Roman" w:cs="Times New Roman"/>
          <w:i/>
          <w:iCs/>
        </w:rPr>
        <w:t xml:space="preserve">acta jure </w:t>
      </w:r>
      <w:proofErr w:type="spellStart"/>
      <w:r w:rsidR="00405601" w:rsidRPr="008373A2">
        <w:rPr>
          <w:rFonts w:ascii="Times New Roman" w:hAnsi="Times New Roman" w:cs="Times New Roman"/>
          <w:i/>
          <w:iCs/>
        </w:rPr>
        <w:t>imperii</w:t>
      </w:r>
      <w:proofErr w:type="spellEnd"/>
      <w:r w:rsidR="00405601" w:rsidRPr="008373A2">
        <w:rPr>
          <w:rFonts w:ascii="Times New Roman" w:hAnsi="Times New Roman" w:cs="Times New Roman"/>
        </w:rPr>
        <w:t>.</w:t>
      </w:r>
      <w:r w:rsidR="00F24AD0" w:rsidRPr="008373A2">
        <w:rPr>
          <w:rStyle w:val="FootnoteReference"/>
          <w:rFonts w:ascii="Times New Roman" w:hAnsi="Times New Roman" w:cs="Times New Roman"/>
        </w:rPr>
        <w:footnoteReference w:id="32"/>
      </w:r>
      <w:r w:rsidR="00405601" w:rsidRPr="008373A2">
        <w:rPr>
          <w:rFonts w:ascii="Times New Roman" w:hAnsi="Times New Roman" w:cs="Times New Roman"/>
        </w:rPr>
        <w:t xml:space="preserve"> </w:t>
      </w:r>
      <w:r w:rsidR="00772FC2" w:rsidRPr="008373A2">
        <w:rPr>
          <w:rFonts w:ascii="Times New Roman" w:hAnsi="Times New Roman" w:cs="Times New Roman"/>
        </w:rPr>
        <w:t xml:space="preserve">Similarly, in the </w:t>
      </w:r>
      <w:r w:rsidR="00772FC2" w:rsidRPr="008373A2">
        <w:rPr>
          <w:rFonts w:ascii="Times New Roman" w:hAnsi="Times New Roman" w:cs="Times New Roman"/>
          <w:i/>
          <w:iCs/>
        </w:rPr>
        <w:t xml:space="preserve">Arrest </w:t>
      </w:r>
      <w:r w:rsidR="00772FC2" w:rsidRPr="008373A2">
        <w:rPr>
          <w:rFonts w:ascii="Times New Roman" w:hAnsi="Times New Roman" w:cs="Times New Roman"/>
          <w:i/>
          <w:iCs/>
        </w:rPr>
        <w:lastRenderedPageBreak/>
        <w:t>Warrant</w:t>
      </w:r>
      <w:r w:rsidR="00772FC2" w:rsidRPr="008373A2">
        <w:rPr>
          <w:rFonts w:ascii="Times New Roman" w:hAnsi="Times New Roman" w:cs="Times New Roman"/>
        </w:rPr>
        <w:t xml:space="preserve"> </w:t>
      </w:r>
      <w:r w:rsidR="00772FC2" w:rsidRPr="008373A2">
        <w:rPr>
          <w:rFonts w:ascii="Times New Roman" w:hAnsi="Times New Roman" w:cs="Times New Roman"/>
          <w:i/>
          <w:iCs/>
        </w:rPr>
        <w:t>of 1 April 2000</w:t>
      </w:r>
      <w:r w:rsidR="00772FC2" w:rsidRPr="008373A2">
        <w:rPr>
          <w:rFonts w:ascii="Times New Roman" w:hAnsi="Times New Roman" w:cs="Times New Roman"/>
        </w:rPr>
        <w:t xml:space="preserve"> case, B</w:t>
      </w:r>
      <w:r w:rsidR="0048002D" w:rsidRPr="008373A2">
        <w:rPr>
          <w:rFonts w:ascii="Times New Roman" w:hAnsi="Times New Roman" w:cs="Times New Roman"/>
        </w:rPr>
        <w:t>el</w:t>
      </w:r>
      <w:r w:rsidR="00772FC2" w:rsidRPr="008373A2">
        <w:rPr>
          <w:rFonts w:ascii="Times New Roman" w:hAnsi="Times New Roman" w:cs="Times New Roman"/>
        </w:rPr>
        <w:t>gium accepted that that ‘Ministers for Foreign Affairs in office generally enjoy an immunity from jurisdiction before the courts of a foreign State’.</w:t>
      </w:r>
      <w:r w:rsidR="00772FC2" w:rsidRPr="008373A2">
        <w:rPr>
          <w:rStyle w:val="FootnoteReference"/>
          <w:rFonts w:ascii="Times New Roman" w:hAnsi="Times New Roman" w:cs="Times New Roman"/>
        </w:rPr>
        <w:footnoteReference w:id="33"/>
      </w:r>
      <w:r w:rsidR="00772FC2" w:rsidRPr="008373A2">
        <w:rPr>
          <w:rFonts w:ascii="Times New Roman" w:hAnsi="Times New Roman" w:cs="Times New Roman"/>
        </w:rPr>
        <w:t xml:space="preserve"> </w:t>
      </w:r>
      <w:r w:rsidR="0048002D" w:rsidRPr="008373A2">
        <w:rPr>
          <w:rFonts w:ascii="Times New Roman" w:hAnsi="Times New Roman" w:cs="Times New Roman"/>
        </w:rPr>
        <w:t>In both cases, th</w:t>
      </w:r>
      <w:r w:rsidR="00107CC0">
        <w:rPr>
          <w:rFonts w:ascii="Times New Roman" w:hAnsi="Times New Roman" w:cs="Times New Roman"/>
        </w:rPr>
        <w:t>ose</w:t>
      </w:r>
      <w:r w:rsidR="0048002D" w:rsidRPr="008373A2">
        <w:rPr>
          <w:rFonts w:ascii="Times New Roman" w:hAnsi="Times New Roman" w:cs="Times New Roman"/>
        </w:rPr>
        <w:t xml:space="preserve"> view</w:t>
      </w:r>
      <w:r w:rsidR="00107CC0">
        <w:rPr>
          <w:rFonts w:ascii="Times New Roman" w:hAnsi="Times New Roman" w:cs="Times New Roman"/>
        </w:rPr>
        <w:t>s</w:t>
      </w:r>
      <w:r w:rsidR="0048002D" w:rsidRPr="008373A2">
        <w:rPr>
          <w:rFonts w:ascii="Times New Roman" w:hAnsi="Times New Roman" w:cs="Times New Roman"/>
        </w:rPr>
        <w:t xml:space="preserve"> w</w:t>
      </w:r>
      <w:r w:rsidR="00107CC0">
        <w:rPr>
          <w:rFonts w:ascii="Times New Roman" w:hAnsi="Times New Roman" w:cs="Times New Roman"/>
        </w:rPr>
        <w:t>ere</w:t>
      </w:r>
      <w:r w:rsidR="0048002D" w:rsidRPr="008373A2">
        <w:rPr>
          <w:rFonts w:ascii="Times New Roman" w:hAnsi="Times New Roman" w:cs="Times New Roman"/>
        </w:rPr>
        <w:t xml:space="preserve"> shared by the other party to the dispute and also adopted by the Court</w:t>
      </w:r>
      <w:r w:rsidR="00133E60" w:rsidRPr="008373A2">
        <w:rPr>
          <w:rFonts w:ascii="Times New Roman" w:hAnsi="Times New Roman" w:cs="Times New Roman"/>
        </w:rPr>
        <w:t xml:space="preserve"> in its judgment</w:t>
      </w:r>
      <w:r w:rsidR="0048002D" w:rsidRPr="008373A2">
        <w:rPr>
          <w:rFonts w:ascii="Times New Roman" w:hAnsi="Times New Roman" w:cs="Times New Roman"/>
        </w:rPr>
        <w:t xml:space="preserve">. </w:t>
      </w:r>
      <w:r w:rsidR="00405601" w:rsidRPr="008373A2">
        <w:rPr>
          <w:rFonts w:ascii="Times New Roman" w:hAnsi="Times New Roman" w:cs="Times New Roman"/>
        </w:rPr>
        <w:t xml:space="preserve">Italy and Belgium thus, perhaps unwisely, allowed themselves to be placed in the position of arguing for the existence of </w:t>
      </w:r>
      <w:r w:rsidR="00405601" w:rsidRPr="00437B04">
        <w:rPr>
          <w:rFonts w:ascii="Times New Roman" w:hAnsi="Times New Roman" w:cs="Times New Roman"/>
          <w:i/>
          <w:iCs/>
        </w:rPr>
        <w:t>permissive customary exceptions</w:t>
      </w:r>
      <w:r w:rsidR="00405601" w:rsidRPr="008373A2">
        <w:rPr>
          <w:rFonts w:ascii="Times New Roman" w:hAnsi="Times New Roman" w:cs="Times New Roman"/>
        </w:rPr>
        <w:t xml:space="preserve"> to an established rule </w:t>
      </w:r>
      <w:r w:rsidR="00405601" w:rsidRPr="00437B04">
        <w:rPr>
          <w:rFonts w:ascii="Times New Roman" w:hAnsi="Times New Roman" w:cs="Times New Roman"/>
          <w:i/>
          <w:iCs/>
        </w:rPr>
        <w:t>prohibiting</w:t>
      </w:r>
      <w:r w:rsidR="00405601" w:rsidRPr="008373A2">
        <w:rPr>
          <w:rFonts w:ascii="Times New Roman" w:hAnsi="Times New Roman" w:cs="Times New Roman"/>
        </w:rPr>
        <w:t xml:space="preserve"> the </w:t>
      </w:r>
      <w:r w:rsidR="002657EB" w:rsidRPr="008373A2">
        <w:rPr>
          <w:rFonts w:ascii="Times New Roman" w:hAnsi="Times New Roman" w:cs="Times New Roman"/>
        </w:rPr>
        <w:t>exercise</w:t>
      </w:r>
      <w:r w:rsidR="00405601" w:rsidRPr="008373A2">
        <w:rPr>
          <w:rFonts w:ascii="Times New Roman" w:hAnsi="Times New Roman" w:cs="Times New Roman"/>
        </w:rPr>
        <w:t xml:space="preserve"> of jurisdiction</w:t>
      </w:r>
      <w:r w:rsidR="00405D64" w:rsidRPr="008373A2">
        <w:rPr>
          <w:rFonts w:ascii="Times New Roman" w:hAnsi="Times New Roman" w:cs="Times New Roman"/>
        </w:rPr>
        <w:t>,</w:t>
      </w:r>
      <w:r w:rsidR="00405601" w:rsidRPr="008373A2">
        <w:rPr>
          <w:rFonts w:ascii="Times New Roman" w:hAnsi="Times New Roman" w:cs="Times New Roman"/>
        </w:rPr>
        <w:t xml:space="preserve"> rather than</w:t>
      </w:r>
      <w:r w:rsidR="00405D64" w:rsidRPr="008373A2">
        <w:rPr>
          <w:rFonts w:ascii="Times New Roman" w:hAnsi="Times New Roman" w:cs="Times New Roman"/>
        </w:rPr>
        <w:t xml:space="preserve"> </w:t>
      </w:r>
      <w:r w:rsidR="00405601" w:rsidRPr="008373A2">
        <w:rPr>
          <w:rFonts w:ascii="Times New Roman" w:hAnsi="Times New Roman" w:cs="Times New Roman"/>
        </w:rPr>
        <w:t xml:space="preserve">making the dispute a question of whether </w:t>
      </w:r>
      <w:r w:rsidR="00107CC0">
        <w:rPr>
          <w:rFonts w:ascii="Times New Roman" w:hAnsi="Times New Roman" w:cs="Times New Roman"/>
        </w:rPr>
        <w:t>that prohibitive</w:t>
      </w:r>
      <w:r w:rsidR="00133E60" w:rsidRPr="008373A2">
        <w:rPr>
          <w:rFonts w:ascii="Times New Roman" w:hAnsi="Times New Roman" w:cs="Times New Roman"/>
        </w:rPr>
        <w:t xml:space="preserve"> </w:t>
      </w:r>
      <w:r w:rsidR="00405601" w:rsidRPr="008373A2">
        <w:rPr>
          <w:rFonts w:ascii="Times New Roman" w:hAnsi="Times New Roman" w:cs="Times New Roman"/>
        </w:rPr>
        <w:t>customary rule establishing state immunity</w:t>
      </w:r>
      <w:r w:rsidR="005B5F1D" w:rsidRPr="008373A2">
        <w:rPr>
          <w:rFonts w:ascii="Times New Roman" w:hAnsi="Times New Roman" w:cs="Times New Roman"/>
        </w:rPr>
        <w:t>, relied on by the other parties,</w:t>
      </w:r>
      <w:r w:rsidR="00405601" w:rsidRPr="008373A2">
        <w:rPr>
          <w:rFonts w:ascii="Times New Roman" w:hAnsi="Times New Roman" w:cs="Times New Roman"/>
        </w:rPr>
        <w:t xml:space="preserve"> </w:t>
      </w:r>
      <w:r w:rsidR="00F72EFC" w:rsidRPr="008373A2">
        <w:rPr>
          <w:rFonts w:ascii="Times New Roman" w:hAnsi="Times New Roman" w:cs="Times New Roman"/>
        </w:rPr>
        <w:t xml:space="preserve">exists </w:t>
      </w:r>
      <w:r w:rsidR="00405601" w:rsidRPr="008373A2">
        <w:rPr>
          <w:rFonts w:ascii="Times New Roman" w:hAnsi="Times New Roman" w:cs="Times New Roman"/>
        </w:rPr>
        <w:t>in the first place.</w:t>
      </w:r>
      <w:r w:rsidR="00405601" w:rsidRPr="008373A2">
        <w:rPr>
          <w:rStyle w:val="FootnoteReference"/>
          <w:rFonts w:ascii="Times New Roman" w:hAnsi="Times New Roman" w:cs="Times New Roman"/>
        </w:rPr>
        <w:footnoteReference w:id="34"/>
      </w:r>
      <w:r w:rsidR="00405601" w:rsidRPr="008373A2">
        <w:rPr>
          <w:rFonts w:ascii="Times New Roman" w:hAnsi="Times New Roman" w:cs="Times New Roman"/>
        </w:rPr>
        <w:t xml:space="preserve"> </w:t>
      </w:r>
      <w:r w:rsidR="00D14A2D">
        <w:rPr>
          <w:rFonts w:ascii="Times New Roman" w:hAnsi="Times New Roman" w:cs="Times New Roman"/>
        </w:rPr>
        <w:t>W</w:t>
      </w:r>
      <w:r w:rsidR="00405601" w:rsidRPr="008373A2">
        <w:rPr>
          <w:rFonts w:ascii="Times New Roman" w:hAnsi="Times New Roman" w:cs="Times New Roman"/>
        </w:rPr>
        <w:t>here a party must prove the existence of a</w:t>
      </w:r>
      <w:r w:rsidR="006872A8" w:rsidRPr="008373A2">
        <w:rPr>
          <w:rFonts w:ascii="Times New Roman" w:hAnsi="Times New Roman" w:cs="Times New Roman"/>
        </w:rPr>
        <w:t xml:space="preserve"> customary</w:t>
      </w:r>
      <w:r w:rsidR="00405601" w:rsidRPr="008373A2">
        <w:rPr>
          <w:rFonts w:ascii="Times New Roman" w:hAnsi="Times New Roman" w:cs="Times New Roman"/>
        </w:rPr>
        <w:t xml:space="preserve"> exception,</w:t>
      </w:r>
      <w:r w:rsidR="00993E50" w:rsidRPr="008373A2">
        <w:rPr>
          <w:rFonts w:ascii="Times New Roman" w:hAnsi="Times New Roman" w:cs="Times New Roman"/>
        </w:rPr>
        <w:t xml:space="preserve"> </w:t>
      </w:r>
      <w:r w:rsidR="00405601" w:rsidRPr="008373A2">
        <w:rPr>
          <w:rFonts w:ascii="Times New Roman" w:hAnsi="Times New Roman" w:cs="Times New Roman"/>
        </w:rPr>
        <w:t xml:space="preserve">that characterisation </w:t>
      </w:r>
      <w:r w:rsidR="008347BD" w:rsidRPr="008373A2">
        <w:rPr>
          <w:rFonts w:ascii="Times New Roman" w:hAnsi="Times New Roman" w:cs="Times New Roman"/>
        </w:rPr>
        <w:t xml:space="preserve">alone </w:t>
      </w:r>
      <w:r w:rsidR="00405601" w:rsidRPr="008373A2">
        <w:rPr>
          <w:rFonts w:ascii="Times New Roman" w:hAnsi="Times New Roman" w:cs="Times New Roman"/>
        </w:rPr>
        <w:t>will render their task more difficult</w:t>
      </w:r>
      <w:r w:rsidR="00AD28CC" w:rsidRPr="008373A2">
        <w:rPr>
          <w:rFonts w:ascii="Times New Roman" w:hAnsi="Times New Roman" w:cs="Times New Roman"/>
        </w:rPr>
        <w:t xml:space="preserve"> </w:t>
      </w:r>
      <w:r w:rsidR="00405601" w:rsidRPr="008373A2">
        <w:rPr>
          <w:rFonts w:ascii="Times New Roman" w:hAnsi="Times New Roman" w:cs="Times New Roman"/>
        </w:rPr>
        <w:t>since ‘the amount of practice needed to establish a new rule which conflicts with the previously accepted rule is much greater than the amount of practice needed to establish a new rule in vacuo’ or to demonstrate the continued existence of a well-established customary rule despite some contrary practice.</w:t>
      </w:r>
      <w:r w:rsidR="00405601" w:rsidRPr="008373A2">
        <w:rPr>
          <w:rStyle w:val="FootnoteReference"/>
          <w:rFonts w:ascii="Times New Roman" w:hAnsi="Times New Roman" w:cs="Times New Roman"/>
        </w:rPr>
        <w:footnoteReference w:id="35"/>
      </w:r>
      <w:r w:rsidR="00405601" w:rsidRPr="008373A2">
        <w:rPr>
          <w:rFonts w:ascii="Times New Roman" w:hAnsi="Times New Roman" w:cs="Times New Roman"/>
        </w:rPr>
        <w:t xml:space="preserve"> In both cases, the Court concluded that there was insufficient practice to support the existence of the </w:t>
      </w:r>
      <w:r w:rsidR="00E7553B">
        <w:rPr>
          <w:rFonts w:ascii="Times New Roman" w:hAnsi="Times New Roman" w:cs="Times New Roman"/>
        </w:rPr>
        <w:t xml:space="preserve">alleged </w:t>
      </w:r>
      <w:r w:rsidR="00893306">
        <w:rPr>
          <w:rFonts w:ascii="Times New Roman" w:hAnsi="Times New Roman" w:cs="Times New Roman"/>
        </w:rPr>
        <w:t xml:space="preserve">customary </w:t>
      </w:r>
      <w:r w:rsidR="00405601" w:rsidRPr="008373A2">
        <w:rPr>
          <w:rFonts w:ascii="Times New Roman" w:hAnsi="Times New Roman" w:cs="Times New Roman"/>
        </w:rPr>
        <w:t>exception</w:t>
      </w:r>
      <w:r w:rsidR="003033C1" w:rsidRPr="008373A2">
        <w:rPr>
          <w:rFonts w:ascii="Times New Roman" w:hAnsi="Times New Roman" w:cs="Times New Roman"/>
        </w:rPr>
        <w:t>s</w:t>
      </w:r>
      <w:r w:rsidR="00E7553B">
        <w:rPr>
          <w:rFonts w:ascii="Times New Roman" w:hAnsi="Times New Roman" w:cs="Times New Roman"/>
        </w:rPr>
        <w:t xml:space="preserve"> to state immunity</w:t>
      </w:r>
      <w:r w:rsidR="00405601" w:rsidRPr="008373A2">
        <w:rPr>
          <w:rFonts w:ascii="Times New Roman" w:hAnsi="Times New Roman" w:cs="Times New Roman"/>
        </w:rPr>
        <w:t>. Indeed, there does not appear to be any case before the ICJ where a party has succeeded in an argument relying on a customary rule that has been character</w:t>
      </w:r>
      <w:r w:rsidR="002657EB" w:rsidRPr="008373A2">
        <w:rPr>
          <w:rFonts w:ascii="Times New Roman" w:hAnsi="Times New Roman" w:cs="Times New Roman"/>
        </w:rPr>
        <w:t>ize</w:t>
      </w:r>
      <w:r w:rsidR="00405601" w:rsidRPr="008373A2">
        <w:rPr>
          <w:rFonts w:ascii="Times New Roman" w:hAnsi="Times New Roman" w:cs="Times New Roman"/>
        </w:rPr>
        <w:t xml:space="preserve">d as an exception to an existing </w:t>
      </w:r>
      <w:r w:rsidR="009D7841" w:rsidRPr="008373A2">
        <w:rPr>
          <w:rFonts w:ascii="Times New Roman" w:hAnsi="Times New Roman" w:cs="Times New Roman"/>
        </w:rPr>
        <w:t xml:space="preserve">customary </w:t>
      </w:r>
      <w:r w:rsidR="00405601" w:rsidRPr="008373A2">
        <w:rPr>
          <w:rFonts w:ascii="Times New Roman" w:hAnsi="Times New Roman" w:cs="Times New Roman"/>
        </w:rPr>
        <w:t>rule.</w:t>
      </w:r>
      <w:r w:rsidR="00405601" w:rsidRPr="008373A2">
        <w:rPr>
          <w:rStyle w:val="FootnoteReference"/>
          <w:rFonts w:ascii="Times New Roman" w:hAnsi="Times New Roman" w:cs="Times New Roman"/>
        </w:rPr>
        <w:footnoteReference w:id="36"/>
      </w:r>
    </w:p>
    <w:p w14:paraId="1CFBB375" w14:textId="77777777" w:rsidR="00405601" w:rsidRPr="008373A2" w:rsidRDefault="00405601" w:rsidP="00064C83">
      <w:pPr>
        <w:spacing w:line="360" w:lineRule="auto"/>
        <w:jc w:val="both"/>
        <w:rPr>
          <w:rFonts w:ascii="Times New Roman" w:hAnsi="Times New Roman" w:cs="Times New Roman"/>
        </w:rPr>
      </w:pPr>
    </w:p>
    <w:p w14:paraId="3B20985B" w14:textId="09102E3E" w:rsidR="00217468" w:rsidRPr="008373A2" w:rsidRDefault="00DD74B0" w:rsidP="00064C83">
      <w:pPr>
        <w:spacing w:line="360" w:lineRule="auto"/>
        <w:jc w:val="both"/>
        <w:rPr>
          <w:rFonts w:ascii="Times New Roman" w:hAnsi="Times New Roman" w:cs="Times New Roman"/>
        </w:rPr>
      </w:pPr>
      <w:r w:rsidRPr="008373A2">
        <w:rPr>
          <w:rFonts w:ascii="Times New Roman" w:hAnsi="Times New Roman" w:cs="Times New Roman"/>
        </w:rPr>
        <w:t>T</w:t>
      </w:r>
      <w:r w:rsidR="00A20054" w:rsidRPr="008373A2">
        <w:rPr>
          <w:rFonts w:ascii="Times New Roman" w:hAnsi="Times New Roman" w:cs="Times New Roman"/>
        </w:rPr>
        <w:t xml:space="preserve">he nature of the </w:t>
      </w:r>
      <w:r w:rsidR="004811DF" w:rsidRPr="008373A2">
        <w:rPr>
          <w:rFonts w:ascii="Times New Roman" w:hAnsi="Times New Roman" w:cs="Times New Roman"/>
        </w:rPr>
        <w:t xml:space="preserve">alleged </w:t>
      </w:r>
      <w:r w:rsidR="00A20054" w:rsidRPr="008373A2">
        <w:rPr>
          <w:rFonts w:ascii="Times New Roman" w:hAnsi="Times New Roman" w:cs="Times New Roman"/>
        </w:rPr>
        <w:t xml:space="preserve">customary rule </w:t>
      </w:r>
      <w:r w:rsidR="00E8329F" w:rsidRPr="008373A2">
        <w:rPr>
          <w:rFonts w:ascii="Times New Roman" w:hAnsi="Times New Roman" w:cs="Times New Roman"/>
        </w:rPr>
        <w:t>– or rather, the nature it is characteri</w:t>
      </w:r>
      <w:r w:rsidR="002655EC" w:rsidRPr="008373A2">
        <w:rPr>
          <w:rFonts w:ascii="Times New Roman" w:hAnsi="Times New Roman" w:cs="Times New Roman"/>
        </w:rPr>
        <w:t>z</w:t>
      </w:r>
      <w:r w:rsidR="00E8329F" w:rsidRPr="008373A2">
        <w:rPr>
          <w:rFonts w:ascii="Times New Roman" w:hAnsi="Times New Roman" w:cs="Times New Roman"/>
        </w:rPr>
        <w:t xml:space="preserve">ed as having </w:t>
      </w:r>
      <w:r w:rsidR="009173FA" w:rsidRPr="008373A2">
        <w:rPr>
          <w:rFonts w:ascii="Times New Roman" w:hAnsi="Times New Roman" w:cs="Times New Roman"/>
        </w:rPr>
        <w:t xml:space="preserve">by </w:t>
      </w:r>
      <w:r w:rsidR="004B24A2" w:rsidRPr="008373A2">
        <w:rPr>
          <w:rFonts w:ascii="Times New Roman" w:hAnsi="Times New Roman" w:cs="Times New Roman"/>
        </w:rPr>
        <w:t>an</w:t>
      </w:r>
      <w:r w:rsidR="009173FA" w:rsidRPr="008373A2">
        <w:rPr>
          <w:rFonts w:ascii="Times New Roman" w:hAnsi="Times New Roman" w:cs="Times New Roman"/>
        </w:rPr>
        <w:t xml:space="preserve"> actor seeking to establish </w:t>
      </w:r>
      <w:r w:rsidR="004B24A2" w:rsidRPr="008373A2">
        <w:rPr>
          <w:rFonts w:ascii="Times New Roman" w:hAnsi="Times New Roman" w:cs="Times New Roman"/>
        </w:rPr>
        <w:t xml:space="preserve">whether </w:t>
      </w:r>
      <w:r w:rsidR="009173FA" w:rsidRPr="008373A2">
        <w:rPr>
          <w:rFonts w:ascii="Times New Roman" w:hAnsi="Times New Roman" w:cs="Times New Roman"/>
        </w:rPr>
        <w:t xml:space="preserve">the rule exists </w:t>
      </w:r>
      <w:r w:rsidR="00E8329F" w:rsidRPr="008373A2">
        <w:rPr>
          <w:rFonts w:ascii="Times New Roman" w:hAnsi="Times New Roman" w:cs="Times New Roman"/>
        </w:rPr>
        <w:t xml:space="preserve">– will therefore </w:t>
      </w:r>
      <w:r w:rsidR="00A20054" w:rsidRPr="008373A2">
        <w:rPr>
          <w:rFonts w:ascii="Times New Roman" w:hAnsi="Times New Roman" w:cs="Times New Roman"/>
        </w:rPr>
        <w:t xml:space="preserve">impact the </w:t>
      </w:r>
      <w:r w:rsidR="004811DF" w:rsidRPr="008373A2">
        <w:rPr>
          <w:rFonts w:ascii="Times New Roman" w:hAnsi="Times New Roman" w:cs="Times New Roman"/>
        </w:rPr>
        <w:t>identification</w:t>
      </w:r>
      <w:r w:rsidR="00A20054" w:rsidRPr="008373A2">
        <w:rPr>
          <w:rFonts w:ascii="Times New Roman" w:hAnsi="Times New Roman" w:cs="Times New Roman"/>
        </w:rPr>
        <w:t xml:space="preserve"> </w:t>
      </w:r>
      <w:r w:rsidR="001A73BC" w:rsidRPr="008373A2">
        <w:rPr>
          <w:rFonts w:ascii="Times New Roman" w:hAnsi="Times New Roman" w:cs="Times New Roman"/>
        </w:rPr>
        <w:t xml:space="preserve">of </w:t>
      </w:r>
      <w:r w:rsidR="00A20054" w:rsidRPr="008373A2">
        <w:rPr>
          <w:rFonts w:ascii="Times New Roman" w:hAnsi="Times New Roman" w:cs="Times New Roman"/>
        </w:rPr>
        <w:t>state practice</w:t>
      </w:r>
      <w:r w:rsidR="00326F14" w:rsidRPr="008373A2">
        <w:rPr>
          <w:rFonts w:ascii="Times New Roman" w:hAnsi="Times New Roman" w:cs="Times New Roman"/>
        </w:rPr>
        <w:t>,</w:t>
      </w:r>
      <w:r w:rsidRPr="008373A2">
        <w:rPr>
          <w:rFonts w:ascii="Times New Roman" w:hAnsi="Times New Roman" w:cs="Times New Roman"/>
        </w:rPr>
        <w:t xml:space="preserve"> as</w:t>
      </w:r>
      <w:r w:rsidR="00EC1E1B" w:rsidRPr="008373A2">
        <w:rPr>
          <w:rFonts w:ascii="Times New Roman" w:hAnsi="Times New Roman" w:cs="Times New Roman"/>
        </w:rPr>
        <w:t xml:space="preserve"> in many cases</w:t>
      </w:r>
      <w:r w:rsidRPr="008373A2">
        <w:rPr>
          <w:rFonts w:ascii="Times New Roman" w:hAnsi="Times New Roman" w:cs="Times New Roman"/>
        </w:rPr>
        <w:t xml:space="preserve"> </w:t>
      </w:r>
      <w:r w:rsidR="00F74970" w:rsidRPr="008373A2">
        <w:rPr>
          <w:rFonts w:ascii="Times New Roman" w:hAnsi="Times New Roman" w:cs="Times New Roman"/>
        </w:rPr>
        <w:t>the nature of the rule</w:t>
      </w:r>
      <w:r w:rsidRPr="008373A2">
        <w:rPr>
          <w:rFonts w:ascii="Times New Roman" w:hAnsi="Times New Roman" w:cs="Times New Roman"/>
        </w:rPr>
        <w:t xml:space="preserve"> </w:t>
      </w:r>
      <w:r w:rsidR="00EC1E1B" w:rsidRPr="008373A2">
        <w:rPr>
          <w:rFonts w:ascii="Times New Roman" w:hAnsi="Times New Roman" w:cs="Times New Roman"/>
        </w:rPr>
        <w:t xml:space="preserve">will </w:t>
      </w:r>
      <w:r w:rsidRPr="008373A2">
        <w:rPr>
          <w:rFonts w:ascii="Times New Roman" w:hAnsi="Times New Roman" w:cs="Times New Roman"/>
        </w:rPr>
        <w:t xml:space="preserve">determine what conduct must be found to </w:t>
      </w:r>
      <w:r w:rsidR="00CC75EA" w:rsidRPr="008373A2">
        <w:rPr>
          <w:rFonts w:ascii="Times New Roman" w:hAnsi="Times New Roman" w:cs="Times New Roman"/>
        </w:rPr>
        <w:t>be widespread and representative</w:t>
      </w:r>
      <w:r w:rsidR="0057235D" w:rsidRPr="008373A2">
        <w:rPr>
          <w:rFonts w:ascii="Times New Roman" w:hAnsi="Times New Roman" w:cs="Times New Roman"/>
        </w:rPr>
        <w:t>.</w:t>
      </w:r>
      <w:r w:rsidR="006E0298" w:rsidRPr="008373A2">
        <w:rPr>
          <w:rFonts w:ascii="Times New Roman" w:hAnsi="Times New Roman" w:cs="Times New Roman"/>
        </w:rPr>
        <w:t xml:space="preserve"> </w:t>
      </w:r>
    </w:p>
    <w:p w14:paraId="3081854F" w14:textId="60C8B672" w:rsidR="00217468" w:rsidRPr="008373A2" w:rsidRDefault="00217468" w:rsidP="00064C83">
      <w:pPr>
        <w:spacing w:line="360" w:lineRule="auto"/>
        <w:jc w:val="both"/>
        <w:rPr>
          <w:rFonts w:ascii="Times New Roman" w:hAnsi="Times New Roman" w:cs="Times New Roman"/>
        </w:rPr>
      </w:pPr>
    </w:p>
    <w:p w14:paraId="0F0C2E86" w14:textId="4CCAB4BF" w:rsidR="00217468" w:rsidRPr="00437B04" w:rsidRDefault="00217468" w:rsidP="00437B04">
      <w:pPr>
        <w:pStyle w:val="ListParagraph"/>
        <w:numPr>
          <w:ilvl w:val="0"/>
          <w:numId w:val="12"/>
        </w:numPr>
        <w:spacing w:line="360" w:lineRule="auto"/>
        <w:jc w:val="both"/>
        <w:rPr>
          <w:rFonts w:ascii="Times New Roman" w:hAnsi="Times New Roman" w:cs="Times New Roman"/>
        </w:rPr>
      </w:pPr>
      <w:r w:rsidRPr="00437B04">
        <w:rPr>
          <w:rFonts w:ascii="Times New Roman" w:hAnsi="Times New Roman" w:cs="Times New Roman"/>
          <w:b/>
          <w:bCs/>
          <w:i/>
          <w:iCs/>
        </w:rPr>
        <w:t xml:space="preserve">The Importance of </w:t>
      </w:r>
      <w:r w:rsidRPr="00437B04">
        <w:rPr>
          <w:rFonts w:ascii="Times New Roman" w:hAnsi="Times New Roman" w:cs="Times New Roman"/>
          <w:b/>
          <w:bCs/>
        </w:rPr>
        <w:t>Opinio Juris</w:t>
      </w:r>
      <w:r w:rsidRPr="008373A2">
        <w:rPr>
          <w:rFonts w:ascii="Times New Roman" w:hAnsi="Times New Roman" w:cs="Times New Roman"/>
          <w:b/>
          <w:bCs/>
          <w:i/>
          <w:iCs/>
        </w:rPr>
        <w:t xml:space="preserve"> </w:t>
      </w:r>
      <w:r w:rsidRPr="00437B04">
        <w:rPr>
          <w:rFonts w:ascii="Times New Roman" w:hAnsi="Times New Roman" w:cs="Times New Roman"/>
          <w:b/>
          <w:bCs/>
          <w:i/>
          <w:iCs/>
        </w:rPr>
        <w:t>in Identifying Customary Prohibitions</w:t>
      </w:r>
    </w:p>
    <w:p w14:paraId="76B2995C" w14:textId="77777777" w:rsidR="00217468" w:rsidRPr="008373A2" w:rsidRDefault="00217468" w:rsidP="00064C83">
      <w:pPr>
        <w:spacing w:line="360" w:lineRule="auto"/>
        <w:jc w:val="both"/>
        <w:rPr>
          <w:rFonts w:ascii="Times New Roman" w:hAnsi="Times New Roman" w:cs="Times New Roman"/>
        </w:rPr>
      </w:pPr>
    </w:p>
    <w:p w14:paraId="618B7A7F" w14:textId="77777777" w:rsidR="00217468" w:rsidRPr="008373A2" w:rsidRDefault="00217468" w:rsidP="00217468">
      <w:pPr>
        <w:spacing w:line="360" w:lineRule="auto"/>
        <w:jc w:val="both"/>
        <w:rPr>
          <w:rFonts w:ascii="Times New Roman" w:hAnsi="Times New Roman" w:cs="Times New Roman"/>
        </w:rPr>
      </w:pPr>
      <w:r w:rsidRPr="008373A2">
        <w:rPr>
          <w:rFonts w:ascii="Times New Roman" w:hAnsi="Times New Roman" w:cs="Times New Roman"/>
        </w:rPr>
        <w:t>Conclusion 3 of the ILC’s 2018 conclusions on the ‘Identification of customary international law’ states that:</w:t>
      </w:r>
    </w:p>
    <w:p w14:paraId="3EE747AF" w14:textId="77777777" w:rsidR="00217468" w:rsidRPr="008373A2" w:rsidRDefault="00217468" w:rsidP="00217468">
      <w:pPr>
        <w:spacing w:line="360" w:lineRule="auto"/>
        <w:jc w:val="both"/>
        <w:rPr>
          <w:rFonts w:ascii="Times New Roman" w:hAnsi="Times New Roman" w:cs="Times New Roman"/>
        </w:rPr>
      </w:pPr>
    </w:p>
    <w:p w14:paraId="49B5CD7B" w14:textId="77777777" w:rsidR="00217468" w:rsidRPr="008373A2" w:rsidRDefault="00217468" w:rsidP="00217468">
      <w:pPr>
        <w:spacing w:line="360" w:lineRule="auto"/>
        <w:ind w:left="720"/>
        <w:jc w:val="both"/>
        <w:rPr>
          <w:rFonts w:ascii="Times New Roman" w:hAnsi="Times New Roman" w:cs="Times New Roman"/>
        </w:rPr>
      </w:pPr>
      <w:r w:rsidRPr="008373A2">
        <w:rPr>
          <w:rFonts w:ascii="Times New Roman" w:hAnsi="Times New Roman" w:cs="Times New Roman"/>
        </w:rPr>
        <w:lastRenderedPageBreak/>
        <w:t xml:space="preserve">In assessing evidence for the purpose of ascertaining whether there is a general practice and whether that practice is accepted as law (opinio juris), regard must be had to the overall context, the nature of the rule and the </w:t>
      </w:r>
      <w:proofErr w:type="gramStart"/>
      <w:r w:rsidRPr="008373A2">
        <w:rPr>
          <w:rFonts w:ascii="Times New Roman" w:hAnsi="Times New Roman" w:cs="Times New Roman"/>
        </w:rPr>
        <w:t>particular circumstances</w:t>
      </w:r>
      <w:proofErr w:type="gramEnd"/>
      <w:r w:rsidRPr="008373A2">
        <w:rPr>
          <w:rFonts w:ascii="Times New Roman" w:hAnsi="Times New Roman" w:cs="Times New Roman"/>
        </w:rPr>
        <w:t xml:space="preserve"> in which the evidence in question is to be found.</w:t>
      </w:r>
      <w:r w:rsidRPr="008373A2">
        <w:rPr>
          <w:rStyle w:val="FootnoteReference"/>
          <w:rFonts w:ascii="Times New Roman" w:hAnsi="Times New Roman" w:cs="Times New Roman"/>
        </w:rPr>
        <w:t xml:space="preserve"> </w:t>
      </w:r>
      <w:r w:rsidRPr="008373A2">
        <w:rPr>
          <w:rStyle w:val="FootnoteReference"/>
          <w:rFonts w:ascii="Times New Roman" w:hAnsi="Times New Roman" w:cs="Times New Roman"/>
        </w:rPr>
        <w:footnoteReference w:id="37"/>
      </w:r>
      <w:r w:rsidRPr="008373A2">
        <w:rPr>
          <w:rFonts w:ascii="Times New Roman" w:hAnsi="Times New Roman" w:cs="Times New Roman"/>
        </w:rPr>
        <w:t xml:space="preserve"> </w:t>
      </w:r>
    </w:p>
    <w:p w14:paraId="5E98B768" w14:textId="77777777" w:rsidR="00217468" w:rsidRPr="008373A2" w:rsidRDefault="00217468" w:rsidP="00217468">
      <w:pPr>
        <w:spacing w:line="360" w:lineRule="auto"/>
        <w:jc w:val="both"/>
        <w:rPr>
          <w:rFonts w:ascii="Times New Roman" w:hAnsi="Times New Roman" w:cs="Times New Roman"/>
        </w:rPr>
      </w:pPr>
    </w:p>
    <w:p w14:paraId="23C0F4D0" w14:textId="622AB366" w:rsidR="00217468" w:rsidRPr="008373A2" w:rsidRDefault="00B253E1" w:rsidP="00217468">
      <w:pPr>
        <w:spacing w:line="360" w:lineRule="auto"/>
        <w:jc w:val="both"/>
        <w:rPr>
          <w:rFonts w:ascii="Times New Roman" w:hAnsi="Times New Roman" w:cs="Times New Roman"/>
        </w:rPr>
      </w:pPr>
      <w:r w:rsidRPr="008373A2">
        <w:rPr>
          <w:rFonts w:ascii="Times New Roman" w:hAnsi="Times New Roman" w:cs="Times New Roman"/>
        </w:rPr>
        <w:t>In relation to the nature of the rule, t</w:t>
      </w:r>
      <w:r w:rsidR="00217468" w:rsidRPr="008373A2">
        <w:rPr>
          <w:rFonts w:ascii="Times New Roman" w:hAnsi="Times New Roman" w:cs="Times New Roman"/>
        </w:rPr>
        <w:t>he commentary to that Conclusion notes that:</w:t>
      </w:r>
    </w:p>
    <w:p w14:paraId="3C7C95D9" w14:textId="77777777" w:rsidR="00217468" w:rsidRPr="008373A2" w:rsidRDefault="00217468" w:rsidP="00217468">
      <w:pPr>
        <w:spacing w:line="360" w:lineRule="auto"/>
        <w:jc w:val="both"/>
        <w:rPr>
          <w:rFonts w:ascii="Times New Roman" w:hAnsi="Times New Roman" w:cs="Times New Roman"/>
        </w:rPr>
      </w:pPr>
    </w:p>
    <w:p w14:paraId="438D7530" w14:textId="31B7BBF6" w:rsidR="00217468" w:rsidRPr="008373A2" w:rsidRDefault="00217468" w:rsidP="00437B04">
      <w:pPr>
        <w:spacing w:line="360" w:lineRule="auto"/>
        <w:ind w:left="720"/>
        <w:jc w:val="both"/>
        <w:rPr>
          <w:rFonts w:ascii="Times New Roman" w:hAnsi="Times New Roman" w:cs="Times New Roman"/>
        </w:rPr>
      </w:pPr>
      <w:r w:rsidRPr="008373A2">
        <w:rPr>
          <w:rFonts w:ascii="Times New Roman" w:hAnsi="Times New Roman" w:cs="Times New Roman"/>
        </w:rPr>
        <w:t>where prohibitive rules are concerned, it may sometimes be difficult to find much affirmative State practice (as opposed to inaction); cases involving such rules are more likely to turn on evaluating whether the inaction is accepted as law.</w:t>
      </w:r>
      <w:r w:rsidRPr="008373A2">
        <w:rPr>
          <w:rStyle w:val="FootnoteReference"/>
          <w:rFonts w:ascii="Times New Roman" w:hAnsi="Times New Roman" w:cs="Times New Roman"/>
        </w:rPr>
        <w:footnoteReference w:id="38"/>
      </w:r>
    </w:p>
    <w:p w14:paraId="0C915F9E" w14:textId="77777777" w:rsidR="00217468" w:rsidRPr="008373A2" w:rsidRDefault="00217468" w:rsidP="00064C83">
      <w:pPr>
        <w:spacing w:line="360" w:lineRule="auto"/>
        <w:jc w:val="both"/>
        <w:rPr>
          <w:rFonts w:ascii="Times New Roman" w:hAnsi="Times New Roman" w:cs="Times New Roman"/>
        </w:rPr>
      </w:pPr>
    </w:p>
    <w:p w14:paraId="19196208" w14:textId="4F380C44" w:rsidR="00496678" w:rsidRPr="008373A2" w:rsidRDefault="00FA68C0" w:rsidP="00064C83">
      <w:pPr>
        <w:spacing w:line="360" w:lineRule="auto"/>
        <w:jc w:val="both"/>
        <w:rPr>
          <w:rFonts w:ascii="Times New Roman" w:hAnsi="Times New Roman" w:cs="Times New Roman"/>
        </w:rPr>
      </w:pPr>
      <w:r w:rsidRPr="00437B04">
        <w:rPr>
          <w:rFonts w:ascii="Times New Roman" w:hAnsi="Times New Roman" w:cs="Times New Roman"/>
        </w:rPr>
        <w:t xml:space="preserve">That is, not only will the prohibitive nature of the rule impact what constitutes </w:t>
      </w:r>
      <w:r w:rsidR="00157AC8" w:rsidRPr="00437B04">
        <w:rPr>
          <w:rFonts w:ascii="Times New Roman" w:hAnsi="Times New Roman" w:cs="Times New Roman"/>
        </w:rPr>
        <w:t xml:space="preserve">a supportive </w:t>
      </w:r>
      <w:r w:rsidRPr="00437B04">
        <w:rPr>
          <w:rFonts w:ascii="Times New Roman" w:hAnsi="Times New Roman" w:cs="Times New Roman"/>
        </w:rPr>
        <w:t xml:space="preserve">state practice, which will </w:t>
      </w:r>
      <w:r w:rsidR="000442FD">
        <w:rPr>
          <w:rFonts w:ascii="Times New Roman" w:hAnsi="Times New Roman" w:cs="Times New Roman"/>
        </w:rPr>
        <w:t>normally</w:t>
      </w:r>
      <w:r w:rsidRPr="00437B04">
        <w:rPr>
          <w:rFonts w:ascii="Times New Roman" w:hAnsi="Times New Roman" w:cs="Times New Roman"/>
        </w:rPr>
        <w:t xml:space="preserve"> consist of inaction</w:t>
      </w:r>
      <w:r w:rsidR="00BE3F0A">
        <w:rPr>
          <w:rFonts w:ascii="Times New Roman" w:hAnsi="Times New Roman" w:cs="Times New Roman"/>
        </w:rPr>
        <w:t>/omissions</w:t>
      </w:r>
      <w:r w:rsidRPr="00437B04">
        <w:rPr>
          <w:rFonts w:ascii="Times New Roman" w:hAnsi="Times New Roman" w:cs="Times New Roman"/>
        </w:rPr>
        <w:t xml:space="preserve">, but </w:t>
      </w:r>
      <w:r w:rsidR="006E0298" w:rsidRPr="008373A2">
        <w:rPr>
          <w:rFonts w:ascii="Times New Roman" w:hAnsi="Times New Roman" w:cs="Times New Roman"/>
        </w:rPr>
        <w:t xml:space="preserve">where the </w:t>
      </w:r>
      <w:r w:rsidR="00A20054" w:rsidRPr="008373A2">
        <w:rPr>
          <w:rFonts w:ascii="Times New Roman" w:hAnsi="Times New Roman" w:cs="Times New Roman"/>
        </w:rPr>
        <w:t xml:space="preserve">nature of the rule is prohibitive </w:t>
      </w:r>
      <w:r w:rsidR="0057235D" w:rsidRPr="008373A2">
        <w:rPr>
          <w:rFonts w:ascii="Times New Roman" w:hAnsi="Times New Roman" w:cs="Times New Roman"/>
        </w:rPr>
        <w:t>th</w:t>
      </w:r>
      <w:r w:rsidR="00803F73">
        <w:rPr>
          <w:rFonts w:ascii="Times New Roman" w:hAnsi="Times New Roman" w:cs="Times New Roman"/>
        </w:rPr>
        <w:t>e ILC suggests that this</w:t>
      </w:r>
      <w:r w:rsidR="0057235D" w:rsidRPr="008373A2">
        <w:rPr>
          <w:rFonts w:ascii="Times New Roman" w:hAnsi="Times New Roman" w:cs="Times New Roman"/>
        </w:rPr>
        <w:t xml:space="preserve"> will impact the identification of the other element, </w:t>
      </w:r>
      <w:r w:rsidR="0057235D" w:rsidRPr="008373A2">
        <w:rPr>
          <w:rFonts w:ascii="Times New Roman" w:hAnsi="Times New Roman" w:cs="Times New Roman"/>
          <w:i/>
          <w:iCs/>
        </w:rPr>
        <w:t>opinio juris</w:t>
      </w:r>
      <w:r w:rsidR="0057235D" w:rsidRPr="008373A2">
        <w:rPr>
          <w:rFonts w:ascii="Times New Roman" w:hAnsi="Times New Roman" w:cs="Times New Roman"/>
        </w:rPr>
        <w:t xml:space="preserve">, </w:t>
      </w:r>
      <w:r w:rsidR="000442FD" w:rsidRPr="008373A2">
        <w:rPr>
          <w:rFonts w:ascii="Times New Roman" w:hAnsi="Times New Roman" w:cs="Times New Roman"/>
        </w:rPr>
        <w:t>a</w:t>
      </w:r>
      <w:r w:rsidR="000442FD" w:rsidRPr="007C0B10">
        <w:rPr>
          <w:rFonts w:ascii="Times New Roman" w:hAnsi="Times New Roman" w:cs="Times New Roman"/>
        </w:rPr>
        <w:t>s</w:t>
      </w:r>
      <w:r w:rsidR="000442FD" w:rsidRPr="008373A2">
        <w:rPr>
          <w:rFonts w:ascii="Times New Roman" w:hAnsi="Times New Roman" w:cs="Times New Roman"/>
        </w:rPr>
        <w:t xml:space="preserve"> in such cases the </w:t>
      </w:r>
      <w:r w:rsidR="000442FD">
        <w:rPr>
          <w:rFonts w:ascii="Times New Roman" w:hAnsi="Times New Roman" w:cs="Times New Roman"/>
        </w:rPr>
        <w:t xml:space="preserve">identification of the rule is </w:t>
      </w:r>
      <w:r w:rsidR="005371C7">
        <w:rPr>
          <w:rFonts w:ascii="Times New Roman" w:hAnsi="Times New Roman" w:cs="Times New Roman"/>
        </w:rPr>
        <w:t>‘</w:t>
      </w:r>
      <w:r w:rsidR="000442FD">
        <w:rPr>
          <w:rFonts w:ascii="Times New Roman" w:hAnsi="Times New Roman" w:cs="Times New Roman"/>
        </w:rPr>
        <w:t>more likely</w:t>
      </w:r>
      <w:r w:rsidR="005371C7">
        <w:rPr>
          <w:rFonts w:ascii="Times New Roman" w:hAnsi="Times New Roman" w:cs="Times New Roman"/>
        </w:rPr>
        <w:t>’</w:t>
      </w:r>
      <w:r w:rsidR="000442FD">
        <w:rPr>
          <w:rFonts w:ascii="Times New Roman" w:hAnsi="Times New Roman" w:cs="Times New Roman"/>
        </w:rPr>
        <w:t xml:space="preserve"> to turn on the </w:t>
      </w:r>
      <w:r w:rsidR="000442FD" w:rsidRPr="008373A2">
        <w:rPr>
          <w:rFonts w:ascii="Times New Roman" w:hAnsi="Times New Roman" w:cs="Times New Roman"/>
        </w:rPr>
        <w:t xml:space="preserve">evaluation of </w:t>
      </w:r>
      <w:r w:rsidR="000442FD" w:rsidRPr="008373A2">
        <w:rPr>
          <w:rFonts w:ascii="Times New Roman" w:hAnsi="Times New Roman" w:cs="Times New Roman"/>
          <w:i/>
          <w:iCs/>
        </w:rPr>
        <w:t>opinio juris</w:t>
      </w:r>
      <w:r w:rsidR="00A20054" w:rsidRPr="008373A2">
        <w:rPr>
          <w:rFonts w:ascii="Times New Roman" w:hAnsi="Times New Roman" w:cs="Times New Roman"/>
        </w:rPr>
        <w:t>.</w:t>
      </w:r>
      <w:r w:rsidR="00F24C9A" w:rsidRPr="008373A2">
        <w:rPr>
          <w:rFonts w:ascii="Times New Roman" w:hAnsi="Times New Roman" w:cs="Times New Roman"/>
        </w:rPr>
        <w:t xml:space="preserve"> </w:t>
      </w:r>
      <w:r w:rsidR="0060140B" w:rsidRPr="008373A2">
        <w:rPr>
          <w:rFonts w:ascii="Times New Roman" w:hAnsi="Times New Roman" w:cs="Times New Roman"/>
        </w:rPr>
        <w:t>However,</w:t>
      </w:r>
      <w:r w:rsidR="00BE3F0A">
        <w:rPr>
          <w:rFonts w:ascii="Times New Roman" w:hAnsi="Times New Roman" w:cs="Times New Roman"/>
        </w:rPr>
        <w:t xml:space="preserve"> </w:t>
      </w:r>
      <w:r w:rsidR="0060140B" w:rsidRPr="008373A2">
        <w:rPr>
          <w:rFonts w:ascii="Times New Roman" w:hAnsi="Times New Roman" w:cs="Times New Roman"/>
        </w:rPr>
        <w:t>i</w:t>
      </w:r>
      <w:r w:rsidR="00250BD4" w:rsidRPr="008373A2">
        <w:rPr>
          <w:rFonts w:ascii="Times New Roman" w:hAnsi="Times New Roman" w:cs="Times New Roman"/>
        </w:rPr>
        <w:t>f</w:t>
      </w:r>
      <w:r w:rsidR="0031005D" w:rsidRPr="008373A2">
        <w:rPr>
          <w:rFonts w:ascii="Times New Roman" w:hAnsi="Times New Roman" w:cs="Times New Roman"/>
        </w:rPr>
        <w:t xml:space="preserve"> </w:t>
      </w:r>
      <w:r w:rsidR="00824805" w:rsidRPr="008373A2">
        <w:rPr>
          <w:rFonts w:ascii="Times New Roman" w:hAnsi="Times New Roman" w:cs="Times New Roman"/>
        </w:rPr>
        <w:t>the ILC</w:t>
      </w:r>
      <w:r w:rsidR="0031005D" w:rsidRPr="008373A2">
        <w:rPr>
          <w:rFonts w:ascii="Times New Roman" w:hAnsi="Times New Roman" w:cs="Times New Roman"/>
        </w:rPr>
        <w:t xml:space="preserve"> is </w:t>
      </w:r>
      <w:r w:rsidR="00824805" w:rsidRPr="008373A2">
        <w:rPr>
          <w:rFonts w:ascii="Times New Roman" w:hAnsi="Times New Roman" w:cs="Times New Roman"/>
        </w:rPr>
        <w:t xml:space="preserve">also </w:t>
      </w:r>
      <w:r w:rsidR="0031005D" w:rsidRPr="008373A2">
        <w:rPr>
          <w:rFonts w:ascii="Times New Roman" w:hAnsi="Times New Roman" w:cs="Times New Roman"/>
        </w:rPr>
        <w:t xml:space="preserve">correct </w:t>
      </w:r>
      <w:r w:rsidR="00824805" w:rsidRPr="008373A2">
        <w:rPr>
          <w:rFonts w:ascii="Times New Roman" w:hAnsi="Times New Roman" w:cs="Times New Roman"/>
        </w:rPr>
        <w:t xml:space="preserve">in saying </w:t>
      </w:r>
      <w:r w:rsidR="0031005D" w:rsidRPr="008373A2">
        <w:rPr>
          <w:rFonts w:ascii="Times New Roman" w:hAnsi="Times New Roman" w:cs="Times New Roman"/>
        </w:rPr>
        <w:t>that</w:t>
      </w:r>
      <w:r w:rsidR="00894749" w:rsidRPr="008373A2">
        <w:rPr>
          <w:rFonts w:ascii="Times New Roman" w:hAnsi="Times New Roman" w:cs="Times New Roman"/>
        </w:rPr>
        <w:t xml:space="preserve"> </w:t>
      </w:r>
      <w:r w:rsidR="002E5C71" w:rsidRPr="008373A2">
        <w:rPr>
          <w:rFonts w:ascii="Times New Roman" w:hAnsi="Times New Roman" w:cs="Times New Roman"/>
        </w:rPr>
        <w:t>‘the existence of one element may not be deduced merely from the existence of the other’</w:t>
      </w:r>
      <w:r w:rsidR="006A1B49" w:rsidRPr="008373A2">
        <w:rPr>
          <w:rFonts w:ascii="Times New Roman" w:hAnsi="Times New Roman" w:cs="Times New Roman"/>
        </w:rPr>
        <w:t>,</w:t>
      </w:r>
      <w:r w:rsidR="00496678" w:rsidRPr="008373A2">
        <w:rPr>
          <w:rStyle w:val="FootnoteReference"/>
          <w:rFonts w:ascii="Times New Roman" w:hAnsi="Times New Roman" w:cs="Times New Roman"/>
        </w:rPr>
        <w:footnoteReference w:id="39"/>
      </w:r>
      <w:r w:rsidR="002E5C71" w:rsidRPr="008373A2">
        <w:rPr>
          <w:rFonts w:ascii="Times New Roman" w:hAnsi="Times New Roman" w:cs="Times New Roman"/>
        </w:rPr>
        <w:t xml:space="preserve"> </w:t>
      </w:r>
      <w:r w:rsidR="007E553F">
        <w:rPr>
          <w:rFonts w:ascii="Times New Roman" w:hAnsi="Times New Roman" w:cs="Times New Roman"/>
        </w:rPr>
        <w:t xml:space="preserve">then </w:t>
      </w:r>
      <w:r w:rsidR="00894749" w:rsidRPr="008373A2">
        <w:rPr>
          <w:rFonts w:ascii="Times New Roman" w:hAnsi="Times New Roman" w:cs="Times New Roman"/>
        </w:rPr>
        <w:t xml:space="preserve">even affirmative </w:t>
      </w:r>
      <w:r w:rsidR="005D47EC" w:rsidRPr="008373A2">
        <w:rPr>
          <w:rFonts w:ascii="Times New Roman" w:hAnsi="Times New Roman" w:cs="Times New Roman"/>
        </w:rPr>
        <w:t>s</w:t>
      </w:r>
      <w:r w:rsidR="00894749" w:rsidRPr="008373A2">
        <w:rPr>
          <w:rFonts w:ascii="Times New Roman" w:hAnsi="Times New Roman" w:cs="Times New Roman"/>
        </w:rPr>
        <w:t xml:space="preserve">tate practice cannot lead to any automatic conclusion that such practice is accepted as law. </w:t>
      </w:r>
      <w:r w:rsidR="007062E3" w:rsidRPr="008373A2">
        <w:rPr>
          <w:rFonts w:ascii="Times New Roman" w:hAnsi="Times New Roman" w:cs="Times New Roman"/>
          <w:i/>
          <w:iCs/>
        </w:rPr>
        <w:t>O</w:t>
      </w:r>
      <w:r w:rsidR="00894749" w:rsidRPr="008373A2">
        <w:rPr>
          <w:rFonts w:ascii="Times New Roman" w:hAnsi="Times New Roman" w:cs="Times New Roman"/>
          <w:i/>
          <w:iCs/>
        </w:rPr>
        <w:t>pinio juris</w:t>
      </w:r>
      <w:r w:rsidR="00894749" w:rsidRPr="008373A2">
        <w:rPr>
          <w:rFonts w:ascii="Times New Roman" w:hAnsi="Times New Roman" w:cs="Times New Roman"/>
        </w:rPr>
        <w:t xml:space="preserve"> accompanying the practice </w:t>
      </w:r>
      <w:r w:rsidR="006053C2" w:rsidRPr="008373A2">
        <w:rPr>
          <w:rFonts w:ascii="Times New Roman" w:hAnsi="Times New Roman" w:cs="Times New Roman"/>
        </w:rPr>
        <w:t>should</w:t>
      </w:r>
      <w:r w:rsidR="00894749" w:rsidRPr="008373A2">
        <w:rPr>
          <w:rFonts w:ascii="Times New Roman" w:hAnsi="Times New Roman" w:cs="Times New Roman"/>
        </w:rPr>
        <w:t xml:space="preserve"> still need to be </w:t>
      </w:r>
      <w:r w:rsidR="00846BBC" w:rsidRPr="008373A2">
        <w:rPr>
          <w:rFonts w:ascii="Times New Roman" w:hAnsi="Times New Roman" w:cs="Times New Roman"/>
        </w:rPr>
        <w:t>demonstrated</w:t>
      </w:r>
      <w:r w:rsidR="006E0298" w:rsidRPr="008373A2">
        <w:rPr>
          <w:rFonts w:ascii="Times New Roman" w:hAnsi="Times New Roman" w:cs="Times New Roman"/>
        </w:rPr>
        <w:t xml:space="preserve"> </w:t>
      </w:r>
      <w:r w:rsidR="00326F14" w:rsidRPr="008373A2">
        <w:rPr>
          <w:rFonts w:ascii="Times New Roman" w:hAnsi="Times New Roman" w:cs="Times New Roman"/>
        </w:rPr>
        <w:t xml:space="preserve">independently </w:t>
      </w:r>
      <w:r w:rsidR="006E0298" w:rsidRPr="008373A2">
        <w:rPr>
          <w:rFonts w:ascii="Times New Roman" w:hAnsi="Times New Roman" w:cs="Times New Roman"/>
        </w:rPr>
        <w:t>for a customary rule to be identified</w:t>
      </w:r>
      <w:r w:rsidR="00894749" w:rsidRPr="008373A2">
        <w:rPr>
          <w:rFonts w:ascii="Times New Roman" w:hAnsi="Times New Roman" w:cs="Times New Roman"/>
        </w:rPr>
        <w:t xml:space="preserve">, </w:t>
      </w:r>
      <w:r w:rsidR="006E0298" w:rsidRPr="008373A2">
        <w:rPr>
          <w:rFonts w:ascii="Times New Roman" w:hAnsi="Times New Roman" w:cs="Times New Roman"/>
        </w:rPr>
        <w:t xml:space="preserve">regardless of </w:t>
      </w:r>
      <w:r w:rsidR="00894749" w:rsidRPr="008373A2">
        <w:rPr>
          <w:rFonts w:ascii="Times New Roman" w:hAnsi="Times New Roman" w:cs="Times New Roman"/>
        </w:rPr>
        <w:t xml:space="preserve">whether </w:t>
      </w:r>
      <w:r w:rsidR="00FE7E18" w:rsidRPr="008373A2">
        <w:rPr>
          <w:rFonts w:ascii="Times New Roman" w:hAnsi="Times New Roman" w:cs="Times New Roman"/>
        </w:rPr>
        <w:t>the</w:t>
      </w:r>
      <w:r w:rsidR="00894749" w:rsidRPr="008373A2">
        <w:rPr>
          <w:rFonts w:ascii="Times New Roman" w:hAnsi="Times New Roman" w:cs="Times New Roman"/>
        </w:rPr>
        <w:t xml:space="preserve"> practice </w:t>
      </w:r>
      <w:r w:rsidR="00FE7E18" w:rsidRPr="008373A2">
        <w:rPr>
          <w:rFonts w:ascii="Times New Roman" w:hAnsi="Times New Roman" w:cs="Times New Roman"/>
        </w:rPr>
        <w:t xml:space="preserve">consists </w:t>
      </w:r>
      <w:r w:rsidR="00894749" w:rsidRPr="008373A2">
        <w:rPr>
          <w:rFonts w:ascii="Times New Roman" w:hAnsi="Times New Roman" w:cs="Times New Roman"/>
        </w:rPr>
        <w:t xml:space="preserve">of omissions or affirmative practice. </w:t>
      </w:r>
      <w:r w:rsidR="006A1B49" w:rsidRPr="008373A2">
        <w:rPr>
          <w:rFonts w:ascii="Times New Roman" w:hAnsi="Times New Roman" w:cs="Times New Roman"/>
        </w:rPr>
        <w:t>So, w</w:t>
      </w:r>
      <w:r w:rsidR="00894749" w:rsidRPr="008373A2">
        <w:rPr>
          <w:rFonts w:ascii="Times New Roman" w:hAnsi="Times New Roman" w:cs="Times New Roman"/>
        </w:rPr>
        <w:t xml:space="preserve">hat is it about </w:t>
      </w:r>
      <w:r w:rsidR="00F01B35" w:rsidRPr="00437B04">
        <w:rPr>
          <w:rFonts w:ascii="Times New Roman" w:hAnsi="Times New Roman" w:cs="Times New Roman"/>
        </w:rPr>
        <w:t>prohibitions</w:t>
      </w:r>
      <w:r w:rsidR="00F01B35" w:rsidRPr="008373A2">
        <w:rPr>
          <w:rFonts w:ascii="Times New Roman" w:hAnsi="Times New Roman" w:cs="Times New Roman"/>
        </w:rPr>
        <w:t xml:space="preserve"> </w:t>
      </w:r>
      <w:r w:rsidR="00894749" w:rsidRPr="008373A2">
        <w:rPr>
          <w:rFonts w:ascii="Times New Roman" w:hAnsi="Times New Roman" w:cs="Times New Roman"/>
        </w:rPr>
        <w:t xml:space="preserve">that makes the identification of an </w:t>
      </w:r>
      <w:r w:rsidR="00894749" w:rsidRPr="008373A2">
        <w:rPr>
          <w:rFonts w:ascii="Times New Roman" w:hAnsi="Times New Roman" w:cs="Times New Roman"/>
          <w:i/>
          <w:iCs/>
        </w:rPr>
        <w:t>opinio juris</w:t>
      </w:r>
      <w:r w:rsidR="00894749" w:rsidRPr="008373A2">
        <w:rPr>
          <w:rFonts w:ascii="Times New Roman" w:hAnsi="Times New Roman" w:cs="Times New Roman"/>
        </w:rPr>
        <w:t xml:space="preserve"> especially important?</w:t>
      </w:r>
      <w:r w:rsidR="009755C8" w:rsidRPr="008373A2">
        <w:rPr>
          <w:rFonts w:ascii="Times New Roman" w:hAnsi="Times New Roman" w:cs="Times New Roman"/>
        </w:rPr>
        <w:t xml:space="preserve"> If </w:t>
      </w:r>
      <w:r w:rsidR="009755C8" w:rsidRPr="008373A2">
        <w:rPr>
          <w:rFonts w:ascii="Times New Roman" w:hAnsi="Times New Roman" w:cs="Times New Roman"/>
          <w:i/>
          <w:iCs/>
        </w:rPr>
        <w:t>opinio juris</w:t>
      </w:r>
      <w:r w:rsidR="009755C8" w:rsidRPr="008373A2">
        <w:rPr>
          <w:rFonts w:ascii="Times New Roman" w:hAnsi="Times New Roman" w:cs="Times New Roman"/>
        </w:rPr>
        <w:t xml:space="preserve"> is always a </w:t>
      </w:r>
      <w:r w:rsidR="009755C8" w:rsidRPr="008373A2">
        <w:rPr>
          <w:rFonts w:ascii="Times New Roman" w:hAnsi="Times New Roman" w:cs="Times New Roman"/>
          <w:i/>
          <w:iCs/>
        </w:rPr>
        <w:t>sine qua non</w:t>
      </w:r>
      <w:r w:rsidR="009755C8" w:rsidRPr="008373A2">
        <w:rPr>
          <w:rFonts w:ascii="Times New Roman" w:hAnsi="Times New Roman" w:cs="Times New Roman"/>
        </w:rPr>
        <w:t xml:space="preserve"> for the identification of custom, how is it possible for cases involving prohibitions </w:t>
      </w:r>
      <w:r w:rsidR="00851FF3" w:rsidRPr="008373A2">
        <w:rPr>
          <w:rFonts w:ascii="Times New Roman" w:hAnsi="Times New Roman" w:cs="Times New Roman"/>
        </w:rPr>
        <w:t>to be</w:t>
      </w:r>
      <w:r w:rsidR="009755C8" w:rsidRPr="008373A2">
        <w:rPr>
          <w:rFonts w:ascii="Times New Roman" w:hAnsi="Times New Roman" w:cs="Times New Roman"/>
        </w:rPr>
        <w:t xml:space="preserve"> </w:t>
      </w:r>
      <w:r w:rsidR="009755C8" w:rsidRPr="008373A2">
        <w:rPr>
          <w:rFonts w:ascii="Times New Roman" w:hAnsi="Times New Roman" w:cs="Times New Roman"/>
          <w:i/>
          <w:iCs/>
        </w:rPr>
        <w:t>more likely</w:t>
      </w:r>
      <w:r w:rsidR="009755C8" w:rsidRPr="008373A2">
        <w:rPr>
          <w:rFonts w:ascii="Times New Roman" w:hAnsi="Times New Roman" w:cs="Times New Roman"/>
        </w:rPr>
        <w:t xml:space="preserve"> to turn on evaluating whether the practice is accepted as law?</w:t>
      </w:r>
      <w:r w:rsidR="001F1175" w:rsidRPr="008373A2">
        <w:rPr>
          <w:rFonts w:ascii="Times New Roman" w:hAnsi="Times New Roman" w:cs="Times New Roman"/>
        </w:rPr>
        <w:t xml:space="preserve"> </w:t>
      </w:r>
    </w:p>
    <w:p w14:paraId="5C21426E" w14:textId="02FE5C04" w:rsidR="00217468" w:rsidRPr="008373A2" w:rsidRDefault="00217468" w:rsidP="00064C83">
      <w:pPr>
        <w:spacing w:line="360" w:lineRule="auto"/>
        <w:jc w:val="both"/>
        <w:rPr>
          <w:rFonts w:ascii="Times New Roman" w:hAnsi="Times New Roman" w:cs="Times New Roman"/>
        </w:rPr>
      </w:pPr>
    </w:p>
    <w:p w14:paraId="3233FA03" w14:textId="0740BCBC" w:rsidR="00217468" w:rsidRPr="008373A2" w:rsidRDefault="00BE3F0A" w:rsidP="00217468">
      <w:pPr>
        <w:spacing w:line="360" w:lineRule="auto"/>
        <w:jc w:val="both"/>
        <w:rPr>
          <w:rFonts w:ascii="Times New Roman" w:hAnsi="Times New Roman" w:cs="Times New Roman"/>
        </w:rPr>
      </w:pPr>
      <w:r>
        <w:rPr>
          <w:rFonts w:ascii="Times New Roman" w:hAnsi="Times New Roman" w:cs="Times New Roman"/>
        </w:rPr>
        <w:t>This apparent inconsistency in the ILC’s position can be explained. W</w:t>
      </w:r>
      <w:r w:rsidR="00217468" w:rsidRPr="008373A2">
        <w:rPr>
          <w:rFonts w:ascii="Times New Roman" w:hAnsi="Times New Roman" w:cs="Times New Roman"/>
        </w:rPr>
        <w:t xml:space="preserve">hen establishing customary prohibitions evidence of </w:t>
      </w:r>
      <w:r w:rsidR="00217468" w:rsidRPr="008373A2">
        <w:rPr>
          <w:rFonts w:ascii="Times New Roman" w:hAnsi="Times New Roman" w:cs="Times New Roman"/>
          <w:i/>
          <w:iCs/>
        </w:rPr>
        <w:t xml:space="preserve">opinio juris </w:t>
      </w:r>
      <w:r w:rsidR="00217468" w:rsidRPr="008373A2">
        <w:rPr>
          <w:rFonts w:ascii="Times New Roman" w:hAnsi="Times New Roman" w:cs="Times New Roman"/>
        </w:rPr>
        <w:t xml:space="preserve">is particularly important because in addition to </w:t>
      </w:r>
      <w:r w:rsidR="00217468" w:rsidRPr="008373A2">
        <w:rPr>
          <w:rFonts w:ascii="Times New Roman" w:hAnsi="Times New Roman" w:cs="Times New Roman"/>
        </w:rPr>
        <w:lastRenderedPageBreak/>
        <w:t xml:space="preserve">constituting one necessary element of the two-element test, </w:t>
      </w:r>
      <w:r w:rsidR="00217468" w:rsidRPr="008373A2">
        <w:rPr>
          <w:rFonts w:ascii="Times New Roman" w:hAnsi="Times New Roman" w:cs="Times New Roman"/>
          <w:i/>
          <w:iCs/>
        </w:rPr>
        <w:t xml:space="preserve">opinio juris </w:t>
      </w:r>
      <w:r w:rsidR="00217468" w:rsidRPr="008373A2">
        <w:rPr>
          <w:rFonts w:ascii="Times New Roman" w:hAnsi="Times New Roman" w:cs="Times New Roman"/>
        </w:rPr>
        <w:t xml:space="preserve">is needed to determine whether inaction should count as state practice in support of a new customary rule. Without </w:t>
      </w:r>
      <w:r w:rsidR="00217468" w:rsidRPr="008373A2">
        <w:rPr>
          <w:rFonts w:ascii="Times New Roman" w:hAnsi="Times New Roman" w:cs="Times New Roman"/>
          <w:i/>
          <w:iCs/>
        </w:rPr>
        <w:t>opinio juris</w:t>
      </w:r>
      <w:r w:rsidR="00217468" w:rsidRPr="008373A2">
        <w:rPr>
          <w:rFonts w:ascii="Times New Roman" w:hAnsi="Times New Roman" w:cs="Times New Roman"/>
        </w:rPr>
        <w:t xml:space="preserve"> to indicate that a state was consciously choosing not to act, inaction is ambiguous: the state not acting in a certain way could be doing so because it believes it is prohibited under a new rule of customary law, but it could be choosing not to act for another reason, or for no reason.</w:t>
      </w:r>
      <w:r w:rsidR="001E05DA">
        <w:rPr>
          <w:rStyle w:val="FootnoteReference"/>
          <w:rFonts w:ascii="Times New Roman" w:hAnsi="Times New Roman" w:cs="Times New Roman"/>
        </w:rPr>
        <w:footnoteReference w:id="40"/>
      </w:r>
      <w:r w:rsidR="00217468" w:rsidRPr="008373A2">
        <w:rPr>
          <w:rFonts w:ascii="Times New Roman" w:hAnsi="Times New Roman" w:cs="Times New Roman"/>
        </w:rPr>
        <w:t xml:space="preserve"> </w:t>
      </w:r>
    </w:p>
    <w:p w14:paraId="731CC810" w14:textId="767673B0" w:rsidR="00217468" w:rsidRPr="008373A2" w:rsidRDefault="00217468" w:rsidP="00064C83">
      <w:pPr>
        <w:spacing w:line="360" w:lineRule="auto"/>
        <w:jc w:val="both"/>
        <w:rPr>
          <w:rFonts w:ascii="Times New Roman" w:hAnsi="Times New Roman" w:cs="Times New Roman"/>
        </w:rPr>
      </w:pPr>
    </w:p>
    <w:p w14:paraId="3941196E" w14:textId="4439AA73" w:rsidR="00217468" w:rsidRPr="008373A2" w:rsidRDefault="007E553F" w:rsidP="00064C83">
      <w:pPr>
        <w:spacing w:line="360" w:lineRule="auto"/>
        <w:jc w:val="both"/>
        <w:rPr>
          <w:rFonts w:ascii="Times New Roman" w:hAnsi="Times New Roman" w:cs="Times New Roman"/>
        </w:rPr>
      </w:pPr>
      <w:r>
        <w:rPr>
          <w:rFonts w:ascii="Times New Roman" w:hAnsi="Times New Roman" w:cs="Times New Roman"/>
        </w:rPr>
        <w:t>T</w:t>
      </w:r>
      <w:r w:rsidR="00217468" w:rsidRPr="008373A2">
        <w:rPr>
          <w:rFonts w:ascii="Times New Roman" w:hAnsi="Times New Roman" w:cs="Times New Roman"/>
        </w:rPr>
        <w:t xml:space="preserve">he importance of </w:t>
      </w:r>
      <w:r w:rsidR="00217468" w:rsidRPr="008373A2">
        <w:rPr>
          <w:rFonts w:ascii="Times New Roman" w:hAnsi="Times New Roman" w:cs="Times New Roman"/>
          <w:i/>
          <w:iCs/>
        </w:rPr>
        <w:t>opinio juris</w:t>
      </w:r>
      <w:r w:rsidR="00217468" w:rsidRPr="008373A2">
        <w:rPr>
          <w:rFonts w:ascii="Times New Roman" w:hAnsi="Times New Roman" w:cs="Times New Roman"/>
        </w:rPr>
        <w:t xml:space="preserve"> in this situation flows from a broader principle and is not limited to prohibitive customary rules, or even practice involving omissions. As Mendelson has observed, positive action can be </w:t>
      </w:r>
      <w:r w:rsidR="00217468" w:rsidRPr="0099187E">
        <w:rPr>
          <w:rFonts w:ascii="Times New Roman" w:hAnsi="Times New Roman" w:cs="Times New Roman"/>
        </w:rPr>
        <w:t>ambiguous</w:t>
      </w:r>
      <w:r w:rsidR="00217468" w:rsidRPr="008373A2">
        <w:rPr>
          <w:rFonts w:ascii="Times New Roman" w:hAnsi="Times New Roman" w:cs="Times New Roman"/>
        </w:rPr>
        <w:t xml:space="preserve"> as to </w:t>
      </w:r>
      <w:proofErr w:type="gramStart"/>
      <w:r w:rsidR="00217468" w:rsidRPr="008373A2">
        <w:rPr>
          <w:rFonts w:ascii="Times New Roman" w:hAnsi="Times New Roman" w:cs="Times New Roman"/>
        </w:rPr>
        <w:t>whether or not</w:t>
      </w:r>
      <w:proofErr w:type="gramEnd"/>
      <w:r w:rsidR="00217468" w:rsidRPr="008373A2">
        <w:rPr>
          <w:rFonts w:ascii="Times New Roman" w:hAnsi="Times New Roman" w:cs="Times New Roman"/>
        </w:rPr>
        <w:t xml:space="preserve"> it supports a particular customary rule</w:t>
      </w:r>
      <w:r w:rsidR="0099187E">
        <w:rPr>
          <w:rFonts w:ascii="Times New Roman" w:hAnsi="Times New Roman" w:cs="Times New Roman"/>
        </w:rPr>
        <w:t>,</w:t>
      </w:r>
      <w:r w:rsidR="00217468" w:rsidRPr="008373A2">
        <w:rPr>
          <w:rFonts w:ascii="Times New Roman" w:hAnsi="Times New Roman" w:cs="Times New Roman"/>
        </w:rPr>
        <w:t xml:space="preserve"> </w:t>
      </w:r>
      <w:r w:rsidR="00CE0087">
        <w:rPr>
          <w:rFonts w:ascii="Times New Roman" w:hAnsi="Times New Roman" w:cs="Times New Roman"/>
        </w:rPr>
        <w:t xml:space="preserve">and </w:t>
      </w:r>
      <w:r w:rsidR="00217468" w:rsidRPr="008373A2">
        <w:rPr>
          <w:rFonts w:ascii="Times New Roman" w:hAnsi="Times New Roman" w:cs="Times New Roman"/>
        </w:rPr>
        <w:t xml:space="preserve">in such situations evidence of </w:t>
      </w:r>
      <w:r w:rsidR="00217468" w:rsidRPr="008373A2">
        <w:rPr>
          <w:rFonts w:ascii="Times New Roman" w:hAnsi="Times New Roman" w:cs="Times New Roman"/>
          <w:i/>
          <w:iCs/>
        </w:rPr>
        <w:t>opinio juris</w:t>
      </w:r>
      <w:r w:rsidR="00217468" w:rsidRPr="008373A2">
        <w:rPr>
          <w:rFonts w:ascii="Times New Roman" w:hAnsi="Times New Roman" w:cs="Times New Roman"/>
        </w:rPr>
        <w:t xml:space="preserve"> will also be particularly important.</w:t>
      </w:r>
      <w:r w:rsidR="00217468" w:rsidRPr="008373A2">
        <w:rPr>
          <w:rStyle w:val="FootnoteReference"/>
          <w:rFonts w:ascii="Times New Roman" w:hAnsi="Times New Roman" w:cs="Times New Roman"/>
        </w:rPr>
        <w:footnoteReference w:id="41"/>
      </w:r>
      <w:r w:rsidR="00217468" w:rsidRPr="008373A2">
        <w:rPr>
          <w:rFonts w:ascii="Times New Roman" w:hAnsi="Times New Roman" w:cs="Times New Roman"/>
        </w:rPr>
        <w:t xml:space="preserve"> The ambiguity of the practice means evidence of </w:t>
      </w:r>
      <w:r w:rsidR="00217468" w:rsidRPr="008373A2">
        <w:rPr>
          <w:rFonts w:ascii="Times New Roman" w:hAnsi="Times New Roman" w:cs="Times New Roman"/>
          <w:i/>
          <w:iCs/>
        </w:rPr>
        <w:t>opinio juris</w:t>
      </w:r>
      <w:r w:rsidR="00217468" w:rsidRPr="008373A2">
        <w:rPr>
          <w:rFonts w:ascii="Times New Roman" w:hAnsi="Times New Roman" w:cs="Times New Roman"/>
        </w:rPr>
        <w:t xml:space="preserve"> </w:t>
      </w:r>
      <w:r w:rsidR="00A47B78">
        <w:rPr>
          <w:rFonts w:ascii="Times New Roman" w:hAnsi="Times New Roman" w:cs="Times New Roman"/>
        </w:rPr>
        <w:t xml:space="preserve">on the part of states participating in the practice </w:t>
      </w:r>
      <w:r w:rsidR="00217468" w:rsidRPr="008373A2">
        <w:rPr>
          <w:rFonts w:ascii="Times New Roman" w:hAnsi="Times New Roman" w:cs="Times New Roman"/>
        </w:rPr>
        <w:t>is needed to clarify the meaning of the practice</w:t>
      </w:r>
      <w:r w:rsidR="003057B1">
        <w:rPr>
          <w:rFonts w:ascii="Times New Roman" w:hAnsi="Times New Roman" w:cs="Times New Roman"/>
        </w:rPr>
        <w:t xml:space="preserve"> before it can count in support of the alleged customary rule</w:t>
      </w:r>
      <w:r w:rsidR="00217468" w:rsidRPr="008373A2">
        <w:rPr>
          <w:rFonts w:ascii="Times New Roman" w:hAnsi="Times New Roman" w:cs="Times New Roman"/>
        </w:rPr>
        <w:t xml:space="preserve">. </w:t>
      </w:r>
      <w:r w:rsidR="00CE0087" w:rsidRPr="008373A2">
        <w:rPr>
          <w:rFonts w:ascii="Times New Roman" w:hAnsi="Times New Roman" w:cs="Times New Roman"/>
        </w:rPr>
        <w:t>Whether practice is ambiguous in this way will depend on both the nature of the customary rule it is alleged to support and the context of underlying international law rules in which the new rule is said to be located.</w:t>
      </w:r>
    </w:p>
    <w:p w14:paraId="66A33793" w14:textId="5D82E338" w:rsidR="008119C4" w:rsidRPr="008373A2" w:rsidRDefault="008119C4" w:rsidP="00064C83">
      <w:pPr>
        <w:spacing w:line="360" w:lineRule="auto"/>
        <w:jc w:val="both"/>
        <w:rPr>
          <w:rFonts w:ascii="Times New Roman" w:hAnsi="Times New Roman" w:cs="Times New Roman"/>
        </w:rPr>
      </w:pPr>
    </w:p>
    <w:p w14:paraId="0153B9FB" w14:textId="1F7E6B82" w:rsidR="00DE15B1" w:rsidRPr="00437B04" w:rsidRDefault="00DE15B1" w:rsidP="00437B04">
      <w:pPr>
        <w:pStyle w:val="ListParagraph"/>
        <w:numPr>
          <w:ilvl w:val="0"/>
          <w:numId w:val="12"/>
        </w:numPr>
        <w:spacing w:line="360" w:lineRule="auto"/>
        <w:jc w:val="both"/>
        <w:rPr>
          <w:rFonts w:ascii="Times New Roman" w:hAnsi="Times New Roman" w:cs="Times New Roman"/>
          <w:b/>
          <w:bCs/>
          <w:i/>
          <w:iCs/>
        </w:rPr>
      </w:pPr>
      <w:r w:rsidRPr="00437B04">
        <w:rPr>
          <w:rFonts w:ascii="Times New Roman" w:hAnsi="Times New Roman" w:cs="Times New Roman"/>
          <w:b/>
          <w:bCs/>
          <w:i/>
          <w:iCs/>
        </w:rPr>
        <w:t xml:space="preserve">The </w:t>
      </w:r>
      <w:r w:rsidR="00784CA7" w:rsidRPr="00437B04">
        <w:rPr>
          <w:rFonts w:ascii="Times New Roman" w:hAnsi="Times New Roman" w:cs="Times New Roman"/>
          <w:b/>
          <w:bCs/>
          <w:i/>
          <w:iCs/>
        </w:rPr>
        <w:t>C</w:t>
      </w:r>
      <w:r w:rsidRPr="00437B04">
        <w:rPr>
          <w:rFonts w:ascii="Times New Roman" w:hAnsi="Times New Roman" w:cs="Times New Roman"/>
          <w:b/>
          <w:bCs/>
          <w:i/>
          <w:iCs/>
        </w:rPr>
        <w:t xml:space="preserve">ontext of </w:t>
      </w:r>
      <w:r w:rsidR="00784CA7" w:rsidRPr="00437B04">
        <w:rPr>
          <w:rFonts w:ascii="Times New Roman" w:hAnsi="Times New Roman" w:cs="Times New Roman"/>
          <w:b/>
          <w:bCs/>
          <w:i/>
          <w:iCs/>
        </w:rPr>
        <w:t>the</w:t>
      </w:r>
      <w:r w:rsidRPr="00437B04">
        <w:rPr>
          <w:rFonts w:ascii="Times New Roman" w:hAnsi="Times New Roman" w:cs="Times New Roman"/>
          <w:b/>
          <w:bCs/>
          <w:i/>
          <w:iCs/>
        </w:rPr>
        <w:t xml:space="preserve"> </w:t>
      </w:r>
      <w:r w:rsidR="00784CA7" w:rsidRPr="00437B04">
        <w:rPr>
          <w:rFonts w:ascii="Times New Roman" w:hAnsi="Times New Roman" w:cs="Times New Roman"/>
          <w:b/>
          <w:bCs/>
          <w:i/>
          <w:iCs/>
        </w:rPr>
        <w:t>C</w:t>
      </w:r>
      <w:r w:rsidRPr="00437B04">
        <w:rPr>
          <w:rFonts w:ascii="Times New Roman" w:hAnsi="Times New Roman" w:cs="Times New Roman"/>
          <w:b/>
          <w:bCs/>
          <w:i/>
          <w:iCs/>
        </w:rPr>
        <w:t xml:space="preserve">ustomary </w:t>
      </w:r>
      <w:r w:rsidR="00784CA7" w:rsidRPr="00437B04">
        <w:rPr>
          <w:rFonts w:ascii="Times New Roman" w:hAnsi="Times New Roman" w:cs="Times New Roman"/>
          <w:b/>
          <w:bCs/>
          <w:i/>
          <w:iCs/>
        </w:rPr>
        <w:t>R</w:t>
      </w:r>
      <w:r w:rsidRPr="00437B04">
        <w:rPr>
          <w:rFonts w:ascii="Times New Roman" w:hAnsi="Times New Roman" w:cs="Times New Roman"/>
          <w:b/>
          <w:bCs/>
          <w:i/>
          <w:iCs/>
        </w:rPr>
        <w:t>ule</w:t>
      </w:r>
    </w:p>
    <w:p w14:paraId="57FCFAC7" w14:textId="77777777" w:rsidR="00DE15B1" w:rsidRPr="008373A2" w:rsidRDefault="00DE15B1" w:rsidP="00064C83">
      <w:pPr>
        <w:spacing w:line="360" w:lineRule="auto"/>
        <w:jc w:val="both"/>
        <w:rPr>
          <w:rFonts w:ascii="Times New Roman" w:hAnsi="Times New Roman" w:cs="Times New Roman"/>
        </w:rPr>
      </w:pPr>
    </w:p>
    <w:p w14:paraId="10CF524E" w14:textId="21102E2C" w:rsidR="000F3F0A" w:rsidRPr="008373A2" w:rsidRDefault="00053151" w:rsidP="00064C83">
      <w:pPr>
        <w:spacing w:line="360" w:lineRule="auto"/>
        <w:jc w:val="both"/>
        <w:rPr>
          <w:rFonts w:ascii="Times New Roman" w:hAnsi="Times New Roman" w:cs="Times New Roman"/>
        </w:rPr>
      </w:pPr>
      <w:r w:rsidRPr="008373A2">
        <w:rPr>
          <w:rFonts w:ascii="Times New Roman" w:hAnsi="Times New Roman" w:cs="Times New Roman"/>
        </w:rPr>
        <w:t>As the Court has observed: ‘a rule of international law, whether customary or conventional, does not operate in a vacuum; it operates … in the context of a wider framework of legal rules of which it forms only a part’.</w:t>
      </w:r>
      <w:r w:rsidRPr="008373A2">
        <w:rPr>
          <w:rStyle w:val="FootnoteReference"/>
          <w:rFonts w:ascii="Times New Roman" w:hAnsi="Times New Roman" w:cs="Times New Roman"/>
        </w:rPr>
        <w:footnoteReference w:id="42"/>
      </w:r>
      <w:r w:rsidRPr="008373A2">
        <w:rPr>
          <w:rFonts w:ascii="Times New Roman" w:hAnsi="Times New Roman" w:cs="Times New Roman"/>
        </w:rPr>
        <w:t xml:space="preserve"> </w:t>
      </w:r>
      <w:r w:rsidR="0012618F" w:rsidRPr="008373A2">
        <w:rPr>
          <w:rFonts w:ascii="Times New Roman" w:hAnsi="Times New Roman" w:cs="Times New Roman"/>
        </w:rPr>
        <w:t xml:space="preserve">The existence of </w:t>
      </w:r>
      <w:r w:rsidR="0012618F">
        <w:rPr>
          <w:rFonts w:ascii="Times New Roman" w:hAnsi="Times New Roman" w:cs="Times New Roman"/>
        </w:rPr>
        <w:t>a</w:t>
      </w:r>
      <w:r w:rsidR="0012618F" w:rsidRPr="008373A2">
        <w:rPr>
          <w:rFonts w:ascii="Times New Roman" w:hAnsi="Times New Roman" w:cs="Times New Roman"/>
        </w:rPr>
        <w:t xml:space="preserve"> rule of customary international law must be evaluated in the context of th</w:t>
      </w:r>
      <w:r w:rsidR="0012618F">
        <w:rPr>
          <w:rFonts w:ascii="Times New Roman" w:hAnsi="Times New Roman" w:cs="Times New Roman"/>
        </w:rPr>
        <w:t>ose</w:t>
      </w:r>
      <w:r w:rsidR="0012618F" w:rsidRPr="008373A2">
        <w:rPr>
          <w:rFonts w:ascii="Times New Roman" w:hAnsi="Times New Roman" w:cs="Times New Roman"/>
        </w:rPr>
        <w:t xml:space="preserve"> underlying international law rules.</w:t>
      </w:r>
      <w:r w:rsidR="0012618F" w:rsidRPr="008373A2">
        <w:rPr>
          <w:rStyle w:val="FootnoteReference"/>
          <w:rFonts w:ascii="Times New Roman" w:hAnsi="Times New Roman" w:cs="Times New Roman"/>
        </w:rPr>
        <w:footnoteReference w:id="43"/>
      </w:r>
      <w:r w:rsidR="0012618F" w:rsidRPr="008373A2">
        <w:rPr>
          <w:rFonts w:ascii="Times New Roman" w:hAnsi="Times New Roman" w:cs="Times New Roman"/>
        </w:rPr>
        <w:t xml:space="preserve"> </w:t>
      </w:r>
    </w:p>
    <w:p w14:paraId="0178BCD6" w14:textId="77777777" w:rsidR="000F3F0A" w:rsidRPr="008373A2" w:rsidRDefault="000F3F0A" w:rsidP="00064C83">
      <w:pPr>
        <w:spacing w:line="360" w:lineRule="auto"/>
        <w:jc w:val="both"/>
        <w:rPr>
          <w:rFonts w:ascii="Times New Roman" w:hAnsi="Times New Roman" w:cs="Times New Roman"/>
        </w:rPr>
      </w:pPr>
    </w:p>
    <w:p w14:paraId="0B852227" w14:textId="0C8F461F" w:rsidR="00D72A93" w:rsidRPr="008373A2" w:rsidRDefault="00053151" w:rsidP="00064C83">
      <w:pPr>
        <w:spacing w:line="360" w:lineRule="auto"/>
        <w:jc w:val="both"/>
        <w:rPr>
          <w:rFonts w:ascii="Times New Roman" w:hAnsi="Times New Roman" w:cs="Times New Roman"/>
        </w:rPr>
      </w:pPr>
      <w:r w:rsidRPr="008373A2">
        <w:rPr>
          <w:rFonts w:ascii="Times New Roman" w:hAnsi="Times New Roman" w:cs="Times New Roman"/>
        </w:rPr>
        <w:t xml:space="preserve">Depending on the context of </w:t>
      </w:r>
      <w:r w:rsidR="00D72A93" w:rsidRPr="008373A2">
        <w:rPr>
          <w:rFonts w:ascii="Times New Roman" w:hAnsi="Times New Roman" w:cs="Times New Roman"/>
        </w:rPr>
        <w:t xml:space="preserve">underlying </w:t>
      </w:r>
      <w:r w:rsidRPr="008373A2">
        <w:rPr>
          <w:rFonts w:ascii="Times New Roman" w:hAnsi="Times New Roman" w:cs="Times New Roman"/>
        </w:rPr>
        <w:t xml:space="preserve">international law rules and </w:t>
      </w:r>
      <w:r w:rsidR="007E455E" w:rsidRPr="008373A2">
        <w:rPr>
          <w:rFonts w:ascii="Times New Roman" w:hAnsi="Times New Roman" w:cs="Times New Roman"/>
        </w:rPr>
        <w:t xml:space="preserve">the nature </w:t>
      </w:r>
      <w:r w:rsidRPr="008373A2">
        <w:rPr>
          <w:rFonts w:ascii="Times New Roman" w:hAnsi="Times New Roman" w:cs="Times New Roman"/>
        </w:rPr>
        <w:t xml:space="preserve">of the alleged new </w:t>
      </w:r>
      <w:r w:rsidR="00D72A93" w:rsidRPr="008373A2">
        <w:rPr>
          <w:rFonts w:ascii="Times New Roman" w:hAnsi="Times New Roman" w:cs="Times New Roman"/>
        </w:rPr>
        <w:t xml:space="preserve">customary </w:t>
      </w:r>
      <w:r w:rsidRPr="008373A2">
        <w:rPr>
          <w:rFonts w:ascii="Times New Roman" w:hAnsi="Times New Roman" w:cs="Times New Roman"/>
        </w:rPr>
        <w:t xml:space="preserve">rule, the state practice supportive of the new rule may be consistent or </w:t>
      </w:r>
      <w:r w:rsidRPr="008373A2">
        <w:rPr>
          <w:rFonts w:ascii="Times New Roman" w:hAnsi="Times New Roman" w:cs="Times New Roman"/>
        </w:rPr>
        <w:lastRenderedPageBreak/>
        <w:t xml:space="preserve">inconsistent with </w:t>
      </w:r>
      <w:r w:rsidR="00D72A93" w:rsidRPr="008373A2">
        <w:rPr>
          <w:rFonts w:ascii="Times New Roman" w:hAnsi="Times New Roman" w:cs="Times New Roman"/>
        </w:rPr>
        <w:t>those</w:t>
      </w:r>
      <w:r w:rsidR="00EE1EB3" w:rsidRPr="008373A2">
        <w:rPr>
          <w:rFonts w:ascii="Times New Roman" w:hAnsi="Times New Roman" w:cs="Times New Roman"/>
        </w:rPr>
        <w:t xml:space="preserve"> underlying </w:t>
      </w:r>
      <w:r w:rsidRPr="008373A2">
        <w:rPr>
          <w:rFonts w:ascii="Times New Roman" w:hAnsi="Times New Roman" w:cs="Times New Roman"/>
        </w:rPr>
        <w:t>international law</w:t>
      </w:r>
      <w:r w:rsidR="00EE1EB3" w:rsidRPr="008373A2">
        <w:rPr>
          <w:rFonts w:ascii="Times New Roman" w:hAnsi="Times New Roman" w:cs="Times New Roman"/>
        </w:rPr>
        <w:t xml:space="preserve"> rules</w:t>
      </w:r>
      <w:r w:rsidRPr="008373A2">
        <w:rPr>
          <w:rFonts w:ascii="Times New Roman" w:hAnsi="Times New Roman" w:cs="Times New Roman"/>
        </w:rPr>
        <w:t xml:space="preserve">. For example, consider a situation where under </w:t>
      </w:r>
      <w:r w:rsidR="00EE1EB3" w:rsidRPr="008373A2">
        <w:rPr>
          <w:rFonts w:ascii="Times New Roman" w:hAnsi="Times New Roman" w:cs="Times New Roman"/>
        </w:rPr>
        <w:t xml:space="preserve">international </w:t>
      </w:r>
      <w:r w:rsidRPr="008373A2">
        <w:rPr>
          <w:rFonts w:ascii="Times New Roman" w:hAnsi="Times New Roman" w:cs="Times New Roman"/>
        </w:rPr>
        <w:t xml:space="preserve">law the position is that certain conduct – </w:t>
      </w:r>
      <w:r w:rsidR="00906E8C" w:rsidRPr="008373A2">
        <w:rPr>
          <w:rFonts w:ascii="Times New Roman" w:hAnsi="Times New Roman" w:cs="Times New Roman"/>
        </w:rPr>
        <w:t>say</w:t>
      </w:r>
      <w:r w:rsidR="00C6511C" w:rsidRPr="008373A2">
        <w:rPr>
          <w:rFonts w:ascii="Times New Roman" w:hAnsi="Times New Roman" w:cs="Times New Roman"/>
        </w:rPr>
        <w:t>,</w:t>
      </w:r>
      <w:r w:rsidRPr="008373A2">
        <w:rPr>
          <w:rFonts w:ascii="Times New Roman" w:hAnsi="Times New Roman" w:cs="Times New Roman"/>
        </w:rPr>
        <w:t xml:space="preserve"> the exercise of extraterritorial criminal jurisdiction – is</w:t>
      </w:r>
      <w:r w:rsidRPr="008373A2">
        <w:rPr>
          <w:rFonts w:ascii="Times New Roman" w:hAnsi="Times New Roman" w:cs="Times New Roman"/>
          <w:i/>
          <w:iCs/>
        </w:rPr>
        <w:t xml:space="preserve"> permitted</w:t>
      </w:r>
      <w:r w:rsidRPr="008373A2">
        <w:rPr>
          <w:rFonts w:ascii="Times New Roman" w:hAnsi="Times New Roman" w:cs="Times New Roman"/>
        </w:rPr>
        <w:t xml:space="preserve"> unless a prohibition can be shown. To establish the prohibitive </w:t>
      </w:r>
      <w:r w:rsidR="00D72A93" w:rsidRPr="008373A2">
        <w:rPr>
          <w:rFonts w:ascii="Times New Roman" w:hAnsi="Times New Roman" w:cs="Times New Roman"/>
        </w:rPr>
        <w:t xml:space="preserve">customary </w:t>
      </w:r>
      <w:r w:rsidRPr="008373A2">
        <w:rPr>
          <w:rFonts w:ascii="Times New Roman" w:hAnsi="Times New Roman" w:cs="Times New Roman"/>
        </w:rPr>
        <w:t>rule the practice required would be</w:t>
      </w:r>
      <w:r w:rsidRPr="008373A2">
        <w:rPr>
          <w:rFonts w:ascii="Times New Roman" w:hAnsi="Times New Roman" w:cs="Times New Roman"/>
          <w:i/>
          <w:iCs/>
        </w:rPr>
        <w:t xml:space="preserve"> states not doing the act that is permitted </w:t>
      </w:r>
      <w:r w:rsidR="00EE1EB3" w:rsidRPr="008373A2">
        <w:rPr>
          <w:rFonts w:ascii="Times New Roman" w:hAnsi="Times New Roman" w:cs="Times New Roman"/>
          <w:i/>
          <w:iCs/>
        </w:rPr>
        <w:t>by the underlying international</w:t>
      </w:r>
      <w:r w:rsidRPr="008373A2">
        <w:rPr>
          <w:rFonts w:ascii="Times New Roman" w:hAnsi="Times New Roman" w:cs="Times New Roman"/>
          <w:i/>
          <w:iCs/>
        </w:rPr>
        <w:t xml:space="preserve"> law</w:t>
      </w:r>
      <w:r w:rsidR="00EE1EB3" w:rsidRPr="008373A2">
        <w:rPr>
          <w:rFonts w:ascii="Times New Roman" w:hAnsi="Times New Roman" w:cs="Times New Roman"/>
          <w:i/>
          <w:iCs/>
        </w:rPr>
        <w:t xml:space="preserve"> rules</w:t>
      </w:r>
      <w:r w:rsidRPr="008373A2">
        <w:rPr>
          <w:rFonts w:ascii="Times New Roman" w:hAnsi="Times New Roman" w:cs="Times New Roman"/>
        </w:rPr>
        <w:t xml:space="preserve"> and alleged to be prohibited by the emerging customary rule. In this case, the practice required to establish the new rule is consistent with </w:t>
      </w:r>
      <w:r w:rsidR="00EE1EB3" w:rsidRPr="008373A2">
        <w:rPr>
          <w:rFonts w:ascii="Times New Roman" w:hAnsi="Times New Roman" w:cs="Times New Roman"/>
        </w:rPr>
        <w:t xml:space="preserve">the underlying international </w:t>
      </w:r>
      <w:r w:rsidRPr="008373A2">
        <w:rPr>
          <w:rFonts w:ascii="Times New Roman" w:hAnsi="Times New Roman" w:cs="Times New Roman"/>
        </w:rPr>
        <w:t>law</w:t>
      </w:r>
      <w:r w:rsidR="00EE1EB3" w:rsidRPr="008373A2">
        <w:rPr>
          <w:rFonts w:ascii="Times New Roman" w:hAnsi="Times New Roman" w:cs="Times New Roman"/>
        </w:rPr>
        <w:t xml:space="preserve"> rules</w:t>
      </w:r>
      <w:r w:rsidRPr="008373A2">
        <w:rPr>
          <w:rFonts w:ascii="Times New Roman" w:hAnsi="Times New Roman" w:cs="Times New Roman"/>
        </w:rPr>
        <w:t xml:space="preserve">. </w:t>
      </w:r>
    </w:p>
    <w:p w14:paraId="6889D58E" w14:textId="77777777" w:rsidR="00D72A93" w:rsidRPr="008373A2" w:rsidRDefault="00D72A93" w:rsidP="00064C83">
      <w:pPr>
        <w:spacing w:line="360" w:lineRule="auto"/>
        <w:jc w:val="both"/>
        <w:rPr>
          <w:rFonts w:ascii="Times New Roman" w:hAnsi="Times New Roman" w:cs="Times New Roman"/>
        </w:rPr>
      </w:pPr>
    </w:p>
    <w:p w14:paraId="391A8936" w14:textId="644CB162" w:rsidR="00053151" w:rsidRPr="008373A2" w:rsidRDefault="00053151" w:rsidP="00064C83">
      <w:pPr>
        <w:spacing w:line="360" w:lineRule="auto"/>
        <w:jc w:val="both"/>
        <w:rPr>
          <w:rFonts w:ascii="Times New Roman" w:hAnsi="Times New Roman" w:cs="Times New Roman"/>
        </w:rPr>
      </w:pPr>
      <w:r w:rsidRPr="008373A2">
        <w:rPr>
          <w:rFonts w:ascii="Times New Roman" w:hAnsi="Times New Roman" w:cs="Times New Roman"/>
        </w:rPr>
        <w:t xml:space="preserve">However, where the context is that all exercises of criminal jurisdiction extraterritorially are </w:t>
      </w:r>
      <w:r w:rsidRPr="008373A2">
        <w:rPr>
          <w:rFonts w:ascii="Times New Roman" w:hAnsi="Times New Roman" w:cs="Times New Roman"/>
          <w:i/>
          <w:iCs/>
        </w:rPr>
        <w:t>prohibited</w:t>
      </w:r>
      <w:r w:rsidRPr="008373A2">
        <w:rPr>
          <w:rFonts w:ascii="Times New Roman" w:hAnsi="Times New Roman" w:cs="Times New Roman"/>
        </w:rPr>
        <w:t xml:space="preserve"> unless the existence of a </w:t>
      </w:r>
      <w:r w:rsidRPr="00437B04">
        <w:rPr>
          <w:rFonts w:ascii="Times New Roman" w:hAnsi="Times New Roman" w:cs="Times New Roman"/>
          <w:i/>
          <w:iCs/>
        </w:rPr>
        <w:t>permissive</w:t>
      </w:r>
      <w:r w:rsidRPr="008373A2">
        <w:rPr>
          <w:rFonts w:ascii="Times New Roman" w:hAnsi="Times New Roman" w:cs="Times New Roman"/>
          <w:i/>
          <w:iCs/>
        </w:rPr>
        <w:t xml:space="preserve"> </w:t>
      </w:r>
      <w:r w:rsidRPr="008373A2">
        <w:rPr>
          <w:rFonts w:ascii="Times New Roman" w:hAnsi="Times New Roman" w:cs="Times New Roman"/>
        </w:rPr>
        <w:t xml:space="preserve">rule is shown, to establish such a permissive </w:t>
      </w:r>
      <w:r w:rsidR="00D72A93" w:rsidRPr="008373A2">
        <w:rPr>
          <w:rFonts w:ascii="Times New Roman" w:hAnsi="Times New Roman" w:cs="Times New Roman"/>
        </w:rPr>
        <w:t xml:space="preserve">customary </w:t>
      </w:r>
      <w:r w:rsidRPr="008373A2">
        <w:rPr>
          <w:rFonts w:ascii="Times New Roman" w:hAnsi="Times New Roman" w:cs="Times New Roman"/>
        </w:rPr>
        <w:t xml:space="preserve">rule the practice required would be </w:t>
      </w:r>
      <w:r w:rsidRPr="008373A2">
        <w:rPr>
          <w:rFonts w:ascii="Times New Roman" w:hAnsi="Times New Roman" w:cs="Times New Roman"/>
          <w:i/>
          <w:iCs/>
        </w:rPr>
        <w:t>states doing the acts that are prohibited</w:t>
      </w:r>
      <w:r w:rsidRPr="008373A2">
        <w:rPr>
          <w:rFonts w:ascii="Times New Roman" w:hAnsi="Times New Roman" w:cs="Times New Roman"/>
        </w:rPr>
        <w:t xml:space="preserve"> </w:t>
      </w:r>
      <w:r w:rsidRPr="008373A2">
        <w:rPr>
          <w:rFonts w:ascii="Times New Roman" w:hAnsi="Times New Roman" w:cs="Times New Roman"/>
          <w:i/>
          <w:iCs/>
        </w:rPr>
        <w:t xml:space="preserve">under </w:t>
      </w:r>
      <w:r w:rsidR="00EE1EB3" w:rsidRPr="00437B04">
        <w:rPr>
          <w:rFonts w:ascii="Times New Roman" w:hAnsi="Times New Roman" w:cs="Times New Roman"/>
          <w:i/>
          <w:iCs/>
        </w:rPr>
        <w:t>the underlying international law rules</w:t>
      </w:r>
      <w:r w:rsidR="00EE1EB3" w:rsidRPr="008373A2" w:rsidDel="00EE1EB3">
        <w:rPr>
          <w:rFonts w:ascii="Times New Roman" w:hAnsi="Times New Roman" w:cs="Times New Roman"/>
          <w:i/>
          <w:iCs/>
        </w:rPr>
        <w:t xml:space="preserve"> </w:t>
      </w:r>
      <w:r w:rsidRPr="008373A2">
        <w:rPr>
          <w:rFonts w:ascii="Times New Roman" w:hAnsi="Times New Roman" w:cs="Times New Roman"/>
        </w:rPr>
        <w:t xml:space="preserve">and alleged to be permitted under the emerging rule. In this case, therefore, the practice required to establish the new customary rule would be inconsistent with the </w:t>
      </w:r>
      <w:r w:rsidR="00EE1EB3" w:rsidRPr="008373A2">
        <w:rPr>
          <w:rFonts w:ascii="Times New Roman" w:hAnsi="Times New Roman" w:cs="Times New Roman"/>
        </w:rPr>
        <w:t>underlying international law rules</w:t>
      </w:r>
      <w:r w:rsidRPr="008373A2">
        <w:rPr>
          <w:rFonts w:ascii="Times New Roman" w:hAnsi="Times New Roman" w:cs="Times New Roman"/>
        </w:rPr>
        <w:t>.</w:t>
      </w:r>
      <w:r w:rsidR="00A324A3">
        <w:rPr>
          <w:rStyle w:val="FootnoteReference"/>
          <w:rFonts w:ascii="Times New Roman" w:hAnsi="Times New Roman" w:cs="Times New Roman"/>
        </w:rPr>
        <w:footnoteReference w:id="44"/>
      </w:r>
      <w:r w:rsidR="00F74970" w:rsidRPr="008373A2">
        <w:rPr>
          <w:rFonts w:ascii="Times New Roman" w:hAnsi="Times New Roman" w:cs="Times New Roman"/>
        </w:rPr>
        <w:t xml:space="preserve"> Again, the possibility for state practice to take the form of statements in which states express a view as to the content of customary </w:t>
      </w:r>
      <w:r w:rsidR="005C58F8">
        <w:rPr>
          <w:rFonts w:ascii="Times New Roman" w:hAnsi="Times New Roman" w:cs="Times New Roman"/>
        </w:rPr>
        <w:t xml:space="preserve">international </w:t>
      </w:r>
      <w:r w:rsidR="00F74970" w:rsidRPr="008373A2">
        <w:rPr>
          <w:rFonts w:ascii="Times New Roman" w:hAnsi="Times New Roman" w:cs="Times New Roman"/>
        </w:rPr>
        <w:t>law shows that th</w:t>
      </w:r>
      <w:r w:rsidR="00D72A93" w:rsidRPr="008373A2">
        <w:rPr>
          <w:rFonts w:ascii="Times New Roman" w:hAnsi="Times New Roman" w:cs="Times New Roman"/>
        </w:rPr>
        <w:t>ese</w:t>
      </w:r>
      <w:r w:rsidR="00F74970" w:rsidRPr="008373A2">
        <w:rPr>
          <w:rFonts w:ascii="Times New Roman" w:hAnsi="Times New Roman" w:cs="Times New Roman"/>
        </w:rPr>
        <w:t xml:space="preserve"> </w:t>
      </w:r>
      <w:r w:rsidR="00D72A93" w:rsidRPr="008373A2">
        <w:rPr>
          <w:rFonts w:ascii="Times New Roman" w:hAnsi="Times New Roman" w:cs="Times New Roman"/>
        </w:rPr>
        <w:t>are</w:t>
      </w:r>
      <w:r w:rsidR="00F74970" w:rsidRPr="008373A2">
        <w:rPr>
          <w:rFonts w:ascii="Times New Roman" w:hAnsi="Times New Roman" w:cs="Times New Roman"/>
        </w:rPr>
        <w:t xml:space="preserve"> not universal truth</w:t>
      </w:r>
      <w:r w:rsidR="00D72A93" w:rsidRPr="008373A2">
        <w:rPr>
          <w:rFonts w:ascii="Times New Roman" w:hAnsi="Times New Roman" w:cs="Times New Roman"/>
        </w:rPr>
        <w:t>s</w:t>
      </w:r>
      <w:r w:rsidR="00F74970" w:rsidRPr="008373A2">
        <w:rPr>
          <w:rFonts w:ascii="Times New Roman" w:hAnsi="Times New Roman" w:cs="Times New Roman"/>
        </w:rPr>
        <w:t xml:space="preserve">: a statement by a state that a new customary law rule exists will not be inconsistent with </w:t>
      </w:r>
      <w:r w:rsidR="00EE1EB3" w:rsidRPr="008373A2">
        <w:rPr>
          <w:rFonts w:ascii="Times New Roman" w:hAnsi="Times New Roman" w:cs="Times New Roman"/>
        </w:rPr>
        <w:t xml:space="preserve">the underlying international law rules </w:t>
      </w:r>
      <w:r w:rsidR="00F74970" w:rsidRPr="008373A2">
        <w:rPr>
          <w:rFonts w:ascii="Times New Roman" w:hAnsi="Times New Roman" w:cs="Times New Roman"/>
        </w:rPr>
        <w:t>(except in the unlikely scenario that</w:t>
      </w:r>
      <w:r w:rsidR="004474C8">
        <w:rPr>
          <w:rFonts w:ascii="Times New Roman" w:hAnsi="Times New Roman" w:cs="Times New Roman"/>
        </w:rPr>
        <w:t xml:space="preserve"> international</w:t>
      </w:r>
      <w:r w:rsidR="00F74970" w:rsidRPr="008373A2">
        <w:rPr>
          <w:rFonts w:ascii="Times New Roman" w:hAnsi="Times New Roman" w:cs="Times New Roman"/>
        </w:rPr>
        <w:t xml:space="preserve"> law prohibits the making of statements about what the law is). However, </w:t>
      </w:r>
      <w:r w:rsidR="0022305F" w:rsidRPr="008373A2">
        <w:rPr>
          <w:rFonts w:ascii="Times New Roman" w:hAnsi="Times New Roman" w:cs="Times New Roman"/>
        </w:rPr>
        <w:t xml:space="preserve">in the </w:t>
      </w:r>
      <w:r w:rsidR="004474C8">
        <w:rPr>
          <w:rFonts w:ascii="Times New Roman" w:hAnsi="Times New Roman" w:cs="Times New Roman"/>
        </w:rPr>
        <w:t>kinds of situations</w:t>
      </w:r>
      <w:r w:rsidR="0022305F" w:rsidRPr="008373A2">
        <w:rPr>
          <w:rFonts w:ascii="Times New Roman" w:hAnsi="Times New Roman" w:cs="Times New Roman"/>
        </w:rPr>
        <w:t xml:space="preserve"> we are concerned with here, </w:t>
      </w:r>
      <w:r w:rsidR="00F74970" w:rsidRPr="008373A2">
        <w:rPr>
          <w:rFonts w:ascii="Times New Roman" w:hAnsi="Times New Roman" w:cs="Times New Roman"/>
        </w:rPr>
        <w:t>where state practice for the new rule does not consist only of statement</w:t>
      </w:r>
      <w:r w:rsidR="0022305F" w:rsidRPr="008373A2">
        <w:rPr>
          <w:rFonts w:ascii="Times New Roman" w:hAnsi="Times New Roman" w:cs="Times New Roman"/>
        </w:rPr>
        <w:t>s</w:t>
      </w:r>
      <w:r w:rsidR="00F74970" w:rsidRPr="008373A2">
        <w:rPr>
          <w:rFonts w:ascii="Times New Roman" w:hAnsi="Times New Roman" w:cs="Times New Roman"/>
        </w:rPr>
        <w:t>, th</w:t>
      </w:r>
      <w:r w:rsidR="00CE0087">
        <w:rPr>
          <w:rFonts w:ascii="Times New Roman" w:hAnsi="Times New Roman" w:cs="Times New Roman"/>
        </w:rPr>
        <w:t>e</w:t>
      </w:r>
      <w:r w:rsidR="00F74970" w:rsidRPr="008373A2">
        <w:rPr>
          <w:rFonts w:ascii="Times New Roman" w:hAnsi="Times New Roman" w:cs="Times New Roman"/>
        </w:rPr>
        <w:t xml:space="preserve"> practice may be either consistent or inconsistent with the </w:t>
      </w:r>
      <w:r w:rsidR="00EE1EB3" w:rsidRPr="008373A2">
        <w:rPr>
          <w:rFonts w:ascii="Times New Roman" w:hAnsi="Times New Roman" w:cs="Times New Roman"/>
        </w:rPr>
        <w:t>underlying international law rules</w:t>
      </w:r>
      <w:r w:rsidR="00F74970" w:rsidRPr="008373A2">
        <w:rPr>
          <w:rFonts w:ascii="Times New Roman" w:hAnsi="Times New Roman" w:cs="Times New Roman"/>
        </w:rPr>
        <w:t>.</w:t>
      </w:r>
    </w:p>
    <w:p w14:paraId="72B56214" w14:textId="3380A11D" w:rsidR="00285FF8" w:rsidRPr="008373A2" w:rsidRDefault="00285FF8" w:rsidP="00064C83">
      <w:pPr>
        <w:spacing w:line="360" w:lineRule="auto"/>
        <w:jc w:val="both"/>
        <w:rPr>
          <w:rFonts w:ascii="Times New Roman" w:hAnsi="Times New Roman" w:cs="Times New Roman"/>
        </w:rPr>
      </w:pPr>
    </w:p>
    <w:p w14:paraId="4F4BFD05" w14:textId="26339DAF" w:rsidR="00C20030" w:rsidRPr="008373A2" w:rsidRDefault="001C6DBC" w:rsidP="00064C83">
      <w:pPr>
        <w:spacing w:line="360" w:lineRule="auto"/>
        <w:jc w:val="both"/>
        <w:rPr>
          <w:rFonts w:ascii="Times New Roman" w:hAnsi="Times New Roman" w:cs="Times New Roman"/>
        </w:rPr>
      </w:pPr>
      <w:r w:rsidRPr="008373A2">
        <w:rPr>
          <w:rFonts w:ascii="Times New Roman" w:hAnsi="Times New Roman" w:cs="Times New Roman"/>
        </w:rPr>
        <w:t xml:space="preserve">Where practice that would be supportive of an alleged new customary rule is also consistent with </w:t>
      </w:r>
      <w:r w:rsidR="004474C8">
        <w:rPr>
          <w:rFonts w:ascii="Times New Roman" w:hAnsi="Times New Roman" w:cs="Times New Roman"/>
        </w:rPr>
        <w:t>the</w:t>
      </w:r>
      <w:r w:rsidR="00460D6D" w:rsidRPr="008373A2">
        <w:rPr>
          <w:rFonts w:ascii="Times New Roman" w:hAnsi="Times New Roman" w:cs="Times New Roman"/>
        </w:rPr>
        <w:t xml:space="preserve"> </w:t>
      </w:r>
      <w:r w:rsidRPr="008373A2">
        <w:rPr>
          <w:rFonts w:ascii="Times New Roman" w:hAnsi="Times New Roman" w:cs="Times New Roman"/>
        </w:rPr>
        <w:t xml:space="preserve">underlying international law </w:t>
      </w:r>
      <w:r w:rsidR="00460D6D" w:rsidRPr="008373A2">
        <w:rPr>
          <w:rFonts w:ascii="Times New Roman" w:hAnsi="Times New Roman" w:cs="Times New Roman"/>
        </w:rPr>
        <w:t>rule</w:t>
      </w:r>
      <w:r w:rsidR="004474C8">
        <w:rPr>
          <w:rFonts w:ascii="Times New Roman" w:hAnsi="Times New Roman" w:cs="Times New Roman"/>
        </w:rPr>
        <w:t>s</w:t>
      </w:r>
      <w:r w:rsidR="00460D6D" w:rsidRPr="008373A2">
        <w:rPr>
          <w:rFonts w:ascii="Times New Roman" w:hAnsi="Times New Roman" w:cs="Times New Roman"/>
        </w:rPr>
        <w:t xml:space="preserve"> </w:t>
      </w:r>
      <w:r w:rsidRPr="008373A2">
        <w:rPr>
          <w:rFonts w:ascii="Times New Roman" w:hAnsi="Times New Roman" w:cs="Times New Roman"/>
        </w:rPr>
        <w:t>that exist in the background, the practice will be ambiguous</w:t>
      </w:r>
      <w:r w:rsidR="00460D6D" w:rsidRPr="008373A2">
        <w:rPr>
          <w:rFonts w:ascii="Times New Roman" w:hAnsi="Times New Roman" w:cs="Times New Roman"/>
        </w:rPr>
        <w:t xml:space="preserve"> in the sense that it could be supportive of either </w:t>
      </w:r>
      <w:r w:rsidR="004474C8">
        <w:rPr>
          <w:rFonts w:ascii="Times New Roman" w:hAnsi="Times New Roman" w:cs="Times New Roman"/>
        </w:rPr>
        <w:t xml:space="preserve">the alleged new </w:t>
      </w:r>
      <w:r w:rsidR="00460D6D" w:rsidRPr="008373A2">
        <w:rPr>
          <w:rFonts w:ascii="Times New Roman" w:hAnsi="Times New Roman" w:cs="Times New Roman"/>
        </w:rPr>
        <w:t>rule</w:t>
      </w:r>
      <w:r w:rsidR="004474C8">
        <w:rPr>
          <w:rFonts w:ascii="Times New Roman" w:hAnsi="Times New Roman" w:cs="Times New Roman"/>
        </w:rPr>
        <w:t xml:space="preserve"> or those underlying rules</w:t>
      </w:r>
      <w:r w:rsidR="002A7635" w:rsidRPr="008373A2">
        <w:rPr>
          <w:rFonts w:ascii="Times New Roman" w:hAnsi="Times New Roman" w:cs="Times New Roman"/>
        </w:rPr>
        <w:t>.</w:t>
      </w:r>
      <w:r w:rsidRPr="008373A2">
        <w:rPr>
          <w:rFonts w:ascii="Times New Roman" w:hAnsi="Times New Roman" w:cs="Times New Roman"/>
        </w:rPr>
        <w:t xml:space="preserve"> </w:t>
      </w:r>
      <w:r w:rsidR="002A7635" w:rsidRPr="008373A2">
        <w:rPr>
          <w:rFonts w:ascii="Times New Roman" w:hAnsi="Times New Roman" w:cs="Times New Roman"/>
        </w:rPr>
        <w:t xml:space="preserve">In this situation, </w:t>
      </w:r>
      <w:r w:rsidR="002A7635" w:rsidRPr="008373A2">
        <w:rPr>
          <w:rFonts w:ascii="Times New Roman" w:hAnsi="Times New Roman" w:cs="Times New Roman"/>
          <w:i/>
          <w:iCs/>
        </w:rPr>
        <w:t>o</w:t>
      </w:r>
      <w:r w:rsidRPr="008373A2">
        <w:rPr>
          <w:rFonts w:ascii="Times New Roman" w:hAnsi="Times New Roman" w:cs="Times New Roman"/>
          <w:i/>
          <w:iCs/>
        </w:rPr>
        <w:t>pinio juris</w:t>
      </w:r>
      <w:r w:rsidRPr="008373A2">
        <w:rPr>
          <w:rFonts w:ascii="Times New Roman" w:hAnsi="Times New Roman" w:cs="Times New Roman"/>
        </w:rPr>
        <w:t xml:space="preserve"> </w:t>
      </w:r>
      <w:r w:rsidR="002A7635" w:rsidRPr="008373A2">
        <w:rPr>
          <w:rFonts w:ascii="Times New Roman" w:hAnsi="Times New Roman" w:cs="Times New Roman"/>
        </w:rPr>
        <w:t>is</w:t>
      </w:r>
      <w:r w:rsidRPr="008373A2">
        <w:rPr>
          <w:rFonts w:ascii="Times New Roman" w:hAnsi="Times New Roman" w:cs="Times New Roman"/>
        </w:rPr>
        <w:t xml:space="preserve"> particularly important</w:t>
      </w:r>
      <w:r w:rsidR="002A7635" w:rsidRPr="008373A2">
        <w:rPr>
          <w:rFonts w:ascii="Times New Roman" w:hAnsi="Times New Roman" w:cs="Times New Roman"/>
        </w:rPr>
        <w:t xml:space="preserve"> because,</w:t>
      </w:r>
      <w:r w:rsidRPr="008373A2">
        <w:rPr>
          <w:rFonts w:ascii="Times New Roman" w:hAnsi="Times New Roman" w:cs="Times New Roman"/>
        </w:rPr>
        <w:t xml:space="preserve"> </w:t>
      </w:r>
      <w:r w:rsidR="002A7635" w:rsidRPr="008373A2">
        <w:rPr>
          <w:rFonts w:ascii="Times New Roman" w:hAnsi="Times New Roman" w:cs="Times New Roman"/>
        </w:rPr>
        <w:t>w</w:t>
      </w:r>
      <w:r w:rsidRPr="008373A2">
        <w:rPr>
          <w:rFonts w:ascii="Times New Roman" w:hAnsi="Times New Roman" w:cs="Times New Roman"/>
        </w:rPr>
        <w:t xml:space="preserve">ithout evidence of </w:t>
      </w:r>
      <w:r w:rsidRPr="008373A2">
        <w:rPr>
          <w:rFonts w:ascii="Times New Roman" w:hAnsi="Times New Roman" w:cs="Times New Roman"/>
          <w:i/>
          <w:iCs/>
        </w:rPr>
        <w:t>opinio juris</w:t>
      </w:r>
      <w:r w:rsidRPr="008373A2">
        <w:rPr>
          <w:rFonts w:ascii="Times New Roman" w:hAnsi="Times New Roman" w:cs="Times New Roman"/>
        </w:rPr>
        <w:t xml:space="preserve"> for the existence of the new rule, states will be presumed to be acting consistently with </w:t>
      </w:r>
      <w:r w:rsidR="00EE1EB3" w:rsidRPr="008373A2">
        <w:rPr>
          <w:rFonts w:ascii="Times New Roman" w:hAnsi="Times New Roman" w:cs="Times New Roman"/>
        </w:rPr>
        <w:t>the underlying international law rules</w:t>
      </w:r>
      <w:r w:rsidR="00EE1EB3" w:rsidRPr="008373A2" w:rsidDel="00EE1EB3">
        <w:rPr>
          <w:rFonts w:ascii="Times New Roman" w:hAnsi="Times New Roman" w:cs="Times New Roman"/>
        </w:rPr>
        <w:t xml:space="preserve"> </w:t>
      </w:r>
      <w:r w:rsidRPr="008373A2">
        <w:rPr>
          <w:rFonts w:ascii="Times New Roman" w:hAnsi="Times New Roman" w:cs="Times New Roman"/>
        </w:rPr>
        <w:t xml:space="preserve">and the practice </w:t>
      </w:r>
      <w:r w:rsidR="00C6511C" w:rsidRPr="008373A2">
        <w:rPr>
          <w:rFonts w:ascii="Times New Roman" w:hAnsi="Times New Roman" w:cs="Times New Roman"/>
        </w:rPr>
        <w:t>may</w:t>
      </w:r>
      <w:r w:rsidRPr="008373A2">
        <w:rPr>
          <w:rFonts w:ascii="Times New Roman" w:hAnsi="Times New Roman" w:cs="Times New Roman"/>
        </w:rPr>
        <w:t xml:space="preserve"> simply strengthen existing customary international law.</w:t>
      </w:r>
      <w:r w:rsidRPr="008373A2">
        <w:rPr>
          <w:rStyle w:val="FootnoteReference"/>
          <w:rFonts w:ascii="Times New Roman" w:hAnsi="Times New Roman" w:cs="Times New Roman"/>
        </w:rPr>
        <w:footnoteReference w:id="45"/>
      </w:r>
    </w:p>
    <w:p w14:paraId="16C8AFF8" w14:textId="77777777" w:rsidR="00C20030" w:rsidRPr="008373A2" w:rsidRDefault="00C20030" w:rsidP="00064C83">
      <w:pPr>
        <w:spacing w:line="360" w:lineRule="auto"/>
        <w:jc w:val="both"/>
        <w:rPr>
          <w:rFonts w:ascii="Times New Roman" w:hAnsi="Times New Roman" w:cs="Times New Roman"/>
        </w:rPr>
      </w:pPr>
    </w:p>
    <w:p w14:paraId="21DA60B6" w14:textId="10FDFDFE" w:rsidR="001C6DBC" w:rsidRPr="008373A2" w:rsidRDefault="001C6DBC" w:rsidP="00064C83">
      <w:pPr>
        <w:spacing w:line="360" w:lineRule="auto"/>
        <w:jc w:val="both"/>
        <w:rPr>
          <w:rFonts w:ascii="Times New Roman" w:hAnsi="Times New Roman" w:cs="Times New Roman"/>
        </w:rPr>
      </w:pPr>
      <w:proofErr w:type="gramStart"/>
      <w:r w:rsidRPr="008373A2">
        <w:rPr>
          <w:rFonts w:ascii="Times New Roman" w:hAnsi="Times New Roman" w:cs="Times New Roman"/>
        </w:rPr>
        <w:lastRenderedPageBreak/>
        <w:t>This is why</w:t>
      </w:r>
      <w:proofErr w:type="gramEnd"/>
      <w:r w:rsidR="00406199" w:rsidRPr="008373A2">
        <w:rPr>
          <w:rFonts w:ascii="Times New Roman" w:hAnsi="Times New Roman" w:cs="Times New Roman"/>
        </w:rPr>
        <w:t>, in many cases,</w:t>
      </w:r>
      <w:r w:rsidRPr="008373A2">
        <w:rPr>
          <w:rFonts w:ascii="Times New Roman" w:hAnsi="Times New Roman" w:cs="Times New Roman"/>
        </w:rPr>
        <w:t xml:space="preserve"> ascertaining the existence of a prohibitive customary rule will, as the ILC observes, ‘turn on evaluating whether the inaction is accepted as law’. Without evidence of </w:t>
      </w:r>
      <w:r w:rsidRPr="008373A2">
        <w:rPr>
          <w:rFonts w:ascii="Times New Roman" w:hAnsi="Times New Roman" w:cs="Times New Roman"/>
          <w:i/>
          <w:iCs/>
        </w:rPr>
        <w:t>opinio juris</w:t>
      </w:r>
      <w:r w:rsidRPr="008373A2">
        <w:rPr>
          <w:rFonts w:ascii="Times New Roman" w:hAnsi="Times New Roman" w:cs="Times New Roman"/>
        </w:rPr>
        <w:t xml:space="preserve"> to clarify the legal significance, if any, states attach to their omission to perform an act, inaction by states could constitute practice </w:t>
      </w:r>
      <w:r w:rsidR="00CE0087">
        <w:rPr>
          <w:rFonts w:ascii="Times New Roman" w:hAnsi="Times New Roman" w:cs="Times New Roman"/>
        </w:rPr>
        <w:t>supporting</w:t>
      </w:r>
      <w:r w:rsidRPr="008373A2">
        <w:rPr>
          <w:rFonts w:ascii="Times New Roman" w:hAnsi="Times New Roman" w:cs="Times New Roman"/>
        </w:rPr>
        <w:t xml:space="preserve"> a new customary prohibition on the act concerned</w:t>
      </w:r>
      <w:r w:rsidR="00CE0087">
        <w:rPr>
          <w:rFonts w:ascii="Times New Roman" w:hAnsi="Times New Roman" w:cs="Times New Roman"/>
        </w:rPr>
        <w:t>,</w:t>
      </w:r>
      <w:r w:rsidRPr="008373A2">
        <w:rPr>
          <w:rFonts w:ascii="Times New Roman" w:hAnsi="Times New Roman" w:cs="Times New Roman"/>
        </w:rPr>
        <w:t xml:space="preserve"> but </w:t>
      </w:r>
      <w:r w:rsidR="00CE0087">
        <w:rPr>
          <w:rFonts w:ascii="Times New Roman" w:hAnsi="Times New Roman" w:cs="Times New Roman"/>
        </w:rPr>
        <w:t xml:space="preserve">it </w:t>
      </w:r>
      <w:r w:rsidRPr="008373A2">
        <w:rPr>
          <w:rFonts w:ascii="Times New Roman" w:hAnsi="Times New Roman" w:cs="Times New Roman"/>
        </w:rPr>
        <w:t xml:space="preserve">is equally compatible with the view that under </w:t>
      </w:r>
      <w:r w:rsidR="00EE1EB3" w:rsidRPr="008373A2">
        <w:rPr>
          <w:rFonts w:ascii="Times New Roman" w:hAnsi="Times New Roman" w:cs="Times New Roman"/>
        </w:rPr>
        <w:t>the underlying international law rules</w:t>
      </w:r>
      <w:r w:rsidRPr="008373A2">
        <w:rPr>
          <w:rFonts w:ascii="Times New Roman" w:hAnsi="Times New Roman" w:cs="Times New Roman"/>
        </w:rPr>
        <w:t xml:space="preserve"> states are </w:t>
      </w:r>
      <w:r w:rsidRPr="008373A2">
        <w:rPr>
          <w:rFonts w:ascii="Times New Roman" w:hAnsi="Times New Roman" w:cs="Times New Roman"/>
          <w:i/>
          <w:iCs/>
        </w:rPr>
        <w:t>permitted</w:t>
      </w:r>
      <w:r w:rsidRPr="008373A2">
        <w:rPr>
          <w:rFonts w:ascii="Times New Roman" w:hAnsi="Times New Roman" w:cs="Times New Roman"/>
        </w:rPr>
        <w:t xml:space="preserve"> to perform such an act but are not obliged to do so and are merely choosing not to exercise that permission.</w:t>
      </w:r>
    </w:p>
    <w:p w14:paraId="2B29C58A" w14:textId="480B8927" w:rsidR="00285FF8" w:rsidRPr="008373A2" w:rsidRDefault="00285FF8" w:rsidP="00064C83">
      <w:pPr>
        <w:spacing w:line="360" w:lineRule="auto"/>
        <w:jc w:val="both"/>
        <w:rPr>
          <w:rFonts w:ascii="Times New Roman" w:hAnsi="Times New Roman" w:cs="Times New Roman"/>
        </w:rPr>
      </w:pPr>
    </w:p>
    <w:p w14:paraId="236EFD20" w14:textId="74DBD967" w:rsidR="00325148" w:rsidRPr="008373A2" w:rsidRDefault="00583C24" w:rsidP="00064C83">
      <w:pPr>
        <w:spacing w:line="360" w:lineRule="auto"/>
        <w:jc w:val="both"/>
        <w:rPr>
          <w:rFonts w:ascii="Times New Roman" w:hAnsi="Times New Roman" w:cs="Times New Roman"/>
        </w:rPr>
      </w:pPr>
      <w:r w:rsidRPr="008373A2">
        <w:rPr>
          <w:rFonts w:ascii="Times New Roman" w:hAnsi="Times New Roman" w:cs="Times New Roman"/>
        </w:rPr>
        <w:t>The point is well illustrated by</w:t>
      </w:r>
      <w:r w:rsidR="00285FF8" w:rsidRPr="008373A2">
        <w:rPr>
          <w:rFonts w:ascii="Times New Roman" w:hAnsi="Times New Roman" w:cs="Times New Roman"/>
        </w:rPr>
        <w:t xml:space="preserve"> the </w:t>
      </w:r>
      <w:r w:rsidR="00285FF8" w:rsidRPr="008373A2">
        <w:rPr>
          <w:rFonts w:ascii="Times New Roman" w:hAnsi="Times New Roman" w:cs="Times New Roman"/>
          <w:i/>
          <w:iCs/>
        </w:rPr>
        <w:t>Colombian-Peruvian Asylum</w:t>
      </w:r>
      <w:r w:rsidR="00285FF8" w:rsidRPr="008373A2">
        <w:rPr>
          <w:rFonts w:ascii="Times New Roman" w:hAnsi="Times New Roman" w:cs="Times New Roman"/>
        </w:rPr>
        <w:t xml:space="preserve"> case</w:t>
      </w:r>
      <w:r w:rsidR="00B31FF3" w:rsidRPr="008373A2">
        <w:rPr>
          <w:rFonts w:ascii="Times New Roman" w:hAnsi="Times New Roman" w:cs="Times New Roman"/>
        </w:rPr>
        <w:t>.</w:t>
      </w:r>
      <w:r w:rsidR="00285FF8" w:rsidRPr="008373A2">
        <w:rPr>
          <w:rFonts w:ascii="Times New Roman" w:hAnsi="Times New Roman" w:cs="Times New Roman"/>
        </w:rPr>
        <w:t xml:space="preserve"> </w:t>
      </w:r>
      <w:r w:rsidR="00EE1EB3" w:rsidRPr="008373A2">
        <w:rPr>
          <w:rFonts w:ascii="Times New Roman" w:hAnsi="Times New Roman" w:cs="Times New Roman"/>
        </w:rPr>
        <w:t>G</w:t>
      </w:r>
      <w:r w:rsidR="00285FF8" w:rsidRPr="008373A2">
        <w:rPr>
          <w:rFonts w:ascii="Times New Roman" w:hAnsi="Times New Roman" w:cs="Times New Roman"/>
        </w:rPr>
        <w:t xml:space="preserve">eneral customary international law permitted both the state of nationality of an individual alleged to have committed a crime on </w:t>
      </w:r>
      <w:r w:rsidR="003D0B42">
        <w:rPr>
          <w:rFonts w:ascii="Times New Roman" w:hAnsi="Times New Roman" w:cs="Times New Roman"/>
        </w:rPr>
        <w:t>its</w:t>
      </w:r>
      <w:r w:rsidR="003D0B42" w:rsidRPr="008373A2">
        <w:rPr>
          <w:rFonts w:ascii="Times New Roman" w:hAnsi="Times New Roman" w:cs="Times New Roman"/>
        </w:rPr>
        <w:t xml:space="preserve"> </w:t>
      </w:r>
      <w:r w:rsidR="00285FF8" w:rsidRPr="008373A2">
        <w:rPr>
          <w:rFonts w:ascii="Times New Roman" w:hAnsi="Times New Roman" w:cs="Times New Roman"/>
        </w:rPr>
        <w:t>territory (the territorial state, Peru), and the state into whose embassy an individual ha</w:t>
      </w:r>
      <w:r w:rsidR="00E554BB">
        <w:rPr>
          <w:rFonts w:ascii="Times New Roman" w:hAnsi="Times New Roman" w:cs="Times New Roman"/>
        </w:rPr>
        <w:t>s</w:t>
      </w:r>
      <w:r w:rsidR="00285FF8" w:rsidRPr="008373A2">
        <w:rPr>
          <w:rFonts w:ascii="Times New Roman" w:hAnsi="Times New Roman" w:cs="Times New Roman"/>
        </w:rPr>
        <w:t xml:space="preserve"> </w:t>
      </w:r>
      <w:proofErr w:type="gramStart"/>
      <w:r w:rsidR="00285FF8" w:rsidRPr="008373A2">
        <w:rPr>
          <w:rFonts w:ascii="Times New Roman" w:hAnsi="Times New Roman" w:cs="Times New Roman"/>
        </w:rPr>
        <w:t>fled</w:t>
      </w:r>
      <w:proofErr w:type="gramEnd"/>
      <w:r w:rsidR="00285FF8" w:rsidRPr="008373A2">
        <w:rPr>
          <w:rFonts w:ascii="Times New Roman" w:hAnsi="Times New Roman" w:cs="Times New Roman"/>
        </w:rPr>
        <w:t xml:space="preserve"> and which </w:t>
      </w:r>
      <w:r w:rsidR="00E554BB">
        <w:rPr>
          <w:rFonts w:ascii="Times New Roman" w:hAnsi="Times New Roman" w:cs="Times New Roman"/>
        </w:rPr>
        <w:t>i</w:t>
      </w:r>
      <w:r w:rsidR="00285FF8" w:rsidRPr="008373A2">
        <w:rPr>
          <w:rFonts w:ascii="Times New Roman" w:hAnsi="Times New Roman" w:cs="Times New Roman"/>
        </w:rPr>
        <w:t xml:space="preserve">s purporting to grant asylum (the asylum-granting state, Colombia) to make their own judgment as to whether or not the alleged crime was a political offence. If the asylum-granting state qualified the alleged crime as a political offence, the territorial state </w:t>
      </w:r>
      <w:r w:rsidR="00325148" w:rsidRPr="008373A2">
        <w:rPr>
          <w:rFonts w:ascii="Times New Roman" w:hAnsi="Times New Roman" w:cs="Times New Roman"/>
        </w:rPr>
        <w:t>may</w:t>
      </w:r>
      <w:r w:rsidR="00285FF8" w:rsidRPr="008373A2">
        <w:rPr>
          <w:rFonts w:ascii="Times New Roman" w:hAnsi="Times New Roman" w:cs="Times New Roman"/>
        </w:rPr>
        <w:t xml:space="preserve"> contest the qualification through dispute-settlement mechanisms, although they need not choose to do so. </w:t>
      </w:r>
      <w:r w:rsidR="00325148" w:rsidRPr="008373A2">
        <w:rPr>
          <w:rFonts w:ascii="Times New Roman" w:hAnsi="Times New Roman" w:cs="Times New Roman"/>
        </w:rPr>
        <w:t xml:space="preserve">It is this general permissive rule that provides the </w:t>
      </w:r>
      <w:r w:rsidR="00EE1EB3" w:rsidRPr="008373A2">
        <w:rPr>
          <w:rFonts w:ascii="Times New Roman" w:hAnsi="Times New Roman" w:cs="Times New Roman"/>
        </w:rPr>
        <w:t>backdrop against which the existence of the alleged new customary rule must be assessed</w:t>
      </w:r>
      <w:r w:rsidR="00325148" w:rsidRPr="008373A2">
        <w:rPr>
          <w:rFonts w:ascii="Times New Roman" w:hAnsi="Times New Roman" w:cs="Times New Roman"/>
        </w:rPr>
        <w:t xml:space="preserve">. </w:t>
      </w:r>
      <w:r w:rsidR="00285FF8" w:rsidRPr="008373A2">
        <w:rPr>
          <w:rFonts w:ascii="Times New Roman" w:hAnsi="Times New Roman" w:cs="Times New Roman"/>
        </w:rPr>
        <w:t xml:space="preserve">Colombia argued that </w:t>
      </w:r>
      <w:r w:rsidR="00CE0087">
        <w:rPr>
          <w:rFonts w:ascii="Times New Roman" w:hAnsi="Times New Roman" w:cs="Times New Roman"/>
        </w:rPr>
        <w:t>a</w:t>
      </w:r>
      <w:r w:rsidR="00285FF8" w:rsidRPr="008373A2">
        <w:rPr>
          <w:rFonts w:ascii="Times New Roman" w:hAnsi="Times New Roman" w:cs="Times New Roman"/>
        </w:rPr>
        <w:t xml:space="preserve"> new local customary rule recogn</w:t>
      </w:r>
      <w:r w:rsidR="002657EB" w:rsidRPr="008373A2">
        <w:rPr>
          <w:rFonts w:ascii="Times New Roman" w:hAnsi="Times New Roman" w:cs="Times New Roman"/>
        </w:rPr>
        <w:t>ize</w:t>
      </w:r>
      <w:r w:rsidR="00285FF8" w:rsidRPr="008373A2">
        <w:rPr>
          <w:rFonts w:ascii="Times New Roman" w:hAnsi="Times New Roman" w:cs="Times New Roman"/>
        </w:rPr>
        <w:t>d the right of the asylum-granting state to make a unilateral and definitive determination as to the nature of the asylum-seeker’s offence.</w:t>
      </w:r>
      <w:r w:rsidR="00285FF8" w:rsidRPr="008373A2">
        <w:rPr>
          <w:rStyle w:val="FootnoteReference"/>
          <w:rFonts w:ascii="Times New Roman" w:hAnsi="Times New Roman" w:cs="Times New Roman"/>
        </w:rPr>
        <w:footnoteReference w:id="46"/>
      </w:r>
      <w:r w:rsidR="00285FF8" w:rsidRPr="008373A2">
        <w:rPr>
          <w:rFonts w:ascii="Times New Roman" w:hAnsi="Times New Roman" w:cs="Times New Roman"/>
        </w:rPr>
        <w:t xml:space="preserve"> In effect, Colombia was alleging the existence of a new customary prohibition which </w:t>
      </w:r>
      <w:r w:rsidR="002C5C82" w:rsidRPr="008373A2">
        <w:rPr>
          <w:rFonts w:ascii="Times New Roman" w:hAnsi="Times New Roman" w:cs="Times New Roman"/>
        </w:rPr>
        <w:t xml:space="preserve">now </w:t>
      </w:r>
      <w:r w:rsidR="00285FF8" w:rsidRPr="008373A2">
        <w:rPr>
          <w:rFonts w:ascii="Times New Roman" w:hAnsi="Times New Roman" w:cs="Times New Roman"/>
        </w:rPr>
        <w:t xml:space="preserve">required territorial states not to challenge the asylum-granting state’s qualification. </w:t>
      </w:r>
      <w:r w:rsidR="00325148" w:rsidRPr="008373A2">
        <w:rPr>
          <w:rFonts w:ascii="Times New Roman" w:hAnsi="Times New Roman" w:cs="Times New Roman"/>
        </w:rPr>
        <w:t>The ICJ was therefore required to decide whether a prohibitive rule existed in the form of local customary international law derogating from a general permissive rule of customary international law.</w:t>
      </w:r>
      <w:r w:rsidR="00325148" w:rsidRPr="008373A2">
        <w:rPr>
          <w:rStyle w:val="FootnoteReference"/>
          <w:rFonts w:ascii="Times New Roman" w:hAnsi="Times New Roman" w:cs="Times New Roman"/>
        </w:rPr>
        <w:footnoteReference w:id="47"/>
      </w:r>
      <w:r w:rsidR="00325148" w:rsidRPr="008373A2">
        <w:rPr>
          <w:rFonts w:ascii="Times New Roman" w:hAnsi="Times New Roman" w:cs="Times New Roman"/>
        </w:rPr>
        <w:t xml:space="preserve"> </w:t>
      </w:r>
    </w:p>
    <w:p w14:paraId="11BD21E5" w14:textId="77777777" w:rsidR="00325148" w:rsidRPr="008373A2" w:rsidRDefault="00325148" w:rsidP="00064C83">
      <w:pPr>
        <w:spacing w:line="360" w:lineRule="auto"/>
        <w:jc w:val="both"/>
        <w:rPr>
          <w:rFonts w:ascii="Times New Roman" w:hAnsi="Times New Roman" w:cs="Times New Roman"/>
        </w:rPr>
      </w:pPr>
    </w:p>
    <w:p w14:paraId="7D998850" w14:textId="7C140ED5" w:rsidR="00285FF8" w:rsidRPr="008373A2" w:rsidRDefault="00285FF8" w:rsidP="00064C83">
      <w:pPr>
        <w:spacing w:line="360" w:lineRule="auto"/>
        <w:jc w:val="both"/>
        <w:rPr>
          <w:rFonts w:ascii="Times New Roman" w:hAnsi="Times New Roman" w:cs="Times New Roman"/>
        </w:rPr>
      </w:pPr>
      <w:r w:rsidRPr="008373A2">
        <w:rPr>
          <w:rFonts w:ascii="Times New Roman" w:hAnsi="Times New Roman" w:cs="Times New Roman"/>
        </w:rPr>
        <w:t xml:space="preserve">While Colombia referred to a ‘large number of particular cases in which diplomatic asylum was in fact granted and respected’ as state practice in support of the rule – that is, a practice of omissions </w:t>
      </w:r>
      <w:r w:rsidR="009848DE">
        <w:rPr>
          <w:rFonts w:ascii="Times New Roman" w:hAnsi="Times New Roman" w:cs="Times New Roman"/>
        </w:rPr>
        <w:t xml:space="preserve">by the territorial state </w:t>
      </w:r>
      <w:r w:rsidRPr="008373A2">
        <w:rPr>
          <w:rFonts w:ascii="Times New Roman" w:hAnsi="Times New Roman" w:cs="Times New Roman"/>
        </w:rPr>
        <w:t xml:space="preserve">to challenge the asylum-granting state’s qualification – it could not produce evidence of </w:t>
      </w:r>
      <w:r w:rsidRPr="008373A2">
        <w:rPr>
          <w:rFonts w:ascii="Times New Roman" w:hAnsi="Times New Roman" w:cs="Times New Roman"/>
          <w:i/>
          <w:iCs/>
        </w:rPr>
        <w:t xml:space="preserve">opinio juris </w:t>
      </w:r>
      <w:r w:rsidRPr="008373A2">
        <w:rPr>
          <w:rFonts w:ascii="Times New Roman" w:hAnsi="Times New Roman" w:cs="Times New Roman"/>
        </w:rPr>
        <w:t>in support of the prohibition.</w:t>
      </w:r>
      <w:r w:rsidRPr="008373A2">
        <w:rPr>
          <w:rStyle w:val="FootnoteReference"/>
          <w:rFonts w:ascii="Times New Roman" w:hAnsi="Times New Roman" w:cs="Times New Roman"/>
        </w:rPr>
        <w:footnoteReference w:id="48"/>
      </w:r>
      <w:r w:rsidRPr="008373A2">
        <w:rPr>
          <w:rFonts w:ascii="Times New Roman" w:hAnsi="Times New Roman" w:cs="Times New Roman"/>
        </w:rPr>
        <w:t xml:space="preserve"> There was no evidence to suggest a new right of unilateral qualification was invoked or, if it was, that this was ‘exercised by the States granting asylum as a right appertaining to them and respected by the territorial </w:t>
      </w:r>
      <w:r w:rsidRPr="008373A2">
        <w:rPr>
          <w:rFonts w:ascii="Times New Roman" w:hAnsi="Times New Roman" w:cs="Times New Roman"/>
        </w:rPr>
        <w:lastRenderedPageBreak/>
        <w:t>States as a duty incumbent on them’</w:t>
      </w:r>
      <w:r w:rsidR="0099187E">
        <w:rPr>
          <w:rFonts w:ascii="Times New Roman" w:hAnsi="Times New Roman" w:cs="Times New Roman"/>
        </w:rPr>
        <w:t>.</w:t>
      </w:r>
      <w:r w:rsidRPr="008373A2">
        <w:rPr>
          <w:rStyle w:val="FootnoteReference"/>
          <w:rFonts w:ascii="Times New Roman" w:hAnsi="Times New Roman" w:cs="Times New Roman"/>
        </w:rPr>
        <w:footnoteReference w:id="49"/>
      </w:r>
      <w:r w:rsidRPr="008373A2">
        <w:rPr>
          <w:rFonts w:ascii="Times New Roman" w:hAnsi="Times New Roman" w:cs="Times New Roman"/>
        </w:rPr>
        <w:t xml:space="preserve"> The Court concluded that Colombia had not shown that the </w:t>
      </w:r>
      <w:r w:rsidR="00875815" w:rsidRPr="00437B04">
        <w:rPr>
          <w:rFonts w:ascii="Times New Roman" w:hAnsi="Times New Roman" w:cs="Times New Roman"/>
        </w:rPr>
        <w:t xml:space="preserve">new </w:t>
      </w:r>
      <w:r w:rsidRPr="008373A2">
        <w:rPr>
          <w:rFonts w:ascii="Times New Roman" w:hAnsi="Times New Roman" w:cs="Times New Roman"/>
        </w:rPr>
        <w:t>custom</w:t>
      </w:r>
      <w:r w:rsidR="00875815" w:rsidRPr="00437B04">
        <w:rPr>
          <w:rFonts w:ascii="Times New Roman" w:hAnsi="Times New Roman" w:cs="Times New Roman"/>
        </w:rPr>
        <w:t>ary rule</w:t>
      </w:r>
      <w:r w:rsidRPr="008373A2">
        <w:rPr>
          <w:rFonts w:ascii="Times New Roman" w:hAnsi="Times New Roman" w:cs="Times New Roman"/>
        </w:rPr>
        <w:t xml:space="preserve"> was established.</w:t>
      </w:r>
      <w:r w:rsidRPr="008373A2">
        <w:rPr>
          <w:rStyle w:val="FootnoteReference"/>
          <w:rFonts w:ascii="Times New Roman" w:hAnsi="Times New Roman" w:cs="Times New Roman"/>
        </w:rPr>
        <w:footnoteReference w:id="50"/>
      </w:r>
      <w:r w:rsidRPr="008373A2">
        <w:rPr>
          <w:rFonts w:ascii="Times New Roman" w:hAnsi="Times New Roman" w:cs="Times New Roman"/>
        </w:rPr>
        <w:t xml:space="preserve"> </w:t>
      </w:r>
      <w:r w:rsidR="00D540DF" w:rsidRPr="008373A2">
        <w:rPr>
          <w:rFonts w:ascii="Times New Roman" w:hAnsi="Times New Roman" w:cs="Times New Roman"/>
        </w:rPr>
        <w:t>T</w:t>
      </w:r>
      <w:r w:rsidRPr="008373A2">
        <w:rPr>
          <w:rFonts w:ascii="Times New Roman" w:hAnsi="Times New Roman" w:cs="Times New Roman"/>
        </w:rPr>
        <w:t>here was practice in support of the new</w:t>
      </w:r>
      <w:r w:rsidR="006C554D">
        <w:rPr>
          <w:rFonts w:ascii="Times New Roman" w:hAnsi="Times New Roman" w:cs="Times New Roman"/>
        </w:rPr>
        <w:t xml:space="preserve"> customary</w:t>
      </w:r>
      <w:r w:rsidRPr="008373A2">
        <w:rPr>
          <w:rFonts w:ascii="Times New Roman" w:hAnsi="Times New Roman" w:cs="Times New Roman"/>
        </w:rPr>
        <w:t xml:space="preserve"> prohibition in the form of the omission of territorial states to challenge the asylum-granting state’s qualification. However, </w:t>
      </w:r>
      <w:r w:rsidR="00D540DF" w:rsidRPr="008373A2">
        <w:rPr>
          <w:rFonts w:ascii="Times New Roman" w:hAnsi="Times New Roman" w:cs="Times New Roman"/>
        </w:rPr>
        <w:t xml:space="preserve">given its context, </w:t>
      </w:r>
      <w:r w:rsidRPr="008373A2">
        <w:rPr>
          <w:rFonts w:ascii="Times New Roman" w:hAnsi="Times New Roman" w:cs="Times New Roman"/>
        </w:rPr>
        <w:t xml:space="preserve">this is also consistent with the </w:t>
      </w:r>
      <w:r w:rsidR="006C554D">
        <w:rPr>
          <w:rFonts w:ascii="Times New Roman" w:hAnsi="Times New Roman" w:cs="Times New Roman"/>
        </w:rPr>
        <w:t xml:space="preserve">underlying </w:t>
      </w:r>
      <w:r w:rsidRPr="008373A2">
        <w:rPr>
          <w:rFonts w:ascii="Times New Roman" w:hAnsi="Times New Roman" w:cs="Times New Roman"/>
        </w:rPr>
        <w:t xml:space="preserve">permissive rule </w:t>
      </w:r>
      <w:r w:rsidR="006C554D">
        <w:rPr>
          <w:rFonts w:ascii="Times New Roman" w:hAnsi="Times New Roman" w:cs="Times New Roman"/>
        </w:rPr>
        <w:t xml:space="preserve">of general customary international law </w:t>
      </w:r>
      <w:r w:rsidRPr="008373A2">
        <w:rPr>
          <w:rFonts w:ascii="Times New Roman" w:hAnsi="Times New Roman" w:cs="Times New Roman"/>
        </w:rPr>
        <w:t xml:space="preserve">allowing </w:t>
      </w:r>
      <w:r w:rsidR="00D72A93" w:rsidRPr="008373A2">
        <w:rPr>
          <w:rFonts w:ascii="Times New Roman" w:hAnsi="Times New Roman" w:cs="Times New Roman"/>
        </w:rPr>
        <w:t xml:space="preserve">– but not requiring – </w:t>
      </w:r>
      <w:r w:rsidRPr="008373A2">
        <w:rPr>
          <w:rFonts w:ascii="Times New Roman" w:hAnsi="Times New Roman" w:cs="Times New Roman"/>
        </w:rPr>
        <w:t>the territorial state to challenge the qualification by the asylum-granting state</w:t>
      </w:r>
      <w:r w:rsidR="00D540DF" w:rsidRPr="008373A2">
        <w:rPr>
          <w:rFonts w:ascii="Times New Roman" w:hAnsi="Times New Roman" w:cs="Times New Roman"/>
        </w:rPr>
        <w:t>.</w:t>
      </w:r>
      <w:r w:rsidR="00583C24" w:rsidRPr="008373A2">
        <w:rPr>
          <w:rFonts w:ascii="Times New Roman" w:hAnsi="Times New Roman" w:cs="Times New Roman"/>
        </w:rPr>
        <w:t xml:space="preserve"> </w:t>
      </w:r>
      <w:r w:rsidR="00D540DF" w:rsidRPr="008373A2">
        <w:rPr>
          <w:rFonts w:ascii="Times New Roman" w:hAnsi="Times New Roman" w:cs="Times New Roman"/>
        </w:rPr>
        <w:t>T</w:t>
      </w:r>
      <w:r w:rsidRPr="008373A2">
        <w:rPr>
          <w:rFonts w:ascii="Times New Roman" w:hAnsi="Times New Roman" w:cs="Times New Roman"/>
        </w:rPr>
        <w:t xml:space="preserve">erritorial states may simply be electing not to challenge </w:t>
      </w:r>
      <w:r w:rsidR="002C5C82" w:rsidRPr="008373A2">
        <w:rPr>
          <w:rFonts w:ascii="Times New Roman" w:hAnsi="Times New Roman" w:cs="Times New Roman"/>
        </w:rPr>
        <w:t>those</w:t>
      </w:r>
      <w:r w:rsidR="007777FF" w:rsidRPr="008373A2">
        <w:rPr>
          <w:rFonts w:ascii="Times New Roman" w:hAnsi="Times New Roman" w:cs="Times New Roman"/>
        </w:rPr>
        <w:t xml:space="preserve"> qualifications</w:t>
      </w:r>
      <w:r w:rsidR="00CE0087">
        <w:rPr>
          <w:rFonts w:ascii="Times New Roman" w:hAnsi="Times New Roman" w:cs="Times New Roman"/>
        </w:rPr>
        <w:t xml:space="preserve"> </w:t>
      </w:r>
      <w:r w:rsidR="0099187E">
        <w:rPr>
          <w:rFonts w:ascii="Times New Roman" w:hAnsi="Times New Roman" w:cs="Times New Roman"/>
        </w:rPr>
        <w:t>‘</w:t>
      </w:r>
      <w:r w:rsidR="0099187E" w:rsidRPr="008373A2">
        <w:rPr>
          <w:rFonts w:ascii="Times New Roman" w:hAnsi="Times New Roman" w:cs="Times New Roman"/>
        </w:rPr>
        <w:t>merely for reasons of political expediency</w:t>
      </w:r>
      <w:r w:rsidR="0099187E">
        <w:rPr>
          <w:rFonts w:ascii="Times New Roman" w:hAnsi="Times New Roman" w:cs="Times New Roman"/>
        </w:rPr>
        <w:t>’</w:t>
      </w:r>
      <w:r w:rsidRPr="008373A2">
        <w:rPr>
          <w:rFonts w:ascii="Times New Roman" w:hAnsi="Times New Roman" w:cs="Times New Roman"/>
        </w:rPr>
        <w:t xml:space="preserve">. </w:t>
      </w:r>
      <w:r w:rsidR="00CE0087">
        <w:rPr>
          <w:rFonts w:ascii="Times New Roman" w:hAnsi="Times New Roman" w:cs="Times New Roman"/>
        </w:rPr>
        <w:t xml:space="preserve">For the inaction to count as state practice in support of the new </w:t>
      </w:r>
      <w:r w:rsidR="006C554D">
        <w:rPr>
          <w:rFonts w:ascii="Times New Roman" w:hAnsi="Times New Roman" w:cs="Times New Roman"/>
        </w:rPr>
        <w:t xml:space="preserve">local customary </w:t>
      </w:r>
      <w:r w:rsidR="00CE0087">
        <w:rPr>
          <w:rFonts w:ascii="Times New Roman" w:hAnsi="Times New Roman" w:cs="Times New Roman"/>
        </w:rPr>
        <w:t>prohibition,</w:t>
      </w:r>
      <w:r w:rsidR="0039600A">
        <w:rPr>
          <w:rFonts w:ascii="Times New Roman" w:hAnsi="Times New Roman" w:cs="Times New Roman"/>
        </w:rPr>
        <w:t xml:space="preserve"> evidence of</w:t>
      </w:r>
      <w:r w:rsidR="00CE0087">
        <w:rPr>
          <w:rFonts w:ascii="Times New Roman" w:hAnsi="Times New Roman" w:cs="Times New Roman"/>
        </w:rPr>
        <w:t xml:space="preserve"> </w:t>
      </w:r>
      <w:r w:rsidR="00CE0087">
        <w:rPr>
          <w:rFonts w:ascii="Times New Roman" w:hAnsi="Times New Roman" w:cs="Times New Roman"/>
          <w:i/>
          <w:iCs/>
        </w:rPr>
        <w:t>o</w:t>
      </w:r>
      <w:r w:rsidRPr="008373A2">
        <w:rPr>
          <w:rFonts w:ascii="Times New Roman" w:hAnsi="Times New Roman" w:cs="Times New Roman"/>
          <w:i/>
          <w:iCs/>
        </w:rPr>
        <w:t>pinio juris</w:t>
      </w:r>
      <w:r w:rsidRPr="008373A2">
        <w:rPr>
          <w:rFonts w:ascii="Times New Roman" w:hAnsi="Times New Roman" w:cs="Times New Roman"/>
        </w:rPr>
        <w:t xml:space="preserve"> </w:t>
      </w:r>
      <w:r w:rsidR="00704AE5">
        <w:rPr>
          <w:rFonts w:ascii="Times New Roman" w:hAnsi="Times New Roman" w:cs="Times New Roman"/>
        </w:rPr>
        <w:t>w</w:t>
      </w:r>
      <w:r w:rsidR="0039600A">
        <w:rPr>
          <w:rFonts w:ascii="Times New Roman" w:hAnsi="Times New Roman" w:cs="Times New Roman"/>
        </w:rPr>
        <w:t>ould be</w:t>
      </w:r>
      <w:r w:rsidRPr="008373A2">
        <w:rPr>
          <w:rFonts w:ascii="Times New Roman" w:hAnsi="Times New Roman" w:cs="Times New Roman"/>
        </w:rPr>
        <w:t xml:space="preserve"> needed to remove the ambiguity from the omission. </w:t>
      </w:r>
    </w:p>
    <w:p w14:paraId="4CE47F58" w14:textId="74F62F34" w:rsidR="001B0A31" w:rsidRPr="008373A2" w:rsidRDefault="001B0A31" w:rsidP="00064C83">
      <w:pPr>
        <w:spacing w:line="360" w:lineRule="auto"/>
        <w:jc w:val="both"/>
        <w:rPr>
          <w:rFonts w:ascii="Times New Roman" w:hAnsi="Times New Roman" w:cs="Times New Roman"/>
        </w:rPr>
      </w:pPr>
    </w:p>
    <w:p w14:paraId="7AABC76F" w14:textId="62FF723B" w:rsidR="0018383C" w:rsidRPr="008373A2" w:rsidRDefault="001B0A31" w:rsidP="00064C83">
      <w:pPr>
        <w:spacing w:line="360" w:lineRule="auto"/>
        <w:jc w:val="both"/>
        <w:rPr>
          <w:rFonts w:ascii="Times New Roman" w:hAnsi="Times New Roman" w:cs="Times New Roman"/>
        </w:rPr>
      </w:pPr>
      <w:r w:rsidRPr="008373A2">
        <w:rPr>
          <w:rFonts w:ascii="Times New Roman" w:hAnsi="Times New Roman" w:cs="Times New Roman"/>
        </w:rPr>
        <w:t xml:space="preserve">Of course, in many cases determining what the </w:t>
      </w:r>
      <w:r w:rsidR="00EE1EB3" w:rsidRPr="008373A2">
        <w:rPr>
          <w:rFonts w:ascii="Times New Roman" w:hAnsi="Times New Roman" w:cs="Times New Roman"/>
        </w:rPr>
        <w:t>underlying international law rules</w:t>
      </w:r>
      <w:r w:rsidRPr="008373A2">
        <w:rPr>
          <w:rFonts w:ascii="Times New Roman" w:hAnsi="Times New Roman" w:cs="Times New Roman"/>
        </w:rPr>
        <w:t xml:space="preserve"> </w:t>
      </w:r>
      <w:r w:rsidR="00EE1EB3" w:rsidRPr="008373A2">
        <w:rPr>
          <w:rFonts w:ascii="Times New Roman" w:hAnsi="Times New Roman" w:cs="Times New Roman"/>
        </w:rPr>
        <w:t>are</w:t>
      </w:r>
      <w:r w:rsidRPr="008373A2">
        <w:rPr>
          <w:rFonts w:ascii="Times New Roman" w:hAnsi="Times New Roman" w:cs="Times New Roman"/>
        </w:rPr>
        <w:t xml:space="preserve"> will itself require an evaluation of </w:t>
      </w:r>
      <w:r w:rsidR="00A0114D" w:rsidRPr="008373A2">
        <w:rPr>
          <w:rFonts w:ascii="Times New Roman" w:hAnsi="Times New Roman" w:cs="Times New Roman"/>
        </w:rPr>
        <w:t>customary international law</w:t>
      </w:r>
      <w:r w:rsidRPr="008373A2">
        <w:rPr>
          <w:rFonts w:ascii="Times New Roman" w:hAnsi="Times New Roman" w:cs="Times New Roman"/>
        </w:rPr>
        <w:t xml:space="preserve"> and</w:t>
      </w:r>
      <w:r w:rsidR="00CD2A50" w:rsidRPr="008373A2">
        <w:rPr>
          <w:rFonts w:ascii="Times New Roman" w:hAnsi="Times New Roman" w:cs="Times New Roman"/>
        </w:rPr>
        <w:t>, like the</w:t>
      </w:r>
      <w:r w:rsidR="0032525D" w:rsidRPr="008373A2">
        <w:rPr>
          <w:rFonts w:ascii="Times New Roman" w:hAnsi="Times New Roman" w:cs="Times New Roman"/>
        </w:rPr>
        <w:t xml:space="preserve"> </w:t>
      </w:r>
      <w:r w:rsidR="00D72A93" w:rsidRPr="008373A2">
        <w:rPr>
          <w:rFonts w:ascii="Times New Roman" w:hAnsi="Times New Roman" w:cs="Times New Roman"/>
        </w:rPr>
        <w:t>characterization</w:t>
      </w:r>
      <w:r w:rsidR="0032525D" w:rsidRPr="008373A2">
        <w:rPr>
          <w:rFonts w:ascii="Times New Roman" w:hAnsi="Times New Roman" w:cs="Times New Roman"/>
        </w:rPr>
        <w:t xml:space="preserve"> of the</w:t>
      </w:r>
      <w:r w:rsidR="00CD2A50" w:rsidRPr="008373A2">
        <w:rPr>
          <w:rFonts w:ascii="Times New Roman" w:hAnsi="Times New Roman" w:cs="Times New Roman"/>
        </w:rPr>
        <w:t xml:space="preserve"> nature of </w:t>
      </w:r>
      <w:r w:rsidR="00D72A93" w:rsidRPr="008373A2">
        <w:rPr>
          <w:rFonts w:ascii="Times New Roman" w:hAnsi="Times New Roman" w:cs="Times New Roman"/>
        </w:rPr>
        <w:t xml:space="preserve">a </w:t>
      </w:r>
      <w:r w:rsidR="00CD2A50" w:rsidRPr="008373A2">
        <w:rPr>
          <w:rFonts w:ascii="Times New Roman" w:hAnsi="Times New Roman" w:cs="Times New Roman"/>
        </w:rPr>
        <w:t xml:space="preserve">rule, is not a neutral or objective </w:t>
      </w:r>
      <w:r w:rsidR="002657EB" w:rsidRPr="008373A2">
        <w:rPr>
          <w:rFonts w:ascii="Times New Roman" w:hAnsi="Times New Roman" w:cs="Times New Roman"/>
        </w:rPr>
        <w:t>exercise</w:t>
      </w:r>
      <w:r w:rsidR="00CD2A50" w:rsidRPr="008373A2">
        <w:rPr>
          <w:rFonts w:ascii="Times New Roman" w:hAnsi="Times New Roman" w:cs="Times New Roman"/>
        </w:rPr>
        <w:t xml:space="preserve">. </w:t>
      </w:r>
      <w:r w:rsidR="00006794" w:rsidRPr="008373A2">
        <w:rPr>
          <w:rFonts w:ascii="Times New Roman" w:hAnsi="Times New Roman" w:cs="Times New Roman"/>
        </w:rPr>
        <w:t>I</w:t>
      </w:r>
      <w:r w:rsidRPr="008373A2">
        <w:rPr>
          <w:rFonts w:ascii="Times New Roman" w:hAnsi="Times New Roman" w:cs="Times New Roman"/>
        </w:rPr>
        <w:t xml:space="preserve">n litigation </w:t>
      </w:r>
      <w:r w:rsidR="00CD2A50" w:rsidRPr="008373A2">
        <w:rPr>
          <w:rFonts w:ascii="Times New Roman" w:hAnsi="Times New Roman" w:cs="Times New Roman"/>
        </w:rPr>
        <w:t xml:space="preserve">the </w:t>
      </w:r>
      <w:r w:rsidR="000904BA" w:rsidRPr="008373A2">
        <w:rPr>
          <w:rFonts w:ascii="Times New Roman" w:hAnsi="Times New Roman" w:cs="Times New Roman"/>
        </w:rPr>
        <w:t>underlying international law rules</w:t>
      </w:r>
      <w:r w:rsidR="000904BA" w:rsidRPr="008373A2" w:rsidDel="000904BA">
        <w:rPr>
          <w:rFonts w:ascii="Times New Roman" w:hAnsi="Times New Roman" w:cs="Times New Roman"/>
        </w:rPr>
        <w:t xml:space="preserve"> </w:t>
      </w:r>
      <w:r w:rsidRPr="008373A2">
        <w:rPr>
          <w:rFonts w:ascii="Times New Roman" w:hAnsi="Times New Roman" w:cs="Times New Roman"/>
        </w:rPr>
        <w:t xml:space="preserve">may be as significant a point of contention among the parties as the evidence for the alleged new customary rule itself. The PCIJ’s </w:t>
      </w:r>
      <w:r w:rsidRPr="008373A2">
        <w:rPr>
          <w:rFonts w:ascii="Times New Roman" w:hAnsi="Times New Roman" w:cs="Times New Roman"/>
          <w:i/>
          <w:iCs/>
        </w:rPr>
        <w:t>Case of the SS Lotus</w:t>
      </w:r>
      <w:r w:rsidR="005303E6">
        <w:rPr>
          <w:rFonts w:ascii="Times New Roman" w:hAnsi="Times New Roman" w:cs="Times New Roman"/>
          <w:i/>
          <w:iCs/>
        </w:rPr>
        <w:t xml:space="preserve"> </w:t>
      </w:r>
      <w:r w:rsidR="005303E6">
        <w:rPr>
          <w:rFonts w:ascii="Times New Roman" w:hAnsi="Times New Roman" w:cs="Times New Roman"/>
        </w:rPr>
        <w:t xml:space="preserve">is the </w:t>
      </w:r>
      <w:r w:rsidR="005303E6" w:rsidRPr="008373A2">
        <w:rPr>
          <w:rFonts w:ascii="Times New Roman" w:hAnsi="Times New Roman" w:cs="Times New Roman"/>
        </w:rPr>
        <w:t>classic example</w:t>
      </w:r>
      <w:r w:rsidRPr="008373A2">
        <w:rPr>
          <w:rFonts w:ascii="Times New Roman" w:hAnsi="Times New Roman" w:cs="Times New Roman"/>
        </w:rPr>
        <w:t xml:space="preserve">. The question at issue was whether Turkey had lawfully </w:t>
      </w:r>
      <w:r w:rsidR="002657EB" w:rsidRPr="008373A2">
        <w:rPr>
          <w:rFonts w:ascii="Times New Roman" w:hAnsi="Times New Roman" w:cs="Times New Roman"/>
        </w:rPr>
        <w:t>exercised</w:t>
      </w:r>
      <w:r w:rsidRPr="008373A2">
        <w:rPr>
          <w:rFonts w:ascii="Times New Roman" w:hAnsi="Times New Roman" w:cs="Times New Roman"/>
        </w:rPr>
        <w:t xml:space="preserve"> criminal jurisdiction over the </w:t>
      </w:r>
      <w:r w:rsidRPr="008373A2">
        <w:rPr>
          <w:rFonts w:ascii="Times New Roman" w:hAnsi="Times New Roman" w:cs="Times New Roman"/>
          <w:i/>
          <w:iCs/>
        </w:rPr>
        <w:t>Lotus</w:t>
      </w:r>
      <w:r w:rsidRPr="008373A2">
        <w:rPr>
          <w:rFonts w:ascii="Times New Roman" w:hAnsi="Times New Roman" w:cs="Times New Roman"/>
        </w:rPr>
        <w:t xml:space="preserve">’s French captain, who was prosecuted on arrival in Istanbul for his role in that ship’s collision with the Turkish vessel </w:t>
      </w:r>
      <w:r w:rsidRPr="008373A2">
        <w:rPr>
          <w:rFonts w:ascii="Times New Roman" w:hAnsi="Times New Roman" w:cs="Times New Roman"/>
          <w:i/>
          <w:iCs/>
        </w:rPr>
        <w:t>Boz-Court</w:t>
      </w:r>
      <w:r w:rsidR="0049086B" w:rsidRPr="008373A2">
        <w:rPr>
          <w:rFonts w:ascii="Times New Roman" w:hAnsi="Times New Roman" w:cs="Times New Roman"/>
        </w:rPr>
        <w:t>,</w:t>
      </w:r>
      <w:r w:rsidR="00FA3737" w:rsidRPr="008373A2">
        <w:rPr>
          <w:rFonts w:ascii="Times New Roman" w:hAnsi="Times New Roman" w:cs="Times New Roman"/>
          <w:i/>
          <w:iCs/>
        </w:rPr>
        <w:t xml:space="preserve"> </w:t>
      </w:r>
      <w:r w:rsidR="00FA3737" w:rsidRPr="008373A2">
        <w:rPr>
          <w:rFonts w:ascii="Times New Roman" w:hAnsi="Times New Roman" w:cs="Times New Roman"/>
        </w:rPr>
        <w:t xml:space="preserve">causing the death of </w:t>
      </w:r>
      <w:r w:rsidR="00C37FE3" w:rsidRPr="008373A2">
        <w:rPr>
          <w:rFonts w:ascii="Times New Roman" w:hAnsi="Times New Roman" w:cs="Times New Roman"/>
        </w:rPr>
        <w:t>8</w:t>
      </w:r>
      <w:r w:rsidR="00FA3737" w:rsidRPr="008373A2">
        <w:rPr>
          <w:rFonts w:ascii="Times New Roman" w:hAnsi="Times New Roman" w:cs="Times New Roman"/>
        </w:rPr>
        <w:t xml:space="preserve"> sailors</w:t>
      </w:r>
      <w:r w:rsidR="00C37FE3" w:rsidRPr="008373A2">
        <w:rPr>
          <w:rFonts w:ascii="Times New Roman" w:hAnsi="Times New Roman" w:cs="Times New Roman"/>
        </w:rPr>
        <w:t xml:space="preserve"> and passengers</w:t>
      </w:r>
      <w:r w:rsidRPr="008373A2">
        <w:rPr>
          <w:rFonts w:ascii="Times New Roman" w:hAnsi="Times New Roman" w:cs="Times New Roman"/>
        </w:rPr>
        <w:t>. France argued that</w:t>
      </w:r>
      <w:r w:rsidR="00EC753C" w:rsidRPr="008373A2">
        <w:rPr>
          <w:rFonts w:ascii="Times New Roman" w:hAnsi="Times New Roman" w:cs="Times New Roman"/>
        </w:rPr>
        <w:t xml:space="preserve">, in the context of </w:t>
      </w:r>
      <w:r w:rsidR="000904BA" w:rsidRPr="008373A2">
        <w:rPr>
          <w:rFonts w:ascii="Times New Roman" w:hAnsi="Times New Roman" w:cs="Times New Roman"/>
        </w:rPr>
        <w:t>underlying international law rules</w:t>
      </w:r>
      <w:r w:rsidR="00EC753C" w:rsidRPr="008373A2">
        <w:rPr>
          <w:rFonts w:ascii="Times New Roman" w:hAnsi="Times New Roman" w:cs="Times New Roman"/>
        </w:rPr>
        <w:t xml:space="preserve"> where</w:t>
      </w:r>
      <w:r w:rsidR="00E76799" w:rsidRPr="008373A2">
        <w:rPr>
          <w:rFonts w:ascii="Times New Roman" w:hAnsi="Times New Roman" w:cs="Times New Roman"/>
        </w:rPr>
        <w:t>by</w:t>
      </w:r>
      <w:r w:rsidR="00EC753C" w:rsidRPr="008373A2">
        <w:rPr>
          <w:rFonts w:ascii="Times New Roman" w:hAnsi="Times New Roman" w:cs="Times New Roman"/>
        </w:rPr>
        <w:t xml:space="preserve"> states are </w:t>
      </w:r>
      <w:r w:rsidR="00214437" w:rsidRPr="008373A2">
        <w:rPr>
          <w:rFonts w:ascii="Times New Roman" w:hAnsi="Times New Roman" w:cs="Times New Roman"/>
          <w:i/>
          <w:iCs/>
        </w:rPr>
        <w:t>prohibited</w:t>
      </w:r>
      <w:r w:rsidR="00214437" w:rsidRPr="008373A2">
        <w:rPr>
          <w:rFonts w:ascii="Times New Roman" w:hAnsi="Times New Roman" w:cs="Times New Roman"/>
        </w:rPr>
        <w:t xml:space="preserve"> from exercising</w:t>
      </w:r>
      <w:r w:rsidR="00EC753C" w:rsidRPr="008373A2">
        <w:rPr>
          <w:rFonts w:ascii="Times New Roman" w:hAnsi="Times New Roman" w:cs="Times New Roman"/>
        </w:rPr>
        <w:t xml:space="preserve"> jurisdiction extraterritorially,</w:t>
      </w:r>
      <w:r w:rsidRPr="008373A2">
        <w:rPr>
          <w:rFonts w:ascii="Times New Roman" w:hAnsi="Times New Roman" w:cs="Times New Roman"/>
        </w:rPr>
        <w:t xml:space="preserve"> it was for Turkey to establish a </w:t>
      </w:r>
      <w:r w:rsidRPr="008373A2">
        <w:rPr>
          <w:rFonts w:ascii="Times New Roman" w:hAnsi="Times New Roman" w:cs="Times New Roman"/>
          <w:i/>
          <w:iCs/>
        </w:rPr>
        <w:t>permissive</w:t>
      </w:r>
      <w:r w:rsidRPr="008373A2">
        <w:rPr>
          <w:rFonts w:ascii="Times New Roman" w:hAnsi="Times New Roman" w:cs="Times New Roman"/>
        </w:rPr>
        <w:t xml:space="preserve"> rule allowing the exercise of jurisdiction by the non-flag state.</w:t>
      </w:r>
      <w:r w:rsidRPr="008373A2">
        <w:rPr>
          <w:rStyle w:val="FootnoteReference"/>
          <w:rFonts w:ascii="Times New Roman" w:hAnsi="Times New Roman" w:cs="Times New Roman"/>
        </w:rPr>
        <w:footnoteReference w:id="51"/>
      </w:r>
      <w:r w:rsidRPr="008373A2">
        <w:rPr>
          <w:rFonts w:ascii="Times New Roman" w:hAnsi="Times New Roman" w:cs="Times New Roman"/>
        </w:rPr>
        <w:t xml:space="preserve"> </w:t>
      </w:r>
      <w:r w:rsidR="00A969CB" w:rsidRPr="008373A2">
        <w:rPr>
          <w:rFonts w:ascii="Times New Roman" w:hAnsi="Times New Roman" w:cs="Times New Roman"/>
        </w:rPr>
        <w:t>T</w:t>
      </w:r>
      <w:r w:rsidRPr="008373A2">
        <w:rPr>
          <w:rFonts w:ascii="Times New Roman" w:hAnsi="Times New Roman" w:cs="Times New Roman"/>
        </w:rPr>
        <w:t>he PCIJ disagreed, on the much critic</w:t>
      </w:r>
      <w:r w:rsidR="002657EB" w:rsidRPr="008373A2">
        <w:rPr>
          <w:rFonts w:ascii="Times New Roman" w:hAnsi="Times New Roman" w:cs="Times New Roman"/>
        </w:rPr>
        <w:t>ize</w:t>
      </w:r>
      <w:r w:rsidRPr="008373A2">
        <w:rPr>
          <w:rFonts w:ascii="Times New Roman" w:hAnsi="Times New Roman" w:cs="Times New Roman"/>
        </w:rPr>
        <w:t>d</w:t>
      </w:r>
      <w:r w:rsidRPr="008373A2">
        <w:rPr>
          <w:rStyle w:val="FootnoteReference"/>
          <w:rFonts w:ascii="Times New Roman" w:hAnsi="Times New Roman" w:cs="Times New Roman"/>
        </w:rPr>
        <w:footnoteReference w:id="52"/>
      </w:r>
      <w:r w:rsidRPr="008373A2">
        <w:rPr>
          <w:rFonts w:ascii="Times New Roman" w:hAnsi="Times New Roman" w:cs="Times New Roman"/>
        </w:rPr>
        <w:t xml:space="preserve"> basis that ‘restrictions on the independence of States cannot be presumed’.</w:t>
      </w:r>
      <w:r w:rsidRPr="008373A2">
        <w:rPr>
          <w:rStyle w:val="FootnoteReference"/>
          <w:rFonts w:ascii="Times New Roman" w:hAnsi="Times New Roman" w:cs="Times New Roman"/>
        </w:rPr>
        <w:footnoteReference w:id="53"/>
      </w:r>
      <w:r w:rsidRPr="008373A2">
        <w:rPr>
          <w:rFonts w:ascii="Times New Roman" w:hAnsi="Times New Roman" w:cs="Times New Roman"/>
        </w:rPr>
        <w:t xml:space="preserve"> </w:t>
      </w:r>
      <w:r w:rsidR="00D20CBC" w:rsidRPr="00437B04">
        <w:rPr>
          <w:rFonts w:ascii="Times New Roman" w:hAnsi="Times New Roman" w:cs="Times New Roman"/>
        </w:rPr>
        <w:t>I</w:t>
      </w:r>
      <w:r w:rsidR="001C6DBC" w:rsidRPr="008373A2">
        <w:rPr>
          <w:rFonts w:ascii="Times New Roman" w:hAnsi="Times New Roman" w:cs="Times New Roman"/>
        </w:rPr>
        <w:t>n the context of a</w:t>
      </w:r>
      <w:r w:rsidR="00C24D04" w:rsidRPr="008373A2">
        <w:rPr>
          <w:rFonts w:ascii="Times New Roman" w:hAnsi="Times New Roman" w:cs="Times New Roman"/>
        </w:rPr>
        <w:t>n underlying</w:t>
      </w:r>
      <w:r w:rsidR="001C6DBC" w:rsidRPr="008373A2">
        <w:rPr>
          <w:rFonts w:ascii="Times New Roman" w:hAnsi="Times New Roman" w:cs="Times New Roman"/>
        </w:rPr>
        <w:t xml:space="preserve"> general permission enjoyed by states,</w:t>
      </w:r>
      <w:r w:rsidR="003A49F5">
        <w:rPr>
          <w:rFonts w:ascii="Times New Roman" w:hAnsi="Times New Roman" w:cs="Times New Roman"/>
        </w:rPr>
        <w:t xml:space="preserve"> the Court held that</w:t>
      </w:r>
      <w:r w:rsidR="001C6DBC" w:rsidRPr="008373A2">
        <w:rPr>
          <w:rFonts w:ascii="Times New Roman" w:hAnsi="Times New Roman" w:cs="Times New Roman"/>
        </w:rPr>
        <w:t xml:space="preserve"> </w:t>
      </w:r>
      <w:r w:rsidRPr="008373A2">
        <w:rPr>
          <w:rFonts w:ascii="Times New Roman" w:hAnsi="Times New Roman" w:cs="Times New Roman"/>
        </w:rPr>
        <w:t xml:space="preserve">it was for France to demonstrate that a </w:t>
      </w:r>
      <w:r w:rsidRPr="008373A2">
        <w:rPr>
          <w:rFonts w:ascii="Times New Roman" w:hAnsi="Times New Roman" w:cs="Times New Roman"/>
          <w:i/>
          <w:iCs/>
        </w:rPr>
        <w:t>prohibitive</w:t>
      </w:r>
      <w:r w:rsidRPr="008373A2">
        <w:rPr>
          <w:rFonts w:ascii="Times New Roman" w:hAnsi="Times New Roman" w:cs="Times New Roman"/>
        </w:rPr>
        <w:t xml:space="preserve"> rule of international law had come into existence that would render Turkey’s exercise of jurisdiction unlawful. </w:t>
      </w:r>
      <w:r w:rsidR="00583C24" w:rsidRPr="008373A2">
        <w:rPr>
          <w:rFonts w:ascii="Times New Roman" w:hAnsi="Times New Roman" w:cs="Times New Roman"/>
        </w:rPr>
        <w:t xml:space="preserve">That France was ultimately unsuccessful in </w:t>
      </w:r>
      <w:r w:rsidR="007777FF" w:rsidRPr="008373A2">
        <w:rPr>
          <w:rFonts w:ascii="Times New Roman" w:hAnsi="Times New Roman" w:cs="Times New Roman"/>
        </w:rPr>
        <w:t>this case was</w:t>
      </w:r>
      <w:r w:rsidR="00583C24" w:rsidRPr="008373A2">
        <w:rPr>
          <w:rFonts w:ascii="Times New Roman" w:hAnsi="Times New Roman" w:cs="Times New Roman"/>
        </w:rPr>
        <w:t xml:space="preserve">, as in </w:t>
      </w:r>
      <w:r w:rsidR="00583C24" w:rsidRPr="008373A2">
        <w:rPr>
          <w:rFonts w:ascii="Times New Roman" w:hAnsi="Times New Roman" w:cs="Times New Roman"/>
          <w:i/>
          <w:iCs/>
        </w:rPr>
        <w:t>Asylum</w:t>
      </w:r>
      <w:r w:rsidR="00583C24" w:rsidRPr="008373A2">
        <w:rPr>
          <w:rFonts w:ascii="Times New Roman" w:hAnsi="Times New Roman" w:cs="Times New Roman"/>
        </w:rPr>
        <w:t xml:space="preserve">, due to </w:t>
      </w:r>
      <w:r w:rsidR="007777FF" w:rsidRPr="008373A2">
        <w:rPr>
          <w:rFonts w:ascii="Times New Roman" w:hAnsi="Times New Roman" w:cs="Times New Roman"/>
        </w:rPr>
        <w:t xml:space="preserve">a lack of evidence of </w:t>
      </w:r>
      <w:r w:rsidR="007777FF" w:rsidRPr="008373A2">
        <w:rPr>
          <w:rFonts w:ascii="Times New Roman" w:hAnsi="Times New Roman" w:cs="Times New Roman"/>
          <w:i/>
          <w:iCs/>
        </w:rPr>
        <w:t>opinio juris</w:t>
      </w:r>
      <w:r w:rsidR="00583C24" w:rsidRPr="008373A2">
        <w:rPr>
          <w:rFonts w:ascii="Times New Roman" w:hAnsi="Times New Roman" w:cs="Times New Roman"/>
        </w:rPr>
        <w:t>:</w:t>
      </w:r>
      <w:r w:rsidR="002E0F8F" w:rsidRPr="008373A2">
        <w:rPr>
          <w:rFonts w:ascii="Times New Roman" w:hAnsi="Times New Roman" w:cs="Times New Roman"/>
        </w:rPr>
        <w:t xml:space="preserve"> since the </w:t>
      </w:r>
      <w:r w:rsidR="005855B5">
        <w:rPr>
          <w:rFonts w:ascii="Times New Roman" w:hAnsi="Times New Roman" w:cs="Times New Roman"/>
        </w:rPr>
        <w:t xml:space="preserve">examples invoked by France of </w:t>
      </w:r>
      <w:r w:rsidR="002E0F8F" w:rsidRPr="008373A2">
        <w:rPr>
          <w:rFonts w:ascii="Times New Roman" w:hAnsi="Times New Roman" w:cs="Times New Roman"/>
        </w:rPr>
        <w:t xml:space="preserve">omissions </w:t>
      </w:r>
      <w:r w:rsidR="005855B5">
        <w:rPr>
          <w:rFonts w:ascii="Times New Roman" w:hAnsi="Times New Roman" w:cs="Times New Roman"/>
        </w:rPr>
        <w:t>by</w:t>
      </w:r>
      <w:r w:rsidR="002E0F8F" w:rsidRPr="008373A2">
        <w:rPr>
          <w:rFonts w:ascii="Times New Roman" w:hAnsi="Times New Roman" w:cs="Times New Roman"/>
        </w:rPr>
        <w:t xml:space="preserve"> states to exercise </w:t>
      </w:r>
      <w:r w:rsidR="003A49F5">
        <w:rPr>
          <w:rFonts w:ascii="Times New Roman" w:hAnsi="Times New Roman" w:cs="Times New Roman"/>
        </w:rPr>
        <w:t xml:space="preserve">extraterritorial </w:t>
      </w:r>
      <w:r w:rsidR="002E0F8F" w:rsidRPr="008373A2">
        <w:rPr>
          <w:rFonts w:ascii="Times New Roman" w:hAnsi="Times New Roman" w:cs="Times New Roman"/>
        </w:rPr>
        <w:lastRenderedPageBreak/>
        <w:t>jurisdiction were consistent with both the alleged new</w:t>
      </w:r>
      <w:r w:rsidR="000904BA" w:rsidRPr="008373A2">
        <w:rPr>
          <w:rFonts w:ascii="Times New Roman" w:hAnsi="Times New Roman" w:cs="Times New Roman"/>
        </w:rPr>
        <w:t xml:space="preserve"> rule</w:t>
      </w:r>
      <w:r w:rsidR="002E0F8F" w:rsidRPr="008373A2">
        <w:rPr>
          <w:rFonts w:ascii="Times New Roman" w:hAnsi="Times New Roman" w:cs="Times New Roman"/>
        </w:rPr>
        <w:t xml:space="preserve"> and </w:t>
      </w:r>
      <w:r w:rsidR="000904BA" w:rsidRPr="008373A2">
        <w:rPr>
          <w:rFonts w:ascii="Times New Roman" w:hAnsi="Times New Roman" w:cs="Times New Roman"/>
        </w:rPr>
        <w:t>the underlying international law rules</w:t>
      </w:r>
      <w:r w:rsidR="007777FF" w:rsidRPr="008373A2">
        <w:rPr>
          <w:rFonts w:ascii="Times New Roman" w:hAnsi="Times New Roman" w:cs="Times New Roman"/>
        </w:rPr>
        <w:t xml:space="preserve">, evidence of </w:t>
      </w:r>
      <w:r w:rsidR="007777FF" w:rsidRPr="008373A2">
        <w:rPr>
          <w:rFonts w:ascii="Times New Roman" w:hAnsi="Times New Roman" w:cs="Times New Roman"/>
          <w:i/>
          <w:iCs/>
        </w:rPr>
        <w:t>opinio juris</w:t>
      </w:r>
      <w:r w:rsidR="007777FF" w:rsidRPr="008373A2">
        <w:rPr>
          <w:rFonts w:ascii="Times New Roman" w:hAnsi="Times New Roman" w:cs="Times New Roman"/>
        </w:rPr>
        <w:t xml:space="preserve"> was needed to remove the ambiguity from the practice</w:t>
      </w:r>
      <w:r w:rsidR="00D54521">
        <w:rPr>
          <w:rFonts w:ascii="Times New Roman" w:hAnsi="Times New Roman" w:cs="Times New Roman"/>
        </w:rPr>
        <w:t xml:space="preserve"> if the new </w:t>
      </w:r>
      <w:r w:rsidR="003A49F5">
        <w:rPr>
          <w:rFonts w:ascii="Times New Roman" w:hAnsi="Times New Roman" w:cs="Times New Roman"/>
        </w:rPr>
        <w:t>customary prohibition</w:t>
      </w:r>
      <w:r w:rsidR="00D54521">
        <w:rPr>
          <w:rFonts w:ascii="Times New Roman" w:hAnsi="Times New Roman" w:cs="Times New Roman"/>
        </w:rPr>
        <w:t xml:space="preserve"> was to be established</w:t>
      </w:r>
      <w:r w:rsidR="007777FF" w:rsidRPr="008373A2">
        <w:rPr>
          <w:rFonts w:ascii="Times New Roman" w:hAnsi="Times New Roman" w:cs="Times New Roman"/>
        </w:rPr>
        <w:t>.</w:t>
      </w:r>
      <w:r w:rsidR="00E56DE7" w:rsidRPr="008373A2">
        <w:rPr>
          <w:rStyle w:val="FootnoteReference"/>
          <w:rFonts w:ascii="Times New Roman" w:hAnsi="Times New Roman" w:cs="Times New Roman"/>
        </w:rPr>
        <w:footnoteReference w:id="54"/>
      </w:r>
      <w:r w:rsidR="007777FF" w:rsidRPr="008373A2">
        <w:rPr>
          <w:rFonts w:ascii="Times New Roman" w:hAnsi="Times New Roman" w:cs="Times New Roman"/>
        </w:rPr>
        <w:t xml:space="preserve"> </w:t>
      </w:r>
      <w:r w:rsidR="00D20CBC" w:rsidRPr="00437B04">
        <w:rPr>
          <w:rFonts w:ascii="Times New Roman" w:hAnsi="Times New Roman" w:cs="Times New Roman"/>
        </w:rPr>
        <w:t>I</w:t>
      </w:r>
      <w:r w:rsidR="00583C24" w:rsidRPr="008373A2">
        <w:rPr>
          <w:rFonts w:ascii="Times New Roman" w:hAnsi="Times New Roman" w:cs="Times New Roman"/>
        </w:rPr>
        <w:t>t was only ‘if such abstention were based on their being conscious of having a duty to abstain’ that it would be possible to speak of a customary rule.</w:t>
      </w:r>
      <w:r w:rsidR="00583C24" w:rsidRPr="008373A2">
        <w:rPr>
          <w:rStyle w:val="FootnoteReference"/>
          <w:rFonts w:ascii="Times New Roman" w:hAnsi="Times New Roman" w:cs="Times New Roman"/>
        </w:rPr>
        <w:footnoteReference w:id="55"/>
      </w:r>
    </w:p>
    <w:p w14:paraId="75D53022" w14:textId="77777777" w:rsidR="0018383C" w:rsidRPr="008373A2" w:rsidRDefault="0018383C" w:rsidP="00064C83">
      <w:pPr>
        <w:spacing w:line="360" w:lineRule="auto"/>
        <w:jc w:val="both"/>
        <w:rPr>
          <w:rFonts w:ascii="Times New Roman" w:hAnsi="Times New Roman" w:cs="Times New Roman"/>
        </w:rPr>
      </w:pPr>
    </w:p>
    <w:p w14:paraId="237DCEBC" w14:textId="3579BA2D" w:rsidR="001B0A31" w:rsidRPr="008373A2" w:rsidRDefault="001B0A31" w:rsidP="00064C83">
      <w:pPr>
        <w:spacing w:line="360" w:lineRule="auto"/>
        <w:jc w:val="both"/>
        <w:rPr>
          <w:rFonts w:ascii="Times New Roman" w:hAnsi="Times New Roman" w:cs="Times New Roman"/>
        </w:rPr>
      </w:pPr>
      <w:r w:rsidRPr="008373A2">
        <w:rPr>
          <w:rFonts w:ascii="Times New Roman" w:hAnsi="Times New Roman" w:cs="Times New Roman"/>
        </w:rPr>
        <w:t>As was pointed out even at the time, however, we cannot simply assume that states enjoy unlimited freedom to act unless a rule of international law imposes a prohibition</w:t>
      </w:r>
      <w:r w:rsidR="0049086B" w:rsidRPr="008373A2">
        <w:rPr>
          <w:rFonts w:ascii="Times New Roman" w:hAnsi="Times New Roman" w:cs="Times New Roman"/>
        </w:rPr>
        <w:t>.</w:t>
      </w:r>
      <w:r w:rsidR="0055122A" w:rsidRPr="008373A2">
        <w:rPr>
          <w:rStyle w:val="FootnoteReference"/>
          <w:rFonts w:ascii="Times New Roman" w:hAnsi="Times New Roman" w:cs="Times New Roman"/>
        </w:rPr>
        <w:footnoteReference w:id="56"/>
      </w:r>
      <w:r w:rsidR="0049086B" w:rsidRPr="008373A2">
        <w:rPr>
          <w:rFonts w:ascii="Times New Roman" w:hAnsi="Times New Roman" w:cs="Times New Roman"/>
        </w:rPr>
        <w:t xml:space="preserve"> </w:t>
      </w:r>
      <w:r w:rsidR="0055122A" w:rsidRPr="008373A2">
        <w:rPr>
          <w:rFonts w:ascii="Times New Roman" w:hAnsi="Times New Roman" w:cs="Times New Roman"/>
        </w:rPr>
        <w:t xml:space="preserve">Determining the </w:t>
      </w:r>
      <w:r w:rsidR="000904BA" w:rsidRPr="008373A2">
        <w:rPr>
          <w:rFonts w:ascii="Times New Roman" w:hAnsi="Times New Roman" w:cs="Times New Roman"/>
        </w:rPr>
        <w:t>backdrop of underlying international law rules</w:t>
      </w:r>
      <w:r w:rsidR="0055122A" w:rsidRPr="008373A2">
        <w:rPr>
          <w:rFonts w:ascii="Times New Roman" w:hAnsi="Times New Roman" w:cs="Times New Roman"/>
        </w:rPr>
        <w:t xml:space="preserve"> will therefore be a more complex task and u</w:t>
      </w:r>
      <w:r w:rsidR="00016452" w:rsidRPr="008373A2">
        <w:rPr>
          <w:rFonts w:ascii="Times New Roman" w:hAnsi="Times New Roman" w:cs="Times New Roman"/>
        </w:rPr>
        <w:t xml:space="preserve">ltimately will depend on an analysis of the </w:t>
      </w:r>
      <w:r w:rsidR="00AD210A">
        <w:rPr>
          <w:rFonts w:ascii="Times New Roman" w:hAnsi="Times New Roman" w:cs="Times New Roman"/>
        </w:rPr>
        <w:t xml:space="preserve">particular </w:t>
      </w:r>
      <w:r w:rsidR="00016452" w:rsidRPr="008373A2">
        <w:rPr>
          <w:rFonts w:ascii="Times New Roman" w:hAnsi="Times New Roman" w:cs="Times New Roman"/>
        </w:rPr>
        <w:t>area of international law concerned.</w:t>
      </w:r>
      <w:r w:rsidR="00016452" w:rsidRPr="008373A2">
        <w:rPr>
          <w:rStyle w:val="FootnoteReference"/>
          <w:rFonts w:ascii="Times New Roman" w:hAnsi="Times New Roman" w:cs="Times New Roman"/>
        </w:rPr>
        <w:footnoteReference w:id="57"/>
      </w:r>
      <w:r w:rsidR="0018188F" w:rsidRPr="008373A2">
        <w:rPr>
          <w:rFonts w:ascii="Times New Roman" w:hAnsi="Times New Roman" w:cs="Times New Roman"/>
        </w:rPr>
        <w:t xml:space="preserve"> For example, in </w:t>
      </w:r>
      <w:r w:rsidR="003516EA" w:rsidRPr="008373A2">
        <w:rPr>
          <w:rFonts w:ascii="Times New Roman" w:hAnsi="Times New Roman" w:cs="Times New Roman"/>
        </w:rPr>
        <w:t xml:space="preserve">the advisory opinion on the </w:t>
      </w:r>
      <w:r w:rsidR="003516EA" w:rsidRPr="008373A2">
        <w:rPr>
          <w:rFonts w:ascii="Times New Roman" w:hAnsi="Times New Roman" w:cs="Times New Roman"/>
          <w:i/>
          <w:iCs/>
        </w:rPr>
        <w:t>Legality of the Threat or Use of Nuclear Weapons</w:t>
      </w:r>
      <w:r w:rsidR="0018188F" w:rsidRPr="008373A2">
        <w:rPr>
          <w:rFonts w:ascii="Times New Roman" w:hAnsi="Times New Roman" w:cs="Times New Roman"/>
        </w:rPr>
        <w:t xml:space="preserve"> the </w:t>
      </w:r>
      <w:r w:rsidR="003A2CA8">
        <w:rPr>
          <w:rFonts w:ascii="Times New Roman" w:hAnsi="Times New Roman" w:cs="Times New Roman"/>
        </w:rPr>
        <w:t>ICJ</w:t>
      </w:r>
      <w:r w:rsidR="0018188F" w:rsidRPr="008373A2">
        <w:rPr>
          <w:rFonts w:ascii="Times New Roman" w:hAnsi="Times New Roman" w:cs="Times New Roman"/>
        </w:rPr>
        <w:t xml:space="preserve">, like the PCIJ in </w:t>
      </w:r>
      <w:r w:rsidR="0018188F" w:rsidRPr="008373A2">
        <w:rPr>
          <w:rFonts w:ascii="Times New Roman" w:hAnsi="Times New Roman" w:cs="Times New Roman"/>
          <w:i/>
          <w:iCs/>
        </w:rPr>
        <w:t>Lotus</w:t>
      </w:r>
      <w:r w:rsidR="0018188F" w:rsidRPr="008373A2">
        <w:rPr>
          <w:rFonts w:ascii="Times New Roman" w:hAnsi="Times New Roman" w:cs="Times New Roman"/>
        </w:rPr>
        <w:t>, took the view that</w:t>
      </w:r>
      <w:r w:rsidR="00513FF0" w:rsidRPr="008373A2">
        <w:rPr>
          <w:rFonts w:ascii="Times New Roman" w:hAnsi="Times New Roman" w:cs="Times New Roman"/>
        </w:rPr>
        <w:t xml:space="preserve"> for nuclear weapons to be unlawful</w:t>
      </w:r>
      <w:r w:rsidR="0018188F" w:rsidRPr="008373A2">
        <w:rPr>
          <w:rFonts w:ascii="Times New Roman" w:hAnsi="Times New Roman" w:cs="Times New Roman"/>
        </w:rPr>
        <w:t xml:space="preserve"> it was the existence of a prohibitive customary </w:t>
      </w:r>
      <w:r w:rsidR="00AD210A">
        <w:rPr>
          <w:rFonts w:ascii="Times New Roman" w:hAnsi="Times New Roman" w:cs="Times New Roman"/>
        </w:rPr>
        <w:t xml:space="preserve">international law </w:t>
      </w:r>
      <w:r w:rsidR="0018188F" w:rsidRPr="008373A2">
        <w:rPr>
          <w:rFonts w:ascii="Times New Roman" w:hAnsi="Times New Roman" w:cs="Times New Roman"/>
        </w:rPr>
        <w:t>rule that needed to be established</w:t>
      </w:r>
      <w:r w:rsidR="00513FF0" w:rsidRPr="008373A2">
        <w:rPr>
          <w:rFonts w:ascii="Times New Roman" w:hAnsi="Times New Roman" w:cs="Times New Roman"/>
        </w:rPr>
        <w:t xml:space="preserve"> in the context of an </w:t>
      </w:r>
      <w:r w:rsidR="000904BA" w:rsidRPr="008373A2">
        <w:rPr>
          <w:rFonts w:ascii="Times New Roman" w:hAnsi="Times New Roman" w:cs="Times New Roman"/>
        </w:rPr>
        <w:t xml:space="preserve">underlying </w:t>
      </w:r>
      <w:r w:rsidR="00513FF0" w:rsidRPr="008373A2">
        <w:rPr>
          <w:rFonts w:ascii="Times New Roman" w:hAnsi="Times New Roman" w:cs="Times New Roman"/>
        </w:rPr>
        <w:t>general permission</w:t>
      </w:r>
      <w:r w:rsidR="0018188F" w:rsidRPr="008373A2">
        <w:rPr>
          <w:rFonts w:ascii="Times New Roman" w:hAnsi="Times New Roman" w:cs="Times New Roman"/>
        </w:rPr>
        <w:t xml:space="preserve">. However, rather than </w:t>
      </w:r>
      <w:r w:rsidR="00EE43C7">
        <w:rPr>
          <w:rFonts w:ascii="Times New Roman" w:hAnsi="Times New Roman" w:cs="Times New Roman"/>
        </w:rPr>
        <w:t xml:space="preserve">simply </w:t>
      </w:r>
      <w:r w:rsidR="0018188F" w:rsidRPr="008373A2">
        <w:rPr>
          <w:rFonts w:ascii="Times New Roman" w:hAnsi="Times New Roman" w:cs="Times New Roman"/>
        </w:rPr>
        <w:t xml:space="preserve">assuming that no restrictions on </w:t>
      </w:r>
      <w:r w:rsidR="005F51E8" w:rsidRPr="008373A2">
        <w:rPr>
          <w:rFonts w:ascii="Times New Roman" w:hAnsi="Times New Roman" w:cs="Times New Roman"/>
        </w:rPr>
        <w:t>state freedom</w:t>
      </w:r>
      <w:r w:rsidR="0018188F" w:rsidRPr="008373A2">
        <w:rPr>
          <w:rFonts w:ascii="Times New Roman" w:hAnsi="Times New Roman" w:cs="Times New Roman"/>
        </w:rPr>
        <w:t xml:space="preserve"> can be presumed, the Court reaches this conclusion based on an evaluation of practice in the field of arms control, which showed that the illegality of the use of various weapons under international law </w:t>
      </w:r>
      <w:r w:rsidR="00AD210A">
        <w:rPr>
          <w:rFonts w:ascii="Times New Roman" w:hAnsi="Times New Roman" w:cs="Times New Roman"/>
        </w:rPr>
        <w:t>results from</w:t>
      </w:r>
      <w:r w:rsidR="0018188F" w:rsidRPr="008373A2">
        <w:rPr>
          <w:rFonts w:ascii="Times New Roman" w:hAnsi="Times New Roman" w:cs="Times New Roman"/>
        </w:rPr>
        <w:t xml:space="preserve"> </w:t>
      </w:r>
      <w:r w:rsidR="00AD210A" w:rsidRPr="008373A2">
        <w:rPr>
          <w:rFonts w:ascii="Times New Roman" w:hAnsi="Times New Roman" w:cs="Times New Roman"/>
        </w:rPr>
        <w:t>prohibiti</w:t>
      </w:r>
      <w:r w:rsidR="00AD210A">
        <w:rPr>
          <w:rFonts w:ascii="Times New Roman" w:hAnsi="Times New Roman" w:cs="Times New Roman"/>
        </w:rPr>
        <w:t>ve rules</w:t>
      </w:r>
      <w:r w:rsidR="0018188F" w:rsidRPr="008373A2">
        <w:rPr>
          <w:rFonts w:ascii="Times New Roman" w:hAnsi="Times New Roman" w:cs="Times New Roman"/>
        </w:rPr>
        <w:t>, against a background where all weapons are otherwise permitted</w:t>
      </w:r>
      <w:r w:rsidR="00EE181E">
        <w:rPr>
          <w:rFonts w:ascii="Times New Roman" w:hAnsi="Times New Roman" w:cs="Times New Roman"/>
        </w:rPr>
        <w:t xml:space="preserve"> under international law</w:t>
      </w:r>
      <w:r w:rsidR="0018188F" w:rsidRPr="008373A2">
        <w:rPr>
          <w:rFonts w:ascii="Times New Roman" w:hAnsi="Times New Roman" w:cs="Times New Roman"/>
        </w:rPr>
        <w:t>.</w:t>
      </w:r>
      <w:r w:rsidR="0018188F" w:rsidRPr="008373A2">
        <w:rPr>
          <w:rStyle w:val="FootnoteReference"/>
          <w:rFonts w:ascii="Times New Roman" w:hAnsi="Times New Roman" w:cs="Times New Roman"/>
        </w:rPr>
        <w:footnoteReference w:id="58"/>
      </w:r>
      <w:r w:rsidR="0018188F" w:rsidRPr="008373A2">
        <w:rPr>
          <w:rFonts w:ascii="Times New Roman" w:hAnsi="Times New Roman" w:cs="Times New Roman"/>
        </w:rPr>
        <w:t xml:space="preserve"> By contrast, when attempting to establish new customary rules in the </w:t>
      </w:r>
      <w:r w:rsidR="0018188F" w:rsidRPr="008373A2">
        <w:rPr>
          <w:rFonts w:ascii="Times New Roman" w:hAnsi="Times New Roman" w:cs="Times New Roman"/>
          <w:i/>
          <w:iCs/>
        </w:rPr>
        <w:t>jus ad bellum</w:t>
      </w:r>
      <w:r w:rsidR="0018188F" w:rsidRPr="008373A2">
        <w:rPr>
          <w:rFonts w:ascii="Times New Roman" w:hAnsi="Times New Roman" w:cs="Times New Roman"/>
        </w:rPr>
        <w:t xml:space="preserve"> </w:t>
      </w:r>
      <w:r w:rsidR="000904BA" w:rsidRPr="008373A2">
        <w:rPr>
          <w:rFonts w:ascii="Times New Roman" w:hAnsi="Times New Roman" w:cs="Times New Roman"/>
        </w:rPr>
        <w:t>the underlying international law rules</w:t>
      </w:r>
      <w:r w:rsidR="00E30FD6" w:rsidRPr="008373A2">
        <w:rPr>
          <w:rFonts w:ascii="Times New Roman" w:hAnsi="Times New Roman" w:cs="Times New Roman"/>
        </w:rPr>
        <w:t xml:space="preserve"> </w:t>
      </w:r>
      <w:r w:rsidR="0018188F" w:rsidRPr="008373A2">
        <w:rPr>
          <w:rFonts w:ascii="Times New Roman" w:hAnsi="Times New Roman" w:cs="Times New Roman"/>
        </w:rPr>
        <w:t xml:space="preserve">will virtually always </w:t>
      </w:r>
      <w:r w:rsidR="00E30FD6" w:rsidRPr="008373A2">
        <w:rPr>
          <w:rFonts w:ascii="Times New Roman" w:hAnsi="Times New Roman" w:cs="Times New Roman"/>
        </w:rPr>
        <w:t>provide</w:t>
      </w:r>
      <w:r w:rsidR="0018188F" w:rsidRPr="008373A2">
        <w:rPr>
          <w:rFonts w:ascii="Times New Roman" w:hAnsi="Times New Roman" w:cs="Times New Roman"/>
        </w:rPr>
        <w:t xml:space="preserve"> that </w:t>
      </w:r>
      <w:r w:rsidR="00504448">
        <w:rPr>
          <w:rFonts w:ascii="Times New Roman" w:hAnsi="Times New Roman" w:cs="Times New Roman"/>
        </w:rPr>
        <w:t xml:space="preserve">the use of </w:t>
      </w:r>
      <w:r w:rsidR="0018188F" w:rsidRPr="008373A2">
        <w:rPr>
          <w:rFonts w:ascii="Times New Roman" w:hAnsi="Times New Roman" w:cs="Times New Roman"/>
        </w:rPr>
        <w:t>force</w:t>
      </w:r>
      <w:r w:rsidR="00504448">
        <w:rPr>
          <w:rFonts w:ascii="Times New Roman" w:hAnsi="Times New Roman" w:cs="Times New Roman"/>
        </w:rPr>
        <w:t xml:space="preserve"> by states</w:t>
      </w:r>
      <w:r w:rsidR="0018188F" w:rsidRPr="008373A2">
        <w:rPr>
          <w:rFonts w:ascii="Times New Roman" w:hAnsi="Times New Roman" w:cs="Times New Roman"/>
        </w:rPr>
        <w:t xml:space="preserve"> is prohibited, as since 1945 international law has imposed a comprehensive prohibition on the use of force, both </w:t>
      </w:r>
      <w:r w:rsidR="005F51E8" w:rsidRPr="008373A2">
        <w:rPr>
          <w:rFonts w:ascii="Times New Roman" w:hAnsi="Times New Roman" w:cs="Times New Roman"/>
        </w:rPr>
        <w:t>through</w:t>
      </w:r>
      <w:r w:rsidR="0018188F" w:rsidRPr="008373A2">
        <w:rPr>
          <w:rFonts w:ascii="Times New Roman" w:hAnsi="Times New Roman" w:cs="Times New Roman"/>
        </w:rPr>
        <w:t xml:space="preserve"> a quasi-universal treaty and general </w:t>
      </w:r>
      <w:r w:rsidR="00A0114D" w:rsidRPr="008373A2">
        <w:rPr>
          <w:rFonts w:ascii="Times New Roman" w:hAnsi="Times New Roman" w:cs="Times New Roman"/>
        </w:rPr>
        <w:t>customary international law</w:t>
      </w:r>
      <w:r w:rsidR="0018188F" w:rsidRPr="008373A2">
        <w:rPr>
          <w:rFonts w:ascii="Times New Roman" w:hAnsi="Times New Roman" w:cs="Times New Roman"/>
        </w:rPr>
        <w:t>, with two exceptions narrowly defined.</w:t>
      </w:r>
    </w:p>
    <w:p w14:paraId="319AB47C" w14:textId="77777777" w:rsidR="00053151" w:rsidRPr="008373A2" w:rsidRDefault="00053151" w:rsidP="00064C83">
      <w:pPr>
        <w:spacing w:line="360" w:lineRule="auto"/>
        <w:jc w:val="both"/>
        <w:rPr>
          <w:rFonts w:ascii="Times New Roman" w:hAnsi="Times New Roman" w:cs="Times New Roman"/>
        </w:rPr>
      </w:pPr>
    </w:p>
    <w:p w14:paraId="1E447E20" w14:textId="0A56B7C5" w:rsidR="006B7B91" w:rsidRPr="008373A2" w:rsidRDefault="000C0BD6" w:rsidP="00064C83">
      <w:pPr>
        <w:spacing w:line="360" w:lineRule="auto"/>
        <w:jc w:val="both"/>
        <w:rPr>
          <w:rFonts w:ascii="Times New Roman" w:hAnsi="Times New Roman" w:cs="Times New Roman"/>
        </w:rPr>
      </w:pPr>
      <w:r w:rsidRPr="008373A2">
        <w:rPr>
          <w:rFonts w:ascii="Times New Roman" w:hAnsi="Times New Roman" w:cs="Times New Roman"/>
        </w:rPr>
        <w:t xml:space="preserve">The facts </w:t>
      </w:r>
      <w:r w:rsidR="008973C3" w:rsidRPr="008373A2">
        <w:rPr>
          <w:rFonts w:ascii="Times New Roman" w:hAnsi="Times New Roman" w:cs="Times New Roman"/>
        </w:rPr>
        <w:t xml:space="preserve">analysed </w:t>
      </w:r>
      <w:r w:rsidR="003516EA" w:rsidRPr="008373A2">
        <w:rPr>
          <w:rFonts w:ascii="Times New Roman" w:hAnsi="Times New Roman" w:cs="Times New Roman"/>
        </w:rPr>
        <w:t xml:space="preserve">in </w:t>
      </w:r>
      <w:r w:rsidR="00C24D04" w:rsidRPr="008373A2">
        <w:rPr>
          <w:rFonts w:ascii="Times New Roman" w:hAnsi="Times New Roman" w:cs="Times New Roman"/>
        </w:rPr>
        <w:t xml:space="preserve">the </w:t>
      </w:r>
      <w:r w:rsidR="00C24D04" w:rsidRPr="00437B04">
        <w:rPr>
          <w:rFonts w:ascii="Times New Roman" w:hAnsi="Times New Roman" w:cs="Times New Roman"/>
          <w:i/>
          <w:iCs/>
        </w:rPr>
        <w:t>Nuclear Weapons</w:t>
      </w:r>
      <w:r w:rsidR="00C24D04" w:rsidRPr="008373A2">
        <w:rPr>
          <w:rFonts w:ascii="Times New Roman" w:hAnsi="Times New Roman" w:cs="Times New Roman"/>
        </w:rPr>
        <w:t xml:space="preserve"> </w:t>
      </w:r>
      <w:r w:rsidR="003516EA" w:rsidRPr="008373A2">
        <w:rPr>
          <w:rFonts w:ascii="Times New Roman" w:hAnsi="Times New Roman" w:cs="Times New Roman"/>
        </w:rPr>
        <w:t>opinion</w:t>
      </w:r>
      <w:r w:rsidRPr="008373A2">
        <w:rPr>
          <w:rFonts w:ascii="Times New Roman" w:hAnsi="Times New Roman" w:cs="Times New Roman"/>
        </w:rPr>
        <w:t xml:space="preserve"> illustrate </w:t>
      </w:r>
      <w:r w:rsidR="00DE2FC9" w:rsidRPr="008373A2">
        <w:rPr>
          <w:rFonts w:ascii="Times New Roman" w:hAnsi="Times New Roman" w:cs="Times New Roman"/>
        </w:rPr>
        <w:t xml:space="preserve">well </w:t>
      </w:r>
      <w:r w:rsidRPr="008373A2">
        <w:rPr>
          <w:rFonts w:ascii="Times New Roman" w:hAnsi="Times New Roman" w:cs="Times New Roman"/>
        </w:rPr>
        <w:t>the ambiguity of omissions as practice establishing prohibitions</w:t>
      </w:r>
      <w:r w:rsidR="003516EA" w:rsidRPr="008373A2">
        <w:rPr>
          <w:rFonts w:ascii="Times New Roman" w:hAnsi="Times New Roman" w:cs="Times New Roman"/>
        </w:rPr>
        <w:t>,</w:t>
      </w:r>
      <w:r w:rsidRPr="008373A2">
        <w:rPr>
          <w:rStyle w:val="FootnoteReference"/>
          <w:rFonts w:ascii="Times New Roman" w:hAnsi="Times New Roman" w:cs="Times New Roman"/>
        </w:rPr>
        <w:footnoteReference w:id="59"/>
      </w:r>
      <w:r w:rsidR="003516EA" w:rsidRPr="008373A2">
        <w:rPr>
          <w:rFonts w:ascii="Times New Roman" w:hAnsi="Times New Roman" w:cs="Times New Roman"/>
        </w:rPr>
        <w:t xml:space="preserve"> and in particular how in such cases</w:t>
      </w:r>
      <w:r w:rsidR="00D540DF" w:rsidRPr="008373A2">
        <w:rPr>
          <w:rFonts w:ascii="Times New Roman" w:hAnsi="Times New Roman" w:cs="Times New Roman"/>
        </w:rPr>
        <w:t xml:space="preserve"> it is</w:t>
      </w:r>
      <w:r w:rsidR="003516EA" w:rsidRPr="008373A2">
        <w:rPr>
          <w:rFonts w:ascii="Times New Roman" w:hAnsi="Times New Roman" w:cs="Times New Roman"/>
        </w:rPr>
        <w:t xml:space="preserve"> </w:t>
      </w:r>
      <w:r w:rsidR="003516EA" w:rsidRPr="008373A2">
        <w:rPr>
          <w:rFonts w:ascii="Times New Roman" w:hAnsi="Times New Roman" w:cs="Times New Roman"/>
          <w:i/>
          <w:iCs/>
        </w:rPr>
        <w:t>opinio juris</w:t>
      </w:r>
      <w:r w:rsidR="003516EA" w:rsidRPr="008373A2">
        <w:rPr>
          <w:rFonts w:ascii="Times New Roman" w:hAnsi="Times New Roman" w:cs="Times New Roman"/>
        </w:rPr>
        <w:t xml:space="preserve"> </w:t>
      </w:r>
      <w:r w:rsidR="00D540DF" w:rsidRPr="008373A2">
        <w:rPr>
          <w:rFonts w:ascii="Times New Roman" w:hAnsi="Times New Roman" w:cs="Times New Roman"/>
        </w:rPr>
        <w:t xml:space="preserve">that </w:t>
      </w:r>
      <w:r w:rsidR="003516EA" w:rsidRPr="008373A2">
        <w:rPr>
          <w:rFonts w:ascii="Times New Roman" w:hAnsi="Times New Roman" w:cs="Times New Roman"/>
        </w:rPr>
        <w:lastRenderedPageBreak/>
        <w:t xml:space="preserve">effectively </w:t>
      </w:r>
      <w:r w:rsidR="006D22C4" w:rsidRPr="008373A2">
        <w:rPr>
          <w:rFonts w:ascii="Times New Roman" w:hAnsi="Times New Roman" w:cs="Times New Roman"/>
        </w:rPr>
        <w:t>creates</w:t>
      </w:r>
      <w:r w:rsidR="003516EA" w:rsidRPr="008373A2">
        <w:rPr>
          <w:rFonts w:ascii="Times New Roman" w:hAnsi="Times New Roman" w:cs="Times New Roman"/>
        </w:rPr>
        <w:t xml:space="preserve"> a supportive state practice</w:t>
      </w:r>
      <w:r w:rsidR="006D22C4" w:rsidRPr="008373A2">
        <w:rPr>
          <w:rFonts w:ascii="Times New Roman" w:hAnsi="Times New Roman" w:cs="Times New Roman"/>
        </w:rPr>
        <w:t xml:space="preserve"> </w:t>
      </w:r>
      <w:r w:rsidR="00D540DF" w:rsidRPr="008373A2">
        <w:rPr>
          <w:rFonts w:ascii="Times New Roman" w:hAnsi="Times New Roman" w:cs="Times New Roman"/>
        </w:rPr>
        <w:t>out of</w:t>
      </w:r>
      <w:r w:rsidR="006D22C4" w:rsidRPr="008373A2">
        <w:rPr>
          <w:rFonts w:ascii="Times New Roman" w:hAnsi="Times New Roman" w:cs="Times New Roman"/>
        </w:rPr>
        <w:t xml:space="preserve"> inaction</w:t>
      </w:r>
      <w:r w:rsidR="003516EA" w:rsidRPr="008373A2">
        <w:rPr>
          <w:rFonts w:ascii="Times New Roman" w:hAnsi="Times New Roman" w:cs="Times New Roman"/>
        </w:rPr>
        <w:t>.</w:t>
      </w:r>
      <w:r w:rsidR="003516EA" w:rsidRPr="008373A2">
        <w:rPr>
          <w:rStyle w:val="FootnoteReference"/>
          <w:rFonts w:ascii="Times New Roman" w:hAnsi="Times New Roman" w:cs="Times New Roman"/>
        </w:rPr>
        <w:footnoteReference w:id="60"/>
      </w:r>
      <w:r w:rsidR="003516EA" w:rsidRPr="008373A2">
        <w:rPr>
          <w:rFonts w:ascii="Times New Roman" w:hAnsi="Times New Roman" w:cs="Times New Roman"/>
        </w:rPr>
        <w:t xml:space="preserve"> </w:t>
      </w:r>
      <w:r w:rsidRPr="008373A2">
        <w:rPr>
          <w:rFonts w:ascii="Times New Roman" w:hAnsi="Times New Roman" w:cs="Times New Roman"/>
        </w:rPr>
        <w:t xml:space="preserve">The </w:t>
      </w:r>
      <w:r w:rsidR="003516EA" w:rsidRPr="008373A2">
        <w:rPr>
          <w:rFonts w:ascii="Times New Roman" w:hAnsi="Times New Roman" w:cs="Times New Roman"/>
        </w:rPr>
        <w:t>inaction</w:t>
      </w:r>
      <w:r w:rsidRPr="008373A2">
        <w:rPr>
          <w:rFonts w:ascii="Times New Roman" w:hAnsi="Times New Roman" w:cs="Times New Roman"/>
        </w:rPr>
        <w:t xml:space="preserve"> in question – consistent non-utilization of nuclear weapons since 1945 – was relied on </w:t>
      </w:r>
      <w:r w:rsidRPr="00437B04">
        <w:rPr>
          <w:rFonts w:ascii="Times New Roman" w:hAnsi="Times New Roman" w:cs="Times New Roman"/>
        </w:rPr>
        <w:t>both</w:t>
      </w:r>
      <w:r w:rsidRPr="008373A2">
        <w:rPr>
          <w:rFonts w:ascii="Times New Roman" w:hAnsi="Times New Roman" w:cs="Times New Roman"/>
        </w:rPr>
        <w:t xml:space="preserve"> by states arguing for </w:t>
      </w:r>
      <w:r w:rsidR="000E2044" w:rsidRPr="008373A2">
        <w:rPr>
          <w:rFonts w:ascii="Times New Roman" w:hAnsi="Times New Roman" w:cs="Times New Roman"/>
        </w:rPr>
        <w:t>a</w:t>
      </w:r>
      <w:r w:rsidRPr="008373A2">
        <w:rPr>
          <w:rFonts w:ascii="Times New Roman" w:hAnsi="Times New Roman" w:cs="Times New Roman"/>
        </w:rPr>
        <w:t xml:space="preserve"> new customary prohibition</w:t>
      </w:r>
      <w:r w:rsidR="000E2044" w:rsidRPr="008373A2">
        <w:rPr>
          <w:rFonts w:ascii="Times New Roman" w:hAnsi="Times New Roman" w:cs="Times New Roman"/>
        </w:rPr>
        <w:t xml:space="preserve"> on nuclear weapons</w:t>
      </w:r>
      <w:r w:rsidRPr="008373A2">
        <w:rPr>
          <w:rFonts w:ascii="Times New Roman" w:hAnsi="Times New Roman" w:cs="Times New Roman"/>
        </w:rPr>
        <w:t xml:space="preserve"> and by those arguing for the continued </w:t>
      </w:r>
      <w:r w:rsidR="00532900" w:rsidRPr="008373A2">
        <w:rPr>
          <w:rFonts w:ascii="Times New Roman" w:hAnsi="Times New Roman" w:cs="Times New Roman"/>
        </w:rPr>
        <w:t xml:space="preserve">existence of </w:t>
      </w:r>
      <w:r w:rsidR="008973C3" w:rsidRPr="008373A2">
        <w:rPr>
          <w:rFonts w:ascii="Times New Roman" w:hAnsi="Times New Roman" w:cs="Times New Roman"/>
        </w:rPr>
        <w:t>the</w:t>
      </w:r>
      <w:r w:rsidRPr="008373A2">
        <w:rPr>
          <w:rFonts w:ascii="Times New Roman" w:hAnsi="Times New Roman" w:cs="Times New Roman"/>
        </w:rPr>
        <w:t xml:space="preserve"> general permission </w:t>
      </w:r>
      <w:r w:rsidR="00302E15" w:rsidRPr="008373A2">
        <w:rPr>
          <w:rFonts w:ascii="Times New Roman" w:hAnsi="Times New Roman" w:cs="Times New Roman"/>
        </w:rPr>
        <w:t>for</w:t>
      </w:r>
      <w:r w:rsidRPr="008373A2">
        <w:rPr>
          <w:rFonts w:ascii="Times New Roman" w:hAnsi="Times New Roman" w:cs="Times New Roman"/>
        </w:rPr>
        <w:t xml:space="preserve"> states to use those weapons that are not prohibited</w:t>
      </w:r>
      <w:r w:rsidR="00340311" w:rsidRPr="008373A2">
        <w:rPr>
          <w:rFonts w:ascii="Times New Roman" w:hAnsi="Times New Roman" w:cs="Times New Roman"/>
        </w:rPr>
        <w:t>.</w:t>
      </w:r>
      <w:r w:rsidRPr="008373A2">
        <w:rPr>
          <w:rStyle w:val="FootnoteReference"/>
          <w:rFonts w:ascii="Times New Roman" w:hAnsi="Times New Roman" w:cs="Times New Roman"/>
        </w:rPr>
        <w:footnoteReference w:id="61"/>
      </w:r>
      <w:r w:rsidRPr="008373A2">
        <w:rPr>
          <w:rFonts w:ascii="Times New Roman" w:hAnsi="Times New Roman" w:cs="Times New Roman"/>
        </w:rPr>
        <w:t xml:space="preserve"> In the latter case the states argued that non-use of nuclear weapons was the result of a policy of deterrence, meaning they reserved their right to use nuclear weapons. </w:t>
      </w:r>
      <w:r w:rsidR="00532900" w:rsidRPr="008373A2">
        <w:rPr>
          <w:rFonts w:ascii="Times New Roman" w:hAnsi="Times New Roman" w:cs="Times New Roman"/>
        </w:rPr>
        <w:t>In the former, it was argued that states were observing a customary prohibition.</w:t>
      </w:r>
      <w:r w:rsidR="00D64035" w:rsidRPr="008373A2">
        <w:rPr>
          <w:rFonts w:ascii="Times New Roman" w:hAnsi="Times New Roman" w:cs="Times New Roman"/>
        </w:rPr>
        <w:t xml:space="preserve"> Their inaction was consistent with both </w:t>
      </w:r>
      <w:r w:rsidR="00A0114D" w:rsidRPr="008373A2">
        <w:rPr>
          <w:rFonts w:ascii="Times New Roman" w:hAnsi="Times New Roman" w:cs="Times New Roman"/>
        </w:rPr>
        <w:t>customary international law</w:t>
      </w:r>
      <w:r w:rsidR="001D0987" w:rsidRPr="008373A2">
        <w:rPr>
          <w:rFonts w:ascii="Times New Roman" w:hAnsi="Times New Roman" w:cs="Times New Roman"/>
        </w:rPr>
        <w:t xml:space="preserve"> rules</w:t>
      </w:r>
      <w:r w:rsidR="00D64035" w:rsidRPr="008373A2">
        <w:rPr>
          <w:rFonts w:ascii="Times New Roman" w:hAnsi="Times New Roman" w:cs="Times New Roman"/>
        </w:rPr>
        <w:t>.</w:t>
      </w:r>
    </w:p>
    <w:p w14:paraId="637CA0CD" w14:textId="77777777" w:rsidR="006B7B91" w:rsidRPr="008373A2" w:rsidRDefault="006B7B91" w:rsidP="00064C83">
      <w:pPr>
        <w:spacing w:line="360" w:lineRule="auto"/>
        <w:jc w:val="both"/>
        <w:rPr>
          <w:rFonts w:ascii="Times New Roman" w:hAnsi="Times New Roman" w:cs="Times New Roman"/>
        </w:rPr>
      </w:pPr>
    </w:p>
    <w:p w14:paraId="09E668E9" w14:textId="00FAD9E7" w:rsidR="00E82233" w:rsidRPr="008373A2" w:rsidRDefault="00D91F4F" w:rsidP="00064C83">
      <w:pPr>
        <w:spacing w:line="360" w:lineRule="auto"/>
        <w:jc w:val="both"/>
        <w:rPr>
          <w:rFonts w:ascii="Times New Roman" w:hAnsi="Times New Roman" w:cs="Times New Roman"/>
        </w:rPr>
      </w:pPr>
      <w:r w:rsidRPr="008373A2">
        <w:rPr>
          <w:rFonts w:ascii="Times New Roman" w:hAnsi="Times New Roman" w:cs="Times New Roman"/>
        </w:rPr>
        <w:t xml:space="preserve">The Court </w:t>
      </w:r>
      <w:r w:rsidR="00504448">
        <w:rPr>
          <w:rFonts w:ascii="Times New Roman" w:hAnsi="Times New Roman" w:cs="Times New Roman"/>
        </w:rPr>
        <w:t>held</w:t>
      </w:r>
      <w:r w:rsidR="00504448" w:rsidRPr="008373A2">
        <w:rPr>
          <w:rFonts w:ascii="Times New Roman" w:hAnsi="Times New Roman" w:cs="Times New Roman"/>
        </w:rPr>
        <w:t xml:space="preserve"> </w:t>
      </w:r>
      <w:r w:rsidRPr="008373A2">
        <w:rPr>
          <w:rFonts w:ascii="Times New Roman" w:hAnsi="Times New Roman" w:cs="Times New Roman"/>
        </w:rPr>
        <w:t>that since</w:t>
      </w:r>
      <w:r w:rsidR="000C0BD6" w:rsidRPr="008373A2">
        <w:rPr>
          <w:rFonts w:ascii="Times New Roman" w:hAnsi="Times New Roman" w:cs="Times New Roman"/>
        </w:rPr>
        <w:t xml:space="preserve"> states were ‘profoundly divided on the matter of whether non-recourse to nuclear weapons over the past 50 years constitutes the expression of an </w:t>
      </w:r>
      <w:r w:rsidR="000C0BD6" w:rsidRPr="008373A2">
        <w:rPr>
          <w:rFonts w:ascii="Times New Roman" w:hAnsi="Times New Roman" w:cs="Times New Roman"/>
          <w:i/>
          <w:iCs/>
        </w:rPr>
        <w:t>opinio juris</w:t>
      </w:r>
      <w:r w:rsidR="000C0BD6" w:rsidRPr="008373A2">
        <w:rPr>
          <w:rFonts w:ascii="Times New Roman" w:hAnsi="Times New Roman" w:cs="Times New Roman"/>
        </w:rPr>
        <w:t xml:space="preserve">’ the Court did ‘not consider itself able to find that there is such an </w:t>
      </w:r>
      <w:r w:rsidR="000C0BD6" w:rsidRPr="008373A2">
        <w:rPr>
          <w:rFonts w:ascii="Times New Roman" w:hAnsi="Times New Roman" w:cs="Times New Roman"/>
          <w:i/>
          <w:iCs/>
        </w:rPr>
        <w:t>opinio juris</w:t>
      </w:r>
      <w:r w:rsidR="000C0BD6" w:rsidRPr="008373A2">
        <w:rPr>
          <w:rFonts w:ascii="Times New Roman" w:hAnsi="Times New Roman" w:cs="Times New Roman"/>
        </w:rPr>
        <w:t>’.</w:t>
      </w:r>
      <w:r w:rsidR="000C0BD6" w:rsidRPr="008373A2">
        <w:rPr>
          <w:rStyle w:val="FootnoteReference"/>
          <w:rFonts w:ascii="Times New Roman" w:hAnsi="Times New Roman" w:cs="Times New Roman"/>
        </w:rPr>
        <w:footnoteReference w:id="62"/>
      </w:r>
      <w:r w:rsidR="000C0BD6" w:rsidRPr="008373A2">
        <w:rPr>
          <w:rFonts w:ascii="Times New Roman" w:hAnsi="Times New Roman" w:cs="Times New Roman"/>
        </w:rPr>
        <w:t xml:space="preserve"> </w:t>
      </w:r>
      <w:r w:rsidR="00FC2F4B" w:rsidRPr="008373A2">
        <w:rPr>
          <w:rFonts w:ascii="Times New Roman" w:hAnsi="Times New Roman" w:cs="Times New Roman"/>
        </w:rPr>
        <w:t>Yet</w:t>
      </w:r>
      <w:r w:rsidR="000C0BD6" w:rsidRPr="008373A2">
        <w:rPr>
          <w:rFonts w:ascii="Times New Roman" w:hAnsi="Times New Roman" w:cs="Times New Roman"/>
        </w:rPr>
        <w:t xml:space="preserve"> the difficulty seems rather that the </w:t>
      </w:r>
      <w:r w:rsidR="00BD7C1E" w:rsidRPr="008373A2">
        <w:rPr>
          <w:rFonts w:ascii="Times New Roman" w:hAnsi="Times New Roman" w:cs="Times New Roman"/>
        </w:rPr>
        <w:t>participants</w:t>
      </w:r>
      <w:r w:rsidR="000C0BD6" w:rsidRPr="008373A2">
        <w:rPr>
          <w:rFonts w:ascii="Times New Roman" w:hAnsi="Times New Roman" w:cs="Times New Roman"/>
        </w:rPr>
        <w:t xml:space="preserve"> </w:t>
      </w:r>
      <w:r w:rsidR="000064F2" w:rsidRPr="008373A2">
        <w:rPr>
          <w:rFonts w:ascii="Times New Roman" w:hAnsi="Times New Roman" w:cs="Times New Roman"/>
        </w:rPr>
        <w:t xml:space="preserve">in the case </w:t>
      </w:r>
      <w:r w:rsidR="00BD7C1E" w:rsidRPr="008373A2">
        <w:rPr>
          <w:rFonts w:ascii="Times New Roman" w:hAnsi="Times New Roman" w:cs="Times New Roman"/>
        </w:rPr>
        <w:t>we</w:t>
      </w:r>
      <w:r w:rsidR="000C0BD6" w:rsidRPr="008373A2">
        <w:rPr>
          <w:rFonts w:ascii="Times New Roman" w:hAnsi="Times New Roman" w:cs="Times New Roman"/>
        </w:rPr>
        <w:t xml:space="preserve">re in agreement that non-recourse to nuclear weapons </w:t>
      </w:r>
      <w:r w:rsidR="00E01EBC" w:rsidRPr="008373A2">
        <w:rPr>
          <w:rFonts w:ascii="Times New Roman" w:hAnsi="Times New Roman" w:cs="Times New Roman"/>
        </w:rPr>
        <w:t>reflects</w:t>
      </w:r>
      <w:r w:rsidR="000C0BD6" w:rsidRPr="008373A2">
        <w:rPr>
          <w:rFonts w:ascii="Times New Roman" w:hAnsi="Times New Roman" w:cs="Times New Roman"/>
        </w:rPr>
        <w:t xml:space="preserve"> an </w:t>
      </w:r>
      <w:r w:rsidR="000C0BD6" w:rsidRPr="008373A2">
        <w:rPr>
          <w:rFonts w:ascii="Times New Roman" w:hAnsi="Times New Roman" w:cs="Times New Roman"/>
          <w:i/>
          <w:iCs/>
        </w:rPr>
        <w:t>opinio juris</w:t>
      </w:r>
      <w:r w:rsidR="00E01EBC" w:rsidRPr="008373A2">
        <w:rPr>
          <w:rFonts w:ascii="Times New Roman" w:hAnsi="Times New Roman" w:cs="Times New Roman"/>
        </w:rPr>
        <w:t xml:space="preserve"> by states</w:t>
      </w:r>
      <w:r w:rsidR="000C0BD6" w:rsidRPr="008373A2">
        <w:rPr>
          <w:rFonts w:ascii="Times New Roman" w:hAnsi="Times New Roman" w:cs="Times New Roman"/>
        </w:rPr>
        <w:t xml:space="preserve">, but </w:t>
      </w:r>
      <w:r w:rsidR="00683071" w:rsidRPr="008373A2">
        <w:rPr>
          <w:rFonts w:ascii="Times New Roman" w:hAnsi="Times New Roman" w:cs="Times New Roman"/>
        </w:rPr>
        <w:t>disagree</w:t>
      </w:r>
      <w:r w:rsidR="000C0BD6" w:rsidRPr="008373A2">
        <w:rPr>
          <w:rFonts w:ascii="Times New Roman" w:hAnsi="Times New Roman" w:cs="Times New Roman"/>
        </w:rPr>
        <w:t xml:space="preserve"> as to what that opinion is. For some it is an acceptance that they are </w:t>
      </w:r>
      <w:r w:rsidR="00236315" w:rsidRPr="008373A2">
        <w:rPr>
          <w:rFonts w:ascii="Times New Roman" w:hAnsi="Times New Roman" w:cs="Times New Roman"/>
        </w:rPr>
        <w:t>prohibited</w:t>
      </w:r>
      <w:r w:rsidR="000C0BD6" w:rsidRPr="008373A2">
        <w:rPr>
          <w:rFonts w:ascii="Times New Roman" w:hAnsi="Times New Roman" w:cs="Times New Roman"/>
        </w:rPr>
        <w:t xml:space="preserve"> by international law </w:t>
      </w:r>
      <w:r w:rsidR="00236315" w:rsidRPr="008373A2">
        <w:rPr>
          <w:rFonts w:ascii="Times New Roman" w:hAnsi="Times New Roman" w:cs="Times New Roman"/>
        </w:rPr>
        <w:t>from using</w:t>
      </w:r>
      <w:r w:rsidR="000C0BD6" w:rsidRPr="008373A2">
        <w:rPr>
          <w:rFonts w:ascii="Times New Roman" w:hAnsi="Times New Roman" w:cs="Times New Roman"/>
        </w:rPr>
        <w:t xml:space="preserve"> nuclear weapons, while for some it is that although they have chosen not to use nuclear </w:t>
      </w:r>
      <w:proofErr w:type="gramStart"/>
      <w:r w:rsidR="000C0BD6" w:rsidRPr="008373A2">
        <w:rPr>
          <w:rFonts w:ascii="Times New Roman" w:hAnsi="Times New Roman" w:cs="Times New Roman"/>
        </w:rPr>
        <w:t>weapons</w:t>
      </w:r>
      <w:proofErr w:type="gramEnd"/>
      <w:r w:rsidR="000C0BD6" w:rsidRPr="008373A2">
        <w:rPr>
          <w:rFonts w:ascii="Times New Roman" w:hAnsi="Times New Roman" w:cs="Times New Roman"/>
        </w:rPr>
        <w:t xml:space="preserve"> they </w:t>
      </w:r>
      <w:r w:rsidR="00D400B7" w:rsidRPr="00437B04">
        <w:rPr>
          <w:rFonts w:ascii="Times New Roman" w:hAnsi="Times New Roman" w:cs="Times New Roman"/>
        </w:rPr>
        <w:t>remain</w:t>
      </w:r>
      <w:r w:rsidR="00D400B7" w:rsidRPr="008373A2">
        <w:rPr>
          <w:rFonts w:ascii="Times New Roman" w:hAnsi="Times New Roman" w:cs="Times New Roman"/>
        </w:rPr>
        <w:t xml:space="preserve"> </w:t>
      </w:r>
      <w:r w:rsidR="00236315" w:rsidRPr="008373A2">
        <w:rPr>
          <w:rFonts w:ascii="Times New Roman" w:hAnsi="Times New Roman" w:cs="Times New Roman"/>
        </w:rPr>
        <w:t>permitted</w:t>
      </w:r>
      <w:r w:rsidR="000C0BD6" w:rsidRPr="008373A2">
        <w:rPr>
          <w:rFonts w:ascii="Times New Roman" w:hAnsi="Times New Roman" w:cs="Times New Roman"/>
        </w:rPr>
        <w:t xml:space="preserve"> to do so under international law. The problem was therefore that the </w:t>
      </w:r>
      <w:r w:rsidR="000C0BD6" w:rsidRPr="008373A2">
        <w:rPr>
          <w:rFonts w:ascii="Times New Roman" w:hAnsi="Times New Roman" w:cs="Times New Roman"/>
          <w:i/>
          <w:iCs/>
        </w:rPr>
        <w:t>opinio juris</w:t>
      </w:r>
      <w:r w:rsidR="000C0BD6" w:rsidRPr="008373A2">
        <w:rPr>
          <w:rFonts w:ascii="Times New Roman" w:hAnsi="Times New Roman" w:cs="Times New Roman"/>
        </w:rPr>
        <w:t xml:space="preserve"> of states was divided</w:t>
      </w:r>
      <w:r w:rsidR="000A3AB8" w:rsidRPr="008373A2">
        <w:rPr>
          <w:rFonts w:ascii="Times New Roman" w:hAnsi="Times New Roman" w:cs="Times New Roman"/>
        </w:rPr>
        <w:t>:</w:t>
      </w:r>
      <w:r w:rsidR="008E32D5" w:rsidRPr="008373A2">
        <w:rPr>
          <w:rFonts w:ascii="Times New Roman" w:hAnsi="Times New Roman" w:cs="Times New Roman"/>
        </w:rPr>
        <w:t xml:space="preserve"> some accepted </w:t>
      </w:r>
      <w:r w:rsidR="00C24D04" w:rsidRPr="008373A2">
        <w:rPr>
          <w:rFonts w:ascii="Times New Roman" w:hAnsi="Times New Roman" w:cs="Times New Roman"/>
        </w:rPr>
        <w:t xml:space="preserve">that </w:t>
      </w:r>
      <w:r w:rsidR="008E32D5" w:rsidRPr="008373A2">
        <w:rPr>
          <w:rFonts w:ascii="Times New Roman" w:hAnsi="Times New Roman" w:cs="Times New Roman"/>
        </w:rPr>
        <w:t>their practice was governed by the alleged new prohibitive customary rule, whereas others accepted that their practice continued to be regulated by the underlying customary permission</w:t>
      </w:r>
      <w:r w:rsidR="000C0BD6" w:rsidRPr="008373A2">
        <w:rPr>
          <w:rFonts w:ascii="Times New Roman" w:hAnsi="Times New Roman" w:cs="Times New Roman"/>
        </w:rPr>
        <w:t>.</w:t>
      </w:r>
      <w:r w:rsidR="00535B56" w:rsidRPr="008373A2">
        <w:rPr>
          <w:rFonts w:ascii="Times New Roman" w:hAnsi="Times New Roman" w:cs="Times New Roman"/>
        </w:rPr>
        <w:t xml:space="preserve"> </w:t>
      </w:r>
      <w:r w:rsidR="0099759E" w:rsidRPr="008373A2">
        <w:rPr>
          <w:rFonts w:ascii="Times New Roman" w:hAnsi="Times New Roman" w:cs="Times New Roman"/>
        </w:rPr>
        <w:t>This</w:t>
      </w:r>
      <w:r w:rsidR="000C0BD6" w:rsidRPr="008373A2">
        <w:rPr>
          <w:rFonts w:ascii="Times New Roman" w:hAnsi="Times New Roman" w:cs="Times New Roman"/>
        </w:rPr>
        <w:t xml:space="preserve"> divided </w:t>
      </w:r>
      <w:r w:rsidR="000C0BD6" w:rsidRPr="008373A2">
        <w:rPr>
          <w:rFonts w:ascii="Times New Roman" w:hAnsi="Times New Roman" w:cs="Times New Roman"/>
          <w:i/>
          <w:iCs/>
        </w:rPr>
        <w:t>opinio juris</w:t>
      </w:r>
      <w:r w:rsidR="000C0BD6" w:rsidRPr="008373A2">
        <w:rPr>
          <w:rFonts w:ascii="Times New Roman" w:hAnsi="Times New Roman" w:cs="Times New Roman"/>
        </w:rPr>
        <w:t xml:space="preserve"> produced a divided practice, by removing the ambiguity from the omissions of the different groups of </w:t>
      </w:r>
      <w:r w:rsidR="007D6ED7" w:rsidRPr="008373A2">
        <w:rPr>
          <w:rFonts w:ascii="Times New Roman" w:hAnsi="Times New Roman" w:cs="Times New Roman"/>
        </w:rPr>
        <w:t>s</w:t>
      </w:r>
      <w:r w:rsidR="000C0BD6" w:rsidRPr="008373A2">
        <w:rPr>
          <w:rFonts w:ascii="Times New Roman" w:hAnsi="Times New Roman" w:cs="Times New Roman"/>
        </w:rPr>
        <w:t xml:space="preserve">tates. </w:t>
      </w:r>
      <w:r w:rsidR="00E01EBC" w:rsidRPr="008373A2">
        <w:rPr>
          <w:rFonts w:ascii="Times New Roman" w:hAnsi="Times New Roman" w:cs="Times New Roman"/>
        </w:rPr>
        <w:t>The statements during the proceedings reveal</w:t>
      </w:r>
      <w:r w:rsidR="005330BB" w:rsidRPr="008373A2">
        <w:rPr>
          <w:rFonts w:ascii="Times New Roman" w:hAnsi="Times New Roman" w:cs="Times New Roman"/>
        </w:rPr>
        <w:t>ed</w:t>
      </w:r>
      <w:r w:rsidR="00E01EBC" w:rsidRPr="008373A2">
        <w:rPr>
          <w:rFonts w:ascii="Times New Roman" w:hAnsi="Times New Roman" w:cs="Times New Roman"/>
        </w:rPr>
        <w:t xml:space="preserve"> that s</w:t>
      </w:r>
      <w:r w:rsidR="000C0BD6" w:rsidRPr="008373A2">
        <w:rPr>
          <w:rFonts w:ascii="Times New Roman" w:hAnsi="Times New Roman" w:cs="Times New Roman"/>
        </w:rPr>
        <w:t xml:space="preserve">ome of those omissions were practice that accepted </w:t>
      </w:r>
      <w:r w:rsidR="00532900" w:rsidRPr="008373A2">
        <w:rPr>
          <w:rFonts w:ascii="Times New Roman" w:hAnsi="Times New Roman" w:cs="Times New Roman"/>
        </w:rPr>
        <w:t>that states were permitted to use nuclear weapons</w:t>
      </w:r>
      <w:r w:rsidR="000C0BD6" w:rsidRPr="008373A2">
        <w:rPr>
          <w:rFonts w:ascii="Times New Roman" w:hAnsi="Times New Roman" w:cs="Times New Roman"/>
        </w:rPr>
        <w:t xml:space="preserve">, while others were practice in acceptance of the new prohibition. </w:t>
      </w:r>
      <w:r w:rsidR="007D6ED7" w:rsidRPr="008373A2">
        <w:rPr>
          <w:rFonts w:ascii="Times New Roman" w:hAnsi="Times New Roman" w:cs="Times New Roman"/>
        </w:rPr>
        <w:t>T</w:t>
      </w:r>
      <w:r w:rsidR="000C0BD6" w:rsidRPr="008373A2">
        <w:rPr>
          <w:rFonts w:ascii="Times New Roman" w:hAnsi="Times New Roman" w:cs="Times New Roman"/>
        </w:rPr>
        <w:t>aken as a whole,</w:t>
      </w:r>
      <w:r w:rsidR="00432060" w:rsidRPr="008373A2">
        <w:rPr>
          <w:rFonts w:ascii="Times New Roman" w:hAnsi="Times New Roman" w:cs="Times New Roman"/>
        </w:rPr>
        <w:t xml:space="preserve"> </w:t>
      </w:r>
      <w:r w:rsidR="000C0BD6" w:rsidRPr="008373A2">
        <w:rPr>
          <w:rFonts w:ascii="Times New Roman" w:hAnsi="Times New Roman" w:cs="Times New Roman"/>
        </w:rPr>
        <w:t xml:space="preserve">the practice in support of the new </w:t>
      </w:r>
      <w:r w:rsidR="00FA6AD0" w:rsidRPr="008373A2">
        <w:rPr>
          <w:rFonts w:ascii="Times New Roman" w:hAnsi="Times New Roman" w:cs="Times New Roman"/>
        </w:rPr>
        <w:t xml:space="preserve">prohibitive </w:t>
      </w:r>
      <w:r w:rsidR="00C24D04" w:rsidRPr="008373A2">
        <w:rPr>
          <w:rFonts w:ascii="Times New Roman" w:hAnsi="Times New Roman" w:cs="Times New Roman"/>
        </w:rPr>
        <w:t xml:space="preserve">customary </w:t>
      </w:r>
      <w:r w:rsidR="00890E7F" w:rsidRPr="008373A2">
        <w:rPr>
          <w:rFonts w:ascii="Times New Roman" w:hAnsi="Times New Roman" w:cs="Times New Roman"/>
        </w:rPr>
        <w:t>rule</w:t>
      </w:r>
      <w:r w:rsidR="000C0BD6" w:rsidRPr="008373A2">
        <w:rPr>
          <w:rFonts w:ascii="Times New Roman" w:hAnsi="Times New Roman" w:cs="Times New Roman"/>
        </w:rPr>
        <w:t xml:space="preserve"> was not sufficient</w:t>
      </w:r>
      <w:r w:rsidR="00532900" w:rsidRPr="008373A2">
        <w:rPr>
          <w:rFonts w:ascii="Times New Roman" w:hAnsi="Times New Roman" w:cs="Times New Roman"/>
        </w:rPr>
        <w:t>ly widespread and representative</w:t>
      </w:r>
      <w:r w:rsidR="000C0BD6" w:rsidRPr="008373A2">
        <w:rPr>
          <w:rFonts w:ascii="Times New Roman" w:hAnsi="Times New Roman" w:cs="Times New Roman"/>
        </w:rPr>
        <w:t xml:space="preserve"> to </w:t>
      </w:r>
      <w:r w:rsidR="00532900" w:rsidRPr="008373A2">
        <w:rPr>
          <w:rFonts w:ascii="Times New Roman" w:hAnsi="Times New Roman" w:cs="Times New Roman"/>
        </w:rPr>
        <w:t>fulfil the two-element test</w:t>
      </w:r>
      <w:r w:rsidR="00EE35A7">
        <w:rPr>
          <w:rFonts w:ascii="Times New Roman" w:hAnsi="Times New Roman" w:cs="Times New Roman"/>
        </w:rPr>
        <w:t xml:space="preserve"> for identification of customary international law</w:t>
      </w:r>
      <w:r w:rsidR="000C0BD6" w:rsidRPr="008373A2">
        <w:rPr>
          <w:rFonts w:ascii="Times New Roman" w:hAnsi="Times New Roman" w:cs="Times New Roman"/>
        </w:rPr>
        <w:t>.</w:t>
      </w:r>
    </w:p>
    <w:p w14:paraId="7FCB6A72" w14:textId="77777777" w:rsidR="00686683" w:rsidRPr="008373A2" w:rsidRDefault="00686683" w:rsidP="00064C83">
      <w:pPr>
        <w:spacing w:line="360" w:lineRule="auto"/>
        <w:jc w:val="both"/>
        <w:rPr>
          <w:rFonts w:ascii="Times New Roman" w:hAnsi="Times New Roman" w:cs="Times New Roman"/>
        </w:rPr>
      </w:pPr>
    </w:p>
    <w:p w14:paraId="5F0B0A24" w14:textId="6D723F4C" w:rsidR="00DA200F" w:rsidRPr="008373A2" w:rsidRDefault="00E82233" w:rsidP="00064C83">
      <w:pPr>
        <w:spacing w:line="360" w:lineRule="auto"/>
        <w:jc w:val="both"/>
        <w:rPr>
          <w:rFonts w:ascii="Times New Roman" w:hAnsi="Times New Roman" w:cs="Times New Roman"/>
        </w:rPr>
      </w:pPr>
      <w:r w:rsidRPr="008373A2">
        <w:rPr>
          <w:rFonts w:ascii="Times New Roman" w:hAnsi="Times New Roman" w:cs="Times New Roman"/>
        </w:rPr>
        <w:t xml:space="preserve">The </w:t>
      </w:r>
      <w:r w:rsidR="008638C7" w:rsidRPr="008373A2">
        <w:rPr>
          <w:rFonts w:ascii="Times New Roman" w:hAnsi="Times New Roman" w:cs="Times New Roman"/>
        </w:rPr>
        <w:t xml:space="preserve">preceding </w:t>
      </w:r>
      <w:r w:rsidRPr="008373A2">
        <w:rPr>
          <w:rFonts w:ascii="Times New Roman" w:hAnsi="Times New Roman" w:cs="Times New Roman"/>
        </w:rPr>
        <w:t xml:space="preserve">analysis has shown that the importance of </w:t>
      </w:r>
      <w:r w:rsidRPr="008373A2">
        <w:rPr>
          <w:rFonts w:ascii="Times New Roman" w:hAnsi="Times New Roman" w:cs="Times New Roman"/>
          <w:i/>
          <w:iCs/>
        </w:rPr>
        <w:t>opinio juris</w:t>
      </w:r>
      <w:r w:rsidRPr="008373A2">
        <w:rPr>
          <w:rFonts w:ascii="Times New Roman" w:hAnsi="Times New Roman" w:cs="Times New Roman"/>
        </w:rPr>
        <w:t xml:space="preserve"> in </w:t>
      </w:r>
      <w:r w:rsidR="00F45027" w:rsidRPr="008373A2">
        <w:rPr>
          <w:rFonts w:ascii="Times New Roman" w:hAnsi="Times New Roman" w:cs="Times New Roman"/>
        </w:rPr>
        <w:t xml:space="preserve">identifying </w:t>
      </w:r>
      <w:r w:rsidRPr="008373A2">
        <w:rPr>
          <w:rFonts w:ascii="Times New Roman" w:hAnsi="Times New Roman" w:cs="Times New Roman"/>
        </w:rPr>
        <w:t xml:space="preserve">customary </w:t>
      </w:r>
      <w:r w:rsidR="00412785" w:rsidRPr="008373A2">
        <w:rPr>
          <w:rFonts w:ascii="Times New Roman" w:hAnsi="Times New Roman" w:cs="Times New Roman"/>
        </w:rPr>
        <w:t xml:space="preserve">rules of a prohibitive nature </w:t>
      </w:r>
      <w:r w:rsidRPr="008373A2">
        <w:rPr>
          <w:rFonts w:ascii="Times New Roman" w:hAnsi="Times New Roman" w:cs="Times New Roman"/>
        </w:rPr>
        <w:t xml:space="preserve">results </w:t>
      </w:r>
      <w:r w:rsidR="00412785" w:rsidRPr="008373A2">
        <w:rPr>
          <w:rFonts w:ascii="Times New Roman" w:hAnsi="Times New Roman" w:cs="Times New Roman"/>
        </w:rPr>
        <w:t xml:space="preserve">from </w:t>
      </w:r>
      <w:r w:rsidRPr="008373A2">
        <w:rPr>
          <w:rFonts w:ascii="Times New Roman" w:hAnsi="Times New Roman" w:cs="Times New Roman"/>
        </w:rPr>
        <w:t>the ambiguity created by the context</w:t>
      </w:r>
      <w:r w:rsidR="00EE43C7">
        <w:rPr>
          <w:rFonts w:ascii="Times New Roman" w:hAnsi="Times New Roman" w:cs="Times New Roman"/>
        </w:rPr>
        <w:t xml:space="preserve"> in which that prohibitive rule is said to be located</w:t>
      </w:r>
      <w:r w:rsidRPr="008373A2">
        <w:rPr>
          <w:rFonts w:ascii="Times New Roman" w:hAnsi="Times New Roman" w:cs="Times New Roman"/>
        </w:rPr>
        <w:t xml:space="preserve">, </w:t>
      </w:r>
      <w:r w:rsidR="00EE43C7">
        <w:rPr>
          <w:rFonts w:ascii="Times New Roman" w:hAnsi="Times New Roman" w:cs="Times New Roman"/>
        </w:rPr>
        <w:t>as the</w:t>
      </w:r>
      <w:r w:rsidR="00EE43C7" w:rsidRPr="008373A2">
        <w:rPr>
          <w:rFonts w:ascii="Times New Roman" w:hAnsi="Times New Roman" w:cs="Times New Roman"/>
        </w:rPr>
        <w:t xml:space="preserve"> </w:t>
      </w:r>
      <w:r w:rsidR="00EE43C7">
        <w:rPr>
          <w:rFonts w:ascii="Times New Roman" w:hAnsi="Times New Roman" w:cs="Times New Roman"/>
        </w:rPr>
        <w:t xml:space="preserve">state </w:t>
      </w:r>
      <w:r w:rsidRPr="008373A2">
        <w:rPr>
          <w:rFonts w:ascii="Times New Roman" w:hAnsi="Times New Roman" w:cs="Times New Roman"/>
        </w:rPr>
        <w:t xml:space="preserve">practice is consistent with more than one </w:t>
      </w:r>
      <w:r w:rsidRPr="008373A2">
        <w:rPr>
          <w:rFonts w:ascii="Times New Roman" w:hAnsi="Times New Roman" w:cs="Times New Roman"/>
        </w:rPr>
        <w:lastRenderedPageBreak/>
        <w:t xml:space="preserve">customary rule. Yet there is no reason why this </w:t>
      </w:r>
      <w:r w:rsidR="00B531A5" w:rsidRPr="008373A2">
        <w:rPr>
          <w:rFonts w:ascii="Times New Roman" w:hAnsi="Times New Roman" w:cs="Times New Roman"/>
        </w:rPr>
        <w:t>reasoning</w:t>
      </w:r>
      <w:r w:rsidRPr="008373A2">
        <w:rPr>
          <w:rFonts w:ascii="Times New Roman" w:hAnsi="Times New Roman" w:cs="Times New Roman"/>
        </w:rPr>
        <w:t xml:space="preserve"> should apply only to situations where the alleged customary rule is a prohibition, or even where the practice in question consists of omissions. There is nothing necessarily ambiguous about omissions. </w:t>
      </w:r>
      <w:r w:rsidR="00DA200F" w:rsidRPr="008373A2">
        <w:rPr>
          <w:rFonts w:ascii="Times New Roman" w:hAnsi="Times New Roman" w:cs="Times New Roman"/>
        </w:rPr>
        <w:t>Indeed</w:t>
      </w:r>
      <w:r w:rsidRPr="008373A2">
        <w:rPr>
          <w:rFonts w:ascii="Times New Roman" w:hAnsi="Times New Roman" w:cs="Times New Roman"/>
        </w:rPr>
        <w:t xml:space="preserve">, where </w:t>
      </w:r>
      <w:r w:rsidR="00071583">
        <w:rPr>
          <w:rFonts w:ascii="Times New Roman" w:hAnsi="Times New Roman" w:cs="Times New Roman"/>
        </w:rPr>
        <w:t>a</w:t>
      </w:r>
      <w:r w:rsidR="00071583" w:rsidRPr="008373A2">
        <w:rPr>
          <w:rFonts w:ascii="Times New Roman" w:hAnsi="Times New Roman" w:cs="Times New Roman"/>
        </w:rPr>
        <w:t xml:space="preserve"> </w:t>
      </w:r>
      <w:r w:rsidRPr="008373A2">
        <w:rPr>
          <w:rFonts w:ascii="Times New Roman" w:hAnsi="Times New Roman" w:cs="Times New Roman"/>
        </w:rPr>
        <w:t xml:space="preserve">customary rule </w:t>
      </w:r>
      <w:r w:rsidR="005C6D70" w:rsidRPr="008373A2">
        <w:rPr>
          <w:rFonts w:ascii="Times New Roman" w:hAnsi="Times New Roman" w:cs="Times New Roman"/>
        </w:rPr>
        <w:t xml:space="preserve">is </w:t>
      </w:r>
      <w:r w:rsidR="005C6D70" w:rsidRPr="00437B04">
        <w:rPr>
          <w:rFonts w:ascii="Times New Roman" w:hAnsi="Times New Roman" w:cs="Times New Roman"/>
          <w:i/>
          <w:iCs/>
        </w:rPr>
        <w:t>prescriptive</w:t>
      </w:r>
      <w:r w:rsidR="005C6D70" w:rsidRPr="008373A2">
        <w:rPr>
          <w:rFonts w:ascii="Times New Roman" w:hAnsi="Times New Roman" w:cs="Times New Roman"/>
        </w:rPr>
        <w:t xml:space="preserve"> in</w:t>
      </w:r>
      <w:r w:rsidR="00953A3E" w:rsidRPr="008373A2">
        <w:rPr>
          <w:rFonts w:ascii="Times New Roman" w:hAnsi="Times New Roman" w:cs="Times New Roman"/>
        </w:rPr>
        <w:t xml:space="preserve"> nature</w:t>
      </w:r>
      <w:r w:rsidR="00C24D04" w:rsidRPr="008373A2">
        <w:rPr>
          <w:rFonts w:ascii="Times New Roman" w:hAnsi="Times New Roman" w:cs="Times New Roman"/>
        </w:rPr>
        <w:t xml:space="preserve"> (a positive duty)</w:t>
      </w:r>
      <w:r w:rsidRPr="008373A2">
        <w:rPr>
          <w:rFonts w:ascii="Times New Roman" w:hAnsi="Times New Roman" w:cs="Times New Roman"/>
        </w:rPr>
        <w:t>, omissions are not ambiguous</w:t>
      </w:r>
      <w:r w:rsidR="00624BAF" w:rsidRPr="008373A2">
        <w:rPr>
          <w:rFonts w:ascii="Times New Roman" w:hAnsi="Times New Roman" w:cs="Times New Roman"/>
        </w:rPr>
        <w:t>: c</w:t>
      </w:r>
      <w:r w:rsidR="00DA200F" w:rsidRPr="008373A2">
        <w:rPr>
          <w:rFonts w:ascii="Times New Roman" w:hAnsi="Times New Roman" w:cs="Times New Roman"/>
        </w:rPr>
        <w:t>onsistent failure to perform the required conduct would constitute practice clearly contrary to a prescriptive customary rule. Moreover, as seen in the table below, affirmative practice can also be ambiguous, in a context where it is co</w:t>
      </w:r>
      <w:r w:rsidR="00BB7EE1" w:rsidRPr="008373A2">
        <w:rPr>
          <w:rFonts w:ascii="Times New Roman" w:hAnsi="Times New Roman" w:cs="Times New Roman"/>
        </w:rPr>
        <w:t>nsistent</w:t>
      </w:r>
      <w:r w:rsidR="00DA200F" w:rsidRPr="008373A2">
        <w:rPr>
          <w:rFonts w:ascii="Times New Roman" w:hAnsi="Times New Roman" w:cs="Times New Roman"/>
        </w:rPr>
        <w:t xml:space="preserve"> with </w:t>
      </w:r>
      <w:r w:rsidR="00BB7EE1" w:rsidRPr="008373A2">
        <w:rPr>
          <w:rFonts w:ascii="Times New Roman" w:hAnsi="Times New Roman" w:cs="Times New Roman"/>
        </w:rPr>
        <w:t xml:space="preserve">both </w:t>
      </w:r>
      <w:r w:rsidR="000904BA" w:rsidRPr="008373A2">
        <w:rPr>
          <w:rFonts w:ascii="Times New Roman" w:hAnsi="Times New Roman" w:cs="Times New Roman"/>
        </w:rPr>
        <w:t>the underlying international law rules</w:t>
      </w:r>
      <w:r w:rsidR="00BB7EE1" w:rsidRPr="008373A2">
        <w:rPr>
          <w:rFonts w:ascii="Times New Roman" w:hAnsi="Times New Roman" w:cs="Times New Roman"/>
        </w:rPr>
        <w:t xml:space="preserve"> and </w:t>
      </w:r>
      <w:r w:rsidR="000904BA" w:rsidRPr="008373A2">
        <w:rPr>
          <w:rFonts w:ascii="Times New Roman" w:hAnsi="Times New Roman" w:cs="Times New Roman"/>
        </w:rPr>
        <w:t xml:space="preserve">the </w:t>
      </w:r>
      <w:r w:rsidR="00BB7EE1" w:rsidRPr="008373A2">
        <w:rPr>
          <w:rFonts w:ascii="Times New Roman" w:hAnsi="Times New Roman" w:cs="Times New Roman"/>
        </w:rPr>
        <w:t>alleged new</w:t>
      </w:r>
      <w:r w:rsidR="00DA200F" w:rsidRPr="008373A2">
        <w:rPr>
          <w:rFonts w:ascii="Times New Roman" w:hAnsi="Times New Roman" w:cs="Times New Roman"/>
        </w:rPr>
        <w:t xml:space="preserve"> customary rule:</w:t>
      </w:r>
    </w:p>
    <w:p w14:paraId="62FD1E70" w14:textId="7DC1C325" w:rsidR="00DA200F" w:rsidRPr="008373A2" w:rsidRDefault="00DA200F" w:rsidP="00064C83">
      <w:pPr>
        <w:spacing w:line="360" w:lineRule="auto"/>
        <w:jc w:val="both"/>
        <w:rPr>
          <w:rFonts w:ascii="Times New Roman" w:hAnsi="Times New Roman" w:cs="Times New Roman"/>
        </w:rPr>
      </w:pPr>
    </w:p>
    <w:p w14:paraId="0D686EB6" w14:textId="088E84C8" w:rsidR="00DA200F" w:rsidRPr="008373A2" w:rsidRDefault="00AD0C16" w:rsidP="00064C83">
      <w:pPr>
        <w:spacing w:line="360" w:lineRule="auto"/>
        <w:jc w:val="both"/>
        <w:rPr>
          <w:rFonts w:ascii="Times New Roman" w:hAnsi="Times New Roman" w:cs="Times New Roman"/>
        </w:rPr>
      </w:pPr>
      <w:r w:rsidRPr="008373A2">
        <w:rPr>
          <w:rFonts w:ascii="Times New Roman" w:hAnsi="Times New Roman" w:cs="Times New Roman"/>
        </w:rPr>
        <w:t>Figure</w:t>
      </w:r>
      <w:r w:rsidR="00DA200F" w:rsidRPr="008373A2">
        <w:rPr>
          <w:rFonts w:ascii="Times New Roman" w:hAnsi="Times New Roman" w:cs="Times New Roman"/>
        </w:rPr>
        <w:t xml:space="preserve"> </w:t>
      </w:r>
      <w:r w:rsidR="00211063" w:rsidRPr="008373A2">
        <w:rPr>
          <w:rFonts w:ascii="Times New Roman" w:hAnsi="Times New Roman" w:cs="Times New Roman"/>
        </w:rPr>
        <w:t>2</w:t>
      </w:r>
      <w:r w:rsidR="00DA200F" w:rsidRPr="008373A2">
        <w:rPr>
          <w:rFonts w:ascii="Times New Roman" w:hAnsi="Times New Roman" w:cs="Times New Roman"/>
        </w:rPr>
        <w:t>.</w:t>
      </w:r>
    </w:p>
    <w:tbl>
      <w:tblPr>
        <w:tblStyle w:val="TableGrid"/>
        <w:tblW w:w="0" w:type="auto"/>
        <w:tblLook w:val="04A0" w:firstRow="1" w:lastRow="0" w:firstColumn="1" w:lastColumn="0" w:noHBand="0" w:noVBand="1"/>
      </w:tblPr>
      <w:tblGrid>
        <w:gridCol w:w="2405"/>
        <w:gridCol w:w="3119"/>
        <w:gridCol w:w="1842"/>
        <w:gridCol w:w="1633"/>
        <w:gridCol w:w="11"/>
      </w:tblGrid>
      <w:tr w:rsidR="00DA200F" w:rsidRPr="008373A2" w14:paraId="49DF688C" w14:textId="77777777" w:rsidTr="00F100EB">
        <w:tc>
          <w:tcPr>
            <w:tcW w:w="2405" w:type="dxa"/>
            <w:vMerge w:val="restart"/>
            <w:shd w:val="clear" w:color="auto" w:fill="D9E2F3" w:themeFill="accent1" w:themeFillTint="33"/>
          </w:tcPr>
          <w:p w14:paraId="707F77CF" w14:textId="77777777" w:rsidR="00DA200F" w:rsidRPr="008373A2" w:rsidRDefault="00DA200F" w:rsidP="00412785">
            <w:pPr>
              <w:jc w:val="center"/>
              <w:rPr>
                <w:rFonts w:ascii="Times New Roman" w:hAnsi="Times New Roman" w:cs="Times New Roman"/>
                <w:b/>
                <w:bCs/>
                <w:sz w:val="20"/>
                <w:szCs w:val="20"/>
              </w:rPr>
            </w:pPr>
          </w:p>
          <w:p w14:paraId="652430E4" w14:textId="77777777" w:rsidR="00DA200F" w:rsidRPr="008373A2" w:rsidRDefault="00DA200F" w:rsidP="00412785">
            <w:pPr>
              <w:jc w:val="center"/>
              <w:rPr>
                <w:rFonts w:ascii="Times New Roman" w:hAnsi="Times New Roman" w:cs="Times New Roman"/>
                <w:b/>
                <w:bCs/>
                <w:sz w:val="20"/>
                <w:szCs w:val="20"/>
              </w:rPr>
            </w:pPr>
            <w:r w:rsidRPr="008373A2">
              <w:rPr>
                <w:rFonts w:ascii="Times New Roman" w:hAnsi="Times New Roman" w:cs="Times New Roman"/>
                <w:b/>
                <w:bCs/>
                <w:sz w:val="20"/>
                <w:szCs w:val="20"/>
              </w:rPr>
              <w:t>Alleged customary rule</w:t>
            </w:r>
          </w:p>
          <w:p w14:paraId="38747BDC" w14:textId="77777777" w:rsidR="00DA200F" w:rsidRPr="008373A2" w:rsidRDefault="00DA200F" w:rsidP="00412785">
            <w:pPr>
              <w:jc w:val="center"/>
              <w:rPr>
                <w:rFonts w:ascii="Times New Roman" w:hAnsi="Times New Roman" w:cs="Times New Roman"/>
                <w:b/>
                <w:bCs/>
                <w:sz w:val="20"/>
                <w:szCs w:val="20"/>
              </w:rPr>
            </w:pPr>
          </w:p>
        </w:tc>
        <w:tc>
          <w:tcPr>
            <w:tcW w:w="3119" w:type="dxa"/>
            <w:vMerge w:val="restart"/>
            <w:shd w:val="clear" w:color="auto" w:fill="D9E2F3" w:themeFill="accent1" w:themeFillTint="33"/>
          </w:tcPr>
          <w:p w14:paraId="67C08960" w14:textId="77777777" w:rsidR="00DA200F" w:rsidRPr="008373A2" w:rsidRDefault="00DA200F" w:rsidP="00412785">
            <w:pPr>
              <w:jc w:val="center"/>
              <w:rPr>
                <w:rFonts w:ascii="Times New Roman" w:hAnsi="Times New Roman" w:cs="Times New Roman"/>
                <w:b/>
                <w:bCs/>
                <w:sz w:val="20"/>
                <w:szCs w:val="20"/>
              </w:rPr>
            </w:pPr>
          </w:p>
          <w:p w14:paraId="60631BA3" w14:textId="77777777" w:rsidR="00DA200F" w:rsidRPr="008373A2" w:rsidRDefault="00DA200F" w:rsidP="00412785">
            <w:pPr>
              <w:jc w:val="center"/>
              <w:rPr>
                <w:rFonts w:ascii="Times New Roman" w:hAnsi="Times New Roman" w:cs="Times New Roman"/>
                <w:b/>
                <w:bCs/>
                <w:sz w:val="20"/>
                <w:szCs w:val="20"/>
              </w:rPr>
            </w:pPr>
            <w:r w:rsidRPr="008373A2">
              <w:rPr>
                <w:rFonts w:ascii="Times New Roman" w:hAnsi="Times New Roman" w:cs="Times New Roman"/>
                <w:b/>
                <w:bCs/>
                <w:sz w:val="20"/>
                <w:szCs w:val="20"/>
              </w:rPr>
              <w:t>Supportive practice</w:t>
            </w:r>
          </w:p>
          <w:p w14:paraId="55282E68" w14:textId="77777777" w:rsidR="00DA200F" w:rsidRPr="008373A2" w:rsidRDefault="00DA200F" w:rsidP="00412785">
            <w:pPr>
              <w:jc w:val="center"/>
              <w:rPr>
                <w:rFonts w:ascii="Times New Roman" w:hAnsi="Times New Roman" w:cs="Times New Roman"/>
                <w:b/>
                <w:bCs/>
                <w:sz w:val="20"/>
                <w:szCs w:val="20"/>
              </w:rPr>
            </w:pPr>
          </w:p>
        </w:tc>
        <w:tc>
          <w:tcPr>
            <w:tcW w:w="3486" w:type="dxa"/>
            <w:gridSpan w:val="3"/>
            <w:shd w:val="clear" w:color="auto" w:fill="D9E2F3" w:themeFill="accent1" w:themeFillTint="33"/>
          </w:tcPr>
          <w:p w14:paraId="01891EBB" w14:textId="77777777" w:rsidR="00DA200F" w:rsidRPr="008373A2" w:rsidRDefault="00DA200F" w:rsidP="00412785">
            <w:pPr>
              <w:jc w:val="center"/>
              <w:rPr>
                <w:rFonts w:ascii="Times New Roman" w:hAnsi="Times New Roman" w:cs="Times New Roman"/>
                <w:b/>
                <w:bCs/>
                <w:sz w:val="20"/>
                <w:szCs w:val="20"/>
              </w:rPr>
            </w:pPr>
          </w:p>
          <w:p w14:paraId="046CA256" w14:textId="52F32DB6" w:rsidR="00DA200F" w:rsidRPr="008373A2" w:rsidRDefault="00DA200F" w:rsidP="00412785">
            <w:pPr>
              <w:jc w:val="center"/>
              <w:rPr>
                <w:rFonts w:ascii="Times New Roman" w:hAnsi="Times New Roman" w:cs="Times New Roman"/>
                <w:b/>
                <w:bCs/>
                <w:sz w:val="20"/>
                <w:szCs w:val="20"/>
              </w:rPr>
            </w:pPr>
            <w:r w:rsidRPr="008373A2">
              <w:rPr>
                <w:rFonts w:ascii="Times New Roman" w:hAnsi="Times New Roman" w:cs="Times New Roman"/>
                <w:b/>
                <w:bCs/>
                <w:sz w:val="20"/>
                <w:szCs w:val="20"/>
              </w:rPr>
              <w:t>Context</w:t>
            </w:r>
            <w:r w:rsidR="003B3500" w:rsidRPr="008373A2">
              <w:rPr>
                <w:rFonts w:ascii="Times New Roman" w:hAnsi="Times New Roman" w:cs="Times New Roman"/>
                <w:b/>
                <w:bCs/>
                <w:sz w:val="20"/>
                <w:szCs w:val="20"/>
              </w:rPr>
              <w:t xml:space="preserve"> of </w:t>
            </w:r>
            <w:r w:rsidR="000904BA" w:rsidRPr="008373A2">
              <w:rPr>
                <w:rFonts w:ascii="Times New Roman" w:hAnsi="Times New Roman" w:cs="Times New Roman"/>
                <w:b/>
                <w:bCs/>
                <w:sz w:val="20"/>
                <w:szCs w:val="20"/>
              </w:rPr>
              <w:t>underlying international law rules</w:t>
            </w:r>
          </w:p>
          <w:p w14:paraId="569C6BC6" w14:textId="77777777" w:rsidR="00DA200F" w:rsidRPr="008373A2" w:rsidRDefault="00DA200F" w:rsidP="00412785">
            <w:pPr>
              <w:jc w:val="center"/>
              <w:rPr>
                <w:rFonts w:ascii="Times New Roman" w:hAnsi="Times New Roman" w:cs="Times New Roman"/>
                <w:b/>
                <w:bCs/>
                <w:sz w:val="20"/>
                <w:szCs w:val="20"/>
              </w:rPr>
            </w:pPr>
          </w:p>
        </w:tc>
      </w:tr>
      <w:tr w:rsidR="00DA200F" w:rsidRPr="008373A2" w14:paraId="1CC5FD94" w14:textId="77777777" w:rsidTr="00F100EB">
        <w:trPr>
          <w:gridAfter w:val="1"/>
          <w:wAfter w:w="11" w:type="dxa"/>
        </w:trPr>
        <w:tc>
          <w:tcPr>
            <w:tcW w:w="2405" w:type="dxa"/>
            <w:vMerge/>
            <w:shd w:val="clear" w:color="auto" w:fill="D9E2F3" w:themeFill="accent1" w:themeFillTint="33"/>
          </w:tcPr>
          <w:p w14:paraId="1ABAA6BE" w14:textId="77777777" w:rsidR="00DA200F" w:rsidRPr="008373A2" w:rsidRDefault="00DA200F" w:rsidP="00412785">
            <w:pPr>
              <w:jc w:val="center"/>
              <w:rPr>
                <w:rFonts w:ascii="Times New Roman" w:hAnsi="Times New Roman" w:cs="Times New Roman"/>
                <w:b/>
                <w:bCs/>
                <w:sz w:val="20"/>
                <w:szCs w:val="20"/>
              </w:rPr>
            </w:pPr>
          </w:p>
        </w:tc>
        <w:tc>
          <w:tcPr>
            <w:tcW w:w="3119" w:type="dxa"/>
            <w:vMerge/>
            <w:shd w:val="clear" w:color="auto" w:fill="D9E2F3" w:themeFill="accent1" w:themeFillTint="33"/>
          </w:tcPr>
          <w:p w14:paraId="059B7F60" w14:textId="77777777" w:rsidR="00DA200F" w:rsidRPr="008373A2" w:rsidRDefault="00DA200F" w:rsidP="00412785">
            <w:pPr>
              <w:jc w:val="center"/>
              <w:rPr>
                <w:rFonts w:ascii="Times New Roman" w:hAnsi="Times New Roman" w:cs="Times New Roman"/>
                <w:b/>
                <w:bCs/>
                <w:sz w:val="20"/>
                <w:szCs w:val="20"/>
              </w:rPr>
            </w:pPr>
          </w:p>
        </w:tc>
        <w:tc>
          <w:tcPr>
            <w:tcW w:w="1842" w:type="dxa"/>
            <w:shd w:val="clear" w:color="auto" w:fill="D9E2F3" w:themeFill="accent1" w:themeFillTint="33"/>
          </w:tcPr>
          <w:p w14:paraId="397229C4" w14:textId="77777777" w:rsidR="00DA200F" w:rsidRPr="008373A2" w:rsidRDefault="00DA200F" w:rsidP="00412785">
            <w:pPr>
              <w:jc w:val="center"/>
              <w:rPr>
                <w:rFonts w:ascii="Times New Roman" w:hAnsi="Times New Roman" w:cs="Times New Roman"/>
                <w:b/>
                <w:bCs/>
                <w:sz w:val="20"/>
                <w:szCs w:val="20"/>
              </w:rPr>
            </w:pPr>
          </w:p>
          <w:p w14:paraId="6BB91E44" w14:textId="7B310FF7" w:rsidR="00DA200F" w:rsidRPr="008373A2" w:rsidRDefault="00DA200F" w:rsidP="00412785">
            <w:pPr>
              <w:jc w:val="center"/>
              <w:rPr>
                <w:rFonts w:ascii="Times New Roman" w:hAnsi="Times New Roman" w:cs="Times New Roman"/>
                <w:b/>
                <w:bCs/>
                <w:sz w:val="20"/>
                <w:szCs w:val="20"/>
              </w:rPr>
            </w:pPr>
            <w:r w:rsidRPr="008373A2">
              <w:rPr>
                <w:rFonts w:ascii="Times New Roman" w:hAnsi="Times New Roman" w:cs="Times New Roman"/>
                <w:b/>
                <w:bCs/>
                <w:sz w:val="20"/>
                <w:szCs w:val="20"/>
              </w:rPr>
              <w:t>Permissive rule</w:t>
            </w:r>
          </w:p>
          <w:p w14:paraId="37CAFD48" w14:textId="77777777" w:rsidR="00DA200F" w:rsidRPr="008373A2" w:rsidRDefault="00DA200F" w:rsidP="00412785">
            <w:pPr>
              <w:jc w:val="center"/>
              <w:rPr>
                <w:rFonts w:ascii="Times New Roman" w:hAnsi="Times New Roman" w:cs="Times New Roman"/>
                <w:b/>
                <w:bCs/>
                <w:sz w:val="20"/>
                <w:szCs w:val="20"/>
              </w:rPr>
            </w:pPr>
          </w:p>
        </w:tc>
        <w:tc>
          <w:tcPr>
            <w:tcW w:w="1633" w:type="dxa"/>
            <w:shd w:val="clear" w:color="auto" w:fill="D9E2F3" w:themeFill="accent1" w:themeFillTint="33"/>
          </w:tcPr>
          <w:p w14:paraId="01638043" w14:textId="77777777" w:rsidR="00DA200F" w:rsidRPr="008373A2" w:rsidRDefault="00DA200F" w:rsidP="00412785">
            <w:pPr>
              <w:jc w:val="center"/>
              <w:rPr>
                <w:rFonts w:ascii="Times New Roman" w:hAnsi="Times New Roman" w:cs="Times New Roman"/>
                <w:b/>
                <w:bCs/>
                <w:sz w:val="20"/>
                <w:szCs w:val="20"/>
              </w:rPr>
            </w:pPr>
          </w:p>
          <w:p w14:paraId="613C3A4B" w14:textId="62449E89" w:rsidR="00DA200F" w:rsidRPr="008373A2" w:rsidRDefault="00DA200F" w:rsidP="00412785">
            <w:pPr>
              <w:jc w:val="center"/>
              <w:rPr>
                <w:rFonts w:ascii="Times New Roman" w:hAnsi="Times New Roman" w:cs="Times New Roman"/>
                <w:b/>
                <w:bCs/>
                <w:sz w:val="20"/>
                <w:szCs w:val="20"/>
              </w:rPr>
            </w:pPr>
            <w:r w:rsidRPr="008373A2">
              <w:rPr>
                <w:rFonts w:ascii="Times New Roman" w:hAnsi="Times New Roman" w:cs="Times New Roman"/>
                <w:b/>
                <w:bCs/>
                <w:sz w:val="20"/>
                <w:szCs w:val="20"/>
              </w:rPr>
              <w:t>Prohibitive rule</w:t>
            </w:r>
          </w:p>
          <w:p w14:paraId="5E9532AD" w14:textId="77777777" w:rsidR="00DA200F" w:rsidRPr="008373A2" w:rsidRDefault="00DA200F" w:rsidP="00412785">
            <w:pPr>
              <w:jc w:val="center"/>
              <w:rPr>
                <w:rFonts w:ascii="Times New Roman" w:hAnsi="Times New Roman" w:cs="Times New Roman"/>
                <w:b/>
                <w:bCs/>
                <w:sz w:val="20"/>
                <w:szCs w:val="20"/>
              </w:rPr>
            </w:pPr>
          </w:p>
        </w:tc>
      </w:tr>
      <w:tr w:rsidR="00DA200F" w:rsidRPr="008373A2" w14:paraId="76310EAA" w14:textId="77777777" w:rsidTr="00F100EB">
        <w:trPr>
          <w:gridAfter w:val="1"/>
          <w:wAfter w:w="11" w:type="dxa"/>
        </w:trPr>
        <w:tc>
          <w:tcPr>
            <w:tcW w:w="2405" w:type="dxa"/>
            <w:shd w:val="clear" w:color="auto" w:fill="D9E2F3" w:themeFill="accent1" w:themeFillTint="33"/>
          </w:tcPr>
          <w:p w14:paraId="729DCB5D" w14:textId="77777777" w:rsidR="00DA200F" w:rsidRPr="008373A2" w:rsidRDefault="00DA200F" w:rsidP="00412785">
            <w:pPr>
              <w:jc w:val="center"/>
              <w:rPr>
                <w:rFonts w:ascii="Times New Roman" w:hAnsi="Times New Roman" w:cs="Times New Roman"/>
                <w:b/>
                <w:bCs/>
                <w:sz w:val="20"/>
                <w:szCs w:val="20"/>
              </w:rPr>
            </w:pPr>
          </w:p>
          <w:p w14:paraId="2A8F9C42" w14:textId="53512691" w:rsidR="00DA200F" w:rsidRPr="008373A2" w:rsidRDefault="00DA200F" w:rsidP="00412785">
            <w:pPr>
              <w:jc w:val="center"/>
              <w:rPr>
                <w:rFonts w:ascii="Times New Roman" w:hAnsi="Times New Roman" w:cs="Times New Roman"/>
                <w:b/>
                <w:bCs/>
                <w:sz w:val="20"/>
                <w:szCs w:val="20"/>
              </w:rPr>
            </w:pPr>
            <w:r w:rsidRPr="008373A2">
              <w:rPr>
                <w:rFonts w:ascii="Times New Roman" w:hAnsi="Times New Roman" w:cs="Times New Roman"/>
                <w:b/>
                <w:bCs/>
                <w:sz w:val="20"/>
                <w:szCs w:val="20"/>
              </w:rPr>
              <w:t>Prohibitive rule</w:t>
            </w:r>
            <w:r w:rsidR="00C24D04" w:rsidRPr="008373A2">
              <w:rPr>
                <w:rFonts w:ascii="Times New Roman" w:hAnsi="Times New Roman" w:cs="Times New Roman"/>
                <w:b/>
                <w:bCs/>
                <w:sz w:val="20"/>
                <w:szCs w:val="20"/>
              </w:rPr>
              <w:t>/negative duty</w:t>
            </w:r>
          </w:p>
          <w:p w14:paraId="626A51FD" w14:textId="77777777" w:rsidR="00DA200F" w:rsidRPr="008373A2" w:rsidRDefault="00DA200F" w:rsidP="00412785">
            <w:pPr>
              <w:jc w:val="center"/>
              <w:rPr>
                <w:rFonts w:ascii="Times New Roman" w:hAnsi="Times New Roman" w:cs="Times New Roman"/>
                <w:b/>
                <w:bCs/>
                <w:sz w:val="20"/>
                <w:szCs w:val="20"/>
              </w:rPr>
            </w:pPr>
          </w:p>
        </w:tc>
        <w:tc>
          <w:tcPr>
            <w:tcW w:w="3119" w:type="dxa"/>
          </w:tcPr>
          <w:p w14:paraId="23D831BA" w14:textId="77777777" w:rsidR="00DA200F" w:rsidRPr="008373A2" w:rsidRDefault="00DA200F" w:rsidP="00412785">
            <w:pPr>
              <w:jc w:val="center"/>
              <w:rPr>
                <w:rFonts w:ascii="Times New Roman" w:hAnsi="Times New Roman" w:cs="Times New Roman"/>
                <w:i/>
                <w:iCs/>
                <w:sz w:val="20"/>
                <w:szCs w:val="20"/>
                <w:lang w:val="en-US"/>
              </w:rPr>
            </w:pPr>
          </w:p>
          <w:p w14:paraId="37F865BE" w14:textId="77777777" w:rsidR="00DA200F" w:rsidRPr="008373A2" w:rsidRDefault="00DA200F" w:rsidP="00412785">
            <w:pPr>
              <w:jc w:val="center"/>
              <w:rPr>
                <w:rFonts w:ascii="Times New Roman" w:hAnsi="Times New Roman" w:cs="Times New Roman"/>
                <w:sz w:val="20"/>
                <w:szCs w:val="20"/>
              </w:rPr>
            </w:pPr>
            <w:r w:rsidRPr="008373A2">
              <w:rPr>
                <w:rFonts w:ascii="Times New Roman" w:hAnsi="Times New Roman" w:cs="Times New Roman"/>
                <w:i/>
                <w:iCs/>
                <w:sz w:val="20"/>
                <w:szCs w:val="20"/>
                <w:lang w:val="en-US"/>
              </w:rPr>
              <w:t>Prohibited</w:t>
            </w:r>
            <w:r w:rsidRPr="008373A2">
              <w:rPr>
                <w:rFonts w:ascii="Times New Roman" w:hAnsi="Times New Roman" w:cs="Times New Roman"/>
                <w:sz w:val="20"/>
                <w:szCs w:val="20"/>
                <w:lang w:val="en-US"/>
              </w:rPr>
              <w:t xml:space="preserve"> conduct </w:t>
            </w:r>
            <w:r w:rsidRPr="008373A2">
              <w:rPr>
                <w:rFonts w:ascii="Times New Roman" w:hAnsi="Times New Roman" w:cs="Times New Roman"/>
                <w:i/>
                <w:iCs/>
                <w:sz w:val="20"/>
                <w:szCs w:val="20"/>
                <w:lang w:val="en-US"/>
              </w:rPr>
              <w:t>not being done</w:t>
            </w:r>
          </w:p>
          <w:p w14:paraId="4F63F434" w14:textId="77777777" w:rsidR="00DA200F" w:rsidRPr="008373A2" w:rsidRDefault="00DA200F" w:rsidP="00412785">
            <w:pPr>
              <w:jc w:val="center"/>
              <w:rPr>
                <w:rFonts w:ascii="Times New Roman" w:hAnsi="Times New Roman" w:cs="Times New Roman"/>
                <w:sz w:val="20"/>
                <w:szCs w:val="20"/>
              </w:rPr>
            </w:pPr>
          </w:p>
        </w:tc>
        <w:tc>
          <w:tcPr>
            <w:tcW w:w="1842" w:type="dxa"/>
          </w:tcPr>
          <w:p w14:paraId="489C41FC" w14:textId="77777777" w:rsidR="00DA200F" w:rsidRPr="008373A2" w:rsidRDefault="00DA200F" w:rsidP="00412785">
            <w:pPr>
              <w:jc w:val="center"/>
              <w:rPr>
                <w:rFonts w:ascii="Times New Roman" w:hAnsi="Times New Roman" w:cs="Times New Roman"/>
                <w:sz w:val="20"/>
                <w:szCs w:val="20"/>
                <w:lang w:val="en-US"/>
              </w:rPr>
            </w:pPr>
          </w:p>
          <w:p w14:paraId="2D9C4B3F" w14:textId="77777777" w:rsidR="00DA200F" w:rsidRPr="008373A2" w:rsidRDefault="00DA200F" w:rsidP="00412785">
            <w:pPr>
              <w:jc w:val="center"/>
              <w:rPr>
                <w:rFonts w:ascii="Times New Roman" w:hAnsi="Times New Roman" w:cs="Times New Roman"/>
                <w:sz w:val="20"/>
                <w:szCs w:val="20"/>
                <w:lang w:val="en-US"/>
              </w:rPr>
            </w:pPr>
            <w:r w:rsidRPr="008373A2">
              <w:rPr>
                <w:rFonts w:ascii="Times New Roman" w:hAnsi="Times New Roman" w:cs="Times New Roman"/>
                <w:sz w:val="20"/>
                <w:szCs w:val="20"/>
                <w:lang w:val="en-US"/>
              </w:rPr>
              <w:t>Consistent</w:t>
            </w:r>
          </w:p>
          <w:p w14:paraId="5FFF7C89" w14:textId="77777777" w:rsidR="00DA200F" w:rsidRPr="008373A2" w:rsidRDefault="00DA200F" w:rsidP="00412785">
            <w:pPr>
              <w:jc w:val="center"/>
              <w:rPr>
                <w:rFonts w:ascii="Times New Roman" w:hAnsi="Times New Roman" w:cs="Times New Roman"/>
                <w:i/>
                <w:iCs/>
                <w:sz w:val="20"/>
                <w:szCs w:val="20"/>
                <w:lang w:val="en-US"/>
              </w:rPr>
            </w:pPr>
          </w:p>
          <w:p w14:paraId="67598D00" w14:textId="5977AB22" w:rsidR="00DA200F" w:rsidRPr="008373A2" w:rsidRDefault="00DA200F" w:rsidP="00412785">
            <w:pPr>
              <w:jc w:val="center"/>
              <w:rPr>
                <w:rFonts w:ascii="Times New Roman" w:hAnsi="Times New Roman" w:cs="Times New Roman"/>
                <w:sz w:val="20"/>
                <w:szCs w:val="20"/>
              </w:rPr>
            </w:pPr>
            <w:r w:rsidRPr="008373A2">
              <w:rPr>
                <w:rFonts w:ascii="Times New Roman" w:hAnsi="Times New Roman" w:cs="Times New Roman"/>
                <w:i/>
                <w:iCs/>
                <w:sz w:val="20"/>
                <w:szCs w:val="20"/>
                <w:lang w:val="en-US"/>
              </w:rPr>
              <w:t>Lotus</w:t>
            </w:r>
            <w:r w:rsidR="002138FE" w:rsidRPr="008373A2">
              <w:rPr>
                <w:rFonts w:ascii="Times New Roman" w:hAnsi="Times New Roman" w:cs="Times New Roman"/>
                <w:i/>
                <w:iCs/>
                <w:sz w:val="20"/>
                <w:szCs w:val="20"/>
                <w:lang w:val="en-US"/>
              </w:rPr>
              <w:t>; Asylum</w:t>
            </w:r>
          </w:p>
          <w:p w14:paraId="71833527" w14:textId="77777777" w:rsidR="00DA200F" w:rsidRPr="008373A2" w:rsidRDefault="00DA200F" w:rsidP="00412785">
            <w:pPr>
              <w:jc w:val="center"/>
              <w:rPr>
                <w:rFonts w:ascii="Times New Roman" w:hAnsi="Times New Roman" w:cs="Times New Roman"/>
                <w:sz w:val="20"/>
                <w:szCs w:val="20"/>
              </w:rPr>
            </w:pPr>
          </w:p>
        </w:tc>
        <w:tc>
          <w:tcPr>
            <w:tcW w:w="1633" w:type="dxa"/>
          </w:tcPr>
          <w:p w14:paraId="519B188C" w14:textId="77777777" w:rsidR="00DA200F" w:rsidRPr="008373A2" w:rsidRDefault="00DA200F" w:rsidP="00412785">
            <w:pPr>
              <w:jc w:val="center"/>
              <w:rPr>
                <w:rFonts w:ascii="Times New Roman" w:hAnsi="Times New Roman" w:cs="Times New Roman"/>
                <w:sz w:val="20"/>
                <w:szCs w:val="20"/>
              </w:rPr>
            </w:pPr>
          </w:p>
          <w:p w14:paraId="4609849B" w14:textId="77777777" w:rsidR="00DA200F" w:rsidRPr="008373A2" w:rsidRDefault="00DA200F" w:rsidP="00412785">
            <w:pPr>
              <w:jc w:val="center"/>
              <w:rPr>
                <w:rFonts w:ascii="Times New Roman" w:hAnsi="Times New Roman" w:cs="Times New Roman"/>
                <w:sz w:val="20"/>
                <w:szCs w:val="20"/>
              </w:rPr>
            </w:pPr>
            <w:r w:rsidRPr="008373A2">
              <w:rPr>
                <w:rFonts w:ascii="Times New Roman" w:hAnsi="Times New Roman" w:cs="Times New Roman"/>
                <w:sz w:val="20"/>
                <w:szCs w:val="20"/>
              </w:rPr>
              <w:t>N/A</w:t>
            </w:r>
          </w:p>
        </w:tc>
      </w:tr>
      <w:tr w:rsidR="00DA200F" w:rsidRPr="008373A2" w14:paraId="1F45053A" w14:textId="77777777" w:rsidTr="00F100EB">
        <w:trPr>
          <w:gridAfter w:val="1"/>
          <w:wAfter w:w="11" w:type="dxa"/>
        </w:trPr>
        <w:tc>
          <w:tcPr>
            <w:tcW w:w="2405" w:type="dxa"/>
            <w:shd w:val="clear" w:color="auto" w:fill="D9E2F3" w:themeFill="accent1" w:themeFillTint="33"/>
          </w:tcPr>
          <w:p w14:paraId="530C8039" w14:textId="77777777" w:rsidR="00DA200F" w:rsidRPr="008373A2" w:rsidRDefault="00DA200F" w:rsidP="00412785">
            <w:pPr>
              <w:jc w:val="center"/>
              <w:rPr>
                <w:rFonts w:ascii="Times New Roman" w:hAnsi="Times New Roman" w:cs="Times New Roman"/>
                <w:b/>
                <w:bCs/>
                <w:sz w:val="20"/>
                <w:szCs w:val="20"/>
              </w:rPr>
            </w:pPr>
          </w:p>
          <w:p w14:paraId="219FFD46" w14:textId="553B459C" w:rsidR="00DA200F" w:rsidRPr="008373A2" w:rsidRDefault="00DA200F" w:rsidP="00412785">
            <w:pPr>
              <w:jc w:val="center"/>
              <w:rPr>
                <w:rFonts w:ascii="Times New Roman" w:hAnsi="Times New Roman" w:cs="Times New Roman"/>
                <w:b/>
                <w:bCs/>
                <w:sz w:val="20"/>
                <w:szCs w:val="20"/>
              </w:rPr>
            </w:pPr>
            <w:r w:rsidRPr="008373A2">
              <w:rPr>
                <w:rFonts w:ascii="Times New Roman" w:hAnsi="Times New Roman" w:cs="Times New Roman"/>
                <w:b/>
                <w:bCs/>
                <w:sz w:val="20"/>
                <w:szCs w:val="20"/>
              </w:rPr>
              <w:t>Prescriptive rule</w:t>
            </w:r>
            <w:r w:rsidR="00C24D04" w:rsidRPr="008373A2">
              <w:rPr>
                <w:rFonts w:ascii="Times New Roman" w:hAnsi="Times New Roman" w:cs="Times New Roman"/>
                <w:b/>
                <w:bCs/>
                <w:sz w:val="20"/>
                <w:szCs w:val="20"/>
              </w:rPr>
              <w:t>/positive duty</w:t>
            </w:r>
          </w:p>
          <w:p w14:paraId="11C435DB" w14:textId="77777777" w:rsidR="00DA200F" w:rsidRPr="008373A2" w:rsidRDefault="00DA200F" w:rsidP="00412785">
            <w:pPr>
              <w:jc w:val="center"/>
              <w:rPr>
                <w:rFonts w:ascii="Times New Roman" w:hAnsi="Times New Roman" w:cs="Times New Roman"/>
                <w:b/>
                <w:bCs/>
                <w:sz w:val="20"/>
                <w:szCs w:val="20"/>
              </w:rPr>
            </w:pPr>
          </w:p>
        </w:tc>
        <w:tc>
          <w:tcPr>
            <w:tcW w:w="3119" w:type="dxa"/>
          </w:tcPr>
          <w:p w14:paraId="2F52DAB7" w14:textId="77777777" w:rsidR="00DA200F" w:rsidRPr="008373A2" w:rsidRDefault="00DA200F" w:rsidP="00412785">
            <w:pPr>
              <w:jc w:val="center"/>
              <w:rPr>
                <w:rFonts w:ascii="Times New Roman" w:hAnsi="Times New Roman" w:cs="Times New Roman"/>
                <w:i/>
                <w:iCs/>
                <w:sz w:val="20"/>
                <w:szCs w:val="20"/>
                <w:lang w:val="en-US"/>
              </w:rPr>
            </w:pPr>
          </w:p>
          <w:p w14:paraId="189D7540" w14:textId="77777777" w:rsidR="00DA200F" w:rsidRPr="008373A2" w:rsidRDefault="00DA200F" w:rsidP="00412785">
            <w:pPr>
              <w:jc w:val="center"/>
              <w:rPr>
                <w:rFonts w:ascii="Times New Roman" w:hAnsi="Times New Roman" w:cs="Times New Roman"/>
                <w:sz w:val="20"/>
                <w:szCs w:val="20"/>
              </w:rPr>
            </w:pPr>
            <w:r w:rsidRPr="008373A2">
              <w:rPr>
                <w:rFonts w:ascii="Times New Roman" w:hAnsi="Times New Roman" w:cs="Times New Roman"/>
                <w:i/>
                <w:iCs/>
                <w:sz w:val="20"/>
                <w:szCs w:val="20"/>
                <w:lang w:val="en-US"/>
              </w:rPr>
              <w:t>Required</w:t>
            </w:r>
            <w:r w:rsidRPr="008373A2">
              <w:rPr>
                <w:rFonts w:ascii="Times New Roman" w:hAnsi="Times New Roman" w:cs="Times New Roman"/>
                <w:sz w:val="20"/>
                <w:szCs w:val="20"/>
                <w:lang w:val="en-US"/>
              </w:rPr>
              <w:t xml:space="preserve"> conduct </w:t>
            </w:r>
            <w:r w:rsidRPr="008373A2">
              <w:rPr>
                <w:rFonts w:ascii="Times New Roman" w:hAnsi="Times New Roman" w:cs="Times New Roman"/>
                <w:i/>
                <w:iCs/>
                <w:sz w:val="20"/>
                <w:szCs w:val="20"/>
                <w:lang w:val="en-US"/>
              </w:rPr>
              <w:t>being done</w:t>
            </w:r>
          </w:p>
          <w:p w14:paraId="6BA7D8C3" w14:textId="77777777" w:rsidR="00DA200F" w:rsidRPr="008373A2" w:rsidRDefault="00DA200F" w:rsidP="00412785">
            <w:pPr>
              <w:jc w:val="center"/>
              <w:rPr>
                <w:rFonts w:ascii="Times New Roman" w:hAnsi="Times New Roman" w:cs="Times New Roman"/>
                <w:sz w:val="20"/>
                <w:szCs w:val="20"/>
              </w:rPr>
            </w:pPr>
          </w:p>
        </w:tc>
        <w:tc>
          <w:tcPr>
            <w:tcW w:w="1842" w:type="dxa"/>
          </w:tcPr>
          <w:p w14:paraId="213399BE" w14:textId="77777777" w:rsidR="00DA200F" w:rsidRPr="008373A2" w:rsidRDefault="00DA200F" w:rsidP="00412785">
            <w:pPr>
              <w:jc w:val="center"/>
              <w:rPr>
                <w:rFonts w:ascii="Times New Roman" w:hAnsi="Times New Roman" w:cs="Times New Roman"/>
                <w:sz w:val="20"/>
                <w:szCs w:val="20"/>
                <w:lang w:val="en-US"/>
              </w:rPr>
            </w:pPr>
          </w:p>
          <w:p w14:paraId="539DCCE3" w14:textId="77777777" w:rsidR="00DA200F" w:rsidRPr="008373A2" w:rsidRDefault="00DA200F" w:rsidP="00412785">
            <w:pPr>
              <w:jc w:val="center"/>
              <w:rPr>
                <w:rFonts w:ascii="Times New Roman" w:hAnsi="Times New Roman" w:cs="Times New Roman"/>
                <w:sz w:val="20"/>
                <w:szCs w:val="20"/>
              </w:rPr>
            </w:pPr>
            <w:r w:rsidRPr="008373A2">
              <w:rPr>
                <w:rFonts w:ascii="Times New Roman" w:hAnsi="Times New Roman" w:cs="Times New Roman"/>
                <w:sz w:val="20"/>
                <w:szCs w:val="20"/>
                <w:lang w:val="en-US"/>
              </w:rPr>
              <w:t>Consistent</w:t>
            </w:r>
          </w:p>
          <w:p w14:paraId="6D932E90" w14:textId="77777777" w:rsidR="004E4E44" w:rsidRPr="008373A2" w:rsidRDefault="004E4E44" w:rsidP="00412785">
            <w:pPr>
              <w:jc w:val="center"/>
              <w:rPr>
                <w:rFonts w:ascii="Times New Roman" w:hAnsi="Times New Roman" w:cs="Times New Roman"/>
                <w:i/>
                <w:iCs/>
                <w:sz w:val="20"/>
                <w:szCs w:val="20"/>
                <w:lang w:val="en-US"/>
              </w:rPr>
            </w:pPr>
          </w:p>
          <w:p w14:paraId="67CA0983" w14:textId="1CC93216" w:rsidR="00DA200F" w:rsidRPr="008373A2" w:rsidRDefault="004E4E44" w:rsidP="00412785">
            <w:pPr>
              <w:jc w:val="center"/>
              <w:rPr>
                <w:rFonts w:ascii="Times New Roman" w:hAnsi="Times New Roman" w:cs="Times New Roman"/>
                <w:i/>
                <w:iCs/>
                <w:sz w:val="20"/>
                <w:szCs w:val="20"/>
                <w:lang w:val="en-US"/>
              </w:rPr>
            </w:pPr>
            <w:r w:rsidRPr="008373A2">
              <w:rPr>
                <w:rFonts w:ascii="Times New Roman" w:hAnsi="Times New Roman" w:cs="Times New Roman"/>
                <w:i/>
                <w:iCs/>
                <w:sz w:val="20"/>
                <w:szCs w:val="20"/>
                <w:lang w:val="en-US"/>
              </w:rPr>
              <w:t>North Sea</w:t>
            </w:r>
          </w:p>
          <w:p w14:paraId="293DA1EC" w14:textId="77777777" w:rsidR="00DA200F" w:rsidRPr="008373A2" w:rsidRDefault="00DA200F" w:rsidP="00412785">
            <w:pPr>
              <w:jc w:val="center"/>
              <w:rPr>
                <w:rFonts w:ascii="Times New Roman" w:hAnsi="Times New Roman" w:cs="Times New Roman"/>
                <w:sz w:val="20"/>
                <w:szCs w:val="20"/>
              </w:rPr>
            </w:pPr>
          </w:p>
        </w:tc>
        <w:tc>
          <w:tcPr>
            <w:tcW w:w="1633" w:type="dxa"/>
          </w:tcPr>
          <w:p w14:paraId="3C79A849" w14:textId="77777777" w:rsidR="00DA200F" w:rsidRPr="008373A2" w:rsidRDefault="00DA200F" w:rsidP="00412785">
            <w:pPr>
              <w:jc w:val="center"/>
              <w:rPr>
                <w:rFonts w:ascii="Times New Roman" w:hAnsi="Times New Roman" w:cs="Times New Roman"/>
                <w:sz w:val="20"/>
                <w:szCs w:val="20"/>
              </w:rPr>
            </w:pPr>
          </w:p>
          <w:p w14:paraId="2239D249" w14:textId="77777777" w:rsidR="00DA200F" w:rsidRPr="008373A2" w:rsidRDefault="00DA200F" w:rsidP="00412785">
            <w:pPr>
              <w:jc w:val="center"/>
              <w:rPr>
                <w:rFonts w:ascii="Times New Roman" w:hAnsi="Times New Roman" w:cs="Times New Roman"/>
                <w:sz w:val="20"/>
                <w:szCs w:val="20"/>
              </w:rPr>
            </w:pPr>
            <w:r w:rsidRPr="008373A2">
              <w:rPr>
                <w:rFonts w:ascii="Times New Roman" w:hAnsi="Times New Roman" w:cs="Times New Roman"/>
                <w:sz w:val="20"/>
                <w:szCs w:val="20"/>
              </w:rPr>
              <w:t>Inconsistent</w:t>
            </w:r>
          </w:p>
        </w:tc>
      </w:tr>
      <w:tr w:rsidR="00DA200F" w:rsidRPr="008373A2" w14:paraId="26E67493" w14:textId="77777777" w:rsidTr="00F100EB">
        <w:trPr>
          <w:gridAfter w:val="1"/>
          <w:wAfter w:w="11" w:type="dxa"/>
        </w:trPr>
        <w:tc>
          <w:tcPr>
            <w:tcW w:w="2405" w:type="dxa"/>
            <w:shd w:val="clear" w:color="auto" w:fill="D9E2F3" w:themeFill="accent1" w:themeFillTint="33"/>
          </w:tcPr>
          <w:p w14:paraId="35E63938" w14:textId="77777777" w:rsidR="00DA200F" w:rsidRPr="008373A2" w:rsidRDefault="00DA200F" w:rsidP="00412785">
            <w:pPr>
              <w:jc w:val="center"/>
              <w:rPr>
                <w:rFonts w:ascii="Times New Roman" w:hAnsi="Times New Roman" w:cs="Times New Roman"/>
                <w:b/>
                <w:bCs/>
                <w:sz w:val="20"/>
                <w:szCs w:val="20"/>
              </w:rPr>
            </w:pPr>
          </w:p>
          <w:p w14:paraId="5C2DE731" w14:textId="77777777" w:rsidR="00DA200F" w:rsidRPr="008373A2" w:rsidRDefault="00DA200F" w:rsidP="00412785">
            <w:pPr>
              <w:jc w:val="center"/>
              <w:rPr>
                <w:rFonts w:ascii="Times New Roman" w:hAnsi="Times New Roman" w:cs="Times New Roman"/>
                <w:b/>
                <w:bCs/>
                <w:sz w:val="20"/>
                <w:szCs w:val="20"/>
              </w:rPr>
            </w:pPr>
            <w:r w:rsidRPr="008373A2">
              <w:rPr>
                <w:rFonts w:ascii="Times New Roman" w:hAnsi="Times New Roman" w:cs="Times New Roman"/>
                <w:b/>
                <w:bCs/>
                <w:sz w:val="20"/>
                <w:szCs w:val="20"/>
              </w:rPr>
              <w:t>Permissive rule</w:t>
            </w:r>
          </w:p>
          <w:p w14:paraId="680B3870" w14:textId="77777777" w:rsidR="00DA200F" w:rsidRPr="008373A2" w:rsidRDefault="00DA200F" w:rsidP="00412785">
            <w:pPr>
              <w:jc w:val="center"/>
              <w:rPr>
                <w:rFonts w:ascii="Times New Roman" w:hAnsi="Times New Roman" w:cs="Times New Roman"/>
                <w:b/>
                <w:bCs/>
                <w:sz w:val="20"/>
                <w:szCs w:val="20"/>
              </w:rPr>
            </w:pPr>
          </w:p>
        </w:tc>
        <w:tc>
          <w:tcPr>
            <w:tcW w:w="3119" w:type="dxa"/>
          </w:tcPr>
          <w:p w14:paraId="11810146" w14:textId="77777777" w:rsidR="00DA200F" w:rsidRPr="008373A2" w:rsidRDefault="00DA200F" w:rsidP="00412785">
            <w:pPr>
              <w:jc w:val="center"/>
              <w:rPr>
                <w:rFonts w:ascii="Times New Roman" w:hAnsi="Times New Roman" w:cs="Times New Roman"/>
                <w:i/>
                <w:iCs/>
                <w:sz w:val="20"/>
                <w:szCs w:val="20"/>
              </w:rPr>
            </w:pPr>
          </w:p>
          <w:p w14:paraId="1D1A9314" w14:textId="77777777" w:rsidR="00DA200F" w:rsidRPr="008373A2" w:rsidRDefault="00DA200F" w:rsidP="00412785">
            <w:pPr>
              <w:jc w:val="center"/>
              <w:rPr>
                <w:rFonts w:ascii="Times New Roman" w:hAnsi="Times New Roman" w:cs="Times New Roman"/>
                <w:sz w:val="20"/>
                <w:szCs w:val="20"/>
              </w:rPr>
            </w:pPr>
            <w:r w:rsidRPr="008373A2">
              <w:rPr>
                <w:rFonts w:ascii="Times New Roman" w:hAnsi="Times New Roman" w:cs="Times New Roman"/>
                <w:i/>
                <w:iCs/>
                <w:sz w:val="20"/>
                <w:szCs w:val="20"/>
              </w:rPr>
              <w:t xml:space="preserve">Permitted </w:t>
            </w:r>
            <w:r w:rsidRPr="008373A2">
              <w:rPr>
                <w:rFonts w:ascii="Times New Roman" w:hAnsi="Times New Roman" w:cs="Times New Roman"/>
                <w:sz w:val="20"/>
                <w:szCs w:val="20"/>
              </w:rPr>
              <w:t xml:space="preserve">conduct </w:t>
            </w:r>
            <w:r w:rsidRPr="008373A2">
              <w:rPr>
                <w:rFonts w:ascii="Times New Roman" w:hAnsi="Times New Roman" w:cs="Times New Roman"/>
                <w:i/>
                <w:iCs/>
                <w:sz w:val="20"/>
                <w:szCs w:val="20"/>
              </w:rPr>
              <w:t>being done</w:t>
            </w:r>
          </w:p>
          <w:p w14:paraId="1F892608" w14:textId="77777777" w:rsidR="00DA200F" w:rsidRPr="008373A2" w:rsidRDefault="00DA200F" w:rsidP="00412785">
            <w:pPr>
              <w:jc w:val="center"/>
              <w:rPr>
                <w:rFonts w:ascii="Times New Roman" w:hAnsi="Times New Roman" w:cs="Times New Roman"/>
                <w:sz w:val="20"/>
                <w:szCs w:val="20"/>
              </w:rPr>
            </w:pPr>
          </w:p>
        </w:tc>
        <w:tc>
          <w:tcPr>
            <w:tcW w:w="1842" w:type="dxa"/>
          </w:tcPr>
          <w:p w14:paraId="6B84CA7C" w14:textId="77777777" w:rsidR="00DA200F" w:rsidRPr="008373A2" w:rsidRDefault="00DA200F" w:rsidP="00412785">
            <w:pPr>
              <w:jc w:val="center"/>
              <w:rPr>
                <w:rFonts w:ascii="Times New Roman" w:hAnsi="Times New Roman" w:cs="Times New Roman"/>
                <w:sz w:val="20"/>
                <w:szCs w:val="20"/>
                <w:lang w:val="en-US"/>
              </w:rPr>
            </w:pPr>
          </w:p>
          <w:p w14:paraId="6058DF1F" w14:textId="77777777" w:rsidR="00DA200F" w:rsidRPr="008373A2" w:rsidRDefault="00DA200F" w:rsidP="00412785">
            <w:pPr>
              <w:jc w:val="center"/>
              <w:rPr>
                <w:rFonts w:ascii="Times New Roman" w:hAnsi="Times New Roman" w:cs="Times New Roman"/>
                <w:sz w:val="20"/>
                <w:szCs w:val="20"/>
              </w:rPr>
            </w:pPr>
            <w:r w:rsidRPr="008373A2">
              <w:rPr>
                <w:rFonts w:ascii="Times New Roman" w:hAnsi="Times New Roman" w:cs="Times New Roman"/>
                <w:sz w:val="20"/>
                <w:szCs w:val="20"/>
                <w:lang w:val="en-US"/>
              </w:rPr>
              <w:t>N/A</w:t>
            </w:r>
          </w:p>
          <w:p w14:paraId="4C748DA4" w14:textId="77777777" w:rsidR="00DA200F" w:rsidRPr="008373A2" w:rsidRDefault="00DA200F" w:rsidP="00412785">
            <w:pPr>
              <w:jc w:val="center"/>
              <w:rPr>
                <w:rFonts w:ascii="Times New Roman" w:hAnsi="Times New Roman" w:cs="Times New Roman"/>
                <w:sz w:val="20"/>
                <w:szCs w:val="20"/>
              </w:rPr>
            </w:pPr>
          </w:p>
        </w:tc>
        <w:tc>
          <w:tcPr>
            <w:tcW w:w="1633" w:type="dxa"/>
          </w:tcPr>
          <w:p w14:paraId="2E6A9D34" w14:textId="77777777" w:rsidR="00DA200F" w:rsidRPr="008373A2" w:rsidRDefault="00DA200F" w:rsidP="00412785">
            <w:pPr>
              <w:jc w:val="center"/>
              <w:rPr>
                <w:rFonts w:ascii="Times New Roman" w:hAnsi="Times New Roman" w:cs="Times New Roman"/>
                <w:sz w:val="20"/>
                <w:szCs w:val="20"/>
                <w:lang w:val="en-US"/>
              </w:rPr>
            </w:pPr>
          </w:p>
          <w:p w14:paraId="4B1D9873" w14:textId="77777777" w:rsidR="00DA200F" w:rsidRPr="008373A2" w:rsidRDefault="00DA200F" w:rsidP="00412785">
            <w:pPr>
              <w:jc w:val="center"/>
              <w:rPr>
                <w:rFonts w:ascii="Times New Roman" w:hAnsi="Times New Roman" w:cs="Times New Roman"/>
                <w:sz w:val="20"/>
                <w:szCs w:val="20"/>
              </w:rPr>
            </w:pPr>
            <w:r w:rsidRPr="008373A2">
              <w:rPr>
                <w:rFonts w:ascii="Times New Roman" w:hAnsi="Times New Roman" w:cs="Times New Roman"/>
                <w:sz w:val="20"/>
                <w:szCs w:val="20"/>
                <w:lang w:val="en-US"/>
              </w:rPr>
              <w:t>Inconsistent</w:t>
            </w:r>
          </w:p>
          <w:p w14:paraId="496E5555" w14:textId="77777777" w:rsidR="00DA200F" w:rsidRPr="008373A2" w:rsidRDefault="00DA200F" w:rsidP="00412785">
            <w:pPr>
              <w:jc w:val="center"/>
              <w:rPr>
                <w:rFonts w:ascii="Times New Roman" w:hAnsi="Times New Roman" w:cs="Times New Roman"/>
                <w:i/>
                <w:iCs/>
                <w:sz w:val="20"/>
                <w:szCs w:val="20"/>
                <w:lang w:val="en-US"/>
              </w:rPr>
            </w:pPr>
          </w:p>
          <w:p w14:paraId="28CC8AC0" w14:textId="0DB05929" w:rsidR="00DA200F" w:rsidRPr="008373A2" w:rsidRDefault="00DA200F" w:rsidP="00412785">
            <w:pPr>
              <w:jc w:val="center"/>
              <w:rPr>
                <w:rFonts w:ascii="Times New Roman" w:hAnsi="Times New Roman" w:cs="Times New Roman"/>
                <w:sz w:val="20"/>
                <w:szCs w:val="20"/>
              </w:rPr>
            </w:pPr>
            <w:r w:rsidRPr="008373A2">
              <w:rPr>
                <w:rFonts w:ascii="Times New Roman" w:hAnsi="Times New Roman" w:cs="Times New Roman"/>
                <w:i/>
                <w:iCs/>
                <w:sz w:val="20"/>
                <w:szCs w:val="20"/>
                <w:lang w:val="en-US"/>
              </w:rPr>
              <w:t>(Lotus as argued by France)</w:t>
            </w:r>
          </w:p>
          <w:p w14:paraId="49F3BEAB" w14:textId="77777777" w:rsidR="00DA200F" w:rsidRPr="008373A2" w:rsidRDefault="00DA200F" w:rsidP="00412785">
            <w:pPr>
              <w:jc w:val="center"/>
              <w:rPr>
                <w:rFonts w:ascii="Times New Roman" w:hAnsi="Times New Roman" w:cs="Times New Roman"/>
                <w:sz w:val="20"/>
                <w:szCs w:val="20"/>
              </w:rPr>
            </w:pPr>
          </w:p>
        </w:tc>
      </w:tr>
    </w:tbl>
    <w:p w14:paraId="31BFC951" w14:textId="77777777" w:rsidR="00E82233" w:rsidRPr="008373A2" w:rsidRDefault="00E82233" w:rsidP="00064C83">
      <w:pPr>
        <w:spacing w:line="360" w:lineRule="auto"/>
        <w:jc w:val="both"/>
        <w:rPr>
          <w:rFonts w:ascii="Times New Roman" w:hAnsi="Times New Roman" w:cs="Times New Roman"/>
        </w:rPr>
      </w:pPr>
    </w:p>
    <w:p w14:paraId="2C4C68BB" w14:textId="393BE33B" w:rsidR="002A4A67" w:rsidRPr="008373A2" w:rsidRDefault="00E82233" w:rsidP="00064C83">
      <w:pPr>
        <w:spacing w:line="360" w:lineRule="auto"/>
        <w:jc w:val="both"/>
        <w:rPr>
          <w:rFonts w:ascii="Times New Roman" w:hAnsi="Times New Roman" w:cs="Times New Roman"/>
        </w:rPr>
      </w:pPr>
      <w:r w:rsidRPr="008373A2">
        <w:rPr>
          <w:rFonts w:ascii="Times New Roman" w:hAnsi="Times New Roman" w:cs="Times New Roman"/>
        </w:rPr>
        <w:t xml:space="preserve">In </w:t>
      </w:r>
      <w:r w:rsidR="0016705D" w:rsidRPr="008373A2">
        <w:rPr>
          <w:rFonts w:ascii="Times New Roman" w:hAnsi="Times New Roman" w:cs="Times New Roman"/>
          <w:i/>
          <w:iCs/>
        </w:rPr>
        <w:t>North Sea Continental Shelf</w:t>
      </w:r>
      <w:r w:rsidRPr="008373A2">
        <w:rPr>
          <w:rFonts w:ascii="Times New Roman" w:hAnsi="Times New Roman" w:cs="Times New Roman"/>
        </w:rPr>
        <w:t xml:space="preserve">, absence of </w:t>
      </w:r>
      <w:r w:rsidRPr="008373A2">
        <w:rPr>
          <w:rFonts w:ascii="Times New Roman" w:hAnsi="Times New Roman" w:cs="Times New Roman"/>
          <w:i/>
          <w:iCs/>
        </w:rPr>
        <w:t>opinio juris</w:t>
      </w:r>
      <w:r w:rsidRPr="008373A2">
        <w:rPr>
          <w:rFonts w:ascii="Times New Roman" w:hAnsi="Times New Roman" w:cs="Times New Roman"/>
        </w:rPr>
        <w:t xml:space="preserve"> was fatal to the argument that a prescriptive customary rule </w:t>
      </w:r>
      <w:r w:rsidR="00B531A5" w:rsidRPr="008373A2">
        <w:rPr>
          <w:rFonts w:ascii="Times New Roman" w:hAnsi="Times New Roman" w:cs="Times New Roman"/>
        </w:rPr>
        <w:t xml:space="preserve">existed </w:t>
      </w:r>
      <w:r w:rsidRPr="008373A2">
        <w:rPr>
          <w:rFonts w:ascii="Times New Roman" w:hAnsi="Times New Roman" w:cs="Times New Roman"/>
        </w:rPr>
        <w:t xml:space="preserve">requiring states to use the equidistance principle </w:t>
      </w:r>
      <w:r w:rsidR="00163EB9">
        <w:rPr>
          <w:rFonts w:ascii="Times New Roman" w:hAnsi="Times New Roman" w:cs="Times New Roman"/>
        </w:rPr>
        <w:t>whe</w:t>
      </w:r>
      <w:r w:rsidRPr="008373A2">
        <w:rPr>
          <w:rFonts w:ascii="Times New Roman" w:hAnsi="Times New Roman" w:cs="Times New Roman"/>
        </w:rPr>
        <w:t xml:space="preserve">n establishing maritime boundaries. The Court quoted </w:t>
      </w:r>
      <w:r w:rsidR="0051107D" w:rsidRPr="008373A2">
        <w:rPr>
          <w:rFonts w:ascii="Times New Roman" w:hAnsi="Times New Roman" w:cs="Times New Roman"/>
        </w:rPr>
        <w:t>the PCIJ’s reasoning</w:t>
      </w:r>
      <w:r w:rsidRPr="008373A2">
        <w:rPr>
          <w:rFonts w:ascii="Times New Roman" w:hAnsi="Times New Roman" w:cs="Times New Roman"/>
        </w:rPr>
        <w:t xml:space="preserve"> in </w:t>
      </w:r>
      <w:r w:rsidRPr="008373A2">
        <w:rPr>
          <w:rFonts w:ascii="Times New Roman" w:hAnsi="Times New Roman" w:cs="Times New Roman"/>
          <w:i/>
          <w:iCs/>
        </w:rPr>
        <w:t>Lotus</w:t>
      </w:r>
      <w:r w:rsidRPr="008373A2">
        <w:rPr>
          <w:rFonts w:ascii="Times New Roman" w:hAnsi="Times New Roman" w:cs="Times New Roman"/>
        </w:rPr>
        <w:t xml:space="preserve">, </w:t>
      </w:r>
      <w:r w:rsidR="0051107D" w:rsidRPr="008373A2">
        <w:rPr>
          <w:rFonts w:ascii="Times New Roman" w:hAnsi="Times New Roman" w:cs="Times New Roman"/>
        </w:rPr>
        <w:t>describing it</w:t>
      </w:r>
      <w:r w:rsidRPr="008373A2">
        <w:rPr>
          <w:rFonts w:ascii="Times New Roman" w:hAnsi="Times New Roman" w:cs="Times New Roman"/>
        </w:rPr>
        <w:t xml:space="preserve"> as ‘by analogy, applicable almost word for word, </w:t>
      </w:r>
      <w:r w:rsidRPr="008373A2">
        <w:rPr>
          <w:rFonts w:ascii="Times New Roman" w:hAnsi="Times New Roman" w:cs="Times New Roman"/>
          <w:i/>
          <w:iCs/>
        </w:rPr>
        <w:t>mutatis mutandis</w:t>
      </w:r>
      <w:r w:rsidRPr="008373A2">
        <w:rPr>
          <w:rFonts w:ascii="Times New Roman" w:hAnsi="Times New Roman" w:cs="Times New Roman"/>
        </w:rPr>
        <w:t>, to the present case’.</w:t>
      </w:r>
      <w:r w:rsidRPr="008373A2">
        <w:rPr>
          <w:rStyle w:val="FootnoteReference"/>
          <w:rFonts w:ascii="Times New Roman" w:hAnsi="Times New Roman" w:cs="Times New Roman"/>
        </w:rPr>
        <w:footnoteReference w:id="63"/>
      </w:r>
      <w:r w:rsidRPr="008373A2">
        <w:rPr>
          <w:rFonts w:ascii="Times New Roman" w:hAnsi="Times New Roman" w:cs="Times New Roman"/>
        </w:rPr>
        <w:t xml:space="preserve"> However, this is not strictly true. Whereas in </w:t>
      </w:r>
      <w:r w:rsidRPr="008373A2">
        <w:rPr>
          <w:rFonts w:ascii="Times New Roman" w:hAnsi="Times New Roman" w:cs="Times New Roman"/>
          <w:i/>
          <w:iCs/>
        </w:rPr>
        <w:t>Lotus</w:t>
      </w:r>
      <w:r w:rsidRPr="008373A2">
        <w:rPr>
          <w:rFonts w:ascii="Times New Roman" w:hAnsi="Times New Roman" w:cs="Times New Roman"/>
        </w:rPr>
        <w:t xml:space="preserve"> the conduct in question was an omission – abstention from instituting criminal proceedings – in </w:t>
      </w:r>
      <w:r w:rsidRPr="008373A2">
        <w:rPr>
          <w:rFonts w:ascii="Times New Roman" w:hAnsi="Times New Roman" w:cs="Times New Roman"/>
          <w:i/>
          <w:iCs/>
        </w:rPr>
        <w:t>North Sea</w:t>
      </w:r>
      <w:r w:rsidRPr="008373A2">
        <w:rPr>
          <w:rFonts w:ascii="Times New Roman" w:hAnsi="Times New Roman" w:cs="Times New Roman"/>
        </w:rPr>
        <w:t xml:space="preserve"> the conduct was </w:t>
      </w:r>
      <w:r w:rsidR="0040263C" w:rsidRPr="008373A2">
        <w:rPr>
          <w:rFonts w:ascii="Times New Roman" w:hAnsi="Times New Roman" w:cs="Times New Roman"/>
        </w:rPr>
        <w:t>affirmative</w:t>
      </w:r>
      <w:r w:rsidRPr="008373A2">
        <w:rPr>
          <w:rFonts w:ascii="Times New Roman" w:hAnsi="Times New Roman" w:cs="Times New Roman"/>
        </w:rPr>
        <w:t xml:space="preserve">: incidences where states agreed to draw or did draw boundaries according to the principle of </w:t>
      </w:r>
      <w:r w:rsidRPr="008373A2">
        <w:rPr>
          <w:rFonts w:ascii="Times New Roman" w:hAnsi="Times New Roman" w:cs="Times New Roman"/>
        </w:rPr>
        <w:lastRenderedPageBreak/>
        <w:t>equidistance.</w:t>
      </w:r>
      <w:r w:rsidRPr="008373A2">
        <w:rPr>
          <w:rStyle w:val="FootnoteReference"/>
          <w:rFonts w:ascii="Times New Roman" w:hAnsi="Times New Roman" w:cs="Times New Roman"/>
        </w:rPr>
        <w:footnoteReference w:id="64"/>
      </w:r>
      <w:r w:rsidRPr="008373A2">
        <w:rPr>
          <w:rFonts w:ascii="Times New Roman" w:hAnsi="Times New Roman" w:cs="Times New Roman"/>
        </w:rPr>
        <w:t xml:space="preserve"> The analogy between the two cases is possible because</w:t>
      </w:r>
      <w:r w:rsidR="00A540C5" w:rsidRPr="008373A2">
        <w:rPr>
          <w:rFonts w:ascii="Times New Roman" w:hAnsi="Times New Roman" w:cs="Times New Roman"/>
        </w:rPr>
        <w:t xml:space="preserve"> in both</w:t>
      </w:r>
      <w:r w:rsidRPr="008373A2">
        <w:rPr>
          <w:rFonts w:ascii="Times New Roman" w:hAnsi="Times New Roman" w:cs="Times New Roman"/>
        </w:rPr>
        <w:t xml:space="preserve"> </w:t>
      </w:r>
      <w:r w:rsidR="0078048C" w:rsidRPr="008373A2">
        <w:rPr>
          <w:rFonts w:ascii="Times New Roman" w:hAnsi="Times New Roman" w:cs="Times New Roman"/>
        </w:rPr>
        <w:t xml:space="preserve">cases </w:t>
      </w:r>
      <w:r w:rsidRPr="008373A2">
        <w:rPr>
          <w:rFonts w:ascii="Times New Roman" w:hAnsi="Times New Roman" w:cs="Times New Roman"/>
        </w:rPr>
        <w:t xml:space="preserve">the practice supportive of the alleged new </w:t>
      </w:r>
      <w:r w:rsidR="0051107D" w:rsidRPr="008373A2">
        <w:rPr>
          <w:rFonts w:ascii="Times New Roman" w:hAnsi="Times New Roman" w:cs="Times New Roman"/>
        </w:rPr>
        <w:t>customary rule</w:t>
      </w:r>
      <w:r w:rsidRPr="008373A2">
        <w:rPr>
          <w:rFonts w:ascii="Times New Roman" w:hAnsi="Times New Roman" w:cs="Times New Roman"/>
        </w:rPr>
        <w:t xml:space="preserve"> – whether a prohibition or a prescription – is also consistent with </w:t>
      </w:r>
      <w:r w:rsidR="008F423F" w:rsidRPr="008373A2">
        <w:rPr>
          <w:rFonts w:ascii="Times New Roman" w:hAnsi="Times New Roman" w:cs="Times New Roman"/>
        </w:rPr>
        <w:t>the underlying international law rules</w:t>
      </w:r>
      <w:r w:rsidRPr="008373A2">
        <w:rPr>
          <w:rFonts w:ascii="Times New Roman" w:hAnsi="Times New Roman" w:cs="Times New Roman"/>
        </w:rPr>
        <w:t xml:space="preserve">. In </w:t>
      </w:r>
      <w:r w:rsidR="00DD063F" w:rsidRPr="008373A2">
        <w:rPr>
          <w:rFonts w:ascii="Times New Roman" w:hAnsi="Times New Roman" w:cs="Times New Roman"/>
          <w:i/>
          <w:iCs/>
        </w:rPr>
        <w:t>North Sea</w:t>
      </w:r>
      <w:r w:rsidR="00DD063F" w:rsidRPr="008373A2">
        <w:rPr>
          <w:rFonts w:ascii="Times New Roman" w:hAnsi="Times New Roman" w:cs="Times New Roman"/>
        </w:rPr>
        <w:t>, t</w:t>
      </w:r>
      <w:r w:rsidRPr="008373A2">
        <w:rPr>
          <w:rFonts w:ascii="Times New Roman" w:hAnsi="Times New Roman" w:cs="Times New Roman"/>
        </w:rPr>
        <w:t xml:space="preserve">he performance of the conduct was consistent both with the existence of a prescriptive rule </w:t>
      </w:r>
      <w:r w:rsidRPr="00437B04">
        <w:rPr>
          <w:rFonts w:ascii="Times New Roman" w:hAnsi="Times New Roman" w:cs="Times New Roman"/>
        </w:rPr>
        <w:t>requiring</w:t>
      </w:r>
      <w:r w:rsidRPr="00597EBA">
        <w:rPr>
          <w:rFonts w:ascii="Times New Roman" w:hAnsi="Times New Roman" w:cs="Times New Roman"/>
        </w:rPr>
        <w:t xml:space="preserve"> </w:t>
      </w:r>
      <w:r w:rsidRPr="008373A2">
        <w:rPr>
          <w:rFonts w:ascii="Times New Roman" w:hAnsi="Times New Roman" w:cs="Times New Roman"/>
        </w:rPr>
        <w:t xml:space="preserve">states to use the equidistance principle, and </w:t>
      </w:r>
      <w:r w:rsidR="00163EB9">
        <w:rPr>
          <w:rFonts w:ascii="Times New Roman" w:hAnsi="Times New Roman" w:cs="Times New Roman"/>
        </w:rPr>
        <w:t xml:space="preserve">with </w:t>
      </w:r>
      <w:r w:rsidRPr="008373A2">
        <w:rPr>
          <w:rFonts w:ascii="Times New Roman" w:hAnsi="Times New Roman" w:cs="Times New Roman"/>
        </w:rPr>
        <w:t xml:space="preserve">the underlying principles of international law absent such a rule, whereby (for non-parties to the </w:t>
      </w:r>
      <w:r w:rsidR="00504448" w:rsidRPr="00504448">
        <w:rPr>
          <w:rFonts w:ascii="Times New Roman" w:hAnsi="Times New Roman" w:cs="Times New Roman"/>
        </w:rPr>
        <w:t>1958 Geneva Convention on the Continental Shelf</w:t>
      </w:r>
      <w:r w:rsidRPr="008373A2">
        <w:rPr>
          <w:rFonts w:ascii="Times New Roman" w:hAnsi="Times New Roman" w:cs="Times New Roman"/>
        </w:rPr>
        <w:t>) such conduct was not required but still permitted.</w:t>
      </w:r>
      <w:r w:rsidR="00A540C5" w:rsidRPr="008373A2">
        <w:rPr>
          <w:rStyle w:val="FootnoteReference"/>
          <w:rFonts w:ascii="Times New Roman" w:hAnsi="Times New Roman" w:cs="Times New Roman"/>
        </w:rPr>
        <w:footnoteReference w:id="65"/>
      </w:r>
      <w:r w:rsidRPr="008373A2">
        <w:rPr>
          <w:rFonts w:ascii="Times New Roman" w:hAnsi="Times New Roman" w:cs="Times New Roman"/>
        </w:rPr>
        <w:t xml:space="preserve"> </w:t>
      </w:r>
      <w:r w:rsidR="00607E47" w:rsidRPr="008373A2">
        <w:rPr>
          <w:rFonts w:ascii="Times New Roman" w:hAnsi="Times New Roman" w:cs="Times New Roman"/>
        </w:rPr>
        <w:t xml:space="preserve">Evidence of </w:t>
      </w:r>
      <w:r w:rsidR="00607E47" w:rsidRPr="008373A2">
        <w:rPr>
          <w:rFonts w:ascii="Times New Roman" w:hAnsi="Times New Roman" w:cs="Times New Roman"/>
          <w:i/>
          <w:iCs/>
        </w:rPr>
        <w:t xml:space="preserve">opinio juris </w:t>
      </w:r>
      <w:r w:rsidR="00607E47" w:rsidRPr="008373A2">
        <w:rPr>
          <w:rFonts w:ascii="Times New Roman" w:hAnsi="Times New Roman" w:cs="Times New Roman"/>
        </w:rPr>
        <w:t xml:space="preserve">was therefore essential to show </w:t>
      </w:r>
      <w:r w:rsidR="0078048C" w:rsidRPr="008373A2">
        <w:rPr>
          <w:rFonts w:ascii="Times New Roman" w:hAnsi="Times New Roman" w:cs="Times New Roman"/>
        </w:rPr>
        <w:t xml:space="preserve">that </w:t>
      </w:r>
      <w:r w:rsidR="00607E47" w:rsidRPr="008373A2">
        <w:rPr>
          <w:rFonts w:ascii="Times New Roman" w:hAnsi="Times New Roman" w:cs="Times New Roman"/>
        </w:rPr>
        <w:t xml:space="preserve">the </w:t>
      </w:r>
      <w:r w:rsidR="0046032B" w:rsidRPr="008373A2">
        <w:rPr>
          <w:rFonts w:ascii="Times New Roman" w:hAnsi="Times New Roman" w:cs="Times New Roman"/>
        </w:rPr>
        <w:t xml:space="preserve">ambiguous </w:t>
      </w:r>
      <w:r w:rsidR="00607E47" w:rsidRPr="008373A2">
        <w:rPr>
          <w:rFonts w:ascii="Times New Roman" w:hAnsi="Times New Roman" w:cs="Times New Roman"/>
        </w:rPr>
        <w:t xml:space="preserve">practice supported the alleged new </w:t>
      </w:r>
      <w:r w:rsidR="00174FF8">
        <w:rPr>
          <w:rFonts w:ascii="Times New Roman" w:hAnsi="Times New Roman" w:cs="Times New Roman"/>
        </w:rPr>
        <w:t xml:space="preserve">prescriptive </w:t>
      </w:r>
      <w:r w:rsidR="00607E47" w:rsidRPr="008373A2">
        <w:rPr>
          <w:rFonts w:ascii="Times New Roman" w:hAnsi="Times New Roman" w:cs="Times New Roman"/>
        </w:rPr>
        <w:t>rule.</w:t>
      </w:r>
    </w:p>
    <w:p w14:paraId="043D0CFE" w14:textId="3DE40F30" w:rsidR="003F168D" w:rsidRPr="008373A2" w:rsidRDefault="003F168D" w:rsidP="00064C83">
      <w:pPr>
        <w:spacing w:line="360" w:lineRule="auto"/>
        <w:jc w:val="both"/>
        <w:rPr>
          <w:rFonts w:ascii="Times New Roman" w:hAnsi="Times New Roman" w:cs="Times New Roman"/>
        </w:rPr>
      </w:pPr>
    </w:p>
    <w:p w14:paraId="71277415" w14:textId="77777777" w:rsidR="0046032B" w:rsidRPr="008373A2" w:rsidRDefault="0046032B" w:rsidP="00064C83">
      <w:pPr>
        <w:spacing w:line="360" w:lineRule="auto"/>
        <w:jc w:val="both"/>
        <w:rPr>
          <w:rFonts w:ascii="Times New Roman" w:hAnsi="Times New Roman" w:cs="Times New Roman"/>
        </w:rPr>
      </w:pPr>
    </w:p>
    <w:p w14:paraId="47397533" w14:textId="76499B22" w:rsidR="00CC29A2" w:rsidRPr="00437B04" w:rsidRDefault="00B20141">
      <w:pPr>
        <w:pStyle w:val="ListParagraph"/>
        <w:numPr>
          <w:ilvl w:val="0"/>
          <w:numId w:val="5"/>
        </w:numPr>
        <w:spacing w:line="360" w:lineRule="auto"/>
        <w:jc w:val="both"/>
        <w:rPr>
          <w:rFonts w:ascii="Times New Roman" w:hAnsi="Times New Roman" w:cs="Times New Roman"/>
          <w:b/>
          <w:bCs/>
        </w:rPr>
      </w:pPr>
      <w:r w:rsidRPr="00437B04">
        <w:rPr>
          <w:rFonts w:ascii="Times New Roman" w:hAnsi="Times New Roman" w:cs="Times New Roman"/>
          <w:b/>
          <w:bCs/>
        </w:rPr>
        <w:t xml:space="preserve">Cases where </w:t>
      </w:r>
      <w:r w:rsidR="00784CA7" w:rsidRPr="00437B04">
        <w:rPr>
          <w:rFonts w:ascii="Times New Roman" w:hAnsi="Times New Roman" w:cs="Times New Roman"/>
          <w:b/>
          <w:bCs/>
        </w:rPr>
        <w:t>S</w:t>
      </w:r>
      <w:r w:rsidRPr="00437B04">
        <w:rPr>
          <w:rFonts w:ascii="Times New Roman" w:hAnsi="Times New Roman" w:cs="Times New Roman"/>
          <w:b/>
          <w:bCs/>
        </w:rPr>
        <w:t xml:space="preserve">tate </w:t>
      </w:r>
      <w:r w:rsidR="00784CA7" w:rsidRPr="00437B04">
        <w:rPr>
          <w:rFonts w:ascii="Times New Roman" w:hAnsi="Times New Roman" w:cs="Times New Roman"/>
          <w:b/>
          <w:bCs/>
        </w:rPr>
        <w:t>P</w:t>
      </w:r>
      <w:r w:rsidRPr="00437B04">
        <w:rPr>
          <w:rFonts w:ascii="Times New Roman" w:hAnsi="Times New Roman" w:cs="Times New Roman"/>
          <w:b/>
          <w:bCs/>
        </w:rPr>
        <w:t xml:space="preserve">ractice </w:t>
      </w:r>
      <w:r w:rsidR="00784CA7" w:rsidRPr="00437B04">
        <w:rPr>
          <w:rFonts w:ascii="Times New Roman" w:hAnsi="Times New Roman" w:cs="Times New Roman"/>
          <w:b/>
          <w:bCs/>
        </w:rPr>
        <w:t>A</w:t>
      </w:r>
      <w:r w:rsidRPr="00437B04">
        <w:rPr>
          <w:rFonts w:ascii="Times New Roman" w:hAnsi="Times New Roman" w:cs="Times New Roman"/>
          <w:b/>
          <w:bCs/>
        </w:rPr>
        <w:t xml:space="preserve">ppears to be </w:t>
      </w:r>
      <w:r w:rsidR="00784CA7" w:rsidRPr="00437B04">
        <w:rPr>
          <w:rFonts w:ascii="Times New Roman" w:hAnsi="Times New Roman" w:cs="Times New Roman"/>
          <w:b/>
          <w:bCs/>
        </w:rPr>
        <w:t>A</w:t>
      </w:r>
      <w:r w:rsidR="00AB7E97" w:rsidRPr="00437B04">
        <w:rPr>
          <w:rFonts w:ascii="Times New Roman" w:hAnsi="Times New Roman" w:cs="Times New Roman"/>
          <w:b/>
          <w:bCs/>
        </w:rPr>
        <w:t>bsent</w:t>
      </w:r>
    </w:p>
    <w:p w14:paraId="6E81607B" w14:textId="77570FF3" w:rsidR="00CC29A2" w:rsidRPr="008373A2" w:rsidRDefault="00CC29A2" w:rsidP="00064C83">
      <w:pPr>
        <w:spacing w:line="360" w:lineRule="auto"/>
        <w:jc w:val="both"/>
        <w:rPr>
          <w:rFonts w:ascii="Times New Roman" w:hAnsi="Times New Roman" w:cs="Times New Roman"/>
        </w:rPr>
      </w:pPr>
    </w:p>
    <w:p w14:paraId="4CBFE1C2" w14:textId="160178F3" w:rsidR="002959C0" w:rsidRPr="008373A2" w:rsidRDefault="00A540C5" w:rsidP="00064C83">
      <w:pPr>
        <w:spacing w:line="360" w:lineRule="auto"/>
        <w:jc w:val="both"/>
        <w:rPr>
          <w:rFonts w:ascii="Times New Roman" w:hAnsi="Times New Roman" w:cs="Times New Roman"/>
        </w:rPr>
      </w:pPr>
      <w:r w:rsidRPr="008373A2">
        <w:rPr>
          <w:rFonts w:ascii="Times New Roman" w:hAnsi="Times New Roman" w:cs="Times New Roman"/>
        </w:rPr>
        <w:t xml:space="preserve">Together, </w:t>
      </w:r>
      <w:r w:rsidRPr="008373A2">
        <w:rPr>
          <w:rFonts w:ascii="Times New Roman" w:hAnsi="Times New Roman" w:cs="Times New Roman"/>
          <w:i/>
          <w:iCs/>
        </w:rPr>
        <w:t>Lotus</w:t>
      </w:r>
      <w:r w:rsidRPr="008373A2">
        <w:rPr>
          <w:rFonts w:ascii="Times New Roman" w:hAnsi="Times New Roman" w:cs="Times New Roman"/>
        </w:rPr>
        <w:t xml:space="preserve">, </w:t>
      </w:r>
      <w:r w:rsidRPr="008373A2">
        <w:rPr>
          <w:rFonts w:ascii="Times New Roman" w:hAnsi="Times New Roman" w:cs="Times New Roman"/>
          <w:i/>
          <w:iCs/>
        </w:rPr>
        <w:t>Asylum</w:t>
      </w:r>
      <w:r w:rsidRPr="008373A2">
        <w:rPr>
          <w:rFonts w:ascii="Times New Roman" w:hAnsi="Times New Roman" w:cs="Times New Roman"/>
        </w:rPr>
        <w:t xml:space="preserve">, </w:t>
      </w:r>
      <w:proofErr w:type="gramStart"/>
      <w:r w:rsidRPr="008373A2">
        <w:rPr>
          <w:rFonts w:ascii="Times New Roman" w:hAnsi="Times New Roman" w:cs="Times New Roman"/>
          <w:i/>
          <w:iCs/>
        </w:rPr>
        <w:t>Nuclear Weapons</w:t>
      </w:r>
      <w:proofErr w:type="gramEnd"/>
      <w:r w:rsidRPr="008373A2">
        <w:rPr>
          <w:rFonts w:ascii="Times New Roman" w:hAnsi="Times New Roman" w:cs="Times New Roman"/>
        </w:rPr>
        <w:t xml:space="preserve"> and </w:t>
      </w:r>
      <w:r w:rsidRPr="008373A2">
        <w:rPr>
          <w:rFonts w:ascii="Times New Roman" w:hAnsi="Times New Roman" w:cs="Times New Roman"/>
          <w:i/>
          <w:iCs/>
        </w:rPr>
        <w:t>North Sea</w:t>
      </w:r>
      <w:r w:rsidRPr="008373A2">
        <w:rPr>
          <w:rFonts w:ascii="Times New Roman" w:hAnsi="Times New Roman" w:cs="Times New Roman"/>
        </w:rPr>
        <w:t xml:space="preserve"> show that where practice supportive of a customary rule is consistent with </w:t>
      </w:r>
      <w:r w:rsidR="008F423F" w:rsidRPr="008373A2">
        <w:rPr>
          <w:rFonts w:ascii="Times New Roman" w:hAnsi="Times New Roman" w:cs="Times New Roman"/>
        </w:rPr>
        <w:t>the underlying international law rules</w:t>
      </w:r>
      <w:r w:rsidRPr="008373A2">
        <w:rPr>
          <w:rFonts w:ascii="Times New Roman" w:hAnsi="Times New Roman" w:cs="Times New Roman"/>
        </w:rPr>
        <w:t xml:space="preserve">, evidence of </w:t>
      </w:r>
      <w:r w:rsidRPr="008373A2">
        <w:rPr>
          <w:rFonts w:ascii="Times New Roman" w:hAnsi="Times New Roman" w:cs="Times New Roman"/>
          <w:i/>
          <w:iCs/>
        </w:rPr>
        <w:t>opinio juris</w:t>
      </w:r>
      <w:r w:rsidRPr="008373A2">
        <w:rPr>
          <w:rFonts w:ascii="Times New Roman" w:hAnsi="Times New Roman" w:cs="Times New Roman"/>
        </w:rPr>
        <w:t xml:space="preserve"> will be needed to remove the ambiguity from that practice and clarify that states are acting – or not acting – in the belief that they are required to do so by a </w:t>
      </w:r>
      <w:r w:rsidR="00190844" w:rsidRPr="008373A2">
        <w:rPr>
          <w:rFonts w:ascii="Times New Roman" w:hAnsi="Times New Roman" w:cs="Times New Roman"/>
        </w:rPr>
        <w:t xml:space="preserve">new </w:t>
      </w:r>
      <w:r w:rsidRPr="008373A2">
        <w:rPr>
          <w:rFonts w:ascii="Times New Roman" w:hAnsi="Times New Roman" w:cs="Times New Roman"/>
        </w:rPr>
        <w:t xml:space="preserve">rule of customary international law. </w:t>
      </w:r>
      <w:r w:rsidR="002959C0" w:rsidRPr="008373A2">
        <w:rPr>
          <w:rFonts w:ascii="Times New Roman" w:hAnsi="Times New Roman" w:cs="Times New Roman"/>
        </w:rPr>
        <w:t xml:space="preserve">In these cases, the absence </w:t>
      </w:r>
      <w:r w:rsidR="0051226C" w:rsidRPr="008373A2">
        <w:rPr>
          <w:rFonts w:ascii="Times New Roman" w:hAnsi="Times New Roman" w:cs="Times New Roman"/>
        </w:rPr>
        <w:t xml:space="preserve">or insufficiency </w:t>
      </w:r>
      <w:r w:rsidR="002959C0" w:rsidRPr="008373A2">
        <w:rPr>
          <w:rFonts w:ascii="Times New Roman" w:hAnsi="Times New Roman" w:cs="Times New Roman"/>
        </w:rPr>
        <w:t>of</w:t>
      </w:r>
      <w:r w:rsidR="00D75DA0">
        <w:rPr>
          <w:rFonts w:ascii="Times New Roman" w:hAnsi="Times New Roman" w:cs="Times New Roman"/>
        </w:rPr>
        <w:t xml:space="preserve"> </w:t>
      </w:r>
      <w:r w:rsidR="002959C0" w:rsidRPr="008373A2">
        <w:rPr>
          <w:rFonts w:ascii="Times New Roman" w:hAnsi="Times New Roman" w:cs="Times New Roman"/>
          <w:i/>
          <w:iCs/>
        </w:rPr>
        <w:t>opinio juris</w:t>
      </w:r>
      <w:r w:rsidR="002959C0" w:rsidRPr="008373A2">
        <w:rPr>
          <w:rFonts w:ascii="Times New Roman" w:hAnsi="Times New Roman" w:cs="Times New Roman"/>
        </w:rPr>
        <w:t xml:space="preserve"> was</w:t>
      </w:r>
      <w:r w:rsidR="00FD36B1" w:rsidRPr="008373A2">
        <w:rPr>
          <w:rFonts w:ascii="Times New Roman" w:hAnsi="Times New Roman" w:cs="Times New Roman"/>
        </w:rPr>
        <w:t>, as the two-element test would predict,</w:t>
      </w:r>
      <w:r w:rsidR="002959C0" w:rsidRPr="008373A2">
        <w:rPr>
          <w:rFonts w:ascii="Times New Roman" w:hAnsi="Times New Roman" w:cs="Times New Roman"/>
        </w:rPr>
        <w:t xml:space="preserve"> fatal to arguments that a customary </w:t>
      </w:r>
      <w:r w:rsidR="00E82233" w:rsidRPr="008373A2">
        <w:rPr>
          <w:rFonts w:ascii="Times New Roman" w:hAnsi="Times New Roman" w:cs="Times New Roman"/>
        </w:rPr>
        <w:t>rule</w:t>
      </w:r>
      <w:r w:rsidR="002959C0" w:rsidRPr="008373A2">
        <w:rPr>
          <w:rFonts w:ascii="Times New Roman" w:hAnsi="Times New Roman" w:cs="Times New Roman"/>
        </w:rPr>
        <w:t xml:space="preserve"> exists. Yet understanding the importance of </w:t>
      </w:r>
      <w:r w:rsidR="002959C0" w:rsidRPr="008373A2">
        <w:rPr>
          <w:rFonts w:ascii="Times New Roman" w:hAnsi="Times New Roman" w:cs="Times New Roman"/>
          <w:i/>
          <w:iCs/>
        </w:rPr>
        <w:t>opinio juris</w:t>
      </w:r>
      <w:r w:rsidR="002959C0" w:rsidRPr="008373A2">
        <w:rPr>
          <w:rFonts w:ascii="Times New Roman" w:hAnsi="Times New Roman" w:cs="Times New Roman"/>
        </w:rPr>
        <w:t xml:space="preserve"> in removing ambiguity from </w:t>
      </w:r>
      <w:r w:rsidR="00686683" w:rsidRPr="008373A2">
        <w:rPr>
          <w:rFonts w:ascii="Times New Roman" w:hAnsi="Times New Roman" w:cs="Times New Roman"/>
        </w:rPr>
        <w:t>practice</w:t>
      </w:r>
      <w:r w:rsidR="002959C0" w:rsidRPr="008373A2">
        <w:rPr>
          <w:rFonts w:ascii="Times New Roman" w:hAnsi="Times New Roman" w:cs="Times New Roman"/>
        </w:rPr>
        <w:t xml:space="preserve"> can </w:t>
      </w:r>
      <w:r w:rsidR="008700DE" w:rsidRPr="008373A2">
        <w:rPr>
          <w:rFonts w:ascii="Times New Roman" w:hAnsi="Times New Roman" w:cs="Times New Roman"/>
        </w:rPr>
        <w:t xml:space="preserve">also </w:t>
      </w:r>
      <w:r w:rsidR="002959C0" w:rsidRPr="008373A2">
        <w:rPr>
          <w:rFonts w:ascii="Times New Roman" w:hAnsi="Times New Roman" w:cs="Times New Roman"/>
        </w:rPr>
        <w:t xml:space="preserve">help us understand </w:t>
      </w:r>
      <w:r w:rsidR="008700DE" w:rsidRPr="008373A2">
        <w:rPr>
          <w:rFonts w:ascii="Times New Roman" w:hAnsi="Times New Roman" w:cs="Times New Roman"/>
        </w:rPr>
        <w:t xml:space="preserve">other </w:t>
      </w:r>
      <w:r w:rsidR="002959C0" w:rsidRPr="008373A2">
        <w:rPr>
          <w:rFonts w:ascii="Times New Roman" w:hAnsi="Times New Roman" w:cs="Times New Roman"/>
        </w:rPr>
        <w:t>cases</w:t>
      </w:r>
      <w:r w:rsidR="007310AF">
        <w:rPr>
          <w:rFonts w:ascii="Times New Roman" w:hAnsi="Times New Roman" w:cs="Times New Roman"/>
        </w:rPr>
        <w:t>,</w:t>
      </w:r>
      <w:r w:rsidR="002959C0" w:rsidRPr="008373A2">
        <w:rPr>
          <w:rFonts w:ascii="Times New Roman" w:hAnsi="Times New Roman" w:cs="Times New Roman"/>
        </w:rPr>
        <w:t xml:space="preserve"> where the Court has concluded that a customary </w:t>
      </w:r>
      <w:r w:rsidR="00E82233" w:rsidRPr="008373A2">
        <w:rPr>
          <w:rFonts w:ascii="Times New Roman" w:hAnsi="Times New Roman" w:cs="Times New Roman"/>
        </w:rPr>
        <w:t>rule</w:t>
      </w:r>
      <w:r w:rsidR="002959C0" w:rsidRPr="008373A2">
        <w:rPr>
          <w:rFonts w:ascii="Times New Roman" w:hAnsi="Times New Roman" w:cs="Times New Roman"/>
        </w:rPr>
        <w:t xml:space="preserve"> </w:t>
      </w:r>
      <w:r w:rsidR="007310AF">
        <w:rPr>
          <w:rFonts w:ascii="Times New Roman" w:hAnsi="Times New Roman" w:cs="Times New Roman"/>
        </w:rPr>
        <w:t>has been established</w:t>
      </w:r>
      <w:r w:rsidR="002959C0" w:rsidRPr="008373A2">
        <w:rPr>
          <w:rFonts w:ascii="Times New Roman" w:hAnsi="Times New Roman" w:cs="Times New Roman"/>
        </w:rPr>
        <w:t xml:space="preserve">. </w:t>
      </w:r>
      <w:r w:rsidR="002C0C66" w:rsidRPr="008373A2">
        <w:rPr>
          <w:rFonts w:ascii="Times New Roman" w:hAnsi="Times New Roman" w:cs="Times New Roman"/>
        </w:rPr>
        <w:t>I</w:t>
      </w:r>
      <w:r w:rsidR="002959C0" w:rsidRPr="008373A2">
        <w:rPr>
          <w:rFonts w:ascii="Times New Roman" w:hAnsi="Times New Roman" w:cs="Times New Roman"/>
        </w:rPr>
        <w:t xml:space="preserve">n cases where the Court has appeared to give scant regard to </w:t>
      </w:r>
      <w:r w:rsidR="008700DE" w:rsidRPr="008373A2">
        <w:rPr>
          <w:rFonts w:ascii="Times New Roman" w:hAnsi="Times New Roman" w:cs="Times New Roman"/>
        </w:rPr>
        <w:t xml:space="preserve">whether </w:t>
      </w:r>
      <w:r w:rsidR="00065B4A" w:rsidRPr="008373A2">
        <w:rPr>
          <w:rFonts w:ascii="Times New Roman" w:hAnsi="Times New Roman" w:cs="Times New Roman"/>
        </w:rPr>
        <w:t xml:space="preserve">sufficient </w:t>
      </w:r>
      <w:r w:rsidR="002959C0" w:rsidRPr="008373A2">
        <w:rPr>
          <w:rFonts w:ascii="Times New Roman" w:hAnsi="Times New Roman" w:cs="Times New Roman"/>
        </w:rPr>
        <w:t>state practice</w:t>
      </w:r>
      <w:r w:rsidR="008700DE" w:rsidRPr="008373A2">
        <w:rPr>
          <w:rFonts w:ascii="Times New Roman" w:hAnsi="Times New Roman" w:cs="Times New Roman"/>
        </w:rPr>
        <w:t xml:space="preserve"> </w:t>
      </w:r>
      <w:r w:rsidR="00FF7CCF">
        <w:rPr>
          <w:rFonts w:ascii="Times New Roman" w:hAnsi="Times New Roman" w:cs="Times New Roman"/>
        </w:rPr>
        <w:t>in support of</w:t>
      </w:r>
      <w:r w:rsidR="00243487" w:rsidRPr="00437B04">
        <w:rPr>
          <w:rFonts w:ascii="Times New Roman" w:hAnsi="Times New Roman" w:cs="Times New Roman"/>
        </w:rPr>
        <w:t xml:space="preserve"> a new customary rule </w:t>
      </w:r>
      <w:r w:rsidR="008700DE" w:rsidRPr="008373A2">
        <w:rPr>
          <w:rFonts w:ascii="Times New Roman" w:hAnsi="Times New Roman" w:cs="Times New Roman"/>
        </w:rPr>
        <w:t>exists</w:t>
      </w:r>
      <w:r w:rsidR="002959C0" w:rsidRPr="008373A2">
        <w:rPr>
          <w:rFonts w:ascii="Times New Roman" w:hAnsi="Times New Roman" w:cs="Times New Roman"/>
        </w:rPr>
        <w:t xml:space="preserve">, the </w:t>
      </w:r>
      <w:r w:rsidR="007C1FAE" w:rsidRPr="008373A2">
        <w:rPr>
          <w:rFonts w:ascii="Times New Roman" w:hAnsi="Times New Roman" w:cs="Times New Roman"/>
        </w:rPr>
        <w:t>nature and context of the rule can</w:t>
      </w:r>
      <w:r w:rsidR="002959C0" w:rsidRPr="008373A2">
        <w:rPr>
          <w:rFonts w:ascii="Times New Roman" w:hAnsi="Times New Roman" w:cs="Times New Roman"/>
        </w:rPr>
        <w:t xml:space="preserve"> explain how such cases </w:t>
      </w:r>
      <w:r w:rsidR="00D75DA0">
        <w:rPr>
          <w:rFonts w:ascii="Times New Roman" w:hAnsi="Times New Roman" w:cs="Times New Roman"/>
        </w:rPr>
        <w:t>are applications of</w:t>
      </w:r>
      <w:r w:rsidR="002959C0" w:rsidRPr="008373A2">
        <w:rPr>
          <w:rFonts w:ascii="Times New Roman" w:hAnsi="Times New Roman" w:cs="Times New Roman"/>
        </w:rPr>
        <w:t xml:space="preserve"> the two-element test.</w:t>
      </w:r>
    </w:p>
    <w:p w14:paraId="260624F1" w14:textId="54C3F210" w:rsidR="00CE3DFE" w:rsidRPr="008373A2" w:rsidRDefault="00CE3DFE" w:rsidP="00064C83">
      <w:pPr>
        <w:spacing w:line="360" w:lineRule="auto"/>
        <w:jc w:val="both"/>
        <w:rPr>
          <w:rFonts w:ascii="Times New Roman" w:hAnsi="Times New Roman" w:cs="Times New Roman"/>
        </w:rPr>
      </w:pPr>
    </w:p>
    <w:p w14:paraId="2B85C4B4" w14:textId="2880A014" w:rsidR="00CB3C88" w:rsidRPr="008373A2" w:rsidRDefault="003329AA" w:rsidP="00064C83">
      <w:pPr>
        <w:spacing w:line="360" w:lineRule="auto"/>
        <w:jc w:val="both"/>
        <w:rPr>
          <w:rFonts w:ascii="Times New Roman" w:eastAsia="Times New Roman" w:hAnsi="Times New Roman" w:cs="Times New Roman"/>
          <w:lang w:eastAsia="en-GB"/>
        </w:rPr>
      </w:pPr>
      <w:r w:rsidRPr="008373A2">
        <w:rPr>
          <w:rFonts w:ascii="Times New Roman" w:hAnsi="Times New Roman" w:cs="Times New Roman"/>
        </w:rPr>
        <w:t>I</w:t>
      </w:r>
      <w:r w:rsidR="00CE3DFE" w:rsidRPr="008373A2">
        <w:rPr>
          <w:rFonts w:ascii="Times New Roman" w:hAnsi="Times New Roman" w:cs="Times New Roman"/>
        </w:rPr>
        <w:t xml:space="preserve">n </w:t>
      </w:r>
      <w:r w:rsidR="0016705D" w:rsidRPr="008373A2">
        <w:rPr>
          <w:rFonts w:ascii="Times New Roman" w:hAnsi="Times New Roman" w:cs="Times New Roman"/>
          <w:i/>
          <w:iCs/>
        </w:rPr>
        <w:t>Military and Paramilitary Activities in and against Nicaragua</w:t>
      </w:r>
      <w:r w:rsidR="00155F33" w:rsidRPr="008373A2">
        <w:rPr>
          <w:rFonts w:ascii="Times New Roman" w:hAnsi="Times New Roman" w:cs="Times New Roman"/>
        </w:rPr>
        <w:t>,</w:t>
      </w:r>
      <w:r w:rsidR="00DD19C4" w:rsidRPr="008373A2">
        <w:rPr>
          <w:rFonts w:ascii="Times New Roman" w:hAnsi="Times New Roman" w:cs="Times New Roman"/>
        </w:rPr>
        <w:t xml:space="preserve"> </w:t>
      </w:r>
      <w:r w:rsidR="00185C18" w:rsidRPr="008373A2">
        <w:rPr>
          <w:rFonts w:ascii="Times New Roman" w:hAnsi="Times New Roman" w:cs="Times New Roman"/>
        </w:rPr>
        <w:t xml:space="preserve">the United States’ reservation to its declaration accepting the jurisdiction of the </w:t>
      </w:r>
      <w:r w:rsidR="00483746">
        <w:rPr>
          <w:rFonts w:ascii="Times New Roman" w:hAnsi="Times New Roman" w:cs="Times New Roman"/>
        </w:rPr>
        <w:t>ICJ</w:t>
      </w:r>
      <w:r w:rsidR="00185C18" w:rsidRPr="008373A2">
        <w:rPr>
          <w:rFonts w:ascii="Times New Roman" w:hAnsi="Times New Roman" w:cs="Times New Roman"/>
        </w:rPr>
        <w:t xml:space="preserve"> prevented the Court from applying multilateral treaties, such as the UN Charter</w:t>
      </w:r>
      <w:r w:rsidR="00024FB9" w:rsidRPr="008373A2">
        <w:rPr>
          <w:rFonts w:ascii="Times New Roman" w:hAnsi="Times New Roman" w:cs="Times New Roman"/>
        </w:rPr>
        <w:t>.</w:t>
      </w:r>
      <w:r w:rsidR="00185C18" w:rsidRPr="008373A2">
        <w:rPr>
          <w:rFonts w:ascii="Times New Roman" w:hAnsi="Times New Roman" w:cs="Times New Roman"/>
        </w:rPr>
        <w:t xml:space="preserve"> </w:t>
      </w:r>
      <w:r w:rsidR="00024FB9" w:rsidRPr="008373A2">
        <w:rPr>
          <w:rFonts w:ascii="Times New Roman" w:hAnsi="Times New Roman" w:cs="Times New Roman"/>
        </w:rPr>
        <w:t>To decide the case,</w:t>
      </w:r>
      <w:r w:rsidR="00185C18" w:rsidRPr="008373A2">
        <w:rPr>
          <w:rFonts w:ascii="Times New Roman" w:hAnsi="Times New Roman" w:cs="Times New Roman"/>
        </w:rPr>
        <w:t xml:space="preserve"> the Court </w:t>
      </w:r>
      <w:r w:rsidR="00AE27C1">
        <w:rPr>
          <w:rFonts w:ascii="Times New Roman" w:hAnsi="Times New Roman" w:cs="Times New Roman"/>
        </w:rPr>
        <w:t xml:space="preserve">therefore </w:t>
      </w:r>
      <w:r w:rsidR="00024FB9" w:rsidRPr="008373A2">
        <w:rPr>
          <w:rFonts w:ascii="Times New Roman" w:hAnsi="Times New Roman" w:cs="Times New Roman"/>
        </w:rPr>
        <w:t xml:space="preserve">needed </w:t>
      </w:r>
      <w:r w:rsidR="00185C18" w:rsidRPr="008373A2">
        <w:rPr>
          <w:rFonts w:ascii="Times New Roman" w:hAnsi="Times New Roman" w:cs="Times New Roman"/>
        </w:rPr>
        <w:t xml:space="preserve">to identify which of the relevant Charter provisions, if any, also existed as rules of customary international law. In doing so, </w:t>
      </w:r>
      <w:r w:rsidR="003D42DB" w:rsidRPr="008373A2">
        <w:rPr>
          <w:rFonts w:ascii="Times New Roman" w:hAnsi="Times New Roman" w:cs="Times New Roman"/>
        </w:rPr>
        <w:t xml:space="preserve">the Court </w:t>
      </w:r>
      <w:r w:rsidR="008B672B" w:rsidRPr="008373A2">
        <w:rPr>
          <w:rFonts w:ascii="Times New Roman" w:hAnsi="Times New Roman" w:cs="Times New Roman"/>
        </w:rPr>
        <w:t>refers to</w:t>
      </w:r>
      <w:r w:rsidR="003D42DB" w:rsidRPr="008373A2">
        <w:rPr>
          <w:rFonts w:ascii="Times New Roman" w:hAnsi="Times New Roman" w:cs="Times New Roman"/>
        </w:rPr>
        <w:t xml:space="preserve"> the two-element test but, i</w:t>
      </w:r>
      <w:r w:rsidR="00CE3DFE" w:rsidRPr="008373A2">
        <w:rPr>
          <w:rFonts w:ascii="Times New Roman" w:hAnsi="Times New Roman" w:cs="Times New Roman"/>
        </w:rPr>
        <w:t xml:space="preserve">n </w:t>
      </w:r>
      <w:r w:rsidR="00F16E27" w:rsidRPr="008373A2">
        <w:rPr>
          <w:rFonts w:ascii="Times New Roman" w:hAnsi="Times New Roman" w:cs="Times New Roman"/>
        </w:rPr>
        <w:t>concluding that</w:t>
      </w:r>
      <w:r w:rsidR="00CE3DFE" w:rsidRPr="008373A2">
        <w:rPr>
          <w:rFonts w:ascii="Times New Roman" w:hAnsi="Times New Roman" w:cs="Times New Roman"/>
        </w:rPr>
        <w:t xml:space="preserve"> a customary prohibition on</w:t>
      </w:r>
      <w:r w:rsidR="00020CB6" w:rsidRPr="008373A2">
        <w:rPr>
          <w:rFonts w:ascii="Times New Roman" w:hAnsi="Times New Roman" w:cs="Times New Roman"/>
        </w:rPr>
        <w:t xml:space="preserve"> </w:t>
      </w:r>
      <w:r w:rsidR="00470083">
        <w:rPr>
          <w:rFonts w:ascii="Times New Roman" w:hAnsi="Times New Roman" w:cs="Times New Roman"/>
        </w:rPr>
        <w:t xml:space="preserve">the </w:t>
      </w:r>
      <w:r w:rsidR="00EB57EA" w:rsidRPr="008373A2">
        <w:rPr>
          <w:rFonts w:ascii="Times New Roman" w:hAnsi="Times New Roman" w:cs="Times New Roman"/>
        </w:rPr>
        <w:t xml:space="preserve">use </w:t>
      </w:r>
      <w:r w:rsidR="00020CB6" w:rsidRPr="008373A2">
        <w:rPr>
          <w:rFonts w:ascii="Times New Roman" w:hAnsi="Times New Roman" w:cs="Times New Roman"/>
        </w:rPr>
        <w:t>of</w:t>
      </w:r>
      <w:r w:rsidR="00CE3DFE" w:rsidRPr="008373A2">
        <w:rPr>
          <w:rFonts w:ascii="Times New Roman" w:hAnsi="Times New Roman" w:cs="Times New Roman"/>
        </w:rPr>
        <w:t xml:space="preserve"> force exists, does not </w:t>
      </w:r>
      <w:r w:rsidR="008B672B" w:rsidRPr="008373A2">
        <w:rPr>
          <w:rFonts w:ascii="Times New Roman" w:hAnsi="Times New Roman" w:cs="Times New Roman"/>
        </w:rPr>
        <w:t xml:space="preserve">actually </w:t>
      </w:r>
      <w:r w:rsidR="00EA1442" w:rsidRPr="008373A2">
        <w:rPr>
          <w:rFonts w:ascii="Times New Roman" w:hAnsi="Times New Roman" w:cs="Times New Roman"/>
        </w:rPr>
        <w:t>analyse</w:t>
      </w:r>
      <w:r w:rsidR="00CE3DFE" w:rsidRPr="008373A2">
        <w:rPr>
          <w:rFonts w:ascii="Times New Roman" w:hAnsi="Times New Roman" w:cs="Times New Roman"/>
        </w:rPr>
        <w:t xml:space="preserve"> in </w:t>
      </w:r>
      <w:r w:rsidR="00CE3DFE" w:rsidRPr="008373A2">
        <w:rPr>
          <w:rFonts w:ascii="Times New Roman" w:hAnsi="Times New Roman" w:cs="Times New Roman"/>
        </w:rPr>
        <w:lastRenderedPageBreak/>
        <w:t xml:space="preserve">detail </w:t>
      </w:r>
      <w:r w:rsidR="00CB3C88" w:rsidRPr="008373A2">
        <w:rPr>
          <w:rFonts w:ascii="Times New Roman" w:hAnsi="Times New Roman" w:cs="Times New Roman"/>
        </w:rPr>
        <w:t xml:space="preserve">whether there exists </w:t>
      </w:r>
      <w:r w:rsidR="00AA2979" w:rsidRPr="008373A2">
        <w:rPr>
          <w:rFonts w:ascii="Times New Roman" w:hAnsi="Times New Roman" w:cs="Times New Roman"/>
        </w:rPr>
        <w:t>sufficient</w:t>
      </w:r>
      <w:r w:rsidR="00CE3DFE" w:rsidRPr="008373A2">
        <w:rPr>
          <w:rFonts w:ascii="Times New Roman" w:hAnsi="Times New Roman" w:cs="Times New Roman"/>
        </w:rPr>
        <w:t xml:space="preserve"> </w:t>
      </w:r>
      <w:r w:rsidR="00470083">
        <w:rPr>
          <w:rFonts w:ascii="Times New Roman" w:hAnsi="Times New Roman" w:cs="Times New Roman"/>
        </w:rPr>
        <w:t xml:space="preserve">state </w:t>
      </w:r>
      <w:r w:rsidR="00CE3DFE" w:rsidRPr="008373A2">
        <w:rPr>
          <w:rFonts w:ascii="Times New Roman" w:hAnsi="Times New Roman" w:cs="Times New Roman"/>
        </w:rPr>
        <w:t xml:space="preserve">practice supportive of the </w:t>
      </w:r>
      <w:r w:rsidR="002A2B94" w:rsidRPr="008373A2">
        <w:rPr>
          <w:rFonts w:ascii="Times New Roman" w:hAnsi="Times New Roman" w:cs="Times New Roman"/>
        </w:rPr>
        <w:t>rule</w:t>
      </w:r>
      <w:r w:rsidR="00CE3DFE" w:rsidRPr="008373A2">
        <w:rPr>
          <w:rFonts w:ascii="Times New Roman" w:hAnsi="Times New Roman" w:cs="Times New Roman"/>
        </w:rPr>
        <w:t xml:space="preserve">, </w:t>
      </w:r>
      <w:r w:rsidR="00CB3C88" w:rsidRPr="008373A2">
        <w:rPr>
          <w:rFonts w:ascii="Times New Roman" w:hAnsi="Times New Roman" w:cs="Times New Roman"/>
        </w:rPr>
        <w:t>only</w:t>
      </w:r>
      <w:r w:rsidR="00CE3DFE" w:rsidRPr="008373A2">
        <w:rPr>
          <w:rFonts w:ascii="Times New Roman" w:hAnsi="Times New Roman" w:cs="Times New Roman"/>
        </w:rPr>
        <w:t xml:space="preserve"> mak</w:t>
      </w:r>
      <w:r w:rsidR="003D42DB" w:rsidRPr="008373A2">
        <w:rPr>
          <w:rFonts w:ascii="Times New Roman" w:hAnsi="Times New Roman" w:cs="Times New Roman"/>
        </w:rPr>
        <w:t>ing</w:t>
      </w:r>
      <w:r w:rsidR="00CE3DFE" w:rsidRPr="008373A2">
        <w:rPr>
          <w:rFonts w:ascii="Times New Roman" w:hAnsi="Times New Roman" w:cs="Times New Roman"/>
        </w:rPr>
        <w:t xml:space="preserve"> a general reference to ‘abstention’ from using force by states.</w:t>
      </w:r>
      <w:r w:rsidR="00CE3DFE" w:rsidRPr="008373A2">
        <w:rPr>
          <w:rStyle w:val="FootnoteReference"/>
          <w:rFonts w:ascii="Times New Roman" w:hAnsi="Times New Roman" w:cs="Times New Roman"/>
        </w:rPr>
        <w:footnoteReference w:id="66"/>
      </w:r>
      <w:r w:rsidR="00CE3DFE" w:rsidRPr="008373A2">
        <w:rPr>
          <w:rFonts w:ascii="Times New Roman" w:hAnsi="Times New Roman" w:cs="Times New Roman"/>
        </w:rPr>
        <w:t xml:space="preserve"> Nor does the Court </w:t>
      </w:r>
      <w:r w:rsidR="00EA1442" w:rsidRPr="008373A2">
        <w:rPr>
          <w:rFonts w:ascii="Times New Roman" w:hAnsi="Times New Roman" w:cs="Times New Roman"/>
        </w:rPr>
        <w:t>evaluate</w:t>
      </w:r>
      <w:r w:rsidR="00CE3DFE" w:rsidRPr="008373A2">
        <w:rPr>
          <w:rFonts w:ascii="Times New Roman" w:hAnsi="Times New Roman" w:cs="Times New Roman"/>
        </w:rPr>
        <w:t xml:space="preserve"> </w:t>
      </w:r>
      <w:r w:rsidR="00170982" w:rsidRPr="008373A2">
        <w:rPr>
          <w:rFonts w:ascii="Times New Roman" w:hAnsi="Times New Roman" w:cs="Times New Roman"/>
        </w:rPr>
        <w:t>the</w:t>
      </w:r>
      <w:r w:rsidR="00CE3DFE" w:rsidRPr="008373A2">
        <w:rPr>
          <w:rFonts w:ascii="Times New Roman" w:hAnsi="Times New Roman" w:cs="Times New Roman"/>
        </w:rPr>
        <w:t xml:space="preserve"> </w:t>
      </w:r>
      <w:r w:rsidR="00170982" w:rsidRPr="008373A2">
        <w:rPr>
          <w:rFonts w:ascii="Times New Roman" w:hAnsi="Times New Roman" w:cs="Times New Roman"/>
        </w:rPr>
        <w:t>extent</w:t>
      </w:r>
      <w:r w:rsidR="00CE3DFE" w:rsidRPr="008373A2">
        <w:rPr>
          <w:rFonts w:ascii="Times New Roman" w:hAnsi="Times New Roman" w:cs="Times New Roman"/>
        </w:rPr>
        <w:t xml:space="preserve"> of practice contrary to the prohibition, only observing that practice need not be in ‘absolutely rigorous conformity with the rule’.</w:t>
      </w:r>
      <w:r w:rsidR="00CE3DFE" w:rsidRPr="008373A2">
        <w:rPr>
          <w:rStyle w:val="FootnoteReference"/>
          <w:rFonts w:ascii="Times New Roman" w:hAnsi="Times New Roman" w:cs="Times New Roman"/>
        </w:rPr>
        <w:footnoteReference w:id="67"/>
      </w:r>
      <w:r w:rsidR="00CE3DFE" w:rsidRPr="008373A2">
        <w:rPr>
          <w:rFonts w:ascii="Times New Roman" w:hAnsi="Times New Roman" w:cs="Times New Roman"/>
        </w:rPr>
        <w:t xml:space="preserve"> The Court focuses instead on ‘</w:t>
      </w:r>
      <w:r w:rsidR="00CE3DFE" w:rsidRPr="008373A2">
        <w:rPr>
          <w:rFonts w:ascii="Times New Roman" w:hAnsi="Times New Roman" w:cs="Times New Roman"/>
          <w:i/>
          <w:iCs/>
        </w:rPr>
        <w:t xml:space="preserve">opinio juris </w:t>
      </w:r>
      <w:r w:rsidR="00CE3DFE" w:rsidRPr="008373A2">
        <w:rPr>
          <w:rFonts w:ascii="Times New Roman" w:hAnsi="Times New Roman" w:cs="Times New Roman"/>
        </w:rPr>
        <w:t xml:space="preserve">as to the binding character of such abstention’ which it finds in General Assembly resolutions, </w:t>
      </w:r>
      <w:r w:rsidR="00483746">
        <w:rPr>
          <w:rFonts w:ascii="Times New Roman" w:hAnsi="Times New Roman" w:cs="Times New Roman"/>
        </w:rPr>
        <w:t>notably the Friendly Relations Declaration,</w:t>
      </w:r>
      <w:r w:rsidR="00483746">
        <w:rPr>
          <w:rStyle w:val="FootnoteReference"/>
          <w:rFonts w:ascii="Times New Roman" w:hAnsi="Times New Roman" w:cs="Times New Roman"/>
        </w:rPr>
        <w:footnoteReference w:id="68"/>
      </w:r>
      <w:r w:rsidR="00483746">
        <w:rPr>
          <w:rFonts w:ascii="Times New Roman" w:hAnsi="Times New Roman" w:cs="Times New Roman"/>
        </w:rPr>
        <w:t xml:space="preserve"> </w:t>
      </w:r>
      <w:r w:rsidR="00CE3DFE" w:rsidRPr="008373A2">
        <w:rPr>
          <w:rFonts w:ascii="Times New Roman" w:hAnsi="Times New Roman" w:cs="Times New Roman"/>
        </w:rPr>
        <w:t xml:space="preserve">statements by the parties, and references by states to the prohibition on force as </w:t>
      </w:r>
      <w:r w:rsidR="00CE3DFE" w:rsidRPr="008373A2">
        <w:rPr>
          <w:rFonts w:ascii="Times New Roman" w:hAnsi="Times New Roman" w:cs="Times New Roman"/>
          <w:i/>
          <w:iCs/>
        </w:rPr>
        <w:t>jus cogens</w:t>
      </w:r>
      <w:r w:rsidR="00CE3DFE" w:rsidRPr="008373A2">
        <w:rPr>
          <w:rFonts w:ascii="Times New Roman" w:hAnsi="Times New Roman" w:cs="Times New Roman"/>
        </w:rPr>
        <w:t>.</w:t>
      </w:r>
      <w:r w:rsidR="00CE3DFE" w:rsidRPr="008373A2">
        <w:rPr>
          <w:rStyle w:val="FootnoteReference"/>
          <w:rFonts w:ascii="Times New Roman" w:hAnsi="Times New Roman" w:cs="Times New Roman"/>
        </w:rPr>
        <w:footnoteReference w:id="69"/>
      </w:r>
      <w:r w:rsidR="00CE3DFE" w:rsidRPr="008373A2">
        <w:rPr>
          <w:rFonts w:ascii="Times New Roman" w:hAnsi="Times New Roman" w:cs="Times New Roman"/>
        </w:rPr>
        <w:t xml:space="preserve"> </w:t>
      </w:r>
      <w:r w:rsidR="00580E3E" w:rsidRPr="008373A2">
        <w:rPr>
          <w:rFonts w:ascii="Times New Roman" w:hAnsi="Times New Roman" w:cs="Times New Roman"/>
        </w:rPr>
        <w:t>As a result,</w:t>
      </w:r>
      <w:r w:rsidR="00CE3DFE" w:rsidRPr="008373A2">
        <w:rPr>
          <w:rFonts w:ascii="Times New Roman" w:hAnsi="Times New Roman" w:cs="Times New Roman"/>
        </w:rPr>
        <w:t xml:space="preserve"> the Court has been criticized for </w:t>
      </w:r>
      <w:r w:rsidR="00AA5975" w:rsidRPr="008373A2">
        <w:rPr>
          <w:rFonts w:ascii="Times New Roman" w:hAnsi="Times New Roman" w:cs="Times New Roman"/>
        </w:rPr>
        <w:t>not</w:t>
      </w:r>
      <w:r w:rsidR="00BE2382" w:rsidRPr="008373A2">
        <w:rPr>
          <w:rFonts w:ascii="Times New Roman" w:hAnsi="Times New Roman" w:cs="Times New Roman"/>
        </w:rPr>
        <w:t xml:space="preserve"> </w:t>
      </w:r>
      <w:r w:rsidR="00170982" w:rsidRPr="008373A2">
        <w:rPr>
          <w:rFonts w:ascii="Times New Roman" w:hAnsi="Times New Roman" w:cs="Times New Roman"/>
        </w:rPr>
        <w:t xml:space="preserve">actually </w:t>
      </w:r>
      <w:r w:rsidR="00E71EA5" w:rsidRPr="008373A2">
        <w:rPr>
          <w:rFonts w:ascii="Times New Roman" w:hAnsi="Times New Roman" w:cs="Times New Roman"/>
        </w:rPr>
        <w:t xml:space="preserve">applying the two-element test, or at best </w:t>
      </w:r>
      <w:r w:rsidR="00CE3DFE" w:rsidRPr="008373A2">
        <w:rPr>
          <w:rFonts w:ascii="Times New Roman" w:hAnsi="Times New Roman" w:cs="Times New Roman"/>
        </w:rPr>
        <w:t xml:space="preserve">getting things the wrong way </w:t>
      </w:r>
      <w:r w:rsidR="00483746">
        <w:rPr>
          <w:rFonts w:ascii="Times New Roman" w:hAnsi="Times New Roman" w:cs="Times New Roman"/>
        </w:rPr>
        <w:t>a</w:t>
      </w:r>
      <w:r w:rsidR="00CE3DFE" w:rsidRPr="008373A2">
        <w:rPr>
          <w:rFonts w:ascii="Times New Roman" w:hAnsi="Times New Roman" w:cs="Times New Roman"/>
        </w:rPr>
        <w:t xml:space="preserve">round by </w:t>
      </w:r>
      <w:r w:rsidR="002A2B94" w:rsidRPr="008373A2">
        <w:rPr>
          <w:rFonts w:ascii="Times New Roman" w:hAnsi="Times New Roman" w:cs="Times New Roman"/>
        </w:rPr>
        <w:t>presuming</w:t>
      </w:r>
      <w:r w:rsidR="00CB3C88" w:rsidRPr="008373A2">
        <w:rPr>
          <w:rFonts w:ascii="Times New Roman" w:hAnsi="Times New Roman" w:cs="Times New Roman"/>
        </w:rPr>
        <w:t xml:space="preserve"> the existence of </w:t>
      </w:r>
      <w:r w:rsidR="002A2B94" w:rsidRPr="008373A2">
        <w:rPr>
          <w:rFonts w:ascii="Times New Roman" w:hAnsi="Times New Roman" w:cs="Times New Roman"/>
        </w:rPr>
        <w:t>the customary rule</w:t>
      </w:r>
      <w:r w:rsidR="00CB3C88" w:rsidRPr="008373A2">
        <w:rPr>
          <w:rFonts w:ascii="Times New Roman" w:hAnsi="Times New Roman" w:cs="Times New Roman"/>
        </w:rPr>
        <w:t xml:space="preserve"> based on </w:t>
      </w:r>
      <w:r w:rsidR="00CB3C88" w:rsidRPr="008373A2">
        <w:rPr>
          <w:rFonts w:ascii="Times New Roman" w:hAnsi="Times New Roman" w:cs="Times New Roman"/>
          <w:i/>
          <w:iCs/>
        </w:rPr>
        <w:t>opinio juris</w:t>
      </w:r>
      <w:r w:rsidR="00CB3C88" w:rsidRPr="008373A2">
        <w:rPr>
          <w:rFonts w:ascii="Times New Roman" w:hAnsi="Times New Roman" w:cs="Times New Roman"/>
        </w:rPr>
        <w:t xml:space="preserve"> alone</w:t>
      </w:r>
      <w:r w:rsidR="00CE3DFE" w:rsidRPr="008373A2">
        <w:rPr>
          <w:rFonts w:ascii="Times New Roman" w:hAnsi="Times New Roman" w:cs="Times New Roman"/>
        </w:rPr>
        <w:t xml:space="preserve"> and then </w:t>
      </w:r>
      <w:r w:rsidR="00CD3D47" w:rsidRPr="008373A2">
        <w:rPr>
          <w:rFonts w:ascii="Times New Roman" w:hAnsi="Times New Roman" w:cs="Times New Roman"/>
        </w:rPr>
        <w:t>interpreting</w:t>
      </w:r>
      <w:r w:rsidR="00CE3DFE" w:rsidRPr="008373A2">
        <w:rPr>
          <w:rFonts w:ascii="Times New Roman" w:hAnsi="Times New Roman" w:cs="Times New Roman"/>
        </w:rPr>
        <w:t xml:space="preserve"> state practice</w:t>
      </w:r>
      <w:r w:rsidR="00CB3C88" w:rsidRPr="008373A2">
        <w:rPr>
          <w:rFonts w:ascii="Times New Roman" w:hAnsi="Times New Roman" w:cs="Times New Roman"/>
        </w:rPr>
        <w:t xml:space="preserve"> </w:t>
      </w:r>
      <w:r w:rsidR="00CD3D47" w:rsidRPr="008373A2">
        <w:rPr>
          <w:rFonts w:ascii="Times New Roman" w:hAnsi="Times New Roman" w:cs="Times New Roman"/>
        </w:rPr>
        <w:t xml:space="preserve">so as </w:t>
      </w:r>
      <w:r w:rsidR="00CB3C88" w:rsidRPr="008373A2">
        <w:rPr>
          <w:rFonts w:ascii="Times New Roman" w:hAnsi="Times New Roman" w:cs="Times New Roman"/>
        </w:rPr>
        <w:t>to justify its existence</w:t>
      </w:r>
      <w:r w:rsidR="00580E3E" w:rsidRPr="008373A2">
        <w:rPr>
          <w:rFonts w:ascii="Times New Roman" w:hAnsi="Times New Roman" w:cs="Times New Roman"/>
        </w:rPr>
        <w:t>.</w:t>
      </w:r>
      <w:r w:rsidR="00CE3DFE" w:rsidRPr="008373A2">
        <w:rPr>
          <w:rStyle w:val="FootnoteReference"/>
          <w:rFonts w:ascii="Times New Roman" w:hAnsi="Times New Roman" w:cs="Times New Roman"/>
        </w:rPr>
        <w:footnoteReference w:id="70"/>
      </w:r>
      <w:r w:rsidR="00CE3DFE" w:rsidRPr="008373A2">
        <w:rPr>
          <w:rFonts w:ascii="Times New Roman" w:hAnsi="Times New Roman" w:cs="Times New Roman"/>
        </w:rPr>
        <w:t xml:space="preserve"> </w:t>
      </w:r>
    </w:p>
    <w:p w14:paraId="0B5AF6F4" w14:textId="77777777" w:rsidR="00CB3C88" w:rsidRPr="008373A2" w:rsidRDefault="00CB3C88" w:rsidP="00064C83">
      <w:pPr>
        <w:spacing w:line="360" w:lineRule="auto"/>
        <w:jc w:val="both"/>
        <w:rPr>
          <w:rFonts w:ascii="Times New Roman" w:hAnsi="Times New Roman" w:cs="Times New Roman"/>
        </w:rPr>
      </w:pPr>
    </w:p>
    <w:p w14:paraId="42D4420F" w14:textId="2AB14EB0" w:rsidR="00DD30D6" w:rsidRPr="008373A2" w:rsidRDefault="002B223A" w:rsidP="00064C83">
      <w:pPr>
        <w:spacing w:line="360" w:lineRule="auto"/>
        <w:jc w:val="both"/>
        <w:rPr>
          <w:rFonts w:ascii="Times New Roman" w:eastAsia="Times New Roman" w:hAnsi="Times New Roman" w:cs="Times New Roman"/>
          <w:lang w:eastAsia="en-GB"/>
        </w:rPr>
      </w:pPr>
      <w:r w:rsidRPr="008373A2">
        <w:rPr>
          <w:rFonts w:ascii="Times New Roman" w:hAnsi="Times New Roman" w:cs="Times New Roman"/>
        </w:rPr>
        <w:t xml:space="preserve">One </w:t>
      </w:r>
      <w:r w:rsidR="00470083">
        <w:rPr>
          <w:rFonts w:ascii="Times New Roman" w:hAnsi="Times New Roman" w:cs="Times New Roman"/>
        </w:rPr>
        <w:t>could</w:t>
      </w:r>
      <w:r w:rsidR="00470083" w:rsidRPr="008373A2">
        <w:rPr>
          <w:rFonts w:ascii="Times New Roman" w:hAnsi="Times New Roman" w:cs="Times New Roman"/>
        </w:rPr>
        <w:t xml:space="preserve"> </w:t>
      </w:r>
      <w:r w:rsidRPr="008373A2">
        <w:rPr>
          <w:rFonts w:ascii="Times New Roman" w:hAnsi="Times New Roman" w:cs="Times New Roman"/>
        </w:rPr>
        <w:t>argue that t</w:t>
      </w:r>
      <w:r w:rsidR="00CB3C88" w:rsidRPr="008373A2">
        <w:rPr>
          <w:rFonts w:ascii="Times New Roman" w:hAnsi="Times New Roman" w:cs="Times New Roman"/>
        </w:rPr>
        <w:t xml:space="preserve">he unusual </w:t>
      </w:r>
      <w:r w:rsidR="0060779E" w:rsidRPr="008373A2">
        <w:rPr>
          <w:rFonts w:ascii="Times New Roman" w:hAnsi="Times New Roman" w:cs="Times New Roman"/>
        </w:rPr>
        <w:t>jurisdictional limit</w:t>
      </w:r>
      <w:r w:rsidR="00054D1A">
        <w:rPr>
          <w:rFonts w:ascii="Times New Roman" w:hAnsi="Times New Roman" w:cs="Times New Roman"/>
        </w:rPr>
        <w:t>ation</w:t>
      </w:r>
      <w:r w:rsidR="0060779E" w:rsidRPr="008373A2">
        <w:rPr>
          <w:rFonts w:ascii="Times New Roman" w:hAnsi="Times New Roman" w:cs="Times New Roman"/>
        </w:rPr>
        <w:t xml:space="preserve"> in</w:t>
      </w:r>
      <w:r w:rsidR="00CB3C88" w:rsidRPr="008373A2">
        <w:rPr>
          <w:rFonts w:ascii="Times New Roman" w:hAnsi="Times New Roman" w:cs="Times New Roman"/>
        </w:rPr>
        <w:t xml:space="preserve"> </w:t>
      </w:r>
      <w:r w:rsidR="00CB3C88" w:rsidRPr="008373A2">
        <w:rPr>
          <w:rFonts w:ascii="Times New Roman" w:hAnsi="Times New Roman" w:cs="Times New Roman"/>
          <w:i/>
          <w:iCs/>
        </w:rPr>
        <w:t>Nicaragua</w:t>
      </w:r>
      <w:r w:rsidR="003A5690" w:rsidRPr="008373A2">
        <w:rPr>
          <w:rFonts w:ascii="Times New Roman" w:hAnsi="Times New Roman" w:cs="Times New Roman"/>
        </w:rPr>
        <w:t>, as well as its subject matter,</w:t>
      </w:r>
      <w:r w:rsidR="00CB3C88" w:rsidRPr="008373A2">
        <w:rPr>
          <w:rFonts w:ascii="Times New Roman" w:hAnsi="Times New Roman" w:cs="Times New Roman"/>
        </w:rPr>
        <w:t xml:space="preserve"> explain why the Court </w:t>
      </w:r>
      <w:r w:rsidR="00075864" w:rsidRPr="008373A2">
        <w:rPr>
          <w:rFonts w:ascii="Times New Roman" w:hAnsi="Times New Roman" w:cs="Times New Roman"/>
        </w:rPr>
        <w:t>may have been</w:t>
      </w:r>
      <w:r w:rsidR="00CB3C88" w:rsidRPr="008373A2">
        <w:rPr>
          <w:rFonts w:ascii="Times New Roman" w:hAnsi="Times New Roman" w:cs="Times New Roman"/>
        </w:rPr>
        <w:t xml:space="preserve"> willing to be less rigorous in its </w:t>
      </w:r>
      <w:r w:rsidR="00AA2979" w:rsidRPr="008373A2">
        <w:rPr>
          <w:rFonts w:ascii="Times New Roman" w:hAnsi="Times New Roman" w:cs="Times New Roman"/>
        </w:rPr>
        <w:t>identification</w:t>
      </w:r>
      <w:r w:rsidR="00CB3C88" w:rsidRPr="008373A2">
        <w:rPr>
          <w:rFonts w:ascii="Times New Roman" w:hAnsi="Times New Roman" w:cs="Times New Roman"/>
        </w:rPr>
        <w:t xml:space="preserve"> of </w:t>
      </w:r>
      <w:r w:rsidR="00AA2979" w:rsidRPr="008373A2">
        <w:rPr>
          <w:rFonts w:ascii="Times New Roman" w:hAnsi="Times New Roman" w:cs="Times New Roman"/>
        </w:rPr>
        <w:t>customary international law</w:t>
      </w:r>
      <w:r w:rsidR="00470083">
        <w:rPr>
          <w:rFonts w:ascii="Times New Roman" w:hAnsi="Times New Roman" w:cs="Times New Roman"/>
        </w:rPr>
        <w:t xml:space="preserve"> in this case</w:t>
      </w:r>
      <w:r w:rsidR="00CB3C88" w:rsidRPr="008373A2">
        <w:rPr>
          <w:rFonts w:ascii="Times New Roman" w:hAnsi="Times New Roman" w:cs="Times New Roman"/>
        </w:rPr>
        <w:t xml:space="preserve">. There was no question that all parties were </w:t>
      </w:r>
      <w:r w:rsidR="008F7EDF" w:rsidRPr="008373A2">
        <w:rPr>
          <w:rFonts w:ascii="Times New Roman" w:hAnsi="Times New Roman" w:cs="Times New Roman"/>
        </w:rPr>
        <w:t xml:space="preserve">bound by </w:t>
      </w:r>
      <w:r w:rsidR="00CB3C88" w:rsidRPr="008373A2">
        <w:rPr>
          <w:rFonts w:ascii="Times New Roman" w:hAnsi="Times New Roman" w:cs="Times New Roman"/>
        </w:rPr>
        <w:t>a</w:t>
      </w:r>
      <w:r w:rsidR="00AA2979" w:rsidRPr="008373A2">
        <w:rPr>
          <w:rFonts w:ascii="Times New Roman" w:hAnsi="Times New Roman" w:cs="Times New Roman"/>
        </w:rPr>
        <w:t xml:space="preserve"> treaty</w:t>
      </w:r>
      <w:r w:rsidR="00CB3C88" w:rsidRPr="008373A2">
        <w:rPr>
          <w:rFonts w:ascii="Times New Roman" w:hAnsi="Times New Roman" w:cs="Times New Roman"/>
        </w:rPr>
        <w:t xml:space="preserve"> obligation to refrain from the use of force under the UN Charter; the need to determine whether a customary prohibition existed arose </w:t>
      </w:r>
      <w:r w:rsidR="00AA2979" w:rsidRPr="008373A2">
        <w:rPr>
          <w:rFonts w:ascii="Times New Roman" w:hAnsi="Times New Roman" w:cs="Times New Roman"/>
        </w:rPr>
        <w:t>due to</w:t>
      </w:r>
      <w:r w:rsidR="00CB3C88" w:rsidRPr="008373A2">
        <w:rPr>
          <w:rFonts w:ascii="Times New Roman" w:hAnsi="Times New Roman" w:cs="Times New Roman"/>
        </w:rPr>
        <w:t xml:space="preserve"> the US’s reservation excluding </w:t>
      </w:r>
      <w:r w:rsidR="00EC1791" w:rsidRPr="008373A2">
        <w:rPr>
          <w:rFonts w:ascii="Times New Roman" w:hAnsi="Times New Roman" w:cs="Times New Roman"/>
        </w:rPr>
        <w:t>disputes</w:t>
      </w:r>
      <w:r w:rsidR="00CB3C88" w:rsidRPr="008373A2">
        <w:rPr>
          <w:rFonts w:ascii="Times New Roman" w:hAnsi="Times New Roman" w:cs="Times New Roman"/>
        </w:rPr>
        <w:t xml:space="preserve"> under multilateral treaties from the Court’s jurisdiction. Faced with a choice between making a strained argument for the existence of custom</w:t>
      </w:r>
      <w:r w:rsidR="00AB4D68" w:rsidRPr="008373A2">
        <w:rPr>
          <w:rFonts w:ascii="Times New Roman" w:hAnsi="Times New Roman" w:cs="Times New Roman"/>
        </w:rPr>
        <w:t xml:space="preserve"> </w:t>
      </w:r>
      <w:r w:rsidR="00CB3C88" w:rsidRPr="008373A2">
        <w:rPr>
          <w:rFonts w:ascii="Times New Roman" w:hAnsi="Times New Roman" w:cs="Times New Roman"/>
        </w:rPr>
        <w:t>and the absurdity of concluding that it was unable to adjudicate the US’s compliance with a</w:t>
      </w:r>
      <w:r w:rsidR="002A2B94" w:rsidRPr="008373A2">
        <w:rPr>
          <w:rFonts w:ascii="Times New Roman" w:hAnsi="Times New Roman" w:cs="Times New Roman"/>
        </w:rPr>
        <w:t xml:space="preserve"> fundamental international law</w:t>
      </w:r>
      <w:r w:rsidR="00CB3C88" w:rsidRPr="008373A2">
        <w:rPr>
          <w:rFonts w:ascii="Times New Roman" w:hAnsi="Times New Roman" w:cs="Times New Roman"/>
        </w:rPr>
        <w:t xml:space="preserve"> obligation to which it was clearly subject, </w:t>
      </w:r>
      <w:r w:rsidRPr="008373A2">
        <w:rPr>
          <w:rFonts w:ascii="Times New Roman" w:hAnsi="Times New Roman" w:cs="Times New Roman"/>
        </w:rPr>
        <w:t>some may argue that it is</w:t>
      </w:r>
      <w:r w:rsidR="00CB3C88" w:rsidRPr="008373A2">
        <w:rPr>
          <w:rFonts w:ascii="Times New Roman" w:hAnsi="Times New Roman" w:cs="Times New Roman"/>
        </w:rPr>
        <w:t xml:space="preserve"> unsurprising that the Court would have opted for the former. </w:t>
      </w:r>
    </w:p>
    <w:p w14:paraId="7C6BAC03" w14:textId="77777777" w:rsidR="00CB3C88" w:rsidRPr="008373A2" w:rsidRDefault="00CB3C88" w:rsidP="00064C83">
      <w:pPr>
        <w:spacing w:line="360" w:lineRule="auto"/>
        <w:jc w:val="both"/>
        <w:rPr>
          <w:rFonts w:ascii="Times New Roman" w:hAnsi="Times New Roman" w:cs="Times New Roman"/>
        </w:rPr>
      </w:pPr>
    </w:p>
    <w:p w14:paraId="4A407FEC" w14:textId="5552D309" w:rsidR="00F5143F" w:rsidRPr="008373A2" w:rsidRDefault="00CB3C88" w:rsidP="00064C83">
      <w:pPr>
        <w:spacing w:line="360" w:lineRule="auto"/>
        <w:jc w:val="both"/>
        <w:rPr>
          <w:rFonts w:ascii="Times New Roman" w:hAnsi="Times New Roman" w:cs="Times New Roman"/>
        </w:rPr>
      </w:pPr>
      <w:r w:rsidRPr="008373A2">
        <w:rPr>
          <w:rFonts w:ascii="Times New Roman" w:hAnsi="Times New Roman" w:cs="Times New Roman"/>
        </w:rPr>
        <w:t xml:space="preserve">However, considered </w:t>
      </w:r>
      <w:proofErr w:type="gramStart"/>
      <w:r w:rsidRPr="008373A2">
        <w:rPr>
          <w:rFonts w:ascii="Times New Roman" w:hAnsi="Times New Roman" w:cs="Times New Roman"/>
        </w:rPr>
        <w:t>in light of</w:t>
      </w:r>
      <w:proofErr w:type="gramEnd"/>
      <w:r w:rsidRPr="008373A2">
        <w:rPr>
          <w:rFonts w:ascii="Times New Roman" w:hAnsi="Times New Roman" w:cs="Times New Roman"/>
        </w:rPr>
        <w:t xml:space="preserve"> the previous analysis of the nature and context of customary rules</w:t>
      </w:r>
      <w:r w:rsidR="002E2E01" w:rsidRPr="008373A2">
        <w:rPr>
          <w:rFonts w:ascii="Times New Roman" w:hAnsi="Times New Roman" w:cs="Times New Roman"/>
        </w:rPr>
        <w:t xml:space="preserve"> and the role of </w:t>
      </w:r>
      <w:r w:rsidR="002E2E01" w:rsidRPr="008373A2">
        <w:rPr>
          <w:rFonts w:ascii="Times New Roman" w:hAnsi="Times New Roman" w:cs="Times New Roman"/>
          <w:i/>
          <w:iCs/>
        </w:rPr>
        <w:t>opinio juris</w:t>
      </w:r>
      <w:r w:rsidRPr="008373A2">
        <w:rPr>
          <w:rFonts w:ascii="Times New Roman" w:hAnsi="Times New Roman" w:cs="Times New Roman"/>
        </w:rPr>
        <w:t xml:space="preserve">, the Court’s reasoning is not as strained as has been alleged, </w:t>
      </w:r>
      <w:r w:rsidR="00F848C0" w:rsidRPr="008373A2">
        <w:rPr>
          <w:rFonts w:ascii="Times New Roman" w:hAnsi="Times New Roman" w:cs="Times New Roman"/>
        </w:rPr>
        <w:t xml:space="preserve">although the judgment may be criticized for lack of clarity. </w:t>
      </w:r>
      <w:r w:rsidRPr="008373A2">
        <w:rPr>
          <w:rFonts w:ascii="Times New Roman" w:hAnsi="Times New Roman" w:cs="Times New Roman"/>
        </w:rPr>
        <w:t>A</w:t>
      </w:r>
      <w:r w:rsidR="00580E3E" w:rsidRPr="008373A2">
        <w:rPr>
          <w:rFonts w:ascii="Times New Roman" w:hAnsi="Times New Roman" w:cs="Times New Roman"/>
        </w:rPr>
        <w:t xml:space="preserve">s we have seen, </w:t>
      </w:r>
      <w:r w:rsidR="00CE3DFE" w:rsidRPr="008373A2">
        <w:rPr>
          <w:rFonts w:ascii="Times New Roman" w:hAnsi="Times New Roman" w:cs="Times New Roman"/>
        </w:rPr>
        <w:t xml:space="preserve">in establishing </w:t>
      </w:r>
      <w:r w:rsidR="00483746">
        <w:rPr>
          <w:rFonts w:ascii="Times New Roman" w:hAnsi="Times New Roman" w:cs="Times New Roman"/>
        </w:rPr>
        <w:t xml:space="preserve">customary </w:t>
      </w:r>
      <w:r w:rsidR="00CE3DFE" w:rsidRPr="008373A2">
        <w:rPr>
          <w:rFonts w:ascii="Times New Roman" w:hAnsi="Times New Roman" w:cs="Times New Roman"/>
        </w:rPr>
        <w:t xml:space="preserve">prohibitions there is little choice </w:t>
      </w:r>
      <w:r w:rsidRPr="008373A2">
        <w:rPr>
          <w:rFonts w:ascii="Times New Roman" w:hAnsi="Times New Roman" w:cs="Times New Roman"/>
        </w:rPr>
        <w:t xml:space="preserve">but to begin with an assessment of </w:t>
      </w:r>
      <w:r w:rsidR="00CE3DFE" w:rsidRPr="008373A2">
        <w:rPr>
          <w:rFonts w:ascii="Times New Roman" w:hAnsi="Times New Roman" w:cs="Times New Roman"/>
          <w:i/>
          <w:iCs/>
        </w:rPr>
        <w:t>opinio juris</w:t>
      </w:r>
      <w:r w:rsidRPr="008373A2">
        <w:rPr>
          <w:rFonts w:ascii="Times New Roman" w:hAnsi="Times New Roman" w:cs="Times New Roman"/>
        </w:rPr>
        <w:t xml:space="preserve">, </w:t>
      </w:r>
      <w:r w:rsidR="00562B37" w:rsidRPr="008373A2">
        <w:rPr>
          <w:rFonts w:ascii="Times New Roman" w:hAnsi="Times New Roman" w:cs="Times New Roman"/>
        </w:rPr>
        <w:t>which</w:t>
      </w:r>
      <w:r w:rsidR="00CE3DFE" w:rsidRPr="008373A2">
        <w:rPr>
          <w:rFonts w:ascii="Times New Roman" w:hAnsi="Times New Roman" w:cs="Times New Roman"/>
          <w:i/>
          <w:iCs/>
        </w:rPr>
        <w:t xml:space="preserve"> </w:t>
      </w:r>
      <w:r w:rsidR="00CE3DFE" w:rsidRPr="008373A2">
        <w:rPr>
          <w:rFonts w:ascii="Times New Roman" w:hAnsi="Times New Roman" w:cs="Times New Roman"/>
        </w:rPr>
        <w:t xml:space="preserve">is essential </w:t>
      </w:r>
      <w:r w:rsidRPr="008373A2">
        <w:rPr>
          <w:rFonts w:ascii="Times New Roman" w:hAnsi="Times New Roman" w:cs="Times New Roman"/>
        </w:rPr>
        <w:t>not only as an element for the identification of custom</w:t>
      </w:r>
      <w:r w:rsidR="00483746">
        <w:rPr>
          <w:rFonts w:ascii="Times New Roman" w:hAnsi="Times New Roman" w:cs="Times New Roman"/>
        </w:rPr>
        <w:t xml:space="preserve">ary international </w:t>
      </w:r>
      <w:proofErr w:type="gramStart"/>
      <w:r w:rsidR="00483746">
        <w:rPr>
          <w:rFonts w:ascii="Times New Roman" w:hAnsi="Times New Roman" w:cs="Times New Roman"/>
        </w:rPr>
        <w:t>law</w:t>
      </w:r>
      <w:r w:rsidRPr="008373A2">
        <w:rPr>
          <w:rFonts w:ascii="Times New Roman" w:hAnsi="Times New Roman" w:cs="Times New Roman"/>
        </w:rPr>
        <w:t xml:space="preserve"> in its own right, but</w:t>
      </w:r>
      <w:proofErr w:type="gramEnd"/>
      <w:r w:rsidRPr="008373A2">
        <w:rPr>
          <w:rFonts w:ascii="Times New Roman" w:hAnsi="Times New Roman" w:cs="Times New Roman"/>
        </w:rPr>
        <w:t xml:space="preserve"> in order </w:t>
      </w:r>
      <w:r w:rsidR="00CE3DFE" w:rsidRPr="008373A2">
        <w:rPr>
          <w:rFonts w:ascii="Times New Roman" w:hAnsi="Times New Roman" w:cs="Times New Roman"/>
        </w:rPr>
        <w:t xml:space="preserve">to </w:t>
      </w:r>
      <w:r w:rsidRPr="008373A2">
        <w:rPr>
          <w:rFonts w:ascii="Times New Roman" w:hAnsi="Times New Roman" w:cs="Times New Roman"/>
        </w:rPr>
        <w:t>identify the state</w:t>
      </w:r>
      <w:r w:rsidR="00CE3DFE" w:rsidRPr="008373A2">
        <w:rPr>
          <w:rFonts w:ascii="Times New Roman" w:hAnsi="Times New Roman" w:cs="Times New Roman"/>
        </w:rPr>
        <w:t xml:space="preserve"> practice</w:t>
      </w:r>
      <w:r w:rsidRPr="008373A2">
        <w:rPr>
          <w:rFonts w:ascii="Times New Roman" w:hAnsi="Times New Roman" w:cs="Times New Roman"/>
        </w:rPr>
        <w:t xml:space="preserve"> element</w:t>
      </w:r>
      <w:r w:rsidR="00CE3DFE" w:rsidRPr="008373A2">
        <w:rPr>
          <w:rFonts w:ascii="Times New Roman" w:hAnsi="Times New Roman" w:cs="Times New Roman"/>
        </w:rPr>
        <w:t>.</w:t>
      </w:r>
      <w:r w:rsidRPr="008373A2">
        <w:rPr>
          <w:rFonts w:ascii="Times New Roman" w:hAnsi="Times New Roman" w:cs="Times New Roman"/>
        </w:rPr>
        <w:t xml:space="preserve"> Where supportive practice consists of abstentions, in this case abstention from using force, and where such</w:t>
      </w:r>
      <w:r w:rsidR="00483746">
        <w:rPr>
          <w:rFonts w:ascii="Times New Roman" w:hAnsi="Times New Roman" w:cs="Times New Roman"/>
        </w:rPr>
        <w:t xml:space="preserve"> an</w:t>
      </w:r>
      <w:r w:rsidRPr="008373A2">
        <w:rPr>
          <w:rFonts w:ascii="Times New Roman" w:hAnsi="Times New Roman" w:cs="Times New Roman"/>
        </w:rPr>
        <w:t xml:space="preserve"> abstention is clearly permitted </w:t>
      </w:r>
      <w:r w:rsidR="008F423F" w:rsidRPr="008373A2">
        <w:rPr>
          <w:rFonts w:ascii="Times New Roman" w:hAnsi="Times New Roman" w:cs="Times New Roman"/>
        </w:rPr>
        <w:t>by the underlying international law rules</w:t>
      </w:r>
      <w:r w:rsidRPr="008373A2">
        <w:rPr>
          <w:rFonts w:ascii="Times New Roman" w:hAnsi="Times New Roman" w:cs="Times New Roman"/>
        </w:rPr>
        <w:t xml:space="preserve">, </w:t>
      </w:r>
      <w:r w:rsidRPr="008373A2">
        <w:rPr>
          <w:rFonts w:ascii="Times New Roman" w:hAnsi="Times New Roman" w:cs="Times New Roman"/>
          <w:i/>
          <w:iCs/>
        </w:rPr>
        <w:t>opinio juris</w:t>
      </w:r>
      <w:r w:rsidRPr="008373A2">
        <w:rPr>
          <w:rFonts w:ascii="Times New Roman" w:hAnsi="Times New Roman" w:cs="Times New Roman"/>
        </w:rPr>
        <w:t xml:space="preserve"> </w:t>
      </w:r>
      <w:r w:rsidR="005A7C5F" w:rsidRPr="008373A2">
        <w:rPr>
          <w:rFonts w:ascii="Times New Roman" w:hAnsi="Times New Roman" w:cs="Times New Roman"/>
        </w:rPr>
        <w:t>is</w:t>
      </w:r>
      <w:r w:rsidRPr="008373A2">
        <w:rPr>
          <w:rFonts w:ascii="Times New Roman" w:hAnsi="Times New Roman" w:cs="Times New Roman"/>
        </w:rPr>
        <w:t xml:space="preserve"> essential to remove </w:t>
      </w:r>
      <w:r w:rsidRPr="008373A2">
        <w:rPr>
          <w:rFonts w:ascii="Times New Roman" w:hAnsi="Times New Roman" w:cs="Times New Roman"/>
        </w:rPr>
        <w:lastRenderedPageBreak/>
        <w:t>the ambiguity from the practice.</w:t>
      </w:r>
      <w:r w:rsidR="003329AA" w:rsidRPr="008373A2">
        <w:rPr>
          <w:rStyle w:val="FootnoteReference"/>
          <w:rFonts w:ascii="Times New Roman" w:hAnsi="Times New Roman" w:cs="Times New Roman"/>
        </w:rPr>
        <w:footnoteReference w:id="71"/>
      </w:r>
      <w:r w:rsidRPr="008373A2">
        <w:rPr>
          <w:rFonts w:ascii="Times New Roman" w:hAnsi="Times New Roman" w:cs="Times New Roman"/>
        </w:rPr>
        <w:t xml:space="preserve"> </w:t>
      </w:r>
      <w:r w:rsidR="00D5139D" w:rsidRPr="008373A2">
        <w:rPr>
          <w:rFonts w:ascii="Times New Roman" w:hAnsi="Times New Roman" w:cs="Times New Roman"/>
        </w:rPr>
        <w:t xml:space="preserve">It is the </w:t>
      </w:r>
      <w:r w:rsidR="00D5139D" w:rsidRPr="008373A2">
        <w:rPr>
          <w:rFonts w:ascii="Times New Roman" w:hAnsi="Times New Roman" w:cs="Times New Roman"/>
          <w:i/>
          <w:iCs/>
        </w:rPr>
        <w:t xml:space="preserve">opinio juris </w:t>
      </w:r>
      <w:r w:rsidR="00D5139D" w:rsidRPr="008373A2">
        <w:rPr>
          <w:rFonts w:ascii="Times New Roman" w:hAnsi="Times New Roman" w:cs="Times New Roman"/>
        </w:rPr>
        <w:t>of states that reveals that the</w:t>
      </w:r>
      <w:r w:rsidR="00207217" w:rsidRPr="008373A2">
        <w:rPr>
          <w:rFonts w:ascii="Times New Roman" w:hAnsi="Times New Roman" w:cs="Times New Roman"/>
        </w:rPr>
        <w:t>ir</w:t>
      </w:r>
      <w:r w:rsidR="00D5139D" w:rsidRPr="008373A2">
        <w:rPr>
          <w:rFonts w:ascii="Times New Roman" w:hAnsi="Times New Roman" w:cs="Times New Roman"/>
        </w:rPr>
        <w:t xml:space="preserve"> absence of action is indeed a </w:t>
      </w:r>
      <w:r w:rsidR="00FD2F42" w:rsidRPr="008373A2">
        <w:rPr>
          <w:rFonts w:ascii="Times New Roman" w:hAnsi="Times New Roman" w:cs="Times New Roman"/>
        </w:rPr>
        <w:t xml:space="preserve">legally relevant </w:t>
      </w:r>
      <w:r w:rsidR="00D5139D" w:rsidRPr="008373A2">
        <w:rPr>
          <w:rFonts w:ascii="Times New Roman" w:hAnsi="Times New Roman" w:cs="Times New Roman"/>
        </w:rPr>
        <w:t xml:space="preserve">practice. </w:t>
      </w:r>
      <w:r w:rsidRPr="008373A2">
        <w:rPr>
          <w:rFonts w:ascii="Times New Roman" w:hAnsi="Times New Roman" w:cs="Times New Roman"/>
        </w:rPr>
        <w:t xml:space="preserve">In any case, it is not clear why the two-element test should be understood as requiring any particular order of analysis of state practice and </w:t>
      </w:r>
      <w:r w:rsidRPr="008373A2">
        <w:rPr>
          <w:rFonts w:ascii="Times New Roman" w:hAnsi="Times New Roman" w:cs="Times New Roman"/>
          <w:i/>
          <w:iCs/>
        </w:rPr>
        <w:t>opinio juris</w:t>
      </w:r>
      <w:r w:rsidRPr="008373A2">
        <w:rPr>
          <w:rFonts w:ascii="Times New Roman" w:hAnsi="Times New Roman" w:cs="Times New Roman"/>
        </w:rPr>
        <w:t xml:space="preserve"> when identifying custom</w:t>
      </w:r>
      <w:r w:rsidR="002754B0" w:rsidRPr="008373A2">
        <w:rPr>
          <w:rFonts w:ascii="Times New Roman" w:hAnsi="Times New Roman" w:cs="Times New Roman"/>
        </w:rPr>
        <w:t>, provided both elements are ultimately found to be present</w:t>
      </w:r>
      <w:r w:rsidRPr="008373A2">
        <w:rPr>
          <w:rFonts w:ascii="Times New Roman" w:hAnsi="Times New Roman" w:cs="Times New Roman"/>
        </w:rPr>
        <w:t>: both are necessary and one can start with the analysis of either, which will need to be returned to and revised in light of the analysis of the other.</w:t>
      </w:r>
      <w:r w:rsidRPr="008373A2">
        <w:rPr>
          <w:rStyle w:val="FootnoteReference"/>
          <w:rFonts w:ascii="Times New Roman" w:hAnsi="Times New Roman" w:cs="Times New Roman"/>
        </w:rPr>
        <w:footnoteReference w:id="72"/>
      </w:r>
      <w:r w:rsidR="00F5143F" w:rsidRPr="008373A2">
        <w:rPr>
          <w:rFonts w:ascii="Times New Roman" w:hAnsi="Times New Roman" w:cs="Times New Roman"/>
        </w:rPr>
        <w:t xml:space="preserve"> In this case, t</w:t>
      </w:r>
      <w:r w:rsidRPr="008373A2">
        <w:rPr>
          <w:rFonts w:ascii="Times New Roman" w:hAnsi="Times New Roman" w:cs="Times New Roman"/>
        </w:rPr>
        <w:t xml:space="preserve">he widespread </w:t>
      </w:r>
      <w:r w:rsidRPr="008373A2">
        <w:rPr>
          <w:rFonts w:ascii="Times New Roman" w:hAnsi="Times New Roman" w:cs="Times New Roman"/>
          <w:i/>
          <w:iCs/>
        </w:rPr>
        <w:t>opinio juris</w:t>
      </w:r>
      <w:r w:rsidRPr="008373A2">
        <w:rPr>
          <w:rFonts w:ascii="Times New Roman" w:hAnsi="Times New Roman" w:cs="Times New Roman"/>
        </w:rPr>
        <w:t xml:space="preserve"> </w:t>
      </w:r>
      <w:r w:rsidR="00861A5F" w:rsidRPr="008373A2">
        <w:rPr>
          <w:rFonts w:ascii="Times New Roman" w:hAnsi="Times New Roman" w:cs="Times New Roman"/>
        </w:rPr>
        <w:t>in support of the prohibitive customary rule</w:t>
      </w:r>
      <w:r w:rsidR="00083398" w:rsidRPr="008373A2">
        <w:rPr>
          <w:rFonts w:ascii="Times New Roman" w:hAnsi="Times New Roman" w:cs="Times New Roman"/>
        </w:rPr>
        <w:t>,</w:t>
      </w:r>
      <w:r w:rsidR="00861A5F" w:rsidRPr="008373A2">
        <w:rPr>
          <w:rFonts w:ascii="Times New Roman" w:hAnsi="Times New Roman" w:cs="Times New Roman"/>
        </w:rPr>
        <w:t xml:space="preserve"> </w:t>
      </w:r>
      <w:r w:rsidRPr="008373A2">
        <w:rPr>
          <w:rFonts w:ascii="Times New Roman" w:hAnsi="Times New Roman" w:cs="Times New Roman"/>
        </w:rPr>
        <w:t>evidenced</w:t>
      </w:r>
      <w:r w:rsidR="00483746">
        <w:rPr>
          <w:rFonts w:ascii="Times New Roman" w:hAnsi="Times New Roman" w:cs="Times New Roman"/>
        </w:rPr>
        <w:t xml:space="preserve"> in particular</w:t>
      </w:r>
      <w:r w:rsidRPr="008373A2">
        <w:rPr>
          <w:rFonts w:ascii="Times New Roman" w:hAnsi="Times New Roman" w:cs="Times New Roman"/>
        </w:rPr>
        <w:t xml:space="preserve"> by the Friendly Relations Declaration</w:t>
      </w:r>
      <w:r w:rsidR="00083398" w:rsidRPr="008373A2">
        <w:rPr>
          <w:rFonts w:ascii="Times New Roman" w:hAnsi="Times New Roman" w:cs="Times New Roman"/>
        </w:rPr>
        <w:t>,</w:t>
      </w:r>
      <w:r w:rsidRPr="008373A2">
        <w:rPr>
          <w:rFonts w:ascii="Times New Roman" w:hAnsi="Times New Roman" w:cs="Times New Roman"/>
        </w:rPr>
        <w:t xml:space="preserve"> means that the </w:t>
      </w:r>
      <w:r w:rsidR="00DF06D0" w:rsidRPr="008373A2">
        <w:rPr>
          <w:rFonts w:ascii="Times New Roman" w:hAnsi="Times New Roman" w:cs="Times New Roman"/>
        </w:rPr>
        <w:t xml:space="preserve">ambiguous </w:t>
      </w:r>
      <w:r w:rsidRPr="008373A2">
        <w:rPr>
          <w:rFonts w:ascii="Times New Roman" w:hAnsi="Times New Roman" w:cs="Times New Roman"/>
        </w:rPr>
        <w:t xml:space="preserve">abstention of </w:t>
      </w:r>
      <w:r w:rsidR="00536B7F" w:rsidRPr="008373A2">
        <w:rPr>
          <w:rFonts w:ascii="Times New Roman" w:hAnsi="Times New Roman" w:cs="Times New Roman"/>
        </w:rPr>
        <w:t xml:space="preserve">those </w:t>
      </w:r>
      <w:r w:rsidRPr="008373A2">
        <w:rPr>
          <w:rFonts w:ascii="Times New Roman" w:hAnsi="Times New Roman" w:cs="Times New Roman"/>
        </w:rPr>
        <w:t xml:space="preserve">states from using force is transformed into a widespread practice in support of the </w:t>
      </w:r>
      <w:r w:rsidR="0003714E">
        <w:rPr>
          <w:rFonts w:ascii="Times New Roman" w:hAnsi="Times New Roman" w:cs="Times New Roman"/>
        </w:rPr>
        <w:t xml:space="preserve">customary </w:t>
      </w:r>
      <w:r w:rsidRPr="008373A2">
        <w:rPr>
          <w:rFonts w:ascii="Times New Roman" w:hAnsi="Times New Roman" w:cs="Times New Roman"/>
        </w:rPr>
        <w:t>prohibition</w:t>
      </w:r>
      <w:r w:rsidR="00861A5F" w:rsidRPr="008373A2">
        <w:rPr>
          <w:rFonts w:ascii="Times New Roman" w:hAnsi="Times New Roman" w:cs="Times New Roman"/>
        </w:rPr>
        <w:t xml:space="preserve"> on force</w:t>
      </w:r>
      <w:r w:rsidRPr="008373A2">
        <w:rPr>
          <w:rFonts w:ascii="Times New Roman" w:hAnsi="Times New Roman" w:cs="Times New Roman"/>
        </w:rPr>
        <w:t xml:space="preserve">. </w:t>
      </w:r>
    </w:p>
    <w:p w14:paraId="4DF5998F" w14:textId="77777777" w:rsidR="00F5143F" w:rsidRPr="008373A2" w:rsidRDefault="00F5143F" w:rsidP="00064C83">
      <w:pPr>
        <w:spacing w:line="360" w:lineRule="auto"/>
        <w:jc w:val="both"/>
        <w:rPr>
          <w:rFonts w:ascii="Times New Roman" w:hAnsi="Times New Roman" w:cs="Times New Roman"/>
        </w:rPr>
      </w:pPr>
    </w:p>
    <w:p w14:paraId="45991BC3" w14:textId="1EFB6EEB" w:rsidR="00F5143F" w:rsidRPr="008373A2" w:rsidRDefault="00CB3C88" w:rsidP="00064C83">
      <w:pPr>
        <w:spacing w:line="360" w:lineRule="auto"/>
        <w:jc w:val="both"/>
        <w:rPr>
          <w:rFonts w:ascii="Times New Roman" w:hAnsi="Times New Roman" w:cs="Times New Roman"/>
        </w:rPr>
      </w:pPr>
      <w:r w:rsidRPr="008373A2">
        <w:rPr>
          <w:rFonts w:ascii="Times New Roman" w:hAnsi="Times New Roman" w:cs="Times New Roman"/>
        </w:rPr>
        <w:t>Moreover, i</w:t>
      </w:r>
      <w:r w:rsidR="00CE3DFE" w:rsidRPr="008373A2">
        <w:rPr>
          <w:rFonts w:ascii="Times New Roman" w:hAnsi="Times New Roman" w:cs="Times New Roman"/>
        </w:rPr>
        <w:t xml:space="preserve">f one takes the view that statements by states can constitute practice </w:t>
      </w:r>
      <w:r w:rsidR="00F5143F" w:rsidRPr="008373A2">
        <w:rPr>
          <w:rFonts w:ascii="Times New Roman" w:hAnsi="Times New Roman" w:cs="Times New Roman"/>
        </w:rPr>
        <w:t xml:space="preserve">in support of </w:t>
      </w:r>
      <w:r w:rsidR="00A507FB" w:rsidRPr="008373A2">
        <w:rPr>
          <w:rFonts w:ascii="Times New Roman" w:hAnsi="Times New Roman" w:cs="Times New Roman"/>
        </w:rPr>
        <w:t xml:space="preserve">a </w:t>
      </w:r>
      <w:r w:rsidR="00CE3DFE" w:rsidRPr="008373A2">
        <w:rPr>
          <w:rFonts w:ascii="Times New Roman" w:hAnsi="Times New Roman" w:cs="Times New Roman"/>
        </w:rPr>
        <w:t xml:space="preserve">customary </w:t>
      </w:r>
      <w:r w:rsidR="00890E7F" w:rsidRPr="008373A2">
        <w:rPr>
          <w:rFonts w:ascii="Times New Roman" w:hAnsi="Times New Roman" w:cs="Times New Roman"/>
        </w:rPr>
        <w:t>rule</w:t>
      </w:r>
      <w:r w:rsidR="00CE3DFE" w:rsidRPr="008373A2">
        <w:rPr>
          <w:rFonts w:ascii="Times New Roman" w:hAnsi="Times New Roman" w:cs="Times New Roman"/>
        </w:rPr>
        <w:t xml:space="preserve"> they express, the </w:t>
      </w:r>
      <w:r w:rsidR="00E114BC">
        <w:rPr>
          <w:rFonts w:ascii="Times New Roman" w:hAnsi="Times New Roman" w:cs="Times New Roman"/>
        </w:rPr>
        <w:t xml:space="preserve">consensus </w:t>
      </w:r>
      <w:r w:rsidR="00CE3DFE" w:rsidRPr="008373A2">
        <w:rPr>
          <w:rFonts w:ascii="Times New Roman" w:hAnsi="Times New Roman" w:cs="Times New Roman"/>
        </w:rPr>
        <w:t xml:space="preserve">adoption by states in the General Assembly of the Friendly Relations Declaration, with its language recognising the prohibition as an independent </w:t>
      </w:r>
      <w:r w:rsidR="002C6B07" w:rsidRPr="008373A2">
        <w:rPr>
          <w:rFonts w:ascii="Times New Roman" w:hAnsi="Times New Roman" w:cs="Times New Roman"/>
        </w:rPr>
        <w:t>rule</w:t>
      </w:r>
      <w:r w:rsidR="00CE3DFE" w:rsidRPr="008373A2">
        <w:rPr>
          <w:rFonts w:ascii="Times New Roman" w:hAnsi="Times New Roman" w:cs="Times New Roman"/>
        </w:rPr>
        <w:t xml:space="preserve"> of custom,</w:t>
      </w:r>
      <w:r w:rsidR="00A507FB" w:rsidRPr="008373A2">
        <w:rPr>
          <w:rStyle w:val="FootnoteReference"/>
          <w:rFonts w:ascii="Times New Roman" w:hAnsi="Times New Roman" w:cs="Times New Roman"/>
        </w:rPr>
        <w:footnoteReference w:id="73"/>
      </w:r>
      <w:r w:rsidR="00CE3DFE" w:rsidRPr="008373A2">
        <w:rPr>
          <w:rFonts w:ascii="Times New Roman" w:hAnsi="Times New Roman" w:cs="Times New Roman"/>
        </w:rPr>
        <w:t xml:space="preserve"> will </w:t>
      </w:r>
      <w:proofErr w:type="gramStart"/>
      <w:r w:rsidR="00CD3D47" w:rsidRPr="008373A2">
        <w:rPr>
          <w:rFonts w:ascii="Times New Roman" w:hAnsi="Times New Roman" w:cs="Times New Roman"/>
        </w:rPr>
        <w:t xml:space="preserve">in itself </w:t>
      </w:r>
      <w:r w:rsidR="00CE3DFE" w:rsidRPr="008373A2">
        <w:rPr>
          <w:rFonts w:ascii="Times New Roman" w:hAnsi="Times New Roman" w:cs="Times New Roman"/>
        </w:rPr>
        <w:t>constitute</w:t>
      </w:r>
      <w:proofErr w:type="gramEnd"/>
      <w:r w:rsidR="00CE3DFE" w:rsidRPr="008373A2">
        <w:rPr>
          <w:rFonts w:ascii="Times New Roman" w:hAnsi="Times New Roman" w:cs="Times New Roman"/>
        </w:rPr>
        <w:t xml:space="preserve"> both </w:t>
      </w:r>
      <w:r w:rsidR="00CE3DFE" w:rsidRPr="008373A2">
        <w:rPr>
          <w:rFonts w:ascii="Times New Roman" w:hAnsi="Times New Roman" w:cs="Times New Roman"/>
          <w:i/>
          <w:iCs/>
        </w:rPr>
        <w:t>opinio juris</w:t>
      </w:r>
      <w:r w:rsidR="00CE3DFE" w:rsidRPr="008373A2">
        <w:rPr>
          <w:rFonts w:ascii="Times New Roman" w:hAnsi="Times New Roman" w:cs="Times New Roman"/>
        </w:rPr>
        <w:t xml:space="preserve"> and a widespread state practice in support of the customary prohibition. </w:t>
      </w:r>
      <w:r w:rsidR="00D67003" w:rsidRPr="008373A2">
        <w:rPr>
          <w:rFonts w:ascii="Times New Roman" w:hAnsi="Times New Roman" w:cs="Times New Roman"/>
        </w:rPr>
        <w:t>This case thus illustrates the point made earlier, that a different analysis needs to be applied where the practice in support of a customary rule consists of statements by states as to the content of that rule</w:t>
      </w:r>
      <w:r w:rsidR="00F5143F" w:rsidRPr="008373A2">
        <w:rPr>
          <w:rFonts w:ascii="Times New Roman" w:hAnsi="Times New Roman" w:cs="Times New Roman"/>
        </w:rPr>
        <w:t xml:space="preserve"> – practice in the form of statements will not be ambiguous as to the rule it supports</w:t>
      </w:r>
      <w:r w:rsidR="00D67003" w:rsidRPr="008373A2">
        <w:rPr>
          <w:rFonts w:ascii="Times New Roman" w:hAnsi="Times New Roman" w:cs="Times New Roman"/>
        </w:rPr>
        <w:t xml:space="preserve">. </w:t>
      </w:r>
    </w:p>
    <w:p w14:paraId="0B0164BB" w14:textId="77777777" w:rsidR="00F5143F" w:rsidRPr="008373A2" w:rsidRDefault="00F5143F" w:rsidP="00064C83">
      <w:pPr>
        <w:spacing w:line="360" w:lineRule="auto"/>
        <w:jc w:val="both"/>
        <w:rPr>
          <w:rFonts w:ascii="Times New Roman" w:hAnsi="Times New Roman" w:cs="Times New Roman"/>
        </w:rPr>
      </w:pPr>
    </w:p>
    <w:p w14:paraId="5F808531" w14:textId="26A47498" w:rsidR="00C20602" w:rsidRPr="008373A2" w:rsidRDefault="00AE3D9A" w:rsidP="00064C83">
      <w:pPr>
        <w:spacing w:line="360" w:lineRule="auto"/>
        <w:jc w:val="both"/>
        <w:rPr>
          <w:rFonts w:ascii="Times New Roman" w:hAnsi="Times New Roman" w:cs="Times New Roman"/>
        </w:rPr>
      </w:pPr>
      <w:r>
        <w:rPr>
          <w:rFonts w:ascii="Times New Roman" w:hAnsi="Times New Roman" w:cs="Times New Roman"/>
        </w:rPr>
        <w:t>T</w:t>
      </w:r>
      <w:r w:rsidR="001F5C76" w:rsidRPr="008373A2">
        <w:rPr>
          <w:rFonts w:ascii="Times New Roman" w:hAnsi="Times New Roman" w:cs="Times New Roman"/>
        </w:rPr>
        <w:t xml:space="preserve">he Court was </w:t>
      </w:r>
      <w:r>
        <w:rPr>
          <w:rFonts w:ascii="Times New Roman" w:hAnsi="Times New Roman" w:cs="Times New Roman"/>
        </w:rPr>
        <w:t xml:space="preserve">therefore </w:t>
      </w:r>
      <w:r w:rsidR="001F5C76" w:rsidRPr="008373A2">
        <w:rPr>
          <w:rFonts w:ascii="Times New Roman" w:hAnsi="Times New Roman" w:cs="Times New Roman"/>
        </w:rPr>
        <w:t>correct</w:t>
      </w:r>
      <w:r w:rsidR="00CE3DFE" w:rsidRPr="008373A2">
        <w:rPr>
          <w:rFonts w:ascii="Times New Roman" w:hAnsi="Times New Roman" w:cs="Times New Roman"/>
        </w:rPr>
        <w:t xml:space="preserve"> to tolerate the existence of </w:t>
      </w:r>
      <w:r w:rsidR="003A33F1" w:rsidRPr="008373A2">
        <w:rPr>
          <w:rFonts w:ascii="Times New Roman" w:hAnsi="Times New Roman" w:cs="Times New Roman"/>
        </w:rPr>
        <w:t xml:space="preserve">some </w:t>
      </w:r>
      <w:r w:rsidR="00CB3C88" w:rsidRPr="008373A2">
        <w:rPr>
          <w:rFonts w:ascii="Times New Roman" w:hAnsi="Times New Roman" w:cs="Times New Roman"/>
        </w:rPr>
        <w:t>contrary</w:t>
      </w:r>
      <w:r w:rsidR="00580E3E" w:rsidRPr="008373A2">
        <w:rPr>
          <w:rFonts w:ascii="Times New Roman" w:hAnsi="Times New Roman" w:cs="Times New Roman"/>
        </w:rPr>
        <w:t xml:space="preserve"> practice</w:t>
      </w:r>
      <w:r w:rsidR="0032124C" w:rsidRPr="008373A2">
        <w:rPr>
          <w:rFonts w:ascii="Times New Roman" w:hAnsi="Times New Roman" w:cs="Times New Roman"/>
        </w:rPr>
        <w:t>, characterising it</w:t>
      </w:r>
      <w:r w:rsidR="00580E3E" w:rsidRPr="008373A2">
        <w:rPr>
          <w:rFonts w:ascii="Times New Roman" w:hAnsi="Times New Roman" w:cs="Times New Roman"/>
        </w:rPr>
        <w:t xml:space="preserve"> as </w:t>
      </w:r>
      <w:r w:rsidR="00EC6C2A" w:rsidRPr="008373A2">
        <w:rPr>
          <w:rFonts w:ascii="Times New Roman" w:hAnsi="Times New Roman" w:cs="Times New Roman"/>
        </w:rPr>
        <w:t xml:space="preserve">mere </w:t>
      </w:r>
      <w:r w:rsidR="00580E3E" w:rsidRPr="008373A2">
        <w:rPr>
          <w:rFonts w:ascii="Times New Roman" w:hAnsi="Times New Roman" w:cs="Times New Roman"/>
        </w:rPr>
        <w:t>breaches</w:t>
      </w:r>
      <w:r w:rsidR="00EF4DAF" w:rsidRPr="008373A2">
        <w:rPr>
          <w:rFonts w:ascii="Times New Roman" w:hAnsi="Times New Roman" w:cs="Times New Roman"/>
        </w:rPr>
        <w:t xml:space="preserve"> of the prohibition on force</w:t>
      </w:r>
      <w:r w:rsidR="00CE3DFE" w:rsidRPr="008373A2">
        <w:rPr>
          <w:rFonts w:ascii="Times New Roman" w:hAnsi="Times New Roman" w:cs="Times New Roman"/>
        </w:rPr>
        <w:t xml:space="preserve"> </w:t>
      </w:r>
      <w:r w:rsidR="00CB3C88" w:rsidRPr="008373A2">
        <w:rPr>
          <w:rFonts w:ascii="Times New Roman" w:hAnsi="Times New Roman" w:cs="Times New Roman"/>
        </w:rPr>
        <w:t>which do not</w:t>
      </w:r>
      <w:r w:rsidR="00CE3DFE" w:rsidRPr="008373A2">
        <w:rPr>
          <w:rFonts w:ascii="Times New Roman" w:hAnsi="Times New Roman" w:cs="Times New Roman"/>
        </w:rPr>
        <w:t xml:space="preserve"> undermine the existence of the customary </w:t>
      </w:r>
      <w:r w:rsidR="00EF4DAF" w:rsidRPr="008373A2">
        <w:rPr>
          <w:rFonts w:ascii="Times New Roman" w:hAnsi="Times New Roman" w:cs="Times New Roman"/>
        </w:rPr>
        <w:t>rule</w:t>
      </w:r>
      <w:r w:rsidR="00CE3DFE" w:rsidRPr="008373A2">
        <w:rPr>
          <w:rFonts w:ascii="Times New Roman" w:hAnsi="Times New Roman" w:cs="Times New Roman"/>
        </w:rPr>
        <w:t>.</w:t>
      </w:r>
      <w:r w:rsidR="00580E3E" w:rsidRPr="008373A2">
        <w:rPr>
          <w:rStyle w:val="FootnoteReference"/>
          <w:rFonts w:ascii="Times New Roman" w:hAnsi="Times New Roman" w:cs="Times New Roman"/>
        </w:rPr>
        <w:footnoteReference w:id="74"/>
      </w:r>
      <w:r w:rsidR="00CE3DFE" w:rsidRPr="008373A2">
        <w:rPr>
          <w:rFonts w:ascii="Times New Roman" w:hAnsi="Times New Roman" w:cs="Times New Roman"/>
        </w:rPr>
        <w:t xml:space="preserve"> </w:t>
      </w:r>
      <w:r w:rsidR="00CB3C88" w:rsidRPr="008373A2">
        <w:rPr>
          <w:rFonts w:ascii="Times New Roman" w:hAnsi="Times New Roman" w:cs="Times New Roman"/>
        </w:rPr>
        <w:t xml:space="preserve">Balanced against the considerable supportive practice </w:t>
      </w:r>
      <w:r w:rsidR="0095080D" w:rsidRPr="008373A2">
        <w:rPr>
          <w:rFonts w:ascii="Times New Roman" w:hAnsi="Times New Roman" w:cs="Times New Roman"/>
        </w:rPr>
        <w:t>of</w:t>
      </w:r>
      <w:r w:rsidR="00CB3C88" w:rsidRPr="008373A2">
        <w:rPr>
          <w:rFonts w:ascii="Times New Roman" w:hAnsi="Times New Roman" w:cs="Times New Roman"/>
        </w:rPr>
        <w:t xml:space="preserve"> states </w:t>
      </w:r>
      <w:r w:rsidR="0095080D" w:rsidRPr="008373A2">
        <w:rPr>
          <w:rFonts w:ascii="Times New Roman" w:hAnsi="Times New Roman" w:cs="Times New Roman"/>
        </w:rPr>
        <w:t xml:space="preserve">who do </w:t>
      </w:r>
      <w:r w:rsidR="00CB3C88" w:rsidRPr="008373A2">
        <w:rPr>
          <w:rFonts w:ascii="Times New Roman" w:hAnsi="Times New Roman" w:cs="Times New Roman"/>
        </w:rPr>
        <w:t xml:space="preserve">abstain from using force in the acceptance that that conduct is required by law, the Court </w:t>
      </w:r>
      <w:r w:rsidR="004E52C5" w:rsidRPr="008373A2">
        <w:rPr>
          <w:rFonts w:ascii="Times New Roman" w:hAnsi="Times New Roman" w:cs="Times New Roman"/>
        </w:rPr>
        <w:t>wa</w:t>
      </w:r>
      <w:r w:rsidR="00CB3C88" w:rsidRPr="008373A2">
        <w:rPr>
          <w:rFonts w:ascii="Times New Roman" w:hAnsi="Times New Roman" w:cs="Times New Roman"/>
        </w:rPr>
        <w:t xml:space="preserve">s justified in concluding that there is nevertheless </w:t>
      </w:r>
      <w:r w:rsidR="0033456A" w:rsidRPr="008373A2">
        <w:rPr>
          <w:rFonts w:ascii="Times New Roman" w:hAnsi="Times New Roman" w:cs="Times New Roman"/>
        </w:rPr>
        <w:t xml:space="preserve">both </w:t>
      </w:r>
      <w:r w:rsidR="00CB3C88" w:rsidRPr="008373A2">
        <w:rPr>
          <w:rFonts w:ascii="Times New Roman" w:hAnsi="Times New Roman" w:cs="Times New Roman"/>
        </w:rPr>
        <w:t xml:space="preserve">a widespread and representative practice and </w:t>
      </w:r>
      <w:r w:rsidR="00CB3C88" w:rsidRPr="008373A2">
        <w:rPr>
          <w:rFonts w:ascii="Times New Roman" w:hAnsi="Times New Roman" w:cs="Times New Roman"/>
          <w:i/>
          <w:iCs/>
        </w:rPr>
        <w:t>opinio juris</w:t>
      </w:r>
      <w:r w:rsidR="00CB3C88" w:rsidRPr="008373A2">
        <w:rPr>
          <w:rFonts w:ascii="Times New Roman" w:hAnsi="Times New Roman" w:cs="Times New Roman"/>
        </w:rPr>
        <w:t xml:space="preserve"> supporting the existence of a customary prohibition on force.</w:t>
      </w:r>
      <w:r w:rsidR="00782813" w:rsidRPr="008373A2">
        <w:rPr>
          <w:rFonts w:ascii="Times New Roman" w:hAnsi="Times New Roman" w:cs="Times New Roman"/>
        </w:rPr>
        <w:t xml:space="preserve"> It is therefore not necessary to explain the judgment away as a product of the political circumstances.</w:t>
      </w:r>
    </w:p>
    <w:p w14:paraId="71AC676F" w14:textId="4CFC277E" w:rsidR="00E82233" w:rsidRPr="008373A2" w:rsidRDefault="00E82233" w:rsidP="00064C83">
      <w:pPr>
        <w:spacing w:line="360" w:lineRule="auto"/>
        <w:jc w:val="both"/>
        <w:rPr>
          <w:rFonts w:ascii="Times New Roman" w:hAnsi="Times New Roman" w:cs="Times New Roman"/>
        </w:rPr>
      </w:pPr>
    </w:p>
    <w:p w14:paraId="0083F42E" w14:textId="77777777" w:rsidR="00F61A58" w:rsidRPr="008373A2" w:rsidRDefault="00F61A58" w:rsidP="00064C83">
      <w:pPr>
        <w:spacing w:line="360" w:lineRule="auto"/>
        <w:jc w:val="both"/>
        <w:rPr>
          <w:rFonts w:ascii="Times New Roman" w:hAnsi="Times New Roman" w:cs="Times New Roman"/>
        </w:rPr>
      </w:pPr>
    </w:p>
    <w:p w14:paraId="5FD02C29" w14:textId="6D232844" w:rsidR="000929CA" w:rsidRPr="008373A2" w:rsidRDefault="00B20141">
      <w:pPr>
        <w:pStyle w:val="ListParagraph"/>
        <w:numPr>
          <w:ilvl w:val="0"/>
          <w:numId w:val="5"/>
        </w:numPr>
        <w:spacing w:line="360" w:lineRule="auto"/>
        <w:jc w:val="both"/>
        <w:rPr>
          <w:rFonts w:ascii="Times New Roman" w:hAnsi="Times New Roman" w:cs="Times New Roman"/>
          <w:b/>
          <w:bCs/>
        </w:rPr>
      </w:pPr>
      <w:r w:rsidRPr="008373A2">
        <w:rPr>
          <w:rFonts w:ascii="Times New Roman" w:hAnsi="Times New Roman" w:cs="Times New Roman"/>
          <w:b/>
          <w:bCs/>
        </w:rPr>
        <w:t>Cases where</w:t>
      </w:r>
      <w:r w:rsidR="00F51955" w:rsidRPr="008373A2">
        <w:rPr>
          <w:rFonts w:ascii="Times New Roman" w:hAnsi="Times New Roman" w:cs="Times New Roman"/>
          <w:b/>
          <w:bCs/>
        </w:rPr>
        <w:t xml:space="preserve"> </w:t>
      </w:r>
      <w:r w:rsidR="00A1286E" w:rsidRPr="008373A2">
        <w:rPr>
          <w:rFonts w:ascii="Times New Roman" w:hAnsi="Times New Roman" w:cs="Times New Roman"/>
          <w:b/>
          <w:bCs/>
        </w:rPr>
        <w:t>E</w:t>
      </w:r>
      <w:r w:rsidR="00F51955" w:rsidRPr="008373A2">
        <w:rPr>
          <w:rFonts w:ascii="Times New Roman" w:hAnsi="Times New Roman" w:cs="Times New Roman"/>
          <w:b/>
          <w:bCs/>
        </w:rPr>
        <w:t>vidence of</w:t>
      </w:r>
      <w:r w:rsidR="00EA6FF4" w:rsidRPr="008373A2">
        <w:rPr>
          <w:rFonts w:ascii="Times New Roman" w:hAnsi="Times New Roman" w:cs="Times New Roman"/>
          <w:b/>
          <w:bCs/>
        </w:rPr>
        <w:t xml:space="preserve"> </w:t>
      </w:r>
      <w:r w:rsidR="00EA6FF4" w:rsidRPr="008373A2">
        <w:rPr>
          <w:rFonts w:ascii="Times New Roman" w:hAnsi="Times New Roman" w:cs="Times New Roman"/>
          <w:b/>
          <w:bCs/>
          <w:i/>
          <w:iCs/>
        </w:rPr>
        <w:t>O</w:t>
      </w:r>
      <w:r w:rsidRPr="008373A2">
        <w:rPr>
          <w:rFonts w:ascii="Times New Roman" w:hAnsi="Times New Roman" w:cs="Times New Roman"/>
          <w:b/>
          <w:bCs/>
          <w:i/>
          <w:iCs/>
        </w:rPr>
        <w:t xml:space="preserve">pinio </w:t>
      </w:r>
      <w:r w:rsidR="00EA6FF4" w:rsidRPr="008373A2">
        <w:rPr>
          <w:rFonts w:ascii="Times New Roman" w:hAnsi="Times New Roman" w:cs="Times New Roman"/>
          <w:b/>
          <w:bCs/>
          <w:i/>
          <w:iCs/>
        </w:rPr>
        <w:t>J</w:t>
      </w:r>
      <w:r w:rsidRPr="008373A2">
        <w:rPr>
          <w:rFonts w:ascii="Times New Roman" w:hAnsi="Times New Roman" w:cs="Times New Roman"/>
          <w:b/>
          <w:bCs/>
          <w:i/>
          <w:iCs/>
        </w:rPr>
        <w:t>uris</w:t>
      </w:r>
      <w:r w:rsidRPr="008373A2">
        <w:rPr>
          <w:rFonts w:ascii="Times New Roman" w:hAnsi="Times New Roman" w:cs="Times New Roman"/>
          <w:b/>
          <w:bCs/>
        </w:rPr>
        <w:t xml:space="preserve"> </w:t>
      </w:r>
      <w:r w:rsidR="00EA6FF4" w:rsidRPr="008373A2">
        <w:rPr>
          <w:rFonts w:ascii="Times New Roman" w:hAnsi="Times New Roman" w:cs="Times New Roman"/>
          <w:b/>
          <w:bCs/>
        </w:rPr>
        <w:t>A</w:t>
      </w:r>
      <w:r w:rsidR="00291AE8" w:rsidRPr="008373A2">
        <w:rPr>
          <w:rFonts w:ascii="Times New Roman" w:hAnsi="Times New Roman" w:cs="Times New Roman"/>
          <w:b/>
          <w:bCs/>
        </w:rPr>
        <w:t>ppears to be</w:t>
      </w:r>
      <w:r w:rsidRPr="008373A2">
        <w:rPr>
          <w:rFonts w:ascii="Times New Roman" w:hAnsi="Times New Roman" w:cs="Times New Roman"/>
          <w:b/>
          <w:bCs/>
        </w:rPr>
        <w:t xml:space="preserve"> </w:t>
      </w:r>
      <w:r w:rsidR="00EA6FF4" w:rsidRPr="008373A2">
        <w:rPr>
          <w:rFonts w:ascii="Times New Roman" w:hAnsi="Times New Roman" w:cs="Times New Roman"/>
          <w:b/>
          <w:bCs/>
        </w:rPr>
        <w:t>A</w:t>
      </w:r>
      <w:r w:rsidR="00AB7E97" w:rsidRPr="008373A2">
        <w:rPr>
          <w:rFonts w:ascii="Times New Roman" w:hAnsi="Times New Roman" w:cs="Times New Roman"/>
          <w:b/>
          <w:bCs/>
        </w:rPr>
        <w:t>bsent</w:t>
      </w:r>
    </w:p>
    <w:p w14:paraId="6885003C" w14:textId="0414555B" w:rsidR="006E62C0" w:rsidRPr="008373A2" w:rsidRDefault="006E62C0" w:rsidP="00064C83">
      <w:pPr>
        <w:spacing w:line="360" w:lineRule="auto"/>
        <w:jc w:val="both"/>
        <w:rPr>
          <w:rFonts w:ascii="Times New Roman" w:hAnsi="Times New Roman" w:cs="Times New Roman"/>
        </w:rPr>
      </w:pPr>
    </w:p>
    <w:p w14:paraId="45404C76" w14:textId="40593428" w:rsidR="00F77090" w:rsidRPr="008373A2" w:rsidRDefault="006E62C0" w:rsidP="00064C83">
      <w:pPr>
        <w:spacing w:line="360" w:lineRule="auto"/>
        <w:jc w:val="both"/>
        <w:rPr>
          <w:rFonts w:ascii="Times New Roman" w:hAnsi="Times New Roman" w:cs="Times New Roman"/>
        </w:rPr>
      </w:pPr>
      <w:r w:rsidRPr="008373A2">
        <w:rPr>
          <w:rFonts w:ascii="Times New Roman" w:hAnsi="Times New Roman" w:cs="Times New Roman"/>
        </w:rPr>
        <w:t xml:space="preserve">The preceding analysis </w:t>
      </w:r>
      <w:r w:rsidR="00195E24" w:rsidRPr="008373A2">
        <w:rPr>
          <w:rFonts w:ascii="Times New Roman" w:hAnsi="Times New Roman" w:cs="Times New Roman"/>
        </w:rPr>
        <w:t xml:space="preserve">has shown why in some cases </w:t>
      </w:r>
      <w:r w:rsidR="00195E24" w:rsidRPr="008373A2">
        <w:rPr>
          <w:rFonts w:ascii="Times New Roman" w:hAnsi="Times New Roman" w:cs="Times New Roman"/>
          <w:i/>
          <w:iCs/>
        </w:rPr>
        <w:t xml:space="preserve">opinio juris </w:t>
      </w:r>
      <w:r w:rsidR="00195E24" w:rsidRPr="008373A2">
        <w:rPr>
          <w:rFonts w:ascii="Times New Roman" w:hAnsi="Times New Roman" w:cs="Times New Roman"/>
        </w:rPr>
        <w:t>play</w:t>
      </w:r>
      <w:r w:rsidR="00D55BC9">
        <w:rPr>
          <w:rFonts w:ascii="Times New Roman" w:hAnsi="Times New Roman" w:cs="Times New Roman"/>
        </w:rPr>
        <w:t>s</w:t>
      </w:r>
      <w:r w:rsidR="00195E24" w:rsidRPr="008373A2">
        <w:rPr>
          <w:rFonts w:ascii="Times New Roman" w:hAnsi="Times New Roman" w:cs="Times New Roman"/>
        </w:rPr>
        <w:t xml:space="preserve"> a particularly important role in identifying customary</w:t>
      </w:r>
      <w:r w:rsidR="003775E2">
        <w:rPr>
          <w:rFonts w:ascii="Times New Roman" w:hAnsi="Times New Roman" w:cs="Times New Roman"/>
        </w:rPr>
        <w:t xml:space="preserve"> international law</w:t>
      </w:r>
      <w:r w:rsidR="00195E24" w:rsidRPr="008373A2">
        <w:rPr>
          <w:rFonts w:ascii="Times New Roman" w:hAnsi="Times New Roman" w:cs="Times New Roman"/>
        </w:rPr>
        <w:t xml:space="preserve"> rules. </w:t>
      </w:r>
      <w:r w:rsidR="00FF47B5" w:rsidRPr="008373A2">
        <w:rPr>
          <w:rFonts w:ascii="Times New Roman" w:hAnsi="Times New Roman" w:cs="Times New Roman"/>
        </w:rPr>
        <w:t>I</w:t>
      </w:r>
      <w:r w:rsidR="00195E24" w:rsidRPr="008373A2">
        <w:rPr>
          <w:rFonts w:ascii="Times New Roman" w:hAnsi="Times New Roman" w:cs="Times New Roman"/>
        </w:rPr>
        <w:t xml:space="preserve">n such cases a proper understanding of the nature and context of </w:t>
      </w:r>
      <w:r w:rsidR="00B3736A">
        <w:rPr>
          <w:rFonts w:ascii="Times New Roman" w:hAnsi="Times New Roman" w:cs="Times New Roman"/>
        </w:rPr>
        <w:t>the</w:t>
      </w:r>
      <w:r w:rsidR="00195E24" w:rsidRPr="008373A2">
        <w:rPr>
          <w:rFonts w:ascii="Times New Roman" w:hAnsi="Times New Roman" w:cs="Times New Roman"/>
        </w:rPr>
        <w:t xml:space="preserve"> alleged customary rule reveals the dual role of </w:t>
      </w:r>
      <w:r w:rsidR="00195E24" w:rsidRPr="008373A2">
        <w:rPr>
          <w:rFonts w:ascii="Times New Roman" w:hAnsi="Times New Roman" w:cs="Times New Roman"/>
          <w:i/>
          <w:iCs/>
        </w:rPr>
        <w:t>opinio juris</w:t>
      </w:r>
      <w:r w:rsidR="00F7023A" w:rsidRPr="008373A2">
        <w:rPr>
          <w:rFonts w:ascii="Times New Roman" w:hAnsi="Times New Roman" w:cs="Times New Roman"/>
        </w:rPr>
        <w:t xml:space="preserve">: </w:t>
      </w:r>
      <w:r w:rsidR="00195E24" w:rsidRPr="008373A2">
        <w:rPr>
          <w:rFonts w:ascii="Times New Roman" w:hAnsi="Times New Roman" w:cs="Times New Roman"/>
        </w:rPr>
        <w:t xml:space="preserve">both as one half of the two-element test and </w:t>
      </w:r>
      <w:proofErr w:type="gramStart"/>
      <w:r w:rsidR="00195E24" w:rsidRPr="008373A2">
        <w:rPr>
          <w:rFonts w:ascii="Times New Roman" w:hAnsi="Times New Roman" w:cs="Times New Roman"/>
        </w:rPr>
        <w:t>as a means to</w:t>
      </w:r>
      <w:proofErr w:type="gramEnd"/>
      <w:r w:rsidR="00195E24" w:rsidRPr="008373A2">
        <w:rPr>
          <w:rFonts w:ascii="Times New Roman" w:hAnsi="Times New Roman" w:cs="Times New Roman"/>
        </w:rPr>
        <w:t xml:space="preserve"> identify </w:t>
      </w:r>
      <w:r w:rsidR="00303258" w:rsidRPr="008373A2">
        <w:rPr>
          <w:rFonts w:ascii="Times New Roman" w:hAnsi="Times New Roman" w:cs="Times New Roman"/>
        </w:rPr>
        <w:t xml:space="preserve">relevant </w:t>
      </w:r>
      <w:r w:rsidR="00195E24" w:rsidRPr="008373A2">
        <w:rPr>
          <w:rFonts w:ascii="Times New Roman" w:hAnsi="Times New Roman" w:cs="Times New Roman"/>
        </w:rPr>
        <w:t xml:space="preserve">state practice where the context makes </w:t>
      </w:r>
      <w:r w:rsidR="00303258" w:rsidRPr="008373A2">
        <w:rPr>
          <w:rFonts w:ascii="Times New Roman" w:hAnsi="Times New Roman" w:cs="Times New Roman"/>
        </w:rPr>
        <w:t xml:space="preserve">conduct </w:t>
      </w:r>
      <w:r w:rsidR="00195E24" w:rsidRPr="008373A2">
        <w:rPr>
          <w:rFonts w:ascii="Times New Roman" w:hAnsi="Times New Roman" w:cs="Times New Roman"/>
        </w:rPr>
        <w:t>ambiguous</w:t>
      </w:r>
      <w:r w:rsidR="00A06F7E" w:rsidRPr="008373A2">
        <w:rPr>
          <w:rFonts w:ascii="Times New Roman" w:hAnsi="Times New Roman" w:cs="Times New Roman"/>
        </w:rPr>
        <w:t>.</w:t>
      </w:r>
      <w:r w:rsidR="00195E24" w:rsidRPr="008373A2">
        <w:rPr>
          <w:rFonts w:ascii="Times New Roman" w:hAnsi="Times New Roman" w:cs="Times New Roman"/>
        </w:rPr>
        <w:t xml:space="preserve"> </w:t>
      </w:r>
      <w:r w:rsidR="00F77090" w:rsidRPr="008373A2">
        <w:rPr>
          <w:rFonts w:ascii="Times New Roman" w:hAnsi="Times New Roman" w:cs="Times New Roman"/>
        </w:rPr>
        <w:t xml:space="preserve">Yet what of </w:t>
      </w:r>
      <w:r w:rsidR="0029163A" w:rsidRPr="008373A2">
        <w:rPr>
          <w:rFonts w:ascii="Times New Roman" w:hAnsi="Times New Roman" w:cs="Times New Roman"/>
        </w:rPr>
        <w:t>those cases where a customary</w:t>
      </w:r>
      <w:r w:rsidR="003775E2">
        <w:rPr>
          <w:rFonts w:ascii="Times New Roman" w:hAnsi="Times New Roman" w:cs="Times New Roman"/>
        </w:rPr>
        <w:t xml:space="preserve"> international law</w:t>
      </w:r>
      <w:r w:rsidR="0029163A" w:rsidRPr="008373A2">
        <w:rPr>
          <w:rFonts w:ascii="Times New Roman" w:hAnsi="Times New Roman" w:cs="Times New Roman"/>
        </w:rPr>
        <w:t xml:space="preserve"> rule </w:t>
      </w:r>
      <w:r w:rsidR="00686683" w:rsidRPr="008373A2">
        <w:rPr>
          <w:rFonts w:ascii="Times New Roman" w:hAnsi="Times New Roman" w:cs="Times New Roman"/>
        </w:rPr>
        <w:t xml:space="preserve">has been found to </w:t>
      </w:r>
      <w:r w:rsidR="0029163A" w:rsidRPr="008373A2">
        <w:rPr>
          <w:rFonts w:ascii="Times New Roman" w:hAnsi="Times New Roman" w:cs="Times New Roman"/>
        </w:rPr>
        <w:t xml:space="preserve">exist apparently without evidence that the </w:t>
      </w:r>
      <w:r w:rsidR="0029163A" w:rsidRPr="008373A2">
        <w:rPr>
          <w:rFonts w:ascii="Times New Roman" w:hAnsi="Times New Roman" w:cs="Times New Roman"/>
          <w:i/>
          <w:iCs/>
        </w:rPr>
        <w:t>opinio juris</w:t>
      </w:r>
      <w:r w:rsidR="0029163A" w:rsidRPr="008373A2">
        <w:rPr>
          <w:rFonts w:ascii="Times New Roman" w:hAnsi="Times New Roman" w:cs="Times New Roman"/>
        </w:rPr>
        <w:t xml:space="preserve"> element of the test is fulfilled? </w:t>
      </w:r>
      <w:r w:rsidR="00215E3D" w:rsidRPr="008373A2">
        <w:rPr>
          <w:rFonts w:ascii="Times New Roman" w:hAnsi="Times New Roman" w:cs="Times New Roman"/>
        </w:rPr>
        <w:t>T</w:t>
      </w:r>
      <w:r w:rsidR="002A660F" w:rsidRPr="008373A2">
        <w:rPr>
          <w:rFonts w:ascii="Times New Roman" w:hAnsi="Times New Roman" w:cs="Times New Roman"/>
        </w:rPr>
        <w:t xml:space="preserve">hese cases too can be reconciled </w:t>
      </w:r>
      <w:r w:rsidR="00EC42A7" w:rsidRPr="008373A2">
        <w:rPr>
          <w:rFonts w:ascii="Times New Roman" w:hAnsi="Times New Roman" w:cs="Times New Roman"/>
        </w:rPr>
        <w:t xml:space="preserve">with the two-element test </w:t>
      </w:r>
      <w:r w:rsidR="002A660F" w:rsidRPr="008373A2">
        <w:rPr>
          <w:rFonts w:ascii="Times New Roman" w:hAnsi="Times New Roman" w:cs="Times New Roman"/>
        </w:rPr>
        <w:t>if one takes the nature and context of the alleged customary rule</w:t>
      </w:r>
      <w:r w:rsidR="00BC06AC">
        <w:rPr>
          <w:rFonts w:ascii="Times New Roman" w:hAnsi="Times New Roman" w:cs="Times New Roman"/>
        </w:rPr>
        <w:t xml:space="preserve"> </w:t>
      </w:r>
      <w:r w:rsidR="00BC06AC" w:rsidRPr="008373A2">
        <w:rPr>
          <w:rFonts w:ascii="Times New Roman" w:hAnsi="Times New Roman" w:cs="Times New Roman"/>
        </w:rPr>
        <w:t>into account</w:t>
      </w:r>
      <w:r w:rsidR="002A660F" w:rsidRPr="008373A2">
        <w:rPr>
          <w:rFonts w:ascii="Times New Roman" w:hAnsi="Times New Roman" w:cs="Times New Roman"/>
        </w:rPr>
        <w:t>.</w:t>
      </w:r>
    </w:p>
    <w:p w14:paraId="0B7EC8D2" w14:textId="19EACEBF" w:rsidR="000F66D4" w:rsidRPr="008373A2" w:rsidRDefault="000F66D4" w:rsidP="00064C83">
      <w:pPr>
        <w:spacing w:line="360" w:lineRule="auto"/>
        <w:jc w:val="both"/>
        <w:rPr>
          <w:rFonts w:ascii="Times New Roman" w:eastAsia="Times New Roman" w:hAnsi="Times New Roman" w:cs="Times New Roman"/>
          <w:lang w:eastAsia="en-GB"/>
        </w:rPr>
      </w:pPr>
    </w:p>
    <w:p w14:paraId="600A408A" w14:textId="686071FA" w:rsidR="000F66D4" w:rsidRPr="008373A2" w:rsidRDefault="000F66D4" w:rsidP="00064C83">
      <w:pPr>
        <w:spacing w:line="360" w:lineRule="auto"/>
        <w:jc w:val="both"/>
        <w:rPr>
          <w:rFonts w:ascii="Times New Roman" w:hAnsi="Times New Roman" w:cs="Times New Roman"/>
        </w:rPr>
      </w:pPr>
      <w:r w:rsidRPr="008373A2">
        <w:rPr>
          <w:rFonts w:ascii="Times New Roman" w:hAnsi="Times New Roman" w:cs="Times New Roman"/>
        </w:rPr>
        <w:t xml:space="preserve">The </w:t>
      </w:r>
      <w:r w:rsidRPr="008373A2">
        <w:rPr>
          <w:rFonts w:ascii="Times New Roman" w:hAnsi="Times New Roman" w:cs="Times New Roman"/>
          <w:i/>
          <w:iCs/>
        </w:rPr>
        <w:t>Case concerning Right of Passage over Indian Territory</w:t>
      </w:r>
      <w:r w:rsidRPr="008373A2">
        <w:rPr>
          <w:rFonts w:ascii="Times New Roman" w:hAnsi="Times New Roman" w:cs="Times New Roman"/>
        </w:rPr>
        <w:t xml:space="preserve"> concerned whether a new permissive customary </w:t>
      </w:r>
      <w:r w:rsidR="00890E7F" w:rsidRPr="008373A2">
        <w:rPr>
          <w:rFonts w:ascii="Times New Roman" w:hAnsi="Times New Roman" w:cs="Times New Roman"/>
        </w:rPr>
        <w:t>rule</w:t>
      </w:r>
      <w:r w:rsidRPr="008373A2">
        <w:rPr>
          <w:rFonts w:ascii="Times New Roman" w:hAnsi="Times New Roman" w:cs="Times New Roman"/>
        </w:rPr>
        <w:t xml:space="preserve"> had been established granting Portugal ‘</w:t>
      </w:r>
      <w:proofErr w:type="spellStart"/>
      <w:r w:rsidRPr="008373A2">
        <w:rPr>
          <w:rFonts w:ascii="Times New Roman" w:hAnsi="Times New Roman" w:cs="Times New Roman"/>
        </w:rPr>
        <w:t>right</w:t>
      </w:r>
      <w:proofErr w:type="spellEnd"/>
      <w:r w:rsidRPr="008373A2">
        <w:rPr>
          <w:rFonts w:ascii="Times New Roman" w:hAnsi="Times New Roman" w:cs="Times New Roman"/>
        </w:rPr>
        <w:t xml:space="preserve"> of passage’ over India</w:t>
      </w:r>
      <w:r w:rsidR="00854307" w:rsidRPr="008373A2">
        <w:rPr>
          <w:rFonts w:ascii="Times New Roman" w:hAnsi="Times New Roman" w:cs="Times New Roman"/>
        </w:rPr>
        <w:t>’s</w:t>
      </w:r>
      <w:r w:rsidRPr="008373A2">
        <w:rPr>
          <w:rFonts w:ascii="Times New Roman" w:hAnsi="Times New Roman" w:cs="Times New Roman"/>
        </w:rPr>
        <w:t xml:space="preserve"> territory between the coast and </w:t>
      </w:r>
      <w:r w:rsidR="003775E2">
        <w:rPr>
          <w:rFonts w:ascii="Times New Roman" w:hAnsi="Times New Roman" w:cs="Times New Roman"/>
        </w:rPr>
        <w:t>Portugal’s</w:t>
      </w:r>
      <w:r w:rsidR="003775E2" w:rsidRPr="008373A2">
        <w:rPr>
          <w:rFonts w:ascii="Times New Roman" w:hAnsi="Times New Roman" w:cs="Times New Roman"/>
        </w:rPr>
        <w:t xml:space="preserve"> </w:t>
      </w:r>
      <w:r w:rsidRPr="008373A2">
        <w:rPr>
          <w:rFonts w:ascii="Times New Roman" w:hAnsi="Times New Roman" w:cs="Times New Roman"/>
        </w:rPr>
        <w:t xml:space="preserve">enclaves, and the scope of that </w:t>
      </w:r>
      <w:r w:rsidR="002D7AD7" w:rsidRPr="008373A2">
        <w:rPr>
          <w:rFonts w:ascii="Times New Roman" w:hAnsi="Times New Roman" w:cs="Times New Roman"/>
        </w:rPr>
        <w:t>rule</w:t>
      </w:r>
      <w:r w:rsidRPr="008373A2">
        <w:rPr>
          <w:rFonts w:ascii="Times New Roman" w:hAnsi="Times New Roman" w:cs="Times New Roman"/>
        </w:rPr>
        <w:t xml:space="preserve">. The question was treated by the Court as one of the existence of a new permissive rule of local custom that acted as </w:t>
      </w:r>
      <w:r w:rsidRPr="008373A2">
        <w:rPr>
          <w:rFonts w:ascii="Times New Roman" w:hAnsi="Times New Roman" w:cs="Times New Roman"/>
          <w:i/>
          <w:iCs/>
        </w:rPr>
        <w:t xml:space="preserve">lex </w:t>
      </w:r>
      <w:proofErr w:type="spellStart"/>
      <w:r w:rsidRPr="008373A2">
        <w:rPr>
          <w:rFonts w:ascii="Times New Roman" w:hAnsi="Times New Roman" w:cs="Times New Roman"/>
          <w:i/>
          <w:iCs/>
        </w:rPr>
        <w:t>specialis</w:t>
      </w:r>
      <w:proofErr w:type="spellEnd"/>
      <w:r w:rsidRPr="008373A2">
        <w:rPr>
          <w:rFonts w:ascii="Times New Roman" w:hAnsi="Times New Roman" w:cs="Times New Roman"/>
        </w:rPr>
        <w:t xml:space="preserve"> to general customary </w:t>
      </w:r>
      <w:r w:rsidR="00E95498">
        <w:rPr>
          <w:rFonts w:ascii="Times New Roman" w:hAnsi="Times New Roman" w:cs="Times New Roman"/>
        </w:rPr>
        <w:t xml:space="preserve">international law </w:t>
      </w:r>
      <w:r w:rsidRPr="008373A2">
        <w:rPr>
          <w:rFonts w:ascii="Times New Roman" w:hAnsi="Times New Roman" w:cs="Times New Roman"/>
        </w:rPr>
        <w:t xml:space="preserve">principles of territorial sovereignty that require permission </w:t>
      </w:r>
      <w:r w:rsidR="00FF47B5" w:rsidRPr="008373A2">
        <w:rPr>
          <w:rFonts w:ascii="Times New Roman" w:hAnsi="Times New Roman" w:cs="Times New Roman"/>
        </w:rPr>
        <w:t>from</w:t>
      </w:r>
      <w:r w:rsidRPr="008373A2">
        <w:rPr>
          <w:rFonts w:ascii="Times New Roman" w:hAnsi="Times New Roman" w:cs="Times New Roman"/>
        </w:rPr>
        <w:t xml:space="preserve"> a state for passage over its territory.</w:t>
      </w:r>
      <w:r w:rsidRPr="008373A2">
        <w:rPr>
          <w:rStyle w:val="FootnoteReference"/>
          <w:rFonts w:ascii="Times New Roman" w:hAnsi="Times New Roman" w:cs="Times New Roman"/>
        </w:rPr>
        <w:footnoteReference w:id="75"/>
      </w:r>
      <w:r w:rsidRPr="008373A2">
        <w:rPr>
          <w:rFonts w:ascii="Times New Roman" w:hAnsi="Times New Roman" w:cs="Times New Roman"/>
        </w:rPr>
        <w:t xml:space="preserve"> </w:t>
      </w:r>
      <w:r w:rsidR="00FF47B5" w:rsidRPr="008373A2">
        <w:rPr>
          <w:rFonts w:ascii="Times New Roman" w:hAnsi="Times New Roman" w:cs="Times New Roman"/>
        </w:rPr>
        <w:t>T</w:t>
      </w:r>
      <w:r w:rsidRPr="008373A2">
        <w:rPr>
          <w:rFonts w:ascii="Times New Roman" w:hAnsi="Times New Roman" w:cs="Times New Roman"/>
        </w:rPr>
        <w:t>hese underlying principles of international law formed the context for the alleged new customary rule</w:t>
      </w:r>
      <w:r w:rsidR="00B9368E" w:rsidRPr="008373A2">
        <w:rPr>
          <w:rFonts w:ascii="Times New Roman" w:hAnsi="Times New Roman" w:cs="Times New Roman"/>
        </w:rPr>
        <w:t xml:space="preserve"> and, unless Portugal could show the existence of th</w:t>
      </w:r>
      <w:r w:rsidR="00BF48B7">
        <w:rPr>
          <w:rFonts w:ascii="Times New Roman" w:hAnsi="Times New Roman" w:cs="Times New Roman"/>
        </w:rPr>
        <w:t>at</w:t>
      </w:r>
      <w:r w:rsidR="00B9368E" w:rsidRPr="008373A2">
        <w:rPr>
          <w:rFonts w:ascii="Times New Roman" w:hAnsi="Times New Roman" w:cs="Times New Roman"/>
        </w:rPr>
        <w:t xml:space="preserve"> new</w:t>
      </w:r>
      <w:r w:rsidR="00141CFC">
        <w:rPr>
          <w:rFonts w:ascii="Times New Roman" w:hAnsi="Times New Roman" w:cs="Times New Roman"/>
        </w:rPr>
        <w:t xml:space="preserve"> permissive</w:t>
      </w:r>
      <w:r w:rsidR="00B9368E" w:rsidRPr="008373A2">
        <w:rPr>
          <w:rFonts w:ascii="Times New Roman" w:hAnsi="Times New Roman" w:cs="Times New Roman"/>
        </w:rPr>
        <w:t xml:space="preserve"> </w:t>
      </w:r>
      <w:r w:rsidR="00B9368E" w:rsidRPr="008373A2">
        <w:rPr>
          <w:rFonts w:ascii="Times New Roman" w:hAnsi="Times New Roman" w:cs="Times New Roman"/>
          <w:i/>
          <w:iCs/>
        </w:rPr>
        <w:t xml:space="preserve">lex </w:t>
      </w:r>
      <w:proofErr w:type="spellStart"/>
      <w:r w:rsidR="00B9368E" w:rsidRPr="008373A2">
        <w:rPr>
          <w:rFonts w:ascii="Times New Roman" w:hAnsi="Times New Roman" w:cs="Times New Roman"/>
          <w:i/>
          <w:iCs/>
        </w:rPr>
        <w:t>specialis</w:t>
      </w:r>
      <w:proofErr w:type="spellEnd"/>
      <w:r w:rsidR="00B9368E" w:rsidRPr="008373A2">
        <w:rPr>
          <w:rFonts w:ascii="Times New Roman" w:hAnsi="Times New Roman" w:cs="Times New Roman"/>
          <w:i/>
          <w:iCs/>
        </w:rPr>
        <w:t xml:space="preserve"> </w:t>
      </w:r>
      <w:r w:rsidR="00B9368E" w:rsidRPr="008373A2">
        <w:rPr>
          <w:rFonts w:ascii="Times New Roman" w:hAnsi="Times New Roman" w:cs="Times New Roman"/>
        </w:rPr>
        <w:t xml:space="preserve">rule, </w:t>
      </w:r>
      <w:r w:rsidR="00693BCF" w:rsidRPr="008373A2">
        <w:rPr>
          <w:rFonts w:ascii="Times New Roman" w:hAnsi="Times New Roman" w:cs="Times New Roman"/>
        </w:rPr>
        <w:t>Portugal’s</w:t>
      </w:r>
      <w:r w:rsidR="00B9368E" w:rsidRPr="008373A2">
        <w:rPr>
          <w:rFonts w:ascii="Times New Roman" w:hAnsi="Times New Roman" w:cs="Times New Roman"/>
        </w:rPr>
        <w:t xml:space="preserve"> passage without authorization would be prohibited</w:t>
      </w:r>
      <w:r w:rsidR="002D7AD7" w:rsidRPr="008373A2">
        <w:rPr>
          <w:rFonts w:ascii="Times New Roman" w:hAnsi="Times New Roman" w:cs="Times New Roman"/>
        </w:rPr>
        <w:t xml:space="preserve"> by them</w:t>
      </w:r>
      <w:r w:rsidR="00B9368E" w:rsidRPr="008373A2">
        <w:rPr>
          <w:rFonts w:ascii="Times New Roman" w:hAnsi="Times New Roman" w:cs="Times New Roman"/>
        </w:rPr>
        <w:t>.</w:t>
      </w:r>
    </w:p>
    <w:p w14:paraId="1CC78CC3" w14:textId="2E6FC83E" w:rsidR="007D4D72" w:rsidRPr="008373A2" w:rsidRDefault="007D4D72" w:rsidP="00064C83">
      <w:pPr>
        <w:spacing w:line="360" w:lineRule="auto"/>
        <w:jc w:val="both"/>
        <w:rPr>
          <w:rFonts w:ascii="Times New Roman" w:hAnsi="Times New Roman" w:cs="Times New Roman"/>
        </w:rPr>
      </w:pPr>
    </w:p>
    <w:p w14:paraId="5400CCE1" w14:textId="57017A95" w:rsidR="00B96256" w:rsidRPr="008373A2" w:rsidRDefault="007D4D72" w:rsidP="00064C83">
      <w:pPr>
        <w:spacing w:line="360" w:lineRule="auto"/>
        <w:jc w:val="both"/>
        <w:rPr>
          <w:rFonts w:ascii="Times New Roman" w:hAnsi="Times New Roman" w:cs="Times New Roman"/>
        </w:rPr>
      </w:pPr>
      <w:r w:rsidRPr="008373A2">
        <w:rPr>
          <w:rFonts w:ascii="Times New Roman" w:hAnsi="Times New Roman" w:cs="Times New Roman"/>
        </w:rPr>
        <w:t xml:space="preserve">Portugal’s submissions as to the existence of a local custom </w:t>
      </w:r>
      <w:r w:rsidR="00FF5E83" w:rsidRPr="008373A2">
        <w:rPr>
          <w:rFonts w:ascii="Times New Roman" w:hAnsi="Times New Roman" w:cs="Times New Roman"/>
        </w:rPr>
        <w:t>alleged</w:t>
      </w:r>
      <w:r w:rsidRPr="008373A2">
        <w:rPr>
          <w:rFonts w:ascii="Times New Roman" w:hAnsi="Times New Roman" w:cs="Times New Roman"/>
        </w:rPr>
        <w:t xml:space="preserve"> </w:t>
      </w:r>
      <w:r w:rsidR="00FF7CCF">
        <w:rPr>
          <w:rFonts w:ascii="Times New Roman" w:hAnsi="Times New Roman" w:cs="Times New Roman"/>
        </w:rPr>
        <w:t>that there was</w:t>
      </w:r>
      <w:r w:rsidRPr="008373A2">
        <w:rPr>
          <w:rFonts w:ascii="Times New Roman" w:hAnsi="Times New Roman" w:cs="Times New Roman"/>
        </w:rPr>
        <w:t xml:space="preserve"> an ‘unbroken practice’ which</w:t>
      </w:r>
      <w:r w:rsidR="00FF5E83" w:rsidRPr="008373A2">
        <w:rPr>
          <w:rFonts w:ascii="Times New Roman" w:hAnsi="Times New Roman" w:cs="Times New Roman"/>
        </w:rPr>
        <w:t xml:space="preserve"> </w:t>
      </w:r>
      <w:r w:rsidRPr="008373A2">
        <w:rPr>
          <w:rFonts w:ascii="Times New Roman" w:hAnsi="Times New Roman" w:cs="Times New Roman"/>
        </w:rPr>
        <w:t>‘was based, on the part of all concerned, on the conviction that what was involved was a legal obligation (</w:t>
      </w:r>
      <w:r w:rsidRPr="008373A2">
        <w:rPr>
          <w:rFonts w:ascii="Times New Roman" w:hAnsi="Times New Roman" w:cs="Times New Roman"/>
          <w:i/>
          <w:iCs/>
        </w:rPr>
        <w:t xml:space="preserve">opinio juris </w:t>
      </w:r>
      <w:proofErr w:type="spellStart"/>
      <w:r w:rsidRPr="008373A2">
        <w:rPr>
          <w:rFonts w:ascii="Times New Roman" w:hAnsi="Times New Roman" w:cs="Times New Roman"/>
          <w:i/>
          <w:iCs/>
        </w:rPr>
        <w:t>sive</w:t>
      </w:r>
      <w:proofErr w:type="spellEnd"/>
      <w:r w:rsidRPr="008373A2">
        <w:rPr>
          <w:rFonts w:ascii="Times New Roman" w:hAnsi="Times New Roman" w:cs="Times New Roman"/>
          <w:i/>
          <w:iCs/>
        </w:rPr>
        <w:t xml:space="preserve"> </w:t>
      </w:r>
      <w:proofErr w:type="spellStart"/>
      <w:r w:rsidRPr="008373A2">
        <w:rPr>
          <w:rFonts w:ascii="Times New Roman" w:hAnsi="Times New Roman" w:cs="Times New Roman"/>
          <w:i/>
          <w:iCs/>
        </w:rPr>
        <w:t>necessitatis</w:t>
      </w:r>
      <w:proofErr w:type="spellEnd"/>
      <w:r w:rsidRPr="008373A2">
        <w:rPr>
          <w:rFonts w:ascii="Times New Roman" w:hAnsi="Times New Roman" w:cs="Times New Roman"/>
        </w:rPr>
        <w:t>)’.</w:t>
      </w:r>
      <w:r w:rsidRPr="008373A2">
        <w:rPr>
          <w:rStyle w:val="FootnoteReference"/>
          <w:rFonts w:ascii="Times New Roman" w:hAnsi="Times New Roman" w:cs="Times New Roman"/>
        </w:rPr>
        <w:footnoteReference w:id="76"/>
      </w:r>
      <w:r w:rsidRPr="008373A2">
        <w:rPr>
          <w:rFonts w:ascii="Times New Roman" w:hAnsi="Times New Roman" w:cs="Times New Roman"/>
        </w:rPr>
        <w:t xml:space="preserve"> </w:t>
      </w:r>
      <w:r w:rsidR="00023D46" w:rsidRPr="008373A2">
        <w:rPr>
          <w:rFonts w:ascii="Times New Roman" w:hAnsi="Times New Roman" w:cs="Times New Roman"/>
        </w:rPr>
        <w:t xml:space="preserve">Consistent with the permissive nature of the alleged customary rule, that supportive practice consisted of the </w:t>
      </w:r>
      <w:r w:rsidR="004A2D58" w:rsidRPr="008373A2">
        <w:rPr>
          <w:rFonts w:ascii="Times New Roman" w:hAnsi="Times New Roman" w:cs="Times New Roman"/>
        </w:rPr>
        <w:t xml:space="preserve">allegedly </w:t>
      </w:r>
      <w:r w:rsidR="00023D46" w:rsidRPr="008373A2">
        <w:rPr>
          <w:rFonts w:ascii="Times New Roman" w:hAnsi="Times New Roman" w:cs="Times New Roman"/>
        </w:rPr>
        <w:t xml:space="preserve">permitted conduct – passage across the territory without authorization – being </w:t>
      </w:r>
      <w:r w:rsidR="00A06F7E" w:rsidRPr="008373A2">
        <w:rPr>
          <w:rFonts w:ascii="Times New Roman" w:hAnsi="Times New Roman" w:cs="Times New Roman"/>
        </w:rPr>
        <w:t>performed</w:t>
      </w:r>
      <w:r w:rsidR="005E54E9" w:rsidRPr="008373A2">
        <w:rPr>
          <w:rFonts w:ascii="Times New Roman" w:hAnsi="Times New Roman" w:cs="Times New Roman"/>
        </w:rPr>
        <w:t xml:space="preserve"> by Portugal</w:t>
      </w:r>
      <w:r w:rsidR="00023D46" w:rsidRPr="008373A2">
        <w:rPr>
          <w:rFonts w:ascii="Times New Roman" w:hAnsi="Times New Roman" w:cs="Times New Roman"/>
        </w:rPr>
        <w:t xml:space="preserve">. </w:t>
      </w:r>
      <w:r w:rsidRPr="008373A2">
        <w:rPr>
          <w:rFonts w:ascii="Times New Roman" w:hAnsi="Times New Roman" w:cs="Times New Roman"/>
        </w:rPr>
        <w:t xml:space="preserve">In its judgment, the Court notes the existence of ‘a constant and uniform practice’ in relation to the free passage of private persons, civil </w:t>
      </w:r>
      <w:proofErr w:type="gramStart"/>
      <w:r w:rsidRPr="008373A2">
        <w:rPr>
          <w:rFonts w:ascii="Times New Roman" w:hAnsi="Times New Roman" w:cs="Times New Roman"/>
        </w:rPr>
        <w:t>officials</w:t>
      </w:r>
      <w:proofErr w:type="gramEnd"/>
      <w:r w:rsidRPr="008373A2">
        <w:rPr>
          <w:rFonts w:ascii="Times New Roman" w:hAnsi="Times New Roman" w:cs="Times New Roman"/>
        </w:rPr>
        <w:t xml:space="preserve"> and goods. </w:t>
      </w:r>
      <w:proofErr w:type="gramStart"/>
      <w:r w:rsidR="00023D46" w:rsidRPr="008373A2">
        <w:rPr>
          <w:rFonts w:ascii="Times New Roman" w:hAnsi="Times New Roman" w:cs="Times New Roman"/>
        </w:rPr>
        <w:t>Thus</w:t>
      </w:r>
      <w:proofErr w:type="gramEnd"/>
      <w:r w:rsidR="00023D46" w:rsidRPr="008373A2">
        <w:rPr>
          <w:rFonts w:ascii="Times New Roman" w:hAnsi="Times New Roman" w:cs="Times New Roman"/>
        </w:rPr>
        <w:t xml:space="preserve"> the state practice element </w:t>
      </w:r>
      <w:r w:rsidR="00DB7FA3" w:rsidRPr="008373A2">
        <w:rPr>
          <w:rFonts w:ascii="Times New Roman" w:hAnsi="Times New Roman" w:cs="Times New Roman"/>
        </w:rPr>
        <w:t>a</w:t>
      </w:r>
      <w:r w:rsidR="00023D46" w:rsidRPr="008373A2">
        <w:rPr>
          <w:rFonts w:ascii="Times New Roman" w:hAnsi="Times New Roman" w:cs="Times New Roman"/>
        </w:rPr>
        <w:t xml:space="preserve">ppears to </w:t>
      </w:r>
      <w:r w:rsidR="00DB7FA3" w:rsidRPr="008373A2">
        <w:rPr>
          <w:rFonts w:ascii="Times New Roman" w:hAnsi="Times New Roman" w:cs="Times New Roman"/>
        </w:rPr>
        <w:t>be present</w:t>
      </w:r>
      <w:r w:rsidR="00023D46" w:rsidRPr="008373A2">
        <w:rPr>
          <w:rFonts w:ascii="Times New Roman" w:hAnsi="Times New Roman" w:cs="Times New Roman"/>
        </w:rPr>
        <w:t>.</w:t>
      </w:r>
      <w:r w:rsidR="00B96256" w:rsidRPr="008373A2">
        <w:rPr>
          <w:rFonts w:ascii="Times New Roman" w:hAnsi="Times New Roman" w:cs="Times New Roman"/>
        </w:rPr>
        <w:t xml:space="preserve"> </w:t>
      </w:r>
      <w:r w:rsidRPr="008373A2">
        <w:rPr>
          <w:rFonts w:ascii="Times New Roman" w:hAnsi="Times New Roman" w:cs="Times New Roman"/>
        </w:rPr>
        <w:t xml:space="preserve">The Court </w:t>
      </w:r>
      <w:r w:rsidR="00B96256" w:rsidRPr="008373A2">
        <w:rPr>
          <w:rFonts w:ascii="Times New Roman" w:hAnsi="Times New Roman" w:cs="Times New Roman"/>
        </w:rPr>
        <w:t>continues:</w:t>
      </w:r>
    </w:p>
    <w:p w14:paraId="77B2CB1E" w14:textId="77777777" w:rsidR="00B96256" w:rsidRPr="008373A2" w:rsidRDefault="00B96256" w:rsidP="00064C83">
      <w:pPr>
        <w:spacing w:line="360" w:lineRule="auto"/>
        <w:jc w:val="both"/>
        <w:rPr>
          <w:rFonts w:ascii="Times New Roman" w:hAnsi="Times New Roman" w:cs="Times New Roman"/>
        </w:rPr>
      </w:pPr>
    </w:p>
    <w:p w14:paraId="26AFB755" w14:textId="20E4B901" w:rsidR="00B96256" w:rsidRPr="008373A2" w:rsidRDefault="00B96256" w:rsidP="00064C83">
      <w:pPr>
        <w:spacing w:line="360" w:lineRule="auto"/>
        <w:ind w:left="720"/>
        <w:jc w:val="both"/>
        <w:rPr>
          <w:rFonts w:ascii="Times New Roman" w:hAnsi="Times New Roman" w:cs="Times New Roman"/>
        </w:rPr>
      </w:pPr>
      <w:r w:rsidRPr="008373A2">
        <w:rPr>
          <w:rFonts w:ascii="Times New Roman" w:hAnsi="Times New Roman" w:cs="Times New Roman"/>
        </w:rPr>
        <w:t xml:space="preserve">This practice having continued over a period extending beyond a century and a quarter unaffected by the change of regime in respect of the intervening territory which </w:t>
      </w:r>
      <w:r w:rsidRPr="008373A2">
        <w:rPr>
          <w:rFonts w:ascii="Times New Roman" w:hAnsi="Times New Roman" w:cs="Times New Roman"/>
        </w:rPr>
        <w:lastRenderedPageBreak/>
        <w:t>occurred when India became independent, the Court is, in view of all the circumstances of the case, satisfied that that practice was accepted as law by the Parties and has given rise to a right and a correlative obligation.</w:t>
      </w:r>
      <w:r w:rsidR="00E52459">
        <w:rPr>
          <w:rStyle w:val="FootnoteReference"/>
          <w:rFonts w:ascii="Times New Roman" w:hAnsi="Times New Roman" w:cs="Times New Roman"/>
        </w:rPr>
        <w:footnoteReference w:id="77"/>
      </w:r>
    </w:p>
    <w:p w14:paraId="3D986852" w14:textId="1AE6EC01" w:rsidR="00364A4D" w:rsidRPr="008373A2" w:rsidRDefault="00364A4D" w:rsidP="00064C83">
      <w:pPr>
        <w:spacing w:line="360" w:lineRule="auto"/>
        <w:ind w:left="720"/>
        <w:jc w:val="both"/>
        <w:rPr>
          <w:rFonts w:ascii="Times New Roman" w:hAnsi="Times New Roman" w:cs="Times New Roman"/>
        </w:rPr>
      </w:pPr>
    </w:p>
    <w:p w14:paraId="0129FE31" w14:textId="02B796F6" w:rsidR="00316DE9" w:rsidRPr="008373A2" w:rsidRDefault="00364A4D" w:rsidP="00064C83">
      <w:pPr>
        <w:spacing w:line="360" w:lineRule="auto"/>
        <w:jc w:val="both"/>
        <w:rPr>
          <w:rFonts w:ascii="Times New Roman" w:eastAsia="Times New Roman" w:hAnsi="Times New Roman" w:cs="Times New Roman"/>
          <w:lang w:eastAsia="en-GB"/>
        </w:rPr>
      </w:pPr>
      <w:r w:rsidRPr="008373A2">
        <w:rPr>
          <w:rFonts w:ascii="Times New Roman" w:hAnsi="Times New Roman" w:cs="Times New Roman"/>
        </w:rPr>
        <w:t xml:space="preserve">In one sentence the Court appears to have </w:t>
      </w:r>
      <w:r w:rsidR="001678B2" w:rsidRPr="008373A2">
        <w:rPr>
          <w:rFonts w:ascii="Times New Roman" w:hAnsi="Times New Roman" w:cs="Times New Roman"/>
        </w:rPr>
        <w:t>leapt</w:t>
      </w:r>
      <w:r w:rsidRPr="008373A2">
        <w:rPr>
          <w:rFonts w:ascii="Times New Roman" w:hAnsi="Times New Roman" w:cs="Times New Roman"/>
        </w:rPr>
        <w:t xml:space="preserve"> from finding a constant and uniform practice existed</w:t>
      </w:r>
      <w:r w:rsidR="00DB7FA3" w:rsidRPr="008373A2">
        <w:rPr>
          <w:rFonts w:ascii="Times New Roman" w:hAnsi="Times New Roman" w:cs="Times New Roman"/>
        </w:rPr>
        <w:t xml:space="preserve"> </w:t>
      </w:r>
      <w:r w:rsidRPr="008373A2">
        <w:rPr>
          <w:rFonts w:ascii="Times New Roman" w:hAnsi="Times New Roman" w:cs="Times New Roman"/>
        </w:rPr>
        <w:t xml:space="preserve">to a conclusion that </w:t>
      </w:r>
      <w:r w:rsidR="00DB7FA3" w:rsidRPr="008373A2">
        <w:rPr>
          <w:rFonts w:ascii="Times New Roman" w:hAnsi="Times New Roman" w:cs="Times New Roman"/>
        </w:rPr>
        <w:t xml:space="preserve">it </w:t>
      </w:r>
      <w:r w:rsidRPr="008373A2">
        <w:rPr>
          <w:rFonts w:ascii="Times New Roman" w:hAnsi="Times New Roman" w:cs="Times New Roman"/>
        </w:rPr>
        <w:t xml:space="preserve">has been accepted as law by </w:t>
      </w:r>
      <w:r w:rsidR="00542427" w:rsidRPr="008373A2">
        <w:rPr>
          <w:rFonts w:ascii="Times New Roman" w:hAnsi="Times New Roman" w:cs="Times New Roman"/>
        </w:rPr>
        <w:t xml:space="preserve">both </w:t>
      </w:r>
      <w:r w:rsidRPr="008373A2">
        <w:rPr>
          <w:rFonts w:ascii="Times New Roman" w:hAnsi="Times New Roman" w:cs="Times New Roman"/>
        </w:rPr>
        <w:t>the parties.</w:t>
      </w:r>
      <w:r w:rsidR="00571A9A" w:rsidRPr="008373A2">
        <w:rPr>
          <w:rStyle w:val="FootnoteReference"/>
          <w:rFonts w:ascii="Times New Roman" w:hAnsi="Times New Roman" w:cs="Times New Roman"/>
        </w:rPr>
        <w:footnoteReference w:id="78"/>
      </w:r>
      <w:r w:rsidRPr="008373A2">
        <w:rPr>
          <w:rFonts w:ascii="Times New Roman" w:hAnsi="Times New Roman" w:cs="Times New Roman"/>
        </w:rPr>
        <w:t xml:space="preserve"> </w:t>
      </w:r>
      <w:r w:rsidR="008F6E00" w:rsidRPr="008373A2">
        <w:rPr>
          <w:rFonts w:ascii="Times New Roman" w:hAnsi="Times New Roman" w:cs="Times New Roman"/>
        </w:rPr>
        <w:t>T</w:t>
      </w:r>
      <w:r w:rsidR="003B21EB" w:rsidRPr="008373A2">
        <w:rPr>
          <w:rFonts w:ascii="Times New Roman" w:hAnsi="Times New Roman" w:cs="Times New Roman"/>
        </w:rPr>
        <w:t xml:space="preserve">he </w:t>
      </w:r>
      <w:r w:rsidR="003B21EB" w:rsidRPr="00437B04">
        <w:rPr>
          <w:rFonts w:ascii="Times New Roman" w:hAnsi="Times New Roman" w:cs="Times New Roman"/>
          <w:i/>
          <w:iCs/>
        </w:rPr>
        <w:t>opinio juris</w:t>
      </w:r>
      <w:r w:rsidR="003B21EB" w:rsidRPr="008373A2">
        <w:rPr>
          <w:rFonts w:ascii="Times New Roman" w:hAnsi="Times New Roman" w:cs="Times New Roman"/>
        </w:rPr>
        <w:t xml:space="preserve"> of India</w:t>
      </w:r>
      <w:r w:rsidR="00A21EB9" w:rsidRPr="008373A2">
        <w:rPr>
          <w:rFonts w:ascii="Times New Roman" w:hAnsi="Times New Roman" w:cs="Times New Roman"/>
        </w:rPr>
        <w:t xml:space="preserve"> </w:t>
      </w:r>
      <w:r w:rsidR="0047374C">
        <w:rPr>
          <w:rFonts w:ascii="Times New Roman" w:hAnsi="Times New Roman" w:cs="Times New Roman"/>
        </w:rPr>
        <w:t>is perhaps</w:t>
      </w:r>
      <w:r w:rsidR="003B21EB" w:rsidRPr="008373A2">
        <w:rPr>
          <w:rFonts w:ascii="Times New Roman" w:hAnsi="Times New Roman" w:cs="Times New Roman"/>
        </w:rPr>
        <w:t xml:space="preserve"> evidenced by the failure to object to Portugal’s practice of passage over the years</w:t>
      </w:r>
      <w:r w:rsidR="0047374C">
        <w:rPr>
          <w:rFonts w:ascii="Times New Roman" w:hAnsi="Times New Roman" w:cs="Times New Roman"/>
        </w:rPr>
        <w:t>, although the Court does not make this clear</w:t>
      </w:r>
      <w:r w:rsidR="008F6E00" w:rsidRPr="008373A2">
        <w:rPr>
          <w:rFonts w:ascii="Times New Roman" w:hAnsi="Times New Roman" w:cs="Times New Roman"/>
        </w:rPr>
        <w:t>.</w:t>
      </w:r>
      <w:r w:rsidR="003B21EB" w:rsidRPr="008373A2">
        <w:rPr>
          <w:rFonts w:ascii="Times New Roman" w:hAnsi="Times New Roman" w:cs="Times New Roman"/>
        </w:rPr>
        <w:t xml:space="preserve"> </w:t>
      </w:r>
      <w:r w:rsidR="00175C71">
        <w:rPr>
          <w:rFonts w:ascii="Times New Roman" w:hAnsi="Times New Roman" w:cs="Times New Roman"/>
        </w:rPr>
        <w:t>In any case</w:t>
      </w:r>
      <w:r w:rsidR="008F6E00" w:rsidRPr="008373A2">
        <w:rPr>
          <w:rFonts w:ascii="Times New Roman" w:hAnsi="Times New Roman" w:cs="Times New Roman"/>
        </w:rPr>
        <w:t xml:space="preserve">, </w:t>
      </w:r>
      <w:r w:rsidR="008951AD" w:rsidRPr="008373A2">
        <w:rPr>
          <w:rFonts w:ascii="Times New Roman" w:hAnsi="Times New Roman" w:cs="Times New Roman"/>
        </w:rPr>
        <w:t>n</w:t>
      </w:r>
      <w:r w:rsidR="00F538DC" w:rsidRPr="008373A2">
        <w:rPr>
          <w:rFonts w:ascii="Times New Roman" w:hAnsi="Times New Roman" w:cs="Times New Roman"/>
        </w:rPr>
        <w:t xml:space="preserve">o </w:t>
      </w:r>
      <w:r w:rsidR="008951AD" w:rsidRPr="008373A2">
        <w:rPr>
          <w:rFonts w:ascii="Times New Roman" w:hAnsi="Times New Roman" w:cs="Times New Roman"/>
        </w:rPr>
        <w:t xml:space="preserve">positive </w:t>
      </w:r>
      <w:r w:rsidR="00F538DC" w:rsidRPr="008373A2">
        <w:rPr>
          <w:rFonts w:ascii="Times New Roman" w:hAnsi="Times New Roman" w:cs="Times New Roman"/>
        </w:rPr>
        <w:t>evidence of</w:t>
      </w:r>
      <w:r w:rsidR="008951AD" w:rsidRPr="008373A2">
        <w:rPr>
          <w:rFonts w:ascii="Times New Roman" w:hAnsi="Times New Roman" w:cs="Times New Roman"/>
        </w:rPr>
        <w:t xml:space="preserve"> Portugal’s</w:t>
      </w:r>
      <w:r w:rsidR="00F538DC" w:rsidRPr="008373A2">
        <w:rPr>
          <w:rFonts w:ascii="Times New Roman" w:hAnsi="Times New Roman" w:cs="Times New Roman"/>
        </w:rPr>
        <w:t xml:space="preserve"> </w:t>
      </w:r>
      <w:r w:rsidR="00F538DC" w:rsidRPr="008373A2">
        <w:rPr>
          <w:rFonts w:ascii="Times New Roman" w:hAnsi="Times New Roman" w:cs="Times New Roman"/>
          <w:i/>
          <w:iCs/>
        </w:rPr>
        <w:t>opinio juris</w:t>
      </w:r>
      <w:r w:rsidR="00F538DC" w:rsidRPr="008373A2">
        <w:rPr>
          <w:rFonts w:ascii="Times New Roman" w:hAnsi="Times New Roman" w:cs="Times New Roman"/>
        </w:rPr>
        <w:t xml:space="preserve"> is provided</w:t>
      </w:r>
      <w:r w:rsidR="008951AD" w:rsidRPr="008373A2">
        <w:rPr>
          <w:rFonts w:ascii="Times New Roman" w:hAnsi="Times New Roman" w:cs="Times New Roman"/>
        </w:rPr>
        <w:t>.</w:t>
      </w:r>
      <w:r w:rsidR="00F538DC" w:rsidRPr="008373A2">
        <w:rPr>
          <w:rFonts w:ascii="Times New Roman" w:hAnsi="Times New Roman" w:cs="Times New Roman"/>
        </w:rPr>
        <w:t xml:space="preserve"> </w:t>
      </w:r>
      <w:r w:rsidR="008951AD" w:rsidRPr="008373A2">
        <w:rPr>
          <w:rFonts w:ascii="Times New Roman" w:hAnsi="Times New Roman" w:cs="Times New Roman"/>
        </w:rPr>
        <w:t>I</w:t>
      </w:r>
      <w:r w:rsidRPr="008373A2">
        <w:rPr>
          <w:rFonts w:ascii="Times New Roman" w:hAnsi="Times New Roman" w:cs="Times New Roman"/>
        </w:rPr>
        <w:t xml:space="preserve">t appears </w:t>
      </w:r>
      <w:r w:rsidR="001302C9" w:rsidRPr="008373A2">
        <w:rPr>
          <w:rFonts w:ascii="Times New Roman" w:hAnsi="Times New Roman" w:cs="Times New Roman"/>
        </w:rPr>
        <w:t xml:space="preserve">the Court has inferred </w:t>
      </w:r>
      <w:r w:rsidR="00542427" w:rsidRPr="008373A2">
        <w:rPr>
          <w:rFonts w:ascii="Times New Roman" w:hAnsi="Times New Roman" w:cs="Times New Roman"/>
        </w:rPr>
        <w:t xml:space="preserve">Portugal’s </w:t>
      </w:r>
      <w:r w:rsidR="00542427" w:rsidRPr="00437B04">
        <w:rPr>
          <w:rFonts w:ascii="Times New Roman" w:hAnsi="Times New Roman" w:cs="Times New Roman"/>
          <w:i/>
          <w:iCs/>
        </w:rPr>
        <w:t>opinio juris</w:t>
      </w:r>
      <w:r w:rsidR="00542427" w:rsidRPr="008373A2">
        <w:rPr>
          <w:rFonts w:ascii="Times New Roman" w:hAnsi="Times New Roman" w:cs="Times New Roman"/>
        </w:rPr>
        <w:t xml:space="preserve"> for the permissive rule</w:t>
      </w:r>
      <w:r w:rsidR="001302C9" w:rsidRPr="008373A2">
        <w:rPr>
          <w:rFonts w:ascii="Times New Roman" w:hAnsi="Times New Roman" w:cs="Times New Roman"/>
        </w:rPr>
        <w:t xml:space="preserve"> from the</w:t>
      </w:r>
      <w:r w:rsidR="00542427" w:rsidRPr="008373A2">
        <w:rPr>
          <w:rFonts w:ascii="Times New Roman" w:hAnsi="Times New Roman" w:cs="Times New Roman"/>
        </w:rPr>
        <w:t>ir</w:t>
      </w:r>
      <w:r w:rsidR="001302C9" w:rsidRPr="008373A2">
        <w:rPr>
          <w:rFonts w:ascii="Times New Roman" w:hAnsi="Times New Roman" w:cs="Times New Roman"/>
        </w:rPr>
        <w:t xml:space="preserve"> </w:t>
      </w:r>
      <w:r w:rsidR="00A21EB9" w:rsidRPr="008373A2">
        <w:rPr>
          <w:rFonts w:ascii="Times New Roman" w:hAnsi="Times New Roman" w:cs="Times New Roman"/>
        </w:rPr>
        <w:t xml:space="preserve">participation in the </w:t>
      </w:r>
      <w:r w:rsidR="001302C9" w:rsidRPr="008373A2">
        <w:rPr>
          <w:rFonts w:ascii="Times New Roman" w:hAnsi="Times New Roman" w:cs="Times New Roman"/>
        </w:rPr>
        <w:t>supportive practice</w:t>
      </w:r>
      <w:r w:rsidR="00836C07" w:rsidRPr="008373A2">
        <w:rPr>
          <w:rFonts w:ascii="Times New Roman" w:hAnsi="Times New Roman" w:cs="Times New Roman"/>
        </w:rPr>
        <w:t xml:space="preserve"> alone</w:t>
      </w:r>
      <w:r w:rsidR="00903BD4" w:rsidRPr="008373A2">
        <w:rPr>
          <w:rFonts w:ascii="Times New Roman" w:eastAsia="Times New Roman" w:hAnsi="Times New Roman" w:cs="Times New Roman"/>
          <w:lang w:eastAsia="en-GB"/>
        </w:rPr>
        <w:t xml:space="preserve">, </w:t>
      </w:r>
      <w:r w:rsidR="00903BD4" w:rsidRPr="008373A2">
        <w:rPr>
          <w:rFonts w:ascii="Times New Roman" w:hAnsi="Times New Roman" w:cs="Times New Roman"/>
        </w:rPr>
        <w:t xml:space="preserve">contrary to </w:t>
      </w:r>
      <w:r w:rsidR="00542427" w:rsidRPr="008373A2">
        <w:rPr>
          <w:rFonts w:ascii="Times New Roman" w:hAnsi="Times New Roman" w:cs="Times New Roman"/>
        </w:rPr>
        <w:t xml:space="preserve">the Court’s </w:t>
      </w:r>
      <w:r w:rsidR="00903BD4" w:rsidRPr="008373A2">
        <w:rPr>
          <w:rFonts w:ascii="Times New Roman" w:hAnsi="Times New Roman" w:cs="Times New Roman"/>
        </w:rPr>
        <w:t xml:space="preserve">later statement in </w:t>
      </w:r>
      <w:r w:rsidR="00903BD4" w:rsidRPr="008373A2">
        <w:rPr>
          <w:rFonts w:ascii="Times New Roman" w:hAnsi="Times New Roman" w:cs="Times New Roman"/>
          <w:i/>
          <w:iCs/>
        </w:rPr>
        <w:t>North Sea</w:t>
      </w:r>
      <w:r w:rsidR="00903BD4" w:rsidRPr="008373A2">
        <w:rPr>
          <w:rFonts w:ascii="Times New Roman" w:hAnsi="Times New Roman" w:cs="Times New Roman"/>
        </w:rPr>
        <w:t xml:space="preserve"> that ‘</w:t>
      </w:r>
      <w:r w:rsidR="00903BD4" w:rsidRPr="008373A2">
        <w:rPr>
          <w:rFonts w:ascii="Times New Roman" w:eastAsia="Times New Roman" w:hAnsi="Times New Roman" w:cs="Times New Roman"/>
          <w:lang w:eastAsia="en-GB"/>
        </w:rPr>
        <w:t>acting, or agreeing to act in a certain way, does not of itself demonstrate anything of a juridical nature’.</w:t>
      </w:r>
      <w:r w:rsidR="00A06F7E" w:rsidRPr="008373A2">
        <w:rPr>
          <w:rStyle w:val="FootnoteReference"/>
          <w:rFonts w:ascii="Times New Roman" w:eastAsia="Times New Roman" w:hAnsi="Times New Roman" w:cs="Times New Roman"/>
          <w:lang w:eastAsia="en-GB"/>
        </w:rPr>
        <w:footnoteReference w:id="79"/>
      </w:r>
    </w:p>
    <w:p w14:paraId="56A84C2A" w14:textId="77777777" w:rsidR="00316DE9" w:rsidRPr="008373A2" w:rsidRDefault="00316DE9" w:rsidP="00064C83">
      <w:pPr>
        <w:spacing w:line="360" w:lineRule="auto"/>
        <w:jc w:val="both"/>
        <w:rPr>
          <w:rFonts w:ascii="Times New Roman" w:eastAsia="Times New Roman" w:hAnsi="Times New Roman" w:cs="Times New Roman"/>
          <w:lang w:eastAsia="en-GB"/>
        </w:rPr>
      </w:pPr>
    </w:p>
    <w:p w14:paraId="5C250A2B" w14:textId="2E2CD26A" w:rsidR="00560F1A" w:rsidRPr="008373A2" w:rsidRDefault="00DB7FA3" w:rsidP="00064C83">
      <w:pPr>
        <w:spacing w:line="360" w:lineRule="auto"/>
        <w:jc w:val="both"/>
        <w:rPr>
          <w:rFonts w:ascii="Times New Roman" w:hAnsi="Times New Roman" w:cs="Times New Roman"/>
        </w:rPr>
      </w:pPr>
      <w:r w:rsidRPr="008373A2">
        <w:rPr>
          <w:rFonts w:ascii="Times New Roman" w:eastAsia="Times New Roman" w:hAnsi="Times New Roman" w:cs="Times New Roman"/>
          <w:lang w:eastAsia="en-GB"/>
        </w:rPr>
        <w:t>I</w:t>
      </w:r>
      <w:r w:rsidR="005D340D" w:rsidRPr="008373A2">
        <w:rPr>
          <w:rFonts w:ascii="Times New Roman" w:eastAsia="Times New Roman" w:hAnsi="Times New Roman" w:cs="Times New Roman"/>
          <w:lang w:eastAsia="en-GB"/>
        </w:rPr>
        <w:t xml:space="preserve">t is possible that </w:t>
      </w:r>
      <w:r w:rsidR="00316DE9" w:rsidRPr="008373A2">
        <w:rPr>
          <w:rFonts w:ascii="Times New Roman" w:eastAsia="Times New Roman" w:hAnsi="Times New Roman" w:cs="Times New Roman"/>
          <w:lang w:eastAsia="en-GB"/>
        </w:rPr>
        <w:t xml:space="preserve">the Court’s willingness to find the existence of the </w:t>
      </w:r>
      <w:r w:rsidRPr="008373A2">
        <w:rPr>
          <w:rFonts w:ascii="Times New Roman" w:eastAsia="Times New Roman" w:hAnsi="Times New Roman" w:cs="Times New Roman"/>
          <w:lang w:eastAsia="en-GB"/>
        </w:rPr>
        <w:t xml:space="preserve">rule </w:t>
      </w:r>
      <w:r w:rsidR="00316DE9" w:rsidRPr="008373A2">
        <w:rPr>
          <w:rFonts w:ascii="Times New Roman" w:eastAsia="Times New Roman" w:hAnsi="Times New Roman" w:cs="Times New Roman"/>
          <w:lang w:eastAsia="en-GB"/>
        </w:rPr>
        <w:t xml:space="preserve">reflects the </w:t>
      </w:r>
      <w:r w:rsidR="00FF7CCF">
        <w:rPr>
          <w:rFonts w:ascii="Times New Roman" w:eastAsia="Times New Roman" w:hAnsi="Times New Roman" w:cs="Times New Roman"/>
          <w:lang w:eastAsia="en-GB"/>
        </w:rPr>
        <w:t xml:space="preserve">specific </w:t>
      </w:r>
      <w:r w:rsidR="00316DE9" w:rsidRPr="008373A2">
        <w:rPr>
          <w:rFonts w:ascii="Times New Roman" w:eastAsia="Times New Roman" w:hAnsi="Times New Roman" w:cs="Times New Roman"/>
          <w:lang w:eastAsia="en-GB"/>
        </w:rPr>
        <w:t>c</w:t>
      </w:r>
      <w:r w:rsidR="00A74CC8" w:rsidRPr="008373A2">
        <w:rPr>
          <w:rFonts w:ascii="Times New Roman" w:eastAsia="Times New Roman" w:hAnsi="Times New Roman" w:cs="Times New Roman"/>
          <w:lang w:eastAsia="en-GB"/>
        </w:rPr>
        <w:t>ontext</w:t>
      </w:r>
      <w:r w:rsidR="00316DE9" w:rsidRPr="008373A2">
        <w:rPr>
          <w:rFonts w:ascii="Times New Roman" w:eastAsia="Times New Roman" w:hAnsi="Times New Roman" w:cs="Times New Roman"/>
          <w:lang w:eastAsia="en-GB"/>
        </w:rPr>
        <w:t xml:space="preserve"> of decoloni</w:t>
      </w:r>
      <w:r w:rsidR="00A74CC8" w:rsidRPr="008373A2">
        <w:rPr>
          <w:rFonts w:ascii="Times New Roman" w:eastAsia="Times New Roman" w:hAnsi="Times New Roman" w:cs="Times New Roman"/>
          <w:lang w:eastAsia="en-GB"/>
        </w:rPr>
        <w:t>z</w:t>
      </w:r>
      <w:r w:rsidR="00316DE9" w:rsidRPr="008373A2">
        <w:rPr>
          <w:rFonts w:ascii="Times New Roman" w:eastAsia="Times New Roman" w:hAnsi="Times New Roman" w:cs="Times New Roman"/>
          <w:lang w:eastAsia="en-GB"/>
        </w:rPr>
        <w:t xml:space="preserve">ation in which the decision took place, or that </w:t>
      </w:r>
      <w:r w:rsidR="00F538DC" w:rsidRPr="008373A2">
        <w:rPr>
          <w:rFonts w:ascii="Times New Roman" w:eastAsia="Times New Roman" w:hAnsi="Times New Roman" w:cs="Times New Roman"/>
          <w:lang w:eastAsia="en-GB"/>
        </w:rPr>
        <w:t xml:space="preserve">over time </w:t>
      </w:r>
      <w:r w:rsidR="005D340D" w:rsidRPr="008373A2">
        <w:rPr>
          <w:rFonts w:ascii="Times New Roman" w:eastAsia="Times New Roman" w:hAnsi="Times New Roman" w:cs="Times New Roman"/>
          <w:lang w:eastAsia="en-GB"/>
        </w:rPr>
        <w:t xml:space="preserve">the Court has refined the two-element test, </w:t>
      </w:r>
      <w:r w:rsidR="00F538DC" w:rsidRPr="008373A2">
        <w:rPr>
          <w:rFonts w:ascii="Times New Roman" w:eastAsia="Times New Roman" w:hAnsi="Times New Roman" w:cs="Times New Roman"/>
          <w:lang w:eastAsia="en-GB"/>
        </w:rPr>
        <w:t>developing</w:t>
      </w:r>
      <w:r w:rsidR="005D340D" w:rsidRPr="008373A2">
        <w:rPr>
          <w:rFonts w:ascii="Times New Roman" w:eastAsia="Times New Roman" w:hAnsi="Times New Roman" w:cs="Times New Roman"/>
          <w:lang w:eastAsia="en-GB"/>
        </w:rPr>
        <w:t xml:space="preserve"> a more rigorous approach </w:t>
      </w:r>
      <w:r w:rsidR="005C390D" w:rsidRPr="008373A2">
        <w:rPr>
          <w:rFonts w:ascii="Times New Roman" w:eastAsia="Times New Roman" w:hAnsi="Times New Roman" w:cs="Times New Roman"/>
          <w:lang w:eastAsia="en-GB"/>
        </w:rPr>
        <w:t>so</w:t>
      </w:r>
      <w:r w:rsidR="005D340D" w:rsidRPr="008373A2">
        <w:rPr>
          <w:rFonts w:ascii="Times New Roman" w:eastAsia="Times New Roman" w:hAnsi="Times New Roman" w:cs="Times New Roman"/>
          <w:lang w:eastAsia="en-GB"/>
        </w:rPr>
        <w:t xml:space="preserve"> such inferences </w:t>
      </w:r>
      <w:r w:rsidR="005C390D" w:rsidRPr="008373A2">
        <w:rPr>
          <w:rFonts w:ascii="Times New Roman" w:eastAsia="Times New Roman" w:hAnsi="Times New Roman" w:cs="Times New Roman"/>
          <w:lang w:eastAsia="en-GB"/>
        </w:rPr>
        <w:t>would</w:t>
      </w:r>
      <w:r w:rsidR="005D340D" w:rsidRPr="008373A2">
        <w:rPr>
          <w:rFonts w:ascii="Times New Roman" w:eastAsia="Times New Roman" w:hAnsi="Times New Roman" w:cs="Times New Roman"/>
          <w:lang w:eastAsia="en-GB"/>
        </w:rPr>
        <w:t xml:space="preserve"> now no longer </w:t>
      </w:r>
      <w:r w:rsidR="005C390D" w:rsidRPr="008373A2">
        <w:rPr>
          <w:rFonts w:ascii="Times New Roman" w:eastAsia="Times New Roman" w:hAnsi="Times New Roman" w:cs="Times New Roman"/>
          <w:lang w:eastAsia="en-GB"/>
        </w:rPr>
        <w:t xml:space="preserve">be </w:t>
      </w:r>
      <w:r w:rsidR="00F97175">
        <w:rPr>
          <w:rFonts w:ascii="Times New Roman" w:eastAsia="Times New Roman" w:hAnsi="Times New Roman" w:cs="Times New Roman"/>
          <w:lang w:eastAsia="en-GB"/>
        </w:rPr>
        <w:t>made</w:t>
      </w:r>
      <w:r w:rsidR="005D340D" w:rsidRPr="008373A2">
        <w:rPr>
          <w:rFonts w:ascii="Times New Roman" w:eastAsia="Times New Roman" w:hAnsi="Times New Roman" w:cs="Times New Roman"/>
          <w:lang w:eastAsia="en-GB"/>
        </w:rPr>
        <w:t>. Yet</w:t>
      </w:r>
      <w:r w:rsidR="00F538DC" w:rsidRPr="008373A2">
        <w:rPr>
          <w:rFonts w:ascii="Times New Roman" w:eastAsia="Times New Roman" w:hAnsi="Times New Roman" w:cs="Times New Roman"/>
          <w:lang w:eastAsia="en-GB"/>
        </w:rPr>
        <w:t xml:space="preserve"> </w:t>
      </w:r>
      <w:r w:rsidR="005D340D" w:rsidRPr="008373A2">
        <w:rPr>
          <w:rFonts w:ascii="Times New Roman" w:eastAsia="Times New Roman" w:hAnsi="Times New Roman" w:cs="Times New Roman"/>
          <w:lang w:eastAsia="en-GB"/>
        </w:rPr>
        <w:t xml:space="preserve">the </w:t>
      </w:r>
      <w:r w:rsidR="005D340D" w:rsidRPr="008373A2">
        <w:rPr>
          <w:rFonts w:ascii="Times New Roman" w:eastAsia="Times New Roman" w:hAnsi="Times New Roman" w:cs="Times New Roman"/>
          <w:i/>
          <w:iCs/>
          <w:lang w:eastAsia="en-GB"/>
        </w:rPr>
        <w:t>Right of Passage</w:t>
      </w:r>
      <w:r w:rsidR="005D340D" w:rsidRPr="008373A2">
        <w:rPr>
          <w:rFonts w:ascii="Times New Roman" w:eastAsia="Times New Roman" w:hAnsi="Times New Roman" w:cs="Times New Roman"/>
          <w:lang w:eastAsia="en-GB"/>
        </w:rPr>
        <w:t xml:space="preserve"> and </w:t>
      </w:r>
      <w:r w:rsidR="005D340D" w:rsidRPr="008373A2">
        <w:rPr>
          <w:rFonts w:ascii="Times New Roman" w:eastAsia="Times New Roman" w:hAnsi="Times New Roman" w:cs="Times New Roman"/>
          <w:i/>
          <w:iCs/>
          <w:lang w:eastAsia="en-GB"/>
        </w:rPr>
        <w:t>North Sea</w:t>
      </w:r>
      <w:r w:rsidR="005D340D" w:rsidRPr="008373A2">
        <w:rPr>
          <w:rFonts w:ascii="Times New Roman" w:eastAsia="Times New Roman" w:hAnsi="Times New Roman" w:cs="Times New Roman"/>
          <w:lang w:eastAsia="en-GB"/>
        </w:rPr>
        <w:t xml:space="preserve"> judgments occurred in relatively close succession, in 1960 and 1969 respectively. Moreover, an almost identical inference of </w:t>
      </w:r>
      <w:r w:rsidR="005D340D" w:rsidRPr="008373A2">
        <w:rPr>
          <w:rFonts w:ascii="Times New Roman" w:eastAsia="Times New Roman" w:hAnsi="Times New Roman" w:cs="Times New Roman"/>
          <w:i/>
          <w:iCs/>
          <w:lang w:eastAsia="en-GB"/>
        </w:rPr>
        <w:t>opinio juris</w:t>
      </w:r>
      <w:r w:rsidR="005D340D" w:rsidRPr="008373A2">
        <w:rPr>
          <w:rFonts w:ascii="Times New Roman" w:eastAsia="Times New Roman" w:hAnsi="Times New Roman" w:cs="Times New Roman"/>
          <w:lang w:eastAsia="en-GB"/>
        </w:rPr>
        <w:t xml:space="preserve"> </w:t>
      </w:r>
      <w:r w:rsidR="00A21EB9" w:rsidRPr="008373A2">
        <w:rPr>
          <w:rFonts w:ascii="Times New Roman" w:eastAsia="Times New Roman" w:hAnsi="Times New Roman" w:cs="Times New Roman"/>
          <w:lang w:eastAsia="en-GB"/>
        </w:rPr>
        <w:t xml:space="preserve">on the part of an acting state </w:t>
      </w:r>
      <w:r w:rsidR="005D340D" w:rsidRPr="008373A2">
        <w:rPr>
          <w:rFonts w:ascii="Times New Roman" w:eastAsia="Times New Roman" w:hAnsi="Times New Roman" w:cs="Times New Roman"/>
          <w:lang w:eastAsia="en-GB"/>
        </w:rPr>
        <w:t xml:space="preserve">from </w:t>
      </w:r>
      <w:r w:rsidR="005530AF">
        <w:rPr>
          <w:rFonts w:ascii="Times New Roman" w:eastAsia="Times New Roman" w:hAnsi="Times New Roman" w:cs="Times New Roman"/>
          <w:lang w:eastAsia="en-GB"/>
        </w:rPr>
        <w:t xml:space="preserve">their </w:t>
      </w:r>
      <w:r w:rsidR="005D340D" w:rsidRPr="008373A2">
        <w:rPr>
          <w:rFonts w:ascii="Times New Roman" w:eastAsia="Times New Roman" w:hAnsi="Times New Roman" w:cs="Times New Roman"/>
          <w:lang w:eastAsia="en-GB"/>
        </w:rPr>
        <w:t xml:space="preserve">practice </w:t>
      </w:r>
      <w:r w:rsidR="005C390D" w:rsidRPr="008373A2">
        <w:rPr>
          <w:rFonts w:ascii="Times New Roman" w:eastAsia="Times New Roman" w:hAnsi="Times New Roman" w:cs="Times New Roman"/>
          <w:lang w:eastAsia="en-GB"/>
        </w:rPr>
        <w:t xml:space="preserve">alone </w:t>
      </w:r>
      <w:r w:rsidR="005D340D" w:rsidRPr="008373A2">
        <w:rPr>
          <w:rFonts w:ascii="Times New Roman" w:eastAsia="Times New Roman" w:hAnsi="Times New Roman" w:cs="Times New Roman"/>
          <w:lang w:eastAsia="en-GB"/>
        </w:rPr>
        <w:t>can be seen in one of the Court’s more recent judgments,</w:t>
      </w:r>
      <w:r w:rsidR="00316DE9" w:rsidRPr="008373A2">
        <w:rPr>
          <w:rFonts w:ascii="Times New Roman" w:eastAsia="Times New Roman" w:hAnsi="Times New Roman" w:cs="Times New Roman"/>
          <w:lang w:eastAsia="en-GB"/>
        </w:rPr>
        <w:t xml:space="preserve"> not involving decoloni</w:t>
      </w:r>
      <w:r w:rsidR="00A74CC8" w:rsidRPr="008373A2">
        <w:rPr>
          <w:rFonts w:ascii="Times New Roman" w:eastAsia="Times New Roman" w:hAnsi="Times New Roman" w:cs="Times New Roman"/>
          <w:lang w:eastAsia="en-GB"/>
        </w:rPr>
        <w:t>z</w:t>
      </w:r>
      <w:r w:rsidR="00316DE9" w:rsidRPr="008373A2">
        <w:rPr>
          <w:rFonts w:ascii="Times New Roman" w:eastAsia="Times New Roman" w:hAnsi="Times New Roman" w:cs="Times New Roman"/>
          <w:lang w:eastAsia="en-GB"/>
        </w:rPr>
        <w:t>ation,</w:t>
      </w:r>
      <w:r w:rsidR="005D340D" w:rsidRPr="008373A2">
        <w:rPr>
          <w:rFonts w:ascii="Times New Roman" w:eastAsia="Times New Roman" w:hAnsi="Times New Roman" w:cs="Times New Roman"/>
          <w:lang w:eastAsia="en-GB"/>
        </w:rPr>
        <w:t xml:space="preserve"> in </w:t>
      </w:r>
      <w:r w:rsidR="005D340D" w:rsidRPr="008373A2">
        <w:rPr>
          <w:rFonts w:ascii="Times New Roman" w:hAnsi="Times New Roman" w:cs="Times New Roman"/>
        </w:rPr>
        <w:t xml:space="preserve">the </w:t>
      </w:r>
      <w:r w:rsidR="005D340D" w:rsidRPr="008373A2">
        <w:rPr>
          <w:rFonts w:ascii="Times New Roman" w:hAnsi="Times New Roman" w:cs="Times New Roman"/>
          <w:i/>
          <w:iCs/>
        </w:rPr>
        <w:t>Dispute Regarding</w:t>
      </w:r>
      <w:r w:rsidR="005D340D" w:rsidRPr="008373A2">
        <w:rPr>
          <w:rFonts w:ascii="Times New Roman" w:hAnsi="Times New Roman" w:cs="Times New Roman"/>
        </w:rPr>
        <w:t xml:space="preserve"> </w:t>
      </w:r>
      <w:r w:rsidR="005D340D" w:rsidRPr="008373A2">
        <w:rPr>
          <w:rFonts w:ascii="Times New Roman" w:hAnsi="Times New Roman" w:cs="Times New Roman"/>
          <w:i/>
          <w:iCs/>
        </w:rPr>
        <w:t>Navigational and Related Rights</w:t>
      </w:r>
      <w:r w:rsidR="005D340D" w:rsidRPr="008373A2">
        <w:rPr>
          <w:rFonts w:ascii="Times New Roman" w:hAnsi="Times New Roman" w:cs="Times New Roman"/>
        </w:rPr>
        <w:t xml:space="preserve">. </w:t>
      </w:r>
    </w:p>
    <w:p w14:paraId="7917F2BD" w14:textId="77777777" w:rsidR="00560F1A" w:rsidRPr="008373A2" w:rsidRDefault="00560F1A" w:rsidP="00064C83">
      <w:pPr>
        <w:spacing w:line="360" w:lineRule="auto"/>
        <w:jc w:val="both"/>
        <w:rPr>
          <w:rFonts w:ascii="Times New Roman" w:hAnsi="Times New Roman" w:cs="Times New Roman"/>
        </w:rPr>
      </w:pPr>
    </w:p>
    <w:p w14:paraId="1A5E5B35" w14:textId="6123DA51" w:rsidR="005D340D" w:rsidRPr="008373A2" w:rsidRDefault="005D340D" w:rsidP="00064C83">
      <w:pPr>
        <w:spacing w:line="360" w:lineRule="auto"/>
        <w:jc w:val="both"/>
        <w:rPr>
          <w:rFonts w:ascii="Times New Roman" w:eastAsia="Times New Roman" w:hAnsi="Times New Roman" w:cs="Times New Roman"/>
          <w:lang w:eastAsia="en-GB"/>
        </w:rPr>
      </w:pPr>
      <w:r w:rsidRPr="008373A2">
        <w:rPr>
          <w:rFonts w:ascii="Times New Roman" w:hAnsi="Times New Roman" w:cs="Times New Roman"/>
        </w:rPr>
        <w:t xml:space="preserve">When considering whether Costa Rica enjoyed a customary right for its fishermen to engage in subsistence fishing along the banks of the San Juan river, the Court concluded that the </w:t>
      </w:r>
      <w:r w:rsidR="00DB7FA3" w:rsidRPr="008373A2">
        <w:rPr>
          <w:rFonts w:ascii="Times New Roman" w:hAnsi="Times New Roman" w:cs="Times New Roman"/>
        </w:rPr>
        <w:t>permissive rule</w:t>
      </w:r>
      <w:r w:rsidRPr="008373A2">
        <w:rPr>
          <w:rFonts w:ascii="Times New Roman" w:hAnsi="Times New Roman" w:cs="Times New Roman"/>
        </w:rPr>
        <w:t xml:space="preserve"> existed, based on ‘the failure of Nicaragua to deny the existence of a right arising from the practice which had continued undisturbed and unquestioned over a very long period.’</w:t>
      </w:r>
      <w:r w:rsidRPr="008373A2">
        <w:rPr>
          <w:rStyle w:val="FootnoteReference"/>
          <w:rFonts w:ascii="Times New Roman" w:hAnsi="Times New Roman" w:cs="Times New Roman"/>
        </w:rPr>
        <w:footnoteReference w:id="80"/>
      </w:r>
      <w:r w:rsidRPr="008373A2">
        <w:rPr>
          <w:rFonts w:ascii="Times New Roman" w:hAnsi="Times New Roman" w:cs="Times New Roman"/>
        </w:rPr>
        <w:t xml:space="preserve"> </w:t>
      </w:r>
      <w:r w:rsidR="00763BE8" w:rsidRPr="008373A2">
        <w:rPr>
          <w:rFonts w:ascii="Times New Roman" w:hAnsi="Times New Roman" w:cs="Times New Roman"/>
        </w:rPr>
        <w:t xml:space="preserve">Nicaragua’s </w:t>
      </w:r>
      <w:r w:rsidR="00763BE8" w:rsidRPr="008373A2">
        <w:rPr>
          <w:rFonts w:ascii="Times New Roman" w:hAnsi="Times New Roman" w:cs="Times New Roman"/>
          <w:i/>
          <w:iCs/>
        </w:rPr>
        <w:t>opinio juris</w:t>
      </w:r>
      <w:r w:rsidR="00763BE8" w:rsidRPr="008373A2">
        <w:rPr>
          <w:rFonts w:ascii="Times New Roman" w:hAnsi="Times New Roman" w:cs="Times New Roman"/>
        </w:rPr>
        <w:t xml:space="preserve"> </w:t>
      </w:r>
      <w:r w:rsidR="00A21EB9" w:rsidRPr="008373A2">
        <w:rPr>
          <w:rFonts w:ascii="Times New Roman" w:hAnsi="Times New Roman" w:cs="Times New Roman"/>
        </w:rPr>
        <w:t xml:space="preserve">(the reacting state) </w:t>
      </w:r>
      <w:r w:rsidR="00763BE8" w:rsidRPr="008373A2">
        <w:rPr>
          <w:rFonts w:ascii="Times New Roman" w:hAnsi="Times New Roman" w:cs="Times New Roman"/>
        </w:rPr>
        <w:t xml:space="preserve">is </w:t>
      </w:r>
      <w:r w:rsidR="002C181C" w:rsidRPr="008373A2">
        <w:rPr>
          <w:rFonts w:ascii="Times New Roman" w:hAnsi="Times New Roman" w:cs="Times New Roman"/>
        </w:rPr>
        <w:t>evidenced by</w:t>
      </w:r>
      <w:r w:rsidR="00763BE8" w:rsidRPr="008373A2">
        <w:rPr>
          <w:rFonts w:ascii="Times New Roman" w:hAnsi="Times New Roman" w:cs="Times New Roman"/>
        </w:rPr>
        <w:t xml:space="preserve"> failure to object to </w:t>
      </w:r>
      <w:r w:rsidR="00C605F2" w:rsidRPr="008373A2">
        <w:rPr>
          <w:rFonts w:ascii="Times New Roman" w:hAnsi="Times New Roman" w:cs="Times New Roman"/>
        </w:rPr>
        <w:t xml:space="preserve">Costa Rica’s </w:t>
      </w:r>
      <w:r w:rsidR="00763BE8" w:rsidRPr="008373A2">
        <w:rPr>
          <w:rFonts w:ascii="Times New Roman" w:hAnsi="Times New Roman" w:cs="Times New Roman"/>
        </w:rPr>
        <w:t>practice</w:t>
      </w:r>
      <w:r w:rsidR="00C605F2" w:rsidRPr="008373A2">
        <w:rPr>
          <w:rFonts w:ascii="Times New Roman" w:hAnsi="Times New Roman" w:cs="Times New Roman"/>
        </w:rPr>
        <w:t xml:space="preserve"> in support of the new rule</w:t>
      </w:r>
      <w:r w:rsidR="00763BE8" w:rsidRPr="008373A2">
        <w:rPr>
          <w:rFonts w:ascii="Times New Roman" w:hAnsi="Times New Roman" w:cs="Times New Roman"/>
        </w:rPr>
        <w:t xml:space="preserve">. </w:t>
      </w:r>
      <w:r w:rsidR="00C605F2" w:rsidRPr="008373A2">
        <w:rPr>
          <w:rFonts w:ascii="Times New Roman" w:hAnsi="Times New Roman" w:cs="Times New Roman"/>
        </w:rPr>
        <w:t>However</w:t>
      </w:r>
      <w:r w:rsidR="00763BE8" w:rsidRPr="008373A2">
        <w:rPr>
          <w:rFonts w:ascii="Times New Roman" w:hAnsi="Times New Roman" w:cs="Times New Roman"/>
        </w:rPr>
        <w:t xml:space="preserve">, the Court </w:t>
      </w:r>
      <w:r w:rsidRPr="008373A2">
        <w:rPr>
          <w:rFonts w:ascii="Times New Roman" w:hAnsi="Times New Roman" w:cs="Times New Roman"/>
        </w:rPr>
        <w:t xml:space="preserve">does not </w:t>
      </w:r>
      <w:r w:rsidR="00BB28B8" w:rsidRPr="008373A2">
        <w:rPr>
          <w:rFonts w:ascii="Times New Roman" w:hAnsi="Times New Roman" w:cs="Times New Roman"/>
        </w:rPr>
        <w:t xml:space="preserve">even </w:t>
      </w:r>
      <w:r w:rsidRPr="008373A2">
        <w:rPr>
          <w:rFonts w:ascii="Times New Roman" w:hAnsi="Times New Roman" w:cs="Times New Roman"/>
        </w:rPr>
        <w:t xml:space="preserve">discuss the </w:t>
      </w:r>
      <w:r w:rsidRPr="008373A2">
        <w:rPr>
          <w:rFonts w:ascii="Times New Roman" w:hAnsi="Times New Roman" w:cs="Times New Roman"/>
          <w:i/>
          <w:iCs/>
        </w:rPr>
        <w:t>opinio juris</w:t>
      </w:r>
      <w:r w:rsidRPr="008373A2">
        <w:rPr>
          <w:rFonts w:ascii="Times New Roman" w:hAnsi="Times New Roman" w:cs="Times New Roman"/>
        </w:rPr>
        <w:t xml:space="preserve"> of Costa Rica</w:t>
      </w:r>
      <w:r w:rsidR="00A21EB9" w:rsidRPr="008373A2">
        <w:rPr>
          <w:rFonts w:ascii="Times New Roman" w:hAnsi="Times New Roman" w:cs="Times New Roman"/>
        </w:rPr>
        <w:t xml:space="preserve"> (the acting state)</w:t>
      </w:r>
      <w:r w:rsidRPr="008373A2">
        <w:rPr>
          <w:rFonts w:ascii="Times New Roman" w:hAnsi="Times New Roman" w:cs="Times New Roman"/>
        </w:rPr>
        <w:t xml:space="preserve">, which </w:t>
      </w:r>
      <w:r w:rsidR="00763BE8" w:rsidRPr="008373A2">
        <w:rPr>
          <w:rFonts w:ascii="Times New Roman" w:hAnsi="Times New Roman" w:cs="Times New Roman"/>
        </w:rPr>
        <w:t xml:space="preserve">one </w:t>
      </w:r>
      <w:r w:rsidR="00DB7FA3" w:rsidRPr="008373A2">
        <w:rPr>
          <w:rFonts w:ascii="Times New Roman" w:hAnsi="Times New Roman" w:cs="Times New Roman"/>
        </w:rPr>
        <w:t>must assume</w:t>
      </w:r>
      <w:r w:rsidRPr="008373A2">
        <w:rPr>
          <w:rFonts w:ascii="Times New Roman" w:hAnsi="Times New Roman" w:cs="Times New Roman"/>
        </w:rPr>
        <w:t xml:space="preserve"> is inferred from the</w:t>
      </w:r>
      <w:r w:rsidR="001302C9" w:rsidRPr="008373A2">
        <w:rPr>
          <w:rFonts w:ascii="Times New Roman" w:hAnsi="Times New Roman" w:cs="Times New Roman"/>
        </w:rPr>
        <w:t>ir</w:t>
      </w:r>
      <w:r w:rsidRPr="008373A2">
        <w:rPr>
          <w:rFonts w:ascii="Times New Roman" w:hAnsi="Times New Roman" w:cs="Times New Roman"/>
        </w:rPr>
        <w:t xml:space="preserve"> consistent </w:t>
      </w:r>
      <w:r w:rsidR="00C605F2" w:rsidRPr="008373A2">
        <w:rPr>
          <w:rFonts w:ascii="Times New Roman" w:hAnsi="Times New Roman" w:cs="Times New Roman"/>
        </w:rPr>
        <w:lastRenderedPageBreak/>
        <w:t xml:space="preserve">supportive </w:t>
      </w:r>
      <w:r w:rsidRPr="008373A2">
        <w:rPr>
          <w:rFonts w:ascii="Times New Roman" w:hAnsi="Times New Roman" w:cs="Times New Roman"/>
        </w:rPr>
        <w:t>practice.</w:t>
      </w:r>
      <w:r w:rsidRPr="008373A2">
        <w:rPr>
          <w:rStyle w:val="FootnoteReference"/>
          <w:rFonts w:ascii="Times New Roman" w:hAnsi="Times New Roman" w:cs="Times New Roman"/>
        </w:rPr>
        <w:footnoteReference w:id="81"/>
      </w:r>
      <w:r w:rsidR="00763BE8" w:rsidRPr="008373A2">
        <w:rPr>
          <w:rFonts w:ascii="Times New Roman" w:hAnsi="Times New Roman" w:cs="Times New Roman"/>
        </w:rPr>
        <w:t xml:space="preserve"> Again, it seems </w:t>
      </w:r>
      <w:r w:rsidR="00FF7CCF">
        <w:rPr>
          <w:rFonts w:ascii="Times New Roman" w:hAnsi="Times New Roman" w:cs="Times New Roman"/>
        </w:rPr>
        <w:t xml:space="preserve">that </w:t>
      </w:r>
      <w:r w:rsidR="00763BE8" w:rsidRPr="008373A2">
        <w:rPr>
          <w:rFonts w:ascii="Times New Roman" w:eastAsia="Times New Roman" w:hAnsi="Times New Roman" w:cs="Times New Roman"/>
          <w:lang w:eastAsia="en-GB"/>
        </w:rPr>
        <w:t xml:space="preserve">acting in a certain way </w:t>
      </w:r>
      <w:r w:rsidR="001302C9" w:rsidRPr="00BF48B7">
        <w:rPr>
          <w:rFonts w:ascii="Times New Roman" w:eastAsia="Times New Roman" w:hAnsi="Times New Roman" w:cs="Times New Roman"/>
          <w:lang w:eastAsia="en-GB"/>
        </w:rPr>
        <w:t>can</w:t>
      </w:r>
      <w:r w:rsidR="00763BE8" w:rsidRPr="008373A2">
        <w:rPr>
          <w:rFonts w:ascii="Times New Roman" w:eastAsia="Times New Roman" w:hAnsi="Times New Roman" w:cs="Times New Roman"/>
          <w:lang w:eastAsia="en-GB"/>
        </w:rPr>
        <w:t xml:space="preserve"> demonstrate something of a juridical nature</w:t>
      </w:r>
      <w:r w:rsidR="00FF7CCF">
        <w:rPr>
          <w:rFonts w:ascii="Times New Roman" w:eastAsia="Times New Roman" w:hAnsi="Times New Roman" w:cs="Times New Roman"/>
          <w:lang w:eastAsia="en-GB"/>
        </w:rPr>
        <w:t xml:space="preserve">: </w:t>
      </w:r>
      <w:r w:rsidR="00FF7CCF" w:rsidRPr="008373A2">
        <w:rPr>
          <w:rFonts w:ascii="Times New Roman" w:eastAsia="Times New Roman" w:hAnsi="Times New Roman" w:cs="Times New Roman"/>
          <w:lang w:eastAsia="en-GB"/>
        </w:rPr>
        <w:t xml:space="preserve">the Court </w:t>
      </w:r>
      <w:r w:rsidR="00530158">
        <w:rPr>
          <w:rFonts w:ascii="Times New Roman" w:eastAsia="Times New Roman" w:hAnsi="Times New Roman" w:cs="Times New Roman"/>
          <w:lang w:eastAsia="en-GB"/>
        </w:rPr>
        <w:t>appears</w:t>
      </w:r>
      <w:r w:rsidR="00FF7CCF">
        <w:rPr>
          <w:rFonts w:ascii="Times New Roman" w:eastAsia="Times New Roman" w:hAnsi="Times New Roman" w:cs="Times New Roman"/>
          <w:lang w:eastAsia="en-GB"/>
        </w:rPr>
        <w:t xml:space="preserve"> to have</w:t>
      </w:r>
      <w:r w:rsidR="00FF7CCF" w:rsidRPr="008373A2">
        <w:rPr>
          <w:rFonts w:ascii="Times New Roman" w:eastAsia="Times New Roman" w:hAnsi="Times New Roman" w:cs="Times New Roman"/>
          <w:lang w:eastAsia="en-GB"/>
        </w:rPr>
        <w:t xml:space="preserve"> inferred the acting state’s </w:t>
      </w:r>
      <w:r w:rsidR="00FF7CCF" w:rsidRPr="000D25E3">
        <w:rPr>
          <w:rFonts w:ascii="Times New Roman" w:eastAsia="Times New Roman" w:hAnsi="Times New Roman" w:cs="Times New Roman"/>
          <w:i/>
          <w:iCs/>
          <w:lang w:eastAsia="en-GB"/>
        </w:rPr>
        <w:t xml:space="preserve">opinio juris </w:t>
      </w:r>
      <w:r w:rsidR="00FF7CCF" w:rsidRPr="008373A2">
        <w:rPr>
          <w:rFonts w:ascii="Times New Roman" w:eastAsia="Times New Roman" w:hAnsi="Times New Roman" w:cs="Times New Roman"/>
          <w:lang w:eastAsia="en-GB"/>
        </w:rPr>
        <w:t>from the fact that th</w:t>
      </w:r>
      <w:r w:rsidR="00FF7CCF">
        <w:rPr>
          <w:rFonts w:ascii="Times New Roman" w:eastAsia="Times New Roman" w:hAnsi="Times New Roman" w:cs="Times New Roman"/>
          <w:lang w:eastAsia="en-GB"/>
        </w:rPr>
        <w:t>e</w:t>
      </w:r>
      <w:r w:rsidR="00FF7CCF" w:rsidRPr="008373A2">
        <w:rPr>
          <w:rFonts w:ascii="Times New Roman" w:eastAsia="Times New Roman" w:hAnsi="Times New Roman" w:cs="Times New Roman"/>
          <w:lang w:eastAsia="en-GB"/>
        </w:rPr>
        <w:t xml:space="preserve"> state has engaged in </w:t>
      </w:r>
      <w:r w:rsidR="00CD22E3">
        <w:rPr>
          <w:rFonts w:ascii="Times New Roman" w:eastAsia="Times New Roman" w:hAnsi="Times New Roman" w:cs="Times New Roman"/>
          <w:lang w:eastAsia="en-GB"/>
        </w:rPr>
        <w:t xml:space="preserve">a </w:t>
      </w:r>
      <w:r w:rsidR="00FF7CCF" w:rsidRPr="008373A2">
        <w:rPr>
          <w:rFonts w:ascii="Times New Roman" w:eastAsia="Times New Roman" w:hAnsi="Times New Roman" w:cs="Times New Roman"/>
          <w:lang w:eastAsia="en-GB"/>
        </w:rPr>
        <w:t xml:space="preserve">consistent practice </w:t>
      </w:r>
      <w:r w:rsidR="00FF7CCF">
        <w:rPr>
          <w:rFonts w:ascii="Times New Roman" w:eastAsia="Times New Roman" w:hAnsi="Times New Roman" w:cs="Times New Roman"/>
          <w:lang w:eastAsia="en-GB"/>
        </w:rPr>
        <w:t>in support of the</w:t>
      </w:r>
      <w:r w:rsidR="00FF7CCF" w:rsidRPr="008373A2">
        <w:rPr>
          <w:rFonts w:ascii="Times New Roman" w:eastAsia="Times New Roman" w:hAnsi="Times New Roman" w:cs="Times New Roman"/>
          <w:lang w:eastAsia="en-GB"/>
        </w:rPr>
        <w:t xml:space="preserve"> new rule.</w:t>
      </w:r>
      <w:r w:rsidR="002B60DB" w:rsidRPr="008373A2">
        <w:rPr>
          <w:rFonts w:ascii="Times New Roman" w:eastAsia="Times New Roman" w:hAnsi="Times New Roman" w:cs="Times New Roman"/>
          <w:lang w:eastAsia="en-GB"/>
        </w:rPr>
        <w:t xml:space="preserve"> </w:t>
      </w:r>
    </w:p>
    <w:p w14:paraId="12967D43" w14:textId="32503A99" w:rsidR="00364A4D" w:rsidRPr="008373A2" w:rsidRDefault="00364A4D" w:rsidP="00064C83">
      <w:pPr>
        <w:spacing w:line="360" w:lineRule="auto"/>
        <w:jc w:val="both"/>
        <w:rPr>
          <w:rFonts w:ascii="Times New Roman" w:hAnsi="Times New Roman" w:cs="Times New Roman"/>
        </w:rPr>
      </w:pPr>
    </w:p>
    <w:p w14:paraId="727126F8" w14:textId="69048957" w:rsidR="00CE35F8" w:rsidRPr="008373A2" w:rsidRDefault="00364A4D" w:rsidP="00064C83">
      <w:pPr>
        <w:spacing w:line="360" w:lineRule="auto"/>
        <w:jc w:val="both"/>
        <w:rPr>
          <w:rFonts w:ascii="Times New Roman" w:hAnsi="Times New Roman" w:cs="Times New Roman"/>
        </w:rPr>
      </w:pPr>
      <w:r w:rsidRPr="008373A2">
        <w:rPr>
          <w:rFonts w:ascii="Times New Roman" w:hAnsi="Times New Roman" w:cs="Times New Roman"/>
        </w:rPr>
        <w:t>Both these cases involve bilateral customs, so it is possible that the situation is more akin to an estoppel or tacit agreement</w:t>
      </w:r>
      <w:r w:rsidR="00524D6A" w:rsidRPr="008373A2">
        <w:rPr>
          <w:rFonts w:ascii="Times New Roman" w:hAnsi="Times New Roman" w:cs="Times New Roman"/>
        </w:rPr>
        <w:t>, and it</w:t>
      </w:r>
      <w:r w:rsidRPr="008373A2">
        <w:rPr>
          <w:rFonts w:ascii="Times New Roman" w:hAnsi="Times New Roman" w:cs="Times New Roman"/>
        </w:rPr>
        <w:t xml:space="preserve"> is necessary to be cautious when drawing conclusions about the identification </w:t>
      </w:r>
      <w:r w:rsidR="002837A3" w:rsidRPr="008373A2">
        <w:rPr>
          <w:rFonts w:ascii="Times New Roman" w:hAnsi="Times New Roman" w:cs="Times New Roman"/>
        </w:rPr>
        <w:t>customary international law</w:t>
      </w:r>
      <w:r w:rsidRPr="008373A2">
        <w:rPr>
          <w:rFonts w:ascii="Times New Roman" w:hAnsi="Times New Roman" w:cs="Times New Roman"/>
        </w:rPr>
        <w:t xml:space="preserve"> </w:t>
      </w:r>
      <w:r w:rsidR="003B620F" w:rsidRPr="008373A2">
        <w:rPr>
          <w:rFonts w:ascii="Times New Roman" w:hAnsi="Times New Roman" w:cs="Times New Roman"/>
        </w:rPr>
        <w:t xml:space="preserve">more </w:t>
      </w:r>
      <w:r w:rsidRPr="008373A2">
        <w:rPr>
          <w:rFonts w:ascii="Times New Roman" w:hAnsi="Times New Roman" w:cs="Times New Roman"/>
        </w:rPr>
        <w:t>generally.</w:t>
      </w:r>
      <w:r w:rsidR="00D31763" w:rsidRPr="008373A2">
        <w:rPr>
          <w:rFonts w:ascii="Times New Roman" w:hAnsi="Times New Roman" w:cs="Times New Roman"/>
        </w:rPr>
        <w:t xml:space="preserve"> Still, the Court did analyse both cases in terms of customary international law</w:t>
      </w:r>
      <w:r w:rsidR="004B67FC" w:rsidRPr="008373A2">
        <w:rPr>
          <w:rFonts w:ascii="Times New Roman" w:hAnsi="Times New Roman" w:cs="Times New Roman"/>
        </w:rPr>
        <w:t xml:space="preserve"> and the </w:t>
      </w:r>
      <w:r w:rsidR="008D0F52">
        <w:rPr>
          <w:rFonts w:ascii="Times New Roman" w:hAnsi="Times New Roman" w:cs="Times New Roman"/>
        </w:rPr>
        <w:t>two-element test</w:t>
      </w:r>
      <w:r w:rsidR="004B67FC" w:rsidRPr="008373A2">
        <w:rPr>
          <w:rFonts w:ascii="Times New Roman" w:hAnsi="Times New Roman" w:cs="Times New Roman"/>
        </w:rPr>
        <w:t xml:space="preserve"> of state practice and </w:t>
      </w:r>
      <w:r w:rsidR="004B67FC" w:rsidRPr="008373A2">
        <w:rPr>
          <w:rFonts w:ascii="Times New Roman" w:hAnsi="Times New Roman" w:cs="Times New Roman"/>
          <w:i/>
          <w:iCs/>
        </w:rPr>
        <w:t>opinio juris</w:t>
      </w:r>
      <w:r w:rsidR="005C390D" w:rsidRPr="008373A2">
        <w:rPr>
          <w:rFonts w:ascii="Times New Roman" w:hAnsi="Times New Roman" w:cs="Times New Roman"/>
        </w:rPr>
        <w:t>.</w:t>
      </w:r>
      <w:r w:rsidR="00376178" w:rsidRPr="008373A2">
        <w:rPr>
          <w:rStyle w:val="FootnoteReference"/>
          <w:rFonts w:ascii="Times New Roman" w:hAnsi="Times New Roman" w:cs="Times New Roman"/>
        </w:rPr>
        <w:footnoteReference w:id="82"/>
      </w:r>
      <w:r w:rsidR="005C390D" w:rsidRPr="008373A2">
        <w:rPr>
          <w:rFonts w:ascii="Times New Roman" w:hAnsi="Times New Roman" w:cs="Times New Roman"/>
        </w:rPr>
        <w:t xml:space="preserve"> The key question in both cases is</w:t>
      </w:r>
      <w:r w:rsidR="001B7D63" w:rsidRPr="008373A2">
        <w:rPr>
          <w:rFonts w:ascii="Times New Roman" w:hAnsi="Times New Roman" w:cs="Times New Roman"/>
        </w:rPr>
        <w:t xml:space="preserve"> therefore</w:t>
      </w:r>
      <w:r w:rsidR="005C390D" w:rsidRPr="008373A2">
        <w:rPr>
          <w:rFonts w:ascii="Times New Roman" w:hAnsi="Times New Roman" w:cs="Times New Roman"/>
        </w:rPr>
        <w:t xml:space="preserve">: why didn’t the Court simply say, as in </w:t>
      </w:r>
      <w:r w:rsidR="005C390D" w:rsidRPr="008373A2">
        <w:rPr>
          <w:rFonts w:ascii="Times New Roman" w:hAnsi="Times New Roman" w:cs="Times New Roman"/>
          <w:i/>
          <w:iCs/>
        </w:rPr>
        <w:t>Asylum</w:t>
      </w:r>
      <w:r w:rsidR="005C390D" w:rsidRPr="008373A2">
        <w:rPr>
          <w:rFonts w:ascii="Times New Roman" w:hAnsi="Times New Roman" w:cs="Times New Roman"/>
        </w:rPr>
        <w:t xml:space="preserve">, that there is no evidence that the practice by Portugal and Costa Rica was engaged in ‘as a right appertaining to them and respected by the territorial States as a duty incumbent on them’ and </w:t>
      </w:r>
      <w:r w:rsidR="00075132" w:rsidRPr="008373A2">
        <w:rPr>
          <w:rFonts w:ascii="Times New Roman" w:hAnsi="Times New Roman" w:cs="Times New Roman"/>
        </w:rPr>
        <w:t xml:space="preserve">so </w:t>
      </w:r>
      <w:r w:rsidR="005C390D" w:rsidRPr="008373A2">
        <w:rPr>
          <w:rFonts w:ascii="Times New Roman" w:hAnsi="Times New Roman" w:cs="Times New Roman"/>
        </w:rPr>
        <w:t xml:space="preserve">conclude that the two-element test </w:t>
      </w:r>
      <w:r w:rsidR="000E27DF" w:rsidRPr="008373A2">
        <w:rPr>
          <w:rFonts w:ascii="Times New Roman" w:hAnsi="Times New Roman" w:cs="Times New Roman"/>
        </w:rPr>
        <w:t>ha</w:t>
      </w:r>
      <w:r w:rsidR="00116A67" w:rsidRPr="008373A2">
        <w:rPr>
          <w:rFonts w:ascii="Times New Roman" w:hAnsi="Times New Roman" w:cs="Times New Roman"/>
        </w:rPr>
        <w:t>d</w:t>
      </w:r>
      <w:r w:rsidR="000E27DF" w:rsidRPr="008373A2">
        <w:rPr>
          <w:rFonts w:ascii="Times New Roman" w:hAnsi="Times New Roman" w:cs="Times New Roman"/>
        </w:rPr>
        <w:t xml:space="preserve"> not been met</w:t>
      </w:r>
      <w:r w:rsidR="005C390D" w:rsidRPr="008373A2">
        <w:rPr>
          <w:rFonts w:ascii="Times New Roman" w:hAnsi="Times New Roman" w:cs="Times New Roman"/>
        </w:rPr>
        <w:t>?</w:t>
      </w:r>
      <w:r w:rsidR="00E808E2" w:rsidRPr="008373A2">
        <w:rPr>
          <w:rFonts w:ascii="Times New Roman" w:hAnsi="Times New Roman" w:cs="Times New Roman"/>
        </w:rPr>
        <w:t xml:space="preserve"> </w:t>
      </w:r>
    </w:p>
    <w:p w14:paraId="2A336739" w14:textId="18C9034A" w:rsidR="00CE35F8" w:rsidRPr="008373A2" w:rsidRDefault="00CE35F8" w:rsidP="00064C83">
      <w:pPr>
        <w:spacing w:line="360" w:lineRule="auto"/>
        <w:jc w:val="both"/>
        <w:rPr>
          <w:rFonts w:ascii="Times New Roman" w:hAnsi="Times New Roman" w:cs="Times New Roman"/>
        </w:rPr>
      </w:pPr>
    </w:p>
    <w:p w14:paraId="728FE135" w14:textId="0D8FBF14" w:rsidR="00A7099F" w:rsidRPr="00437B04" w:rsidRDefault="00A7099F" w:rsidP="00437B04">
      <w:pPr>
        <w:pStyle w:val="ListParagraph"/>
        <w:numPr>
          <w:ilvl w:val="0"/>
          <w:numId w:val="11"/>
        </w:numPr>
        <w:spacing w:line="360" w:lineRule="auto"/>
        <w:jc w:val="both"/>
        <w:rPr>
          <w:rFonts w:ascii="Times New Roman" w:hAnsi="Times New Roman" w:cs="Times New Roman"/>
          <w:b/>
          <w:bCs/>
          <w:i/>
          <w:iCs/>
        </w:rPr>
      </w:pPr>
      <w:r w:rsidRPr="00437B04">
        <w:rPr>
          <w:rFonts w:ascii="Times New Roman" w:hAnsi="Times New Roman" w:cs="Times New Roman"/>
          <w:b/>
          <w:bCs/>
          <w:i/>
          <w:iCs/>
        </w:rPr>
        <w:t xml:space="preserve">Failure to </w:t>
      </w:r>
      <w:r w:rsidR="0015182E">
        <w:rPr>
          <w:rFonts w:ascii="Times New Roman" w:hAnsi="Times New Roman" w:cs="Times New Roman"/>
          <w:b/>
          <w:bCs/>
          <w:i/>
          <w:iCs/>
        </w:rPr>
        <w:t>R</w:t>
      </w:r>
      <w:r w:rsidRPr="00437B04">
        <w:rPr>
          <w:rFonts w:ascii="Times New Roman" w:hAnsi="Times New Roman" w:cs="Times New Roman"/>
          <w:b/>
          <w:bCs/>
          <w:i/>
          <w:iCs/>
        </w:rPr>
        <w:t xml:space="preserve">eact to </w:t>
      </w:r>
      <w:r w:rsidR="0015182E">
        <w:rPr>
          <w:rFonts w:ascii="Times New Roman" w:hAnsi="Times New Roman" w:cs="Times New Roman"/>
          <w:b/>
          <w:bCs/>
          <w:i/>
          <w:iCs/>
        </w:rPr>
        <w:t>P</w:t>
      </w:r>
      <w:r w:rsidRPr="00437B04">
        <w:rPr>
          <w:rFonts w:ascii="Times New Roman" w:hAnsi="Times New Roman" w:cs="Times New Roman"/>
          <w:b/>
          <w:bCs/>
          <w:i/>
          <w:iCs/>
        </w:rPr>
        <w:t xml:space="preserve">ractice as </w:t>
      </w:r>
      <w:r w:rsidR="0015182E">
        <w:rPr>
          <w:rFonts w:ascii="Times New Roman" w:hAnsi="Times New Roman" w:cs="Times New Roman"/>
          <w:b/>
          <w:bCs/>
          <w:i/>
          <w:iCs/>
        </w:rPr>
        <w:t>E</w:t>
      </w:r>
      <w:r w:rsidRPr="00437B04">
        <w:rPr>
          <w:rFonts w:ascii="Times New Roman" w:hAnsi="Times New Roman" w:cs="Times New Roman"/>
          <w:b/>
          <w:bCs/>
          <w:i/>
          <w:iCs/>
        </w:rPr>
        <w:t xml:space="preserve">vidence of </w:t>
      </w:r>
      <w:r w:rsidR="0015182E">
        <w:rPr>
          <w:rFonts w:ascii="Times New Roman" w:hAnsi="Times New Roman" w:cs="Times New Roman"/>
          <w:b/>
          <w:bCs/>
        </w:rPr>
        <w:t>O</w:t>
      </w:r>
      <w:r w:rsidRPr="00437B04">
        <w:rPr>
          <w:rFonts w:ascii="Times New Roman" w:hAnsi="Times New Roman" w:cs="Times New Roman"/>
          <w:b/>
          <w:bCs/>
        </w:rPr>
        <w:t xml:space="preserve">pinio </w:t>
      </w:r>
      <w:r w:rsidR="0015182E">
        <w:rPr>
          <w:rFonts w:ascii="Times New Roman" w:hAnsi="Times New Roman" w:cs="Times New Roman"/>
          <w:b/>
          <w:bCs/>
        </w:rPr>
        <w:t>J</w:t>
      </w:r>
      <w:r w:rsidRPr="00437B04">
        <w:rPr>
          <w:rFonts w:ascii="Times New Roman" w:hAnsi="Times New Roman" w:cs="Times New Roman"/>
          <w:b/>
          <w:bCs/>
        </w:rPr>
        <w:t>uris</w:t>
      </w:r>
    </w:p>
    <w:p w14:paraId="5A94C7FC" w14:textId="77777777" w:rsidR="00A7099F" w:rsidRPr="008373A2" w:rsidRDefault="00A7099F" w:rsidP="00064C83">
      <w:pPr>
        <w:spacing w:line="360" w:lineRule="auto"/>
        <w:jc w:val="both"/>
        <w:rPr>
          <w:rFonts w:ascii="Times New Roman" w:hAnsi="Times New Roman" w:cs="Times New Roman"/>
        </w:rPr>
      </w:pPr>
    </w:p>
    <w:p w14:paraId="1FA13984" w14:textId="5879E0BA" w:rsidR="00B37491" w:rsidRPr="008373A2" w:rsidRDefault="00FA4B2F" w:rsidP="00064C83">
      <w:pPr>
        <w:spacing w:line="360" w:lineRule="auto"/>
        <w:jc w:val="both"/>
        <w:rPr>
          <w:rFonts w:ascii="Times New Roman" w:hAnsi="Times New Roman" w:cs="Times New Roman"/>
        </w:rPr>
      </w:pPr>
      <w:r w:rsidRPr="008373A2">
        <w:rPr>
          <w:rFonts w:ascii="Times New Roman" w:hAnsi="Times New Roman" w:cs="Times New Roman"/>
        </w:rPr>
        <w:t>The discrepancy between the cases</w:t>
      </w:r>
      <w:r w:rsidR="00CE35F8" w:rsidRPr="008373A2">
        <w:rPr>
          <w:rFonts w:ascii="Times New Roman" w:hAnsi="Times New Roman" w:cs="Times New Roman"/>
        </w:rPr>
        <w:t xml:space="preserve"> </w:t>
      </w:r>
      <w:r w:rsidRPr="008373A2">
        <w:rPr>
          <w:rFonts w:ascii="Times New Roman" w:hAnsi="Times New Roman" w:cs="Times New Roman"/>
        </w:rPr>
        <w:t xml:space="preserve">can be explained by the nature and context of the customary </w:t>
      </w:r>
      <w:r w:rsidR="00BF48B7">
        <w:rPr>
          <w:rFonts w:ascii="Times New Roman" w:hAnsi="Times New Roman" w:cs="Times New Roman"/>
        </w:rPr>
        <w:t xml:space="preserve">international law </w:t>
      </w:r>
      <w:r w:rsidRPr="008373A2">
        <w:rPr>
          <w:rFonts w:ascii="Times New Roman" w:hAnsi="Times New Roman" w:cs="Times New Roman"/>
        </w:rPr>
        <w:t xml:space="preserve">rules being identified. </w:t>
      </w:r>
      <w:r w:rsidR="00195240" w:rsidRPr="008373A2">
        <w:rPr>
          <w:rFonts w:ascii="Times New Roman" w:hAnsi="Times New Roman" w:cs="Times New Roman"/>
        </w:rPr>
        <w:t xml:space="preserve">So </w:t>
      </w:r>
      <w:proofErr w:type="gramStart"/>
      <w:r w:rsidR="00195240" w:rsidRPr="008373A2">
        <w:rPr>
          <w:rFonts w:ascii="Times New Roman" w:hAnsi="Times New Roman" w:cs="Times New Roman"/>
        </w:rPr>
        <w:t>far</w:t>
      </w:r>
      <w:proofErr w:type="gramEnd"/>
      <w:r w:rsidR="00195240" w:rsidRPr="008373A2">
        <w:rPr>
          <w:rFonts w:ascii="Times New Roman" w:hAnsi="Times New Roman" w:cs="Times New Roman"/>
        </w:rPr>
        <w:t xml:space="preserve"> we have not considered the </w:t>
      </w:r>
      <w:r w:rsidR="00195240" w:rsidRPr="00437B04">
        <w:rPr>
          <w:rFonts w:ascii="Times New Roman" w:hAnsi="Times New Roman" w:cs="Times New Roman"/>
        </w:rPr>
        <w:t>reactions</w:t>
      </w:r>
      <w:r w:rsidR="00195240" w:rsidRPr="00BF48B7">
        <w:rPr>
          <w:rFonts w:ascii="Times New Roman" w:hAnsi="Times New Roman" w:cs="Times New Roman"/>
        </w:rPr>
        <w:t xml:space="preserve"> </w:t>
      </w:r>
      <w:r w:rsidR="00195240" w:rsidRPr="008373A2">
        <w:rPr>
          <w:rFonts w:ascii="Times New Roman" w:hAnsi="Times New Roman" w:cs="Times New Roman"/>
        </w:rPr>
        <w:t>of other states to practice</w:t>
      </w:r>
      <w:r w:rsidR="00417220" w:rsidRPr="00437B04">
        <w:rPr>
          <w:rFonts w:ascii="Times New Roman" w:hAnsi="Times New Roman" w:cs="Times New Roman"/>
        </w:rPr>
        <w:t xml:space="preserve"> in support of a new customary rule</w:t>
      </w:r>
      <w:r w:rsidR="00195240" w:rsidRPr="008373A2">
        <w:rPr>
          <w:rFonts w:ascii="Times New Roman" w:hAnsi="Times New Roman" w:cs="Times New Roman"/>
        </w:rPr>
        <w:t>, but protest and acquiescence are central to the identification of custom.</w:t>
      </w:r>
      <w:r w:rsidR="00195240" w:rsidRPr="008373A2">
        <w:rPr>
          <w:rStyle w:val="FootnoteReference"/>
          <w:rFonts w:ascii="Times New Roman" w:hAnsi="Times New Roman" w:cs="Times New Roman"/>
        </w:rPr>
        <w:footnoteReference w:id="83"/>
      </w:r>
      <w:r w:rsidR="00195240" w:rsidRPr="008373A2">
        <w:rPr>
          <w:rFonts w:ascii="Times New Roman" w:hAnsi="Times New Roman" w:cs="Times New Roman"/>
        </w:rPr>
        <w:t xml:space="preserve"> </w:t>
      </w:r>
      <w:r w:rsidR="008B4A78" w:rsidRPr="008373A2">
        <w:rPr>
          <w:rFonts w:ascii="Times New Roman" w:hAnsi="Times New Roman" w:cs="Times New Roman"/>
        </w:rPr>
        <w:t xml:space="preserve">The Court </w:t>
      </w:r>
      <w:r w:rsidR="00A063E9" w:rsidRPr="008373A2">
        <w:rPr>
          <w:rFonts w:ascii="Times New Roman" w:hAnsi="Times New Roman" w:cs="Times New Roman"/>
        </w:rPr>
        <w:t>appears to have</w:t>
      </w:r>
      <w:r w:rsidR="008B4A78" w:rsidRPr="008373A2">
        <w:rPr>
          <w:rFonts w:ascii="Times New Roman" w:hAnsi="Times New Roman" w:cs="Times New Roman"/>
        </w:rPr>
        <w:t xml:space="preserve"> </w:t>
      </w:r>
      <w:r w:rsidR="005A23D0" w:rsidRPr="008373A2">
        <w:rPr>
          <w:rFonts w:ascii="Times New Roman" w:hAnsi="Times New Roman" w:cs="Times New Roman"/>
        </w:rPr>
        <w:t xml:space="preserve">concluded that </w:t>
      </w:r>
      <w:r w:rsidR="004801A0" w:rsidRPr="008373A2">
        <w:rPr>
          <w:rFonts w:ascii="Times New Roman" w:hAnsi="Times New Roman" w:cs="Times New Roman"/>
          <w:i/>
          <w:iCs/>
        </w:rPr>
        <w:t xml:space="preserve">opinio juris </w:t>
      </w:r>
      <w:r w:rsidR="00560914" w:rsidRPr="008373A2">
        <w:rPr>
          <w:rFonts w:ascii="Times New Roman" w:hAnsi="Times New Roman" w:cs="Times New Roman"/>
        </w:rPr>
        <w:t xml:space="preserve">in support of the new rule </w:t>
      </w:r>
      <w:r w:rsidR="00A063E9" w:rsidRPr="008373A2">
        <w:rPr>
          <w:rFonts w:ascii="Times New Roman" w:hAnsi="Times New Roman" w:cs="Times New Roman"/>
        </w:rPr>
        <w:t xml:space="preserve">existed </w:t>
      </w:r>
      <w:r w:rsidR="005A23D0" w:rsidRPr="00437B04">
        <w:rPr>
          <w:rFonts w:ascii="Times New Roman" w:hAnsi="Times New Roman" w:cs="Times New Roman"/>
        </w:rPr>
        <w:t>on the part</w:t>
      </w:r>
      <w:r w:rsidR="005A23D0" w:rsidRPr="008373A2">
        <w:rPr>
          <w:rFonts w:ascii="Times New Roman" w:hAnsi="Times New Roman" w:cs="Times New Roman"/>
          <w:i/>
          <w:iCs/>
        </w:rPr>
        <w:t xml:space="preserve"> </w:t>
      </w:r>
      <w:r w:rsidR="004801A0" w:rsidRPr="008373A2">
        <w:rPr>
          <w:rFonts w:ascii="Times New Roman" w:hAnsi="Times New Roman" w:cs="Times New Roman"/>
        </w:rPr>
        <w:t>of India and Nicaragua</w:t>
      </w:r>
      <w:r w:rsidR="008B4A78" w:rsidRPr="008373A2">
        <w:rPr>
          <w:rFonts w:ascii="Times New Roman" w:hAnsi="Times New Roman" w:cs="Times New Roman"/>
        </w:rPr>
        <w:t xml:space="preserve"> </w:t>
      </w:r>
      <w:r w:rsidR="005A23D0" w:rsidRPr="008373A2">
        <w:rPr>
          <w:rFonts w:ascii="Times New Roman" w:hAnsi="Times New Roman" w:cs="Times New Roman"/>
        </w:rPr>
        <w:t xml:space="preserve">based </w:t>
      </w:r>
      <w:r w:rsidR="008B4A78" w:rsidRPr="008373A2">
        <w:rPr>
          <w:rFonts w:ascii="Times New Roman" w:hAnsi="Times New Roman" w:cs="Times New Roman"/>
        </w:rPr>
        <w:t>on their failure to object to the consistent practice of the other party. Th</w:t>
      </w:r>
      <w:r w:rsidR="002C181C" w:rsidRPr="008373A2">
        <w:rPr>
          <w:rFonts w:ascii="Times New Roman" w:hAnsi="Times New Roman" w:cs="Times New Roman"/>
        </w:rPr>
        <w:t xml:space="preserve">e possibility that failure to react over time to a practice may serve as evidence of </w:t>
      </w:r>
      <w:r w:rsidR="002C181C" w:rsidRPr="00437B04">
        <w:rPr>
          <w:rFonts w:ascii="Times New Roman" w:hAnsi="Times New Roman" w:cs="Times New Roman"/>
          <w:i/>
          <w:iCs/>
        </w:rPr>
        <w:t>opinio juris</w:t>
      </w:r>
      <w:r w:rsidR="002C181C" w:rsidRPr="008373A2">
        <w:rPr>
          <w:rFonts w:ascii="Times New Roman" w:hAnsi="Times New Roman" w:cs="Times New Roman"/>
        </w:rPr>
        <w:t xml:space="preserve"> has been acknowledged by the ILC,</w:t>
      </w:r>
      <w:r w:rsidR="002C181C" w:rsidRPr="008373A2">
        <w:rPr>
          <w:rStyle w:val="FootnoteReference"/>
          <w:rFonts w:ascii="Times New Roman" w:hAnsi="Times New Roman" w:cs="Times New Roman"/>
        </w:rPr>
        <w:footnoteReference w:id="84"/>
      </w:r>
      <w:r w:rsidR="002C181C" w:rsidRPr="008373A2">
        <w:rPr>
          <w:rFonts w:ascii="Times New Roman" w:hAnsi="Times New Roman" w:cs="Times New Roman"/>
        </w:rPr>
        <w:t xml:space="preserve"> and</w:t>
      </w:r>
      <w:r w:rsidR="008B4A78" w:rsidRPr="008373A2">
        <w:rPr>
          <w:rFonts w:ascii="Times New Roman" w:hAnsi="Times New Roman" w:cs="Times New Roman"/>
        </w:rPr>
        <w:t xml:space="preserve"> highlights</w:t>
      </w:r>
      <w:r w:rsidR="004801A0" w:rsidRPr="008373A2">
        <w:rPr>
          <w:rFonts w:ascii="Times New Roman" w:hAnsi="Times New Roman" w:cs="Times New Roman"/>
        </w:rPr>
        <w:t xml:space="preserve"> </w:t>
      </w:r>
      <w:r w:rsidR="008B7163" w:rsidRPr="008373A2">
        <w:rPr>
          <w:rFonts w:ascii="Times New Roman" w:hAnsi="Times New Roman" w:cs="Times New Roman"/>
        </w:rPr>
        <w:t xml:space="preserve">a </w:t>
      </w:r>
      <w:r w:rsidR="00A7099F" w:rsidRPr="008373A2">
        <w:rPr>
          <w:rFonts w:ascii="Times New Roman" w:hAnsi="Times New Roman" w:cs="Times New Roman"/>
        </w:rPr>
        <w:t xml:space="preserve">further </w:t>
      </w:r>
      <w:r w:rsidR="008B7163" w:rsidRPr="008373A2">
        <w:rPr>
          <w:rFonts w:ascii="Times New Roman" w:hAnsi="Times New Roman" w:cs="Times New Roman"/>
        </w:rPr>
        <w:t xml:space="preserve">way in which </w:t>
      </w:r>
      <w:r w:rsidR="00836C07" w:rsidRPr="008373A2">
        <w:rPr>
          <w:rFonts w:ascii="Times New Roman" w:hAnsi="Times New Roman" w:cs="Times New Roman"/>
        </w:rPr>
        <w:t xml:space="preserve">context </w:t>
      </w:r>
      <w:r w:rsidR="008B7163" w:rsidRPr="008373A2">
        <w:rPr>
          <w:rFonts w:ascii="Times New Roman" w:hAnsi="Times New Roman" w:cs="Times New Roman"/>
        </w:rPr>
        <w:t xml:space="preserve">is relevant to </w:t>
      </w:r>
      <w:r w:rsidR="0086523B" w:rsidRPr="008373A2">
        <w:rPr>
          <w:rFonts w:ascii="Times New Roman" w:hAnsi="Times New Roman" w:cs="Times New Roman"/>
        </w:rPr>
        <w:t xml:space="preserve">the </w:t>
      </w:r>
      <w:r w:rsidR="008B7163" w:rsidRPr="008373A2">
        <w:rPr>
          <w:rFonts w:ascii="Times New Roman" w:hAnsi="Times New Roman" w:cs="Times New Roman"/>
        </w:rPr>
        <w:t xml:space="preserve">identification of customary </w:t>
      </w:r>
      <w:r w:rsidR="0086523B" w:rsidRPr="008373A2">
        <w:rPr>
          <w:rFonts w:ascii="Times New Roman" w:hAnsi="Times New Roman" w:cs="Times New Roman"/>
        </w:rPr>
        <w:t xml:space="preserve">international law </w:t>
      </w:r>
      <w:r w:rsidR="008B7163" w:rsidRPr="008373A2">
        <w:rPr>
          <w:rFonts w:ascii="Times New Roman" w:hAnsi="Times New Roman" w:cs="Times New Roman"/>
        </w:rPr>
        <w:t xml:space="preserve">rules: it impacts our interpretation of the reactions of </w:t>
      </w:r>
      <w:r w:rsidR="001D1E70" w:rsidRPr="008373A2">
        <w:rPr>
          <w:rFonts w:ascii="Times New Roman" w:hAnsi="Times New Roman" w:cs="Times New Roman"/>
        </w:rPr>
        <w:t xml:space="preserve">other </w:t>
      </w:r>
      <w:r w:rsidR="008B7163" w:rsidRPr="008373A2">
        <w:rPr>
          <w:rFonts w:ascii="Times New Roman" w:hAnsi="Times New Roman" w:cs="Times New Roman"/>
        </w:rPr>
        <w:t xml:space="preserve">states. Where a practice is inconsistent with </w:t>
      </w:r>
      <w:r w:rsidR="00A7603D" w:rsidRPr="008373A2">
        <w:rPr>
          <w:rFonts w:ascii="Times New Roman" w:hAnsi="Times New Roman" w:cs="Times New Roman"/>
        </w:rPr>
        <w:t>the underlying international law rules</w:t>
      </w:r>
      <w:r w:rsidR="008B7163" w:rsidRPr="008373A2">
        <w:rPr>
          <w:rFonts w:ascii="Times New Roman" w:hAnsi="Times New Roman" w:cs="Times New Roman"/>
        </w:rPr>
        <w:t>, we are more justified in expecting negative reactions from other states and in drawing conclusions from their absence.</w:t>
      </w:r>
      <w:r w:rsidR="00042D8C" w:rsidRPr="008373A2">
        <w:rPr>
          <w:rFonts w:ascii="Times New Roman" w:hAnsi="Times New Roman" w:cs="Times New Roman"/>
        </w:rPr>
        <w:t xml:space="preserve"> </w:t>
      </w:r>
      <w:r w:rsidR="00BF48B7">
        <w:rPr>
          <w:rFonts w:ascii="Times New Roman" w:hAnsi="Times New Roman" w:cs="Times New Roman"/>
        </w:rPr>
        <w:t>As a result,</w:t>
      </w:r>
      <w:r w:rsidR="00195240" w:rsidRPr="008373A2">
        <w:rPr>
          <w:rFonts w:ascii="Times New Roman" w:hAnsi="Times New Roman" w:cs="Times New Roman"/>
        </w:rPr>
        <w:t xml:space="preserve"> </w:t>
      </w:r>
      <w:r w:rsidR="00042D8C" w:rsidRPr="008373A2">
        <w:rPr>
          <w:rFonts w:ascii="Times New Roman" w:hAnsi="Times New Roman" w:cs="Times New Roman"/>
        </w:rPr>
        <w:t xml:space="preserve">the failure of other states to react </w:t>
      </w:r>
      <w:r w:rsidR="0086523B" w:rsidRPr="008373A2">
        <w:rPr>
          <w:rFonts w:ascii="Times New Roman" w:hAnsi="Times New Roman" w:cs="Times New Roman"/>
        </w:rPr>
        <w:t xml:space="preserve">negatively </w:t>
      </w:r>
      <w:r w:rsidR="00042D8C" w:rsidRPr="008373A2">
        <w:rPr>
          <w:rFonts w:ascii="Times New Roman" w:hAnsi="Times New Roman" w:cs="Times New Roman"/>
        </w:rPr>
        <w:t xml:space="preserve">to </w:t>
      </w:r>
      <w:r w:rsidR="002133A0">
        <w:rPr>
          <w:rFonts w:ascii="Times New Roman" w:hAnsi="Times New Roman" w:cs="Times New Roman"/>
        </w:rPr>
        <w:t>such a</w:t>
      </w:r>
      <w:r w:rsidR="002133A0" w:rsidRPr="008373A2">
        <w:rPr>
          <w:rFonts w:ascii="Times New Roman" w:hAnsi="Times New Roman" w:cs="Times New Roman"/>
        </w:rPr>
        <w:t xml:space="preserve"> </w:t>
      </w:r>
      <w:r w:rsidR="00042D8C" w:rsidRPr="008373A2">
        <w:rPr>
          <w:rFonts w:ascii="Times New Roman" w:hAnsi="Times New Roman" w:cs="Times New Roman"/>
        </w:rPr>
        <w:t>practice</w:t>
      </w:r>
      <w:r w:rsidR="00195240" w:rsidRPr="008373A2">
        <w:rPr>
          <w:rFonts w:ascii="Times New Roman" w:hAnsi="Times New Roman" w:cs="Times New Roman"/>
        </w:rPr>
        <w:t xml:space="preserve"> </w:t>
      </w:r>
      <w:r w:rsidR="00BF48B7">
        <w:rPr>
          <w:rFonts w:ascii="Times New Roman" w:hAnsi="Times New Roman" w:cs="Times New Roman"/>
        </w:rPr>
        <w:t>may</w:t>
      </w:r>
      <w:r w:rsidR="002133A0">
        <w:rPr>
          <w:rFonts w:ascii="Times New Roman" w:hAnsi="Times New Roman" w:cs="Times New Roman"/>
        </w:rPr>
        <w:t xml:space="preserve"> – subject to the caveats discussed below –</w:t>
      </w:r>
      <w:r w:rsidR="00195240" w:rsidRPr="008373A2">
        <w:rPr>
          <w:rFonts w:ascii="Times New Roman" w:hAnsi="Times New Roman" w:cs="Times New Roman"/>
        </w:rPr>
        <w:t xml:space="preserve"> be taken as evidence of</w:t>
      </w:r>
      <w:r w:rsidR="0086523B" w:rsidRPr="008373A2">
        <w:rPr>
          <w:rFonts w:ascii="Times New Roman" w:hAnsi="Times New Roman" w:cs="Times New Roman"/>
        </w:rPr>
        <w:t xml:space="preserve"> their</w:t>
      </w:r>
      <w:r w:rsidR="00195240" w:rsidRPr="008373A2">
        <w:rPr>
          <w:rFonts w:ascii="Times New Roman" w:hAnsi="Times New Roman" w:cs="Times New Roman"/>
        </w:rPr>
        <w:t xml:space="preserve"> </w:t>
      </w:r>
      <w:r w:rsidR="00195240" w:rsidRPr="008373A2">
        <w:rPr>
          <w:rFonts w:ascii="Times New Roman" w:hAnsi="Times New Roman" w:cs="Times New Roman"/>
          <w:i/>
          <w:iCs/>
        </w:rPr>
        <w:t>opinio juris</w:t>
      </w:r>
      <w:r w:rsidR="00042D8C" w:rsidRPr="008373A2">
        <w:rPr>
          <w:rFonts w:ascii="Times New Roman" w:hAnsi="Times New Roman" w:cs="Times New Roman"/>
        </w:rPr>
        <w:t xml:space="preserve">. </w:t>
      </w:r>
    </w:p>
    <w:p w14:paraId="2F6314C4" w14:textId="77777777" w:rsidR="00B37491" w:rsidRPr="008373A2" w:rsidRDefault="00B37491" w:rsidP="00064C83">
      <w:pPr>
        <w:spacing w:line="360" w:lineRule="auto"/>
        <w:jc w:val="both"/>
        <w:rPr>
          <w:rFonts w:ascii="Times New Roman" w:hAnsi="Times New Roman" w:cs="Times New Roman"/>
        </w:rPr>
      </w:pPr>
    </w:p>
    <w:p w14:paraId="3FE0DB16" w14:textId="4CB29623" w:rsidR="0002382D" w:rsidRPr="008373A2" w:rsidRDefault="00195240" w:rsidP="00064C83">
      <w:pPr>
        <w:spacing w:line="360" w:lineRule="auto"/>
        <w:jc w:val="both"/>
        <w:rPr>
          <w:rFonts w:ascii="Times New Roman" w:hAnsi="Times New Roman" w:cs="Times New Roman"/>
        </w:rPr>
      </w:pPr>
      <w:r w:rsidRPr="008373A2">
        <w:rPr>
          <w:rFonts w:ascii="Times New Roman" w:hAnsi="Times New Roman" w:cs="Times New Roman"/>
        </w:rPr>
        <w:lastRenderedPageBreak/>
        <w:t>Therefore</w:t>
      </w:r>
      <w:r w:rsidR="00A9640C" w:rsidRPr="008373A2">
        <w:rPr>
          <w:rFonts w:ascii="Times New Roman" w:hAnsi="Times New Roman" w:cs="Times New Roman"/>
        </w:rPr>
        <w:t>, a</w:t>
      </w:r>
      <w:r w:rsidR="00042D8C" w:rsidRPr="008373A2">
        <w:rPr>
          <w:rFonts w:ascii="Times New Roman" w:hAnsi="Times New Roman" w:cs="Times New Roman"/>
        </w:rPr>
        <w:t xml:space="preserve"> crucial difference between </w:t>
      </w:r>
      <w:r w:rsidR="00042D8C" w:rsidRPr="008373A2">
        <w:rPr>
          <w:rFonts w:ascii="Times New Roman" w:hAnsi="Times New Roman" w:cs="Times New Roman"/>
          <w:i/>
          <w:iCs/>
        </w:rPr>
        <w:t>Asylum</w:t>
      </w:r>
      <w:r w:rsidR="00042D8C" w:rsidRPr="008373A2">
        <w:rPr>
          <w:rFonts w:ascii="Times New Roman" w:hAnsi="Times New Roman" w:cs="Times New Roman"/>
        </w:rPr>
        <w:t xml:space="preserve"> and</w:t>
      </w:r>
      <w:r w:rsidR="00B461DA" w:rsidRPr="008373A2">
        <w:rPr>
          <w:rFonts w:ascii="Times New Roman" w:hAnsi="Times New Roman" w:cs="Times New Roman"/>
        </w:rPr>
        <w:t xml:space="preserve"> both</w:t>
      </w:r>
      <w:r w:rsidR="00417220" w:rsidRPr="00437B04">
        <w:rPr>
          <w:rFonts w:ascii="Times New Roman" w:hAnsi="Times New Roman" w:cs="Times New Roman"/>
          <w:i/>
          <w:iCs/>
        </w:rPr>
        <w:t xml:space="preserve"> Right of Passage </w:t>
      </w:r>
      <w:r w:rsidR="00417220" w:rsidRPr="00437B04">
        <w:rPr>
          <w:rFonts w:ascii="Times New Roman" w:hAnsi="Times New Roman" w:cs="Times New Roman"/>
        </w:rPr>
        <w:t>and</w:t>
      </w:r>
      <w:r w:rsidR="00042D8C" w:rsidRPr="008373A2">
        <w:rPr>
          <w:rFonts w:ascii="Times New Roman" w:hAnsi="Times New Roman" w:cs="Times New Roman"/>
        </w:rPr>
        <w:t xml:space="preserve"> </w:t>
      </w:r>
      <w:r w:rsidR="00042D8C" w:rsidRPr="008373A2">
        <w:rPr>
          <w:rFonts w:ascii="Times New Roman" w:hAnsi="Times New Roman" w:cs="Times New Roman"/>
          <w:i/>
          <w:iCs/>
        </w:rPr>
        <w:t>Navigational and Related Rights</w:t>
      </w:r>
      <w:r w:rsidR="00042D8C" w:rsidRPr="008373A2">
        <w:rPr>
          <w:rFonts w:ascii="Times New Roman" w:hAnsi="Times New Roman" w:cs="Times New Roman"/>
        </w:rPr>
        <w:t xml:space="preserve"> is </w:t>
      </w:r>
      <w:r w:rsidR="000E080A" w:rsidRPr="008373A2">
        <w:rPr>
          <w:rFonts w:ascii="Times New Roman" w:hAnsi="Times New Roman" w:cs="Times New Roman"/>
        </w:rPr>
        <w:t>that i</w:t>
      </w:r>
      <w:r w:rsidR="00042D8C" w:rsidRPr="008373A2">
        <w:rPr>
          <w:rFonts w:ascii="Times New Roman" w:hAnsi="Times New Roman" w:cs="Times New Roman"/>
        </w:rPr>
        <w:t xml:space="preserve">n the latter two cases both Portugal and Costa Rica’s actions in support of the new permissive customary </w:t>
      </w:r>
      <w:r w:rsidR="00890E7F" w:rsidRPr="008373A2">
        <w:rPr>
          <w:rFonts w:ascii="Times New Roman" w:hAnsi="Times New Roman" w:cs="Times New Roman"/>
        </w:rPr>
        <w:t>rule</w:t>
      </w:r>
      <w:r w:rsidR="00042D8C" w:rsidRPr="008373A2">
        <w:rPr>
          <w:rFonts w:ascii="Times New Roman" w:hAnsi="Times New Roman" w:cs="Times New Roman"/>
        </w:rPr>
        <w:t xml:space="preserve"> would be unlawful</w:t>
      </w:r>
      <w:r w:rsidR="00A9640C" w:rsidRPr="008373A2">
        <w:rPr>
          <w:rFonts w:ascii="Times New Roman" w:hAnsi="Times New Roman" w:cs="Times New Roman"/>
        </w:rPr>
        <w:t xml:space="preserve"> u</w:t>
      </w:r>
      <w:r w:rsidR="00042D8C" w:rsidRPr="008373A2">
        <w:rPr>
          <w:rFonts w:ascii="Times New Roman" w:hAnsi="Times New Roman" w:cs="Times New Roman"/>
        </w:rPr>
        <w:t xml:space="preserve">nder </w:t>
      </w:r>
      <w:r w:rsidR="00A7603D" w:rsidRPr="008373A2">
        <w:rPr>
          <w:rFonts w:ascii="Times New Roman" w:hAnsi="Times New Roman" w:cs="Times New Roman"/>
        </w:rPr>
        <w:t>the underlying international law rules</w:t>
      </w:r>
      <w:r w:rsidR="007B65E0" w:rsidRPr="008373A2">
        <w:rPr>
          <w:rFonts w:ascii="Times New Roman" w:hAnsi="Times New Roman" w:cs="Times New Roman"/>
        </w:rPr>
        <w:t>:</w:t>
      </w:r>
      <w:r w:rsidR="00042D8C" w:rsidRPr="008373A2">
        <w:rPr>
          <w:rFonts w:ascii="Times New Roman" w:hAnsi="Times New Roman" w:cs="Times New Roman"/>
        </w:rPr>
        <w:t xml:space="preserve"> states are generally prohibited from encroaching on another state’s territory</w:t>
      </w:r>
      <w:r w:rsidR="00BF3C78" w:rsidRPr="008373A2">
        <w:rPr>
          <w:rFonts w:ascii="Times New Roman" w:hAnsi="Times New Roman" w:cs="Times New Roman"/>
        </w:rPr>
        <w:t xml:space="preserve">. </w:t>
      </w:r>
      <w:r w:rsidR="00B37491" w:rsidRPr="008373A2">
        <w:rPr>
          <w:rFonts w:ascii="Times New Roman" w:hAnsi="Times New Roman" w:cs="Times New Roman"/>
        </w:rPr>
        <w:t xml:space="preserve">Where India and Nicaragua had omitted to act it was a failure to </w:t>
      </w:r>
      <w:proofErr w:type="gramStart"/>
      <w:r w:rsidR="00B37491" w:rsidRPr="008373A2">
        <w:rPr>
          <w:rFonts w:ascii="Times New Roman" w:hAnsi="Times New Roman" w:cs="Times New Roman"/>
        </w:rPr>
        <w:t>protest against</w:t>
      </w:r>
      <w:proofErr w:type="gramEnd"/>
      <w:r w:rsidR="00B37491" w:rsidRPr="008373A2">
        <w:rPr>
          <w:rFonts w:ascii="Times New Roman" w:hAnsi="Times New Roman" w:cs="Times New Roman"/>
        </w:rPr>
        <w:t xml:space="preserve"> actions that would have been clearly prohibited by the underlying general international law. </w:t>
      </w:r>
      <w:r w:rsidR="00F03802" w:rsidRPr="008373A2">
        <w:rPr>
          <w:rFonts w:ascii="Times New Roman" w:hAnsi="Times New Roman" w:cs="Times New Roman"/>
        </w:rPr>
        <w:t>E</w:t>
      </w:r>
      <w:r w:rsidR="00042D8C" w:rsidRPr="008373A2">
        <w:rPr>
          <w:rFonts w:ascii="Times New Roman" w:hAnsi="Times New Roman" w:cs="Times New Roman"/>
        </w:rPr>
        <w:t xml:space="preserve">ven though they were under no obligation to do so, it would be expected that India and Nicaragua would react </w:t>
      </w:r>
      <w:r w:rsidR="00B37491" w:rsidRPr="008373A2">
        <w:rPr>
          <w:rFonts w:ascii="Times New Roman" w:hAnsi="Times New Roman" w:cs="Times New Roman"/>
        </w:rPr>
        <w:t xml:space="preserve">negatively </w:t>
      </w:r>
      <w:r w:rsidR="00042D8C" w:rsidRPr="008373A2">
        <w:rPr>
          <w:rFonts w:ascii="Times New Roman" w:hAnsi="Times New Roman" w:cs="Times New Roman"/>
        </w:rPr>
        <w:t>to any breaches</w:t>
      </w:r>
      <w:r w:rsidR="00B37491" w:rsidRPr="008373A2">
        <w:rPr>
          <w:rFonts w:ascii="Times New Roman" w:hAnsi="Times New Roman" w:cs="Times New Roman"/>
        </w:rPr>
        <w:t>,</w:t>
      </w:r>
      <w:r w:rsidR="00B37491" w:rsidRPr="008373A2">
        <w:rPr>
          <w:rStyle w:val="FootnoteReference"/>
          <w:rFonts w:ascii="Times New Roman" w:hAnsi="Times New Roman" w:cs="Times New Roman"/>
        </w:rPr>
        <w:footnoteReference w:id="85"/>
      </w:r>
      <w:r w:rsidR="00B37491" w:rsidRPr="008373A2">
        <w:rPr>
          <w:rFonts w:ascii="Times New Roman" w:hAnsi="Times New Roman" w:cs="Times New Roman"/>
        </w:rPr>
        <w:t xml:space="preserve"> especially where </w:t>
      </w:r>
      <w:r w:rsidR="00BE0B55" w:rsidRPr="008373A2">
        <w:rPr>
          <w:rFonts w:ascii="Times New Roman" w:hAnsi="Times New Roman" w:cs="Times New Roman"/>
        </w:rPr>
        <w:t>it is their territory that was being encroached upon</w:t>
      </w:r>
      <w:r w:rsidR="00B37491" w:rsidRPr="008373A2">
        <w:rPr>
          <w:rFonts w:ascii="Times New Roman" w:hAnsi="Times New Roman" w:cs="Times New Roman"/>
        </w:rPr>
        <w:t>.</w:t>
      </w:r>
      <w:r w:rsidR="00042D8C" w:rsidRPr="008373A2">
        <w:rPr>
          <w:rFonts w:ascii="Times New Roman" w:hAnsi="Times New Roman" w:cs="Times New Roman"/>
        </w:rPr>
        <w:t xml:space="preserve"> </w:t>
      </w:r>
    </w:p>
    <w:p w14:paraId="5992916B" w14:textId="66E193D4" w:rsidR="00B37491" w:rsidRPr="008373A2" w:rsidRDefault="00B37491" w:rsidP="00064C83">
      <w:pPr>
        <w:spacing w:line="360" w:lineRule="auto"/>
        <w:jc w:val="both"/>
        <w:rPr>
          <w:rFonts w:ascii="Times New Roman" w:hAnsi="Times New Roman" w:cs="Times New Roman"/>
        </w:rPr>
      </w:pPr>
    </w:p>
    <w:p w14:paraId="76F123AC" w14:textId="1E2F0CBE" w:rsidR="00B37491" w:rsidRPr="008373A2" w:rsidRDefault="00B37491" w:rsidP="00064C83">
      <w:pPr>
        <w:spacing w:line="360" w:lineRule="auto"/>
        <w:jc w:val="both"/>
        <w:rPr>
          <w:rFonts w:ascii="Times New Roman" w:hAnsi="Times New Roman" w:cs="Times New Roman"/>
        </w:rPr>
      </w:pPr>
      <w:r w:rsidRPr="008373A2">
        <w:rPr>
          <w:rFonts w:ascii="Times New Roman" w:hAnsi="Times New Roman" w:cs="Times New Roman"/>
        </w:rPr>
        <w:t xml:space="preserve">This is one way in which the bilateral context of these cases may have made a difference: since </w:t>
      </w:r>
      <w:r w:rsidR="00685EC5" w:rsidRPr="008373A2">
        <w:rPr>
          <w:rFonts w:ascii="Times New Roman" w:hAnsi="Times New Roman" w:cs="Times New Roman"/>
        </w:rPr>
        <w:t>there is an even greater expectation that states will</w:t>
      </w:r>
      <w:r w:rsidRPr="008373A2">
        <w:rPr>
          <w:rFonts w:ascii="Times New Roman" w:hAnsi="Times New Roman" w:cs="Times New Roman"/>
        </w:rPr>
        <w:t xml:space="preserve"> react to apparent violations of international law of which they are the victim, India and Nicaragua’s lack of response strongly suggests an acceptance that the actions were permitted under the new customary rule.</w:t>
      </w:r>
      <w:r w:rsidRPr="008373A2">
        <w:rPr>
          <w:rStyle w:val="FootnoteReference"/>
          <w:rFonts w:ascii="Times New Roman" w:hAnsi="Times New Roman" w:cs="Times New Roman"/>
        </w:rPr>
        <w:footnoteReference w:id="86"/>
      </w:r>
      <w:r w:rsidRPr="008373A2">
        <w:rPr>
          <w:rFonts w:ascii="Times New Roman" w:hAnsi="Times New Roman" w:cs="Times New Roman"/>
        </w:rPr>
        <w:t xml:space="preserve"> However, even in cases involving general customary rules one may expect some negative reactions from other states in response to an apparent violation of international law</w:t>
      </w:r>
      <w:r w:rsidR="00685EC5" w:rsidRPr="008373A2">
        <w:rPr>
          <w:rFonts w:ascii="Times New Roman" w:hAnsi="Times New Roman" w:cs="Times New Roman"/>
        </w:rPr>
        <w:t xml:space="preserve"> against another state</w:t>
      </w:r>
      <w:r w:rsidRPr="008373A2">
        <w:rPr>
          <w:rFonts w:ascii="Times New Roman" w:hAnsi="Times New Roman" w:cs="Times New Roman"/>
        </w:rPr>
        <w:t>.</w:t>
      </w:r>
      <w:r w:rsidRPr="008373A2">
        <w:rPr>
          <w:rStyle w:val="FootnoteReference"/>
          <w:rFonts w:ascii="Times New Roman" w:hAnsi="Times New Roman" w:cs="Times New Roman"/>
        </w:rPr>
        <w:footnoteReference w:id="87"/>
      </w:r>
    </w:p>
    <w:p w14:paraId="613C5E26" w14:textId="77777777" w:rsidR="0002382D" w:rsidRPr="008373A2" w:rsidRDefault="0002382D" w:rsidP="00064C83">
      <w:pPr>
        <w:spacing w:line="360" w:lineRule="auto"/>
        <w:jc w:val="both"/>
        <w:rPr>
          <w:rFonts w:ascii="Times New Roman" w:hAnsi="Times New Roman" w:cs="Times New Roman"/>
        </w:rPr>
      </w:pPr>
    </w:p>
    <w:p w14:paraId="67253313" w14:textId="3E6BFF91" w:rsidR="00871AA9" w:rsidRPr="008373A2" w:rsidRDefault="00042D8C" w:rsidP="00064C83">
      <w:pPr>
        <w:spacing w:line="360" w:lineRule="auto"/>
        <w:jc w:val="both"/>
        <w:rPr>
          <w:rFonts w:ascii="Times New Roman" w:hAnsi="Times New Roman" w:cs="Times New Roman"/>
        </w:rPr>
      </w:pPr>
      <w:r w:rsidRPr="008373A2">
        <w:rPr>
          <w:rFonts w:ascii="Times New Roman" w:hAnsi="Times New Roman" w:cs="Times New Roman"/>
        </w:rPr>
        <w:t xml:space="preserve">By contrast, in </w:t>
      </w:r>
      <w:r w:rsidRPr="008373A2">
        <w:rPr>
          <w:rFonts w:ascii="Times New Roman" w:hAnsi="Times New Roman" w:cs="Times New Roman"/>
          <w:i/>
          <w:iCs/>
        </w:rPr>
        <w:t>Asylum</w:t>
      </w:r>
      <w:r w:rsidRPr="008373A2">
        <w:rPr>
          <w:rFonts w:ascii="Times New Roman" w:hAnsi="Times New Roman" w:cs="Times New Roman"/>
        </w:rPr>
        <w:t xml:space="preserve"> the territorial states were failing to </w:t>
      </w:r>
      <w:r w:rsidR="00EA2A4D" w:rsidRPr="008373A2">
        <w:rPr>
          <w:rFonts w:ascii="Times New Roman" w:hAnsi="Times New Roman" w:cs="Times New Roman"/>
        </w:rPr>
        <w:t>react</w:t>
      </w:r>
      <w:r w:rsidRPr="008373A2">
        <w:rPr>
          <w:rFonts w:ascii="Times New Roman" w:hAnsi="Times New Roman" w:cs="Times New Roman"/>
        </w:rPr>
        <w:t xml:space="preserve"> to qualification</w:t>
      </w:r>
      <w:r w:rsidR="001022F6" w:rsidRPr="008373A2">
        <w:rPr>
          <w:rFonts w:ascii="Times New Roman" w:hAnsi="Times New Roman" w:cs="Times New Roman"/>
        </w:rPr>
        <w:t>s</w:t>
      </w:r>
      <w:r w:rsidRPr="008373A2">
        <w:rPr>
          <w:rFonts w:ascii="Times New Roman" w:hAnsi="Times New Roman" w:cs="Times New Roman"/>
        </w:rPr>
        <w:t xml:space="preserve"> of crime</w:t>
      </w:r>
      <w:r w:rsidR="001022F6" w:rsidRPr="008373A2">
        <w:rPr>
          <w:rFonts w:ascii="Times New Roman" w:hAnsi="Times New Roman" w:cs="Times New Roman"/>
        </w:rPr>
        <w:t>s</w:t>
      </w:r>
      <w:r w:rsidRPr="008373A2">
        <w:rPr>
          <w:rFonts w:ascii="Times New Roman" w:hAnsi="Times New Roman" w:cs="Times New Roman"/>
        </w:rPr>
        <w:t xml:space="preserve"> by asylum-granting state</w:t>
      </w:r>
      <w:r w:rsidR="001022F6" w:rsidRPr="008373A2">
        <w:rPr>
          <w:rFonts w:ascii="Times New Roman" w:hAnsi="Times New Roman" w:cs="Times New Roman"/>
        </w:rPr>
        <w:t xml:space="preserve">s that were </w:t>
      </w:r>
      <w:r w:rsidR="001022F6" w:rsidRPr="008373A2">
        <w:rPr>
          <w:rFonts w:ascii="Times New Roman" w:hAnsi="Times New Roman" w:cs="Times New Roman"/>
          <w:i/>
          <w:iCs/>
        </w:rPr>
        <w:t xml:space="preserve">lawful </w:t>
      </w:r>
      <w:r w:rsidR="001022F6" w:rsidRPr="008373A2">
        <w:rPr>
          <w:rFonts w:ascii="Times New Roman" w:hAnsi="Times New Roman" w:cs="Times New Roman"/>
        </w:rPr>
        <w:t xml:space="preserve">under </w:t>
      </w:r>
      <w:r w:rsidR="00A7603D" w:rsidRPr="008373A2">
        <w:rPr>
          <w:rFonts w:ascii="Times New Roman" w:hAnsi="Times New Roman" w:cs="Times New Roman"/>
        </w:rPr>
        <w:t>the underlying international law rules</w:t>
      </w:r>
      <w:r w:rsidRPr="008373A2">
        <w:rPr>
          <w:rFonts w:ascii="Times New Roman" w:hAnsi="Times New Roman" w:cs="Times New Roman"/>
        </w:rPr>
        <w:t xml:space="preserve">. Under </w:t>
      </w:r>
      <w:r w:rsidR="001022F6" w:rsidRPr="008373A2">
        <w:rPr>
          <w:rFonts w:ascii="Times New Roman" w:hAnsi="Times New Roman" w:cs="Times New Roman"/>
        </w:rPr>
        <w:t>general international</w:t>
      </w:r>
      <w:r w:rsidRPr="008373A2">
        <w:rPr>
          <w:rFonts w:ascii="Times New Roman" w:hAnsi="Times New Roman" w:cs="Times New Roman"/>
        </w:rPr>
        <w:t xml:space="preserve"> law both </w:t>
      </w:r>
      <w:r w:rsidR="00935D0D">
        <w:rPr>
          <w:rFonts w:ascii="Times New Roman" w:hAnsi="Times New Roman" w:cs="Times New Roman"/>
        </w:rPr>
        <w:t xml:space="preserve">the asylum-granting state and the territorial </w:t>
      </w:r>
      <w:r w:rsidRPr="008373A2">
        <w:rPr>
          <w:rFonts w:ascii="Times New Roman" w:hAnsi="Times New Roman" w:cs="Times New Roman"/>
        </w:rPr>
        <w:t xml:space="preserve">state were permitted to make </w:t>
      </w:r>
      <w:r w:rsidR="001022F6" w:rsidRPr="008373A2">
        <w:rPr>
          <w:rFonts w:ascii="Times New Roman" w:hAnsi="Times New Roman" w:cs="Times New Roman"/>
        </w:rPr>
        <w:t>a</w:t>
      </w:r>
      <w:r w:rsidRPr="008373A2">
        <w:rPr>
          <w:rFonts w:ascii="Times New Roman" w:hAnsi="Times New Roman" w:cs="Times New Roman"/>
        </w:rPr>
        <w:t xml:space="preserve"> qualification</w:t>
      </w:r>
      <w:r w:rsidR="00B37491" w:rsidRPr="008373A2">
        <w:rPr>
          <w:rFonts w:ascii="Times New Roman" w:hAnsi="Times New Roman" w:cs="Times New Roman"/>
        </w:rPr>
        <w:t xml:space="preserve"> as to the nature of the crime</w:t>
      </w:r>
      <w:r w:rsidRPr="008373A2">
        <w:rPr>
          <w:rFonts w:ascii="Times New Roman" w:hAnsi="Times New Roman" w:cs="Times New Roman"/>
        </w:rPr>
        <w:t xml:space="preserve">, even if the territorial state believed it was wrong and </w:t>
      </w:r>
      <w:r w:rsidR="00D472A3" w:rsidRPr="008373A2">
        <w:rPr>
          <w:rFonts w:ascii="Times New Roman" w:hAnsi="Times New Roman" w:cs="Times New Roman"/>
        </w:rPr>
        <w:t>went on to challenge that qualification</w:t>
      </w:r>
      <w:r w:rsidRPr="008373A2">
        <w:rPr>
          <w:rFonts w:ascii="Times New Roman" w:hAnsi="Times New Roman" w:cs="Times New Roman"/>
        </w:rPr>
        <w:t xml:space="preserve">. As a result, it </w:t>
      </w:r>
      <w:r w:rsidR="008150DE" w:rsidRPr="008373A2">
        <w:rPr>
          <w:rFonts w:ascii="Times New Roman" w:hAnsi="Times New Roman" w:cs="Times New Roman"/>
        </w:rPr>
        <w:t>wa</w:t>
      </w:r>
      <w:r w:rsidRPr="008373A2">
        <w:rPr>
          <w:rFonts w:ascii="Times New Roman" w:hAnsi="Times New Roman" w:cs="Times New Roman"/>
        </w:rPr>
        <w:t>s not to be expected that the territorial state</w:t>
      </w:r>
      <w:r w:rsidR="00B452CA">
        <w:rPr>
          <w:rFonts w:ascii="Times New Roman" w:hAnsi="Times New Roman" w:cs="Times New Roman"/>
        </w:rPr>
        <w:t>s</w:t>
      </w:r>
      <w:r w:rsidRPr="008373A2">
        <w:rPr>
          <w:rFonts w:ascii="Times New Roman" w:hAnsi="Times New Roman" w:cs="Times New Roman"/>
        </w:rPr>
        <w:t xml:space="preserve"> would object to every qualification </w:t>
      </w:r>
      <w:r w:rsidR="009C0C2D">
        <w:rPr>
          <w:rFonts w:ascii="Times New Roman" w:hAnsi="Times New Roman" w:cs="Times New Roman"/>
        </w:rPr>
        <w:t xml:space="preserve">made </w:t>
      </w:r>
      <w:r w:rsidRPr="008373A2">
        <w:rPr>
          <w:rFonts w:ascii="Times New Roman" w:hAnsi="Times New Roman" w:cs="Times New Roman"/>
        </w:rPr>
        <w:t>by an asylum-granting state</w:t>
      </w:r>
      <w:r w:rsidR="008150DE" w:rsidRPr="008373A2">
        <w:rPr>
          <w:rFonts w:ascii="Times New Roman" w:hAnsi="Times New Roman" w:cs="Times New Roman"/>
        </w:rPr>
        <w:t xml:space="preserve"> and </w:t>
      </w:r>
      <w:r w:rsidR="00B37491" w:rsidRPr="008373A2">
        <w:rPr>
          <w:rFonts w:ascii="Times New Roman" w:hAnsi="Times New Roman" w:cs="Times New Roman"/>
        </w:rPr>
        <w:t xml:space="preserve">so </w:t>
      </w:r>
      <w:r w:rsidR="008150DE" w:rsidRPr="008373A2">
        <w:rPr>
          <w:rFonts w:ascii="Times New Roman" w:hAnsi="Times New Roman" w:cs="Times New Roman"/>
        </w:rPr>
        <w:t>no conclusion could be drawn from their failure to do so</w:t>
      </w:r>
      <w:r w:rsidRPr="008373A2">
        <w:rPr>
          <w:rFonts w:ascii="Times New Roman" w:hAnsi="Times New Roman" w:cs="Times New Roman"/>
        </w:rPr>
        <w:t xml:space="preserve">. As the Court pointed out, the </w:t>
      </w:r>
      <w:r w:rsidR="00685EC5" w:rsidRPr="008373A2">
        <w:rPr>
          <w:rFonts w:ascii="Times New Roman" w:hAnsi="Times New Roman" w:cs="Times New Roman"/>
        </w:rPr>
        <w:t xml:space="preserve">omission </w:t>
      </w:r>
      <w:r w:rsidRPr="008373A2">
        <w:rPr>
          <w:rFonts w:ascii="Times New Roman" w:hAnsi="Times New Roman" w:cs="Times New Roman"/>
        </w:rPr>
        <w:t xml:space="preserve">to challenge the qualification could be for </w:t>
      </w:r>
      <w:proofErr w:type="gramStart"/>
      <w:r w:rsidRPr="008373A2">
        <w:rPr>
          <w:rFonts w:ascii="Times New Roman" w:hAnsi="Times New Roman" w:cs="Times New Roman"/>
        </w:rPr>
        <w:t>a number of</w:t>
      </w:r>
      <w:proofErr w:type="gramEnd"/>
      <w:r w:rsidRPr="008373A2">
        <w:rPr>
          <w:rFonts w:ascii="Times New Roman" w:hAnsi="Times New Roman" w:cs="Times New Roman"/>
        </w:rPr>
        <w:t xml:space="preserve"> reasons consistent with </w:t>
      </w:r>
      <w:r w:rsidR="00A7603D" w:rsidRPr="008373A2">
        <w:rPr>
          <w:rFonts w:ascii="Times New Roman" w:hAnsi="Times New Roman" w:cs="Times New Roman"/>
        </w:rPr>
        <w:t>the underlying international law rules</w:t>
      </w:r>
      <w:r w:rsidRPr="008373A2">
        <w:rPr>
          <w:rFonts w:ascii="Times New Roman" w:hAnsi="Times New Roman" w:cs="Times New Roman"/>
        </w:rPr>
        <w:t xml:space="preserve">, not necessarily because the territorial state had accepted as law the </w:t>
      </w:r>
      <w:r w:rsidR="00845FE2" w:rsidRPr="008373A2">
        <w:rPr>
          <w:rFonts w:ascii="Times New Roman" w:hAnsi="Times New Roman" w:cs="Times New Roman"/>
        </w:rPr>
        <w:t xml:space="preserve">alleged </w:t>
      </w:r>
      <w:r w:rsidRPr="008373A2">
        <w:rPr>
          <w:rFonts w:ascii="Times New Roman" w:hAnsi="Times New Roman" w:cs="Times New Roman"/>
        </w:rPr>
        <w:t xml:space="preserve">new customary prohibition </w:t>
      </w:r>
      <w:r w:rsidR="001C3DDF" w:rsidRPr="008373A2">
        <w:rPr>
          <w:rFonts w:ascii="Times New Roman" w:hAnsi="Times New Roman" w:cs="Times New Roman"/>
        </w:rPr>
        <w:t xml:space="preserve">on such </w:t>
      </w:r>
      <w:r w:rsidR="00C24D2E">
        <w:rPr>
          <w:rFonts w:ascii="Times New Roman" w:hAnsi="Times New Roman" w:cs="Times New Roman"/>
        </w:rPr>
        <w:t>challenges</w:t>
      </w:r>
      <w:r w:rsidR="001C3DDF" w:rsidRPr="008373A2">
        <w:rPr>
          <w:rFonts w:ascii="Times New Roman" w:hAnsi="Times New Roman" w:cs="Times New Roman"/>
        </w:rPr>
        <w:t xml:space="preserve"> </w:t>
      </w:r>
      <w:r w:rsidR="00685EC5" w:rsidRPr="008373A2">
        <w:rPr>
          <w:rFonts w:ascii="Times New Roman" w:hAnsi="Times New Roman" w:cs="Times New Roman"/>
        </w:rPr>
        <w:t xml:space="preserve">that was </w:t>
      </w:r>
      <w:r w:rsidRPr="008373A2">
        <w:rPr>
          <w:rFonts w:ascii="Times New Roman" w:hAnsi="Times New Roman" w:cs="Times New Roman"/>
        </w:rPr>
        <w:t xml:space="preserve">advanced by Colombia. </w:t>
      </w:r>
    </w:p>
    <w:p w14:paraId="44D737AD" w14:textId="7A936D68" w:rsidR="00871AA9" w:rsidRPr="00437B04" w:rsidRDefault="00871AA9" w:rsidP="00064C83">
      <w:pPr>
        <w:spacing w:line="360" w:lineRule="auto"/>
        <w:jc w:val="both"/>
        <w:rPr>
          <w:rFonts w:ascii="Times New Roman" w:hAnsi="Times New Roman" w:cs="Times New Roman"/>
          <w:b/>
          <w:bCs/>
          <w:i/>
          <w:iCs/>
        </w:rPr>
      </w:pPr>
    </w:p>
    <w:p w14:paraId="04D9180F" w14:textId="6403B4A4" w:rsidR="00A7099F" w:rsidRPr="00437B04" w:rsidRDefault="00A7099F" w:rsidP="00437B04">
      <w:pPr>
        <w:pStyle w:val="ListParagraph"/>
        <w:numPr>
          <w:ilvl w:val="0"/>
          <w:numId w:val="11"/>
        </w:numPr>
        <w:spacing w:line="360" w:lineRule="auto"/>
        <w:jc w:val="both"/>
        <w:rPr>
          <w:rFonts w:ascii="Times New Roman" w:hAnsi="Times New Roman" w:cs="Times New Roman"/>
          <w:b/>
          <w:bCs/>
          <w:i/>
          <w:iCs/>
        </w:rPr>
      </w:pPr>
      <w:r w:rsidRPr="00437B04">
        <w:rPr>
          <w:rFonts w:ascii="Times New Roman" w:hAnsi="Times New Roman" w:cs="Times New Roman"/>
          <w:b/>
          <w:bCs/>
          <w:i/>
          <w:iCs/>
        </w:rPr>
        <w:t xml:space="preserve">Inferring </w:t>
      </w:r>
      <w:r w:rsidR="004F2D24">
        <w:rPr>
          <w:rFonts w:ascii="Times New Roman" w:hAnsi="Times New Roman" w:cs="Times New Roman"/>
          <w:b/>
          <w:bCs/>
        </w:rPr>
        <w:t>O</w:t>
      </w:r>
      <w:r w:rsidRPr="00437B04">
        <w:rPr>
          <w:rFonts w:ascii="Times New Roman" w:hAnsi="Times New Roman" w:cs="Times New Roman"/>
          <w:b/>
          <w:bCs/>
        </w:rPr>
        <w:t xml:space="preserve">pinio </w:t>
      </w:r>
      <w:r w:rsidR="004F2D24">
        <w:rPr>
          <w:rFonts w:ascii="Times New Roman" w:hAnsi="Times New Roman" w:cs="Times New Roman"/>
          <w:b/>
          <w:bCs/>
        </w:rPr>
        <w:t>J</w:t>
      </w:r>
      <w:r w:rsidRPr="00437B04">
        <w:rPr>
          <w:rFonts w:ascii="Times New Roman" w:hAnsi="Times New Roman" w:cs="Times New Roman"/>
          <w:b/>
          <w:bCs/>
        </w:rPr>
        <w:t>uris</w:t>
      </w:r>
      <w:r w:rsidRPr="00437B04">
        <w:rPr>
          <w:rFonts w:ascii="Times New Roman" w:hAnsi="Times New Roman" w:cs="Times New Roman"/>
          <w:b/>
          <w:bCs/>
          <w:i/>
          <w:iCs/>
        </w:rPr>
        <w:t xml:space="preserve"> from </w:t>
      </w:r>
      <w:r w:rsidR="004F2D24">
        <w:rPr>
          <w:rFonts w:ascii="Times New Roman" w:hAnsi="Times New Roman" w:cs="Times New Roman"/>
          <w:b/>
          <w:bCs/>
          <w:i/>
          <w:iCs/>
        </w:rPr>
        <w:t>S</w:t>
      </w:r>
      <w:r w:rsidRPr="00437B04">
        <w:rPr>
          <w:rFonts w:ascii="Times New Roman" w:hAnsi="Times New Roman" w:cs="Times New Roman"/>
          <w:b/>
          <w:bCs/>
          <w:i/>
          <w:iCs/>
        </w:rPr>
        <w:t>tate</w:t>
      </w:r>
      <w:r w:rsidR="00A77FAF" w:rsidRPr="00437B04">
        <w:rPr>
          <w:rFonts w:ascii="Times New Roman" w:hAnsi="Times New Roman" w:cs="Times New Roman"/>
          <w:b/>
          <w:bCs/>
          <w:i/>
          <w:iCs/>
        </w:rPr>
        <w:t xml:space="preserve"> </w:t>
      </w:r>
      <w:r w:rsidR="004F2D24">
        <w:rPr>
          <w:rFonts w:ascii="Times New Roman" w:hAnsi="Times New Roman" w:cs="Times New Roman"/>
          <w:b/>
          <w:bCs/>
          <w:i/>
          <w:iCs/>
        </w:rPr>
        <w:t>A</w:t>
      </w:r>
      <w:r w:rsidR="00A77FAF" w:rsidRPr="00437B04">
        <w:rPr>
          <w:rFonts w:ascii="Times New Roman" w:hAnsi="Times New Roman" w:cs="Times New Roman"/>
          <w:b/>
          <w:bCs/>
          <w:i/>
          <w:iCs/>
        </w:rPr>
        <w:t>ction</w:t>
      </w:r>
    </w:p>
    <w:p w14:paraId="25E6CA10" w14:textId="0C15EFBA" w:rsidR="00A7099F" w:rsidRPr="008373A2" w:rsidRDefault="00A7099F" w:rsidP="00064C83">
      <w:pPr>
        <w:spacing w:line="360" w:lineRule="auto"/>
        <w:jc w:val="both"/>
        <w:rPr>
          <w:rFonts w:ascii="Times New Roman" w:hAnsi="Times New Roman" w:cs="Times New Roman"/>
        </w:rPr>
      </w:pPr>
    </w:p>
    <w:p w14:paraId="6809EF9C" w14:textId="5DC60501" w:rsidR="00FF7CCF" w:rsidRDefault="00A7099F" w:rsidP="004F407A">
      <w:pPr>
        <w:spacing w:line="360" w:lineRule="auto"/>
        <w:jc w:val="both"/>
        <w:rPr>
          <w:rFonts w:ascii="Times New Roman" w:hAnsi="Times New Roman" w:cs="Times New Roman"/>
        </w:rPr>
      </w:pPr>
      <w:r w:rsidRPr="008373A2">
        <w:rPr>
          <w:rFonts w:ascii="Times New Roman" w:hAnsi="Times New Roman" w:cs="Times New Roman"/>
        </w:rPr>
        <w:lastRenderedPageBreak/>
        <w:t>The more difficult question concerns</w:t>
      </w:r>
      <w:r w:rsidR="004F407A" w:rsidRPr="008373A2">
        <w:rPr>
          <w:rFonts w:ascii="Times New Roman" w:hAnsi="Times New Roman" w:cs="Times New Roman"/>
        </w:rPr>
        <w:t xml:space="preserve"> the missing </w:t>
      </w:r>
      <w:r w:rsidR="004F407A" w:rsidRPr="008373A2">
        <w:rPr>
          <w:rFonts w:ascii="Times New Roman" w:hAnsi="Times New Roman" w:cs="Times New Roman"/>
          <w:i/>
          <w:iCs/>
        </w:rPr>
        <w:t>opinio juris</w:t>
      </w:r>
      <w:r w:rsidR="004F407A" w:rsidRPr="008373A2">
        <w:rPr>
          <w:rFonts w:ascii="Times New Roman" w:hAnsi="Times New Roman" w:cs="Times New Roman"/>
        </w:rPr>
        <w:t xml:space="preserve"> of the acting states, </w:t>
      </w:r>
      <w:proofErr w:type="gramStart"/>
      <w:r w:rsidR="004F407A" w:rsidRPr="008373A2">
        <w:rPr>
          <w:rFonts w:ascii="Times New Roman" w:hAnsi="Times New Roman" w:cs="Times New Roman"/>
        </w:rPr>
        <w:t>Portugal</w:t>
      </w:r>
      <w:proofErr w:type="gramEnd"/>
      <w:r w:rsidR="004F407A" w:rsidRPr="008373A2">
        <w:rPr>
          <w:rFonts w:ascii="Times New Roman" w:hAnsi="Times New Roman" w:cs="Times New Roman"/>
        </w:rPr>
        <w:t xml:space="preserve"> and Costa Rica</w:t>
      </w:r>
      <w:r w:rsidRPr="008373A2">
        <w:rPr>
          <w:rFonts w:ascii="Times New Roman" w:hAnsi="Times New Roman" w:cs="Times New Roman"/>
        </w:rPr>
        <w:t>.</w:t>
      </w:r>
      <w:r w:rsidR="00FF7CCF">
        <w:rPr>
          <w:rFonts w:ascii="Times New Roman" w:hAnsi="Times New Roman" w:cs="Times New Roman"/>
        </w:rPr>
        <w:t xml:space="preserve"> </w:t>
      </w:r>
      <w:r w:rsidR="00FF7CCF" w:rsidRPr="008373A2">
        <w:rPr>
          <w:rFonts w:ascii="Times New Roman" w:eastAsia="Times New Roman" w:hAnsi="Times New Roman" w:cs="Times New Roman"/>
          <w:lang w:eastAsia="en-GB"/>
        </w:rPr>
        <w:t xml:space="preserve">In both cases it appears that the Court has inferred the acting state’s </w:t>
      </w:r>
      <w:r w:rsidR="00FF7CCF" w:rsidRPr="000D25E3">
        <w:rPr>
          <w:rFonts w:ascii="Times New Roman" w:eastAsia="Times New Roman" w:hAnsi="Times New Roman" w:cs="Times New Roman"/>
          <w:i/>
          <w:iCs/>
          <w:lang w:eastAsia="en-GB"/>
        </w:rPr>
        <w:t xml:space="preserve">opinio juris </w:t>
      </w:r>
      <w:r w:rsidR="00FF7CCF" w:rsidRPr="008373A2">
        <w:rPr>
          <w:rFonts w:ascii="Times New Roman" w:eastAsia="Times New Roman" w:hAnsi="Times New Roman" w:cs="Times New Roman"/>
          <w:lang w:eastAsia="en-GB"/>
        </w:rPr>
        <w:t xml:space="preserve">for a new customary </w:t>
      </w:r>
      <w:r w:rsidR="003D76AA">
        <w:rPr>
          <w:rFonts w:ascii="Times New Roman" w:eastAsia="Times New Roman" w:hAnsi="Times New Roman" w:cs="Times New Roman"/>
          <w:lang w:eastAsia="en-GB"/>
        </w:rPr>
        <w:t xml:space="preserve">international law </w:t>
      </w:r>
      <w:r w:rsidR="00FF7CCF" w:rsidRPr="008373A2">
        <w:rPr>
          <w:rFonts w:ascii="Times New Roman" w:eastAsia="Times New Roman" w:hAnsi="Times New Roman" w:cs="Times New Roman"/>
          <w:lang w:eastAsia="en-GB"/>
        </w:rPr>
        <w:t>rule from the fact that that state has engaged in consistent practice supportive of that new rule.</w:t>
      </w:r>
      <w:r w:rsidR="004F407A" w:rsidRPr="008373A2">
        <w:rPr>
          <w:rFonts w:ascii="Times New Roman" w:hAnsi="Times New Roman" w:cs="Times New Roman"/>
        </w:rPr>
        <w:t xml:space="preserve"> </w:t>
      </w:r>
    </w:p>
    <w:p w14:paraId="32441CCD" w14:textId="77777777" w:rsidR="00FF7CCF" w:rsidRDefault="00FF7CCF" w:rsidP="004F407A">
      <w:pPr>
        <w:spacing w:line="360" w:lineRule="auto"/>
        <w:jc w:val="both"/>
        <w:rPr>
          <w:rFonts w:ascii="Times New Roman" w:hAnsi="Times New Roman" w:cs="Times New Roman"/>
        </w:rPr>
      </w:pPr>
    </w:p>
    <w:p w14:paraId="294E4BAD" w14:textId="1FA2A98F" w:rsidR="004F407A" w:rsidRPr="008373A2" w:rsidRDefault="00A7099F" w:rsidP="004F407A">
      <w:pPr>
        <w:spacing w:line="360" w:lineRule="auto"/>
        <w:jc w:val="both"/>
        <w:rPr>
          <w:rFonts w:ascii="Times New Roman" w:hAnsi="Times New Roman" w:cs="Times New Roman"/>
        </w:rPr>
      </w:pPr>
      <w:r w:rsidRPr="008373A2">
        <w:rPr>
          <w:rFonts w:ascii="Times New Roman" w:hAnsi="Times New Roman" w:cs="Times New Roman"/>
        </w:rPr>
        <w:t>I</w:t>
      </w:r>
      <w:r w:rsidR="004F407A" w:rsidRPr="008373A2">
        <w:rPr>
          <w:rFonts w:ascii="Times New Roman" w:hAnsi="Times New Roman" w:cs="Times New Roman"/>
        </w:rPr>
        <w:t>t is clear that</w:t>
      </w:r>
      <w:r w:rsidR="00524863">
        <w:rPr>
          <w:rFonts w:ascii="Times New Roman" w:hAnsi="Times New Roman" w:cs="Times New Roman"/>
        </w:rPr>
        <w:t xml:space="preserve"> in certain circumstances</w:t>
      </w:r>
      <w:r w:rsidR="004F407A" w:rsidRPr="008373A2">
        <w:rPr>
          <w:rFonts w:ascii="Times New Roman" w:hAnsi="Times New Roman" w:cs="Times New Roman"/>
        </w:rPr>
        <w:t xml:space="preserve"> </w:t>
      </w:r>
      <w:r w:rsidR="004F407A" w:rsidRPr="008373A2">
        <w:rPr>
          <w:rFonts w:ascii="Times New Roman" w:hAnsi="Times New Roman" w:cs="Times New Roman"/>
          <w:i/>
          <w:iCs/>
        </w:rPr>
        <w:t>opinio juris</w:t>
      </w:r>
      <w:r w:rsidR="004F407A" w:rsidRPr="008373A2">
        <w:rPr>
          <w:rFonts w:ascii="Times New Roman" w:hAnsi="Times New Roman" w:cs="Times New Roman"/>
        </w:rPr>
        <w:t xml:space="preserve"> can</w:t>
      </w:r>
      <w:r w:rsidR="00956EB1">
        <w:rPr>
          <w:rFonts w:ascii="Times New Roman" w:hAnsi="Times New Roman" w:cs="Times New Roman"/>
        </w:rPr>
        <w:t xml:space="preserve"> </w:t>
      </w:r>
      <w:r w:rsidR="004F407A" w:rsidRPr="008373A2">
        <w:rPr>
          <w:rFonts w:ascii="Times New Roman" w:hAnsi="Times New Roman" w:cs="Times New Roman"/>
        </w:rPr>
        <w:t>be inferred from a state’s conduct.</w:t>
      </w:r>
      <w:r w:rsidR="004F407A" w:rsidRPr="008373A2">
        <w:rPr>
          <w:rStyle w:val="FootnoteReference"/>
          <w:rFonts w:ascii="Times New Roman" w:hAnsi="Times New Roman" w:cs="Times New Roman"/>
        </w:rPr>
        <w:footnoteReference w:id="88"/>
      </w:r>
      <w:r w:rsidR="004F407A" w:rsidRPr="008373A2">
        <w:rPr>
          <w:rFonts w:ascii="Times New Roman" w:hAnsi="Times New Roman" w:cs="Times New Roman"/>
        </w:rPr>
        <w:t xml:space="preserve"> For example, if a state makes a report to the Security Council under Article 51 of the UN Charter, this must imply acceptance by that state that the customary right of self-defence extends to the kind of situation at hand.</w:t>
      </w:r>
      <w:r w:rsidR="00887D1C">
        <w:rPr>
          <w:rStyle w:val="FootnoteReference"/>
          <w:rFonts w:ascii="Times New Roman" w:hAnsi="Times New Roman" w:cs="Times New Roman"/>
        </w:rPr>
        <w:footnoteReference w:id="89"/>
      </w:r>
      <w:r w:rsidR="004F407A" w:rsidRPr="008373A2">
        <w:rPr>
          <w:rFonts w:ascii="Times New Roman" w:hAnsi="Times New Roman" w:cs="Times New Roman"/>
        </w:rPr>
        <w:t xml:space="preserve"> The difficulty is where the same conduct by states provides both state practice and </w:t>
      </w:r>
      <w:r w:rsidR="004F407A" w:rsidRPr="008373A2">
        <w:rPr>
          <w:rFonts w:ascii="Times New Roman" w:hAnsi="Times New Roman" w:cs="Times New Roman"/>
          <w:i/>
          <w:iCs/>
        </w:rPr>
        <w:t xml:space="preserve">sufficient </w:t>
      </w:r>
      <w:r w:rsidR="004F407A" w:rsidRPr="008373A2">
        <w:rPr>
          <w:rFonts w:ascii="Times New Roman" w:hAnsi="Times New Roman" w:cs="Times New Roman"/>
        </w:rPr>
        <w:t xml:space="preserve">evidence </w:t>
      </w:r>
      <w:r w:rsidR="006450B7" w:rsidRPr="008373A2">
        <w:rPr>
          <w:rFonts w:ascii="Times New Roman" w:hAnsi="Times New Roman" w:cs="Times New Roman"/>
        </w:rPr>
        <w:t xml:space="preserve">of </w:t>
      </w:r>
      <w:r w:rsidR="006450B7" w:rsidRPr="00437B04">
        <w:rPr>
          <w:rFonts w:ascii="Times New Roman" w:hAnsi="Times New Roman" w:cs="Times New Roman"/>
          <w:i/>
          <w:iCs/>
        </w:rPr>
        <w:t>opinio juris</w:t>
      </w:r>
      <w:r w:rsidR="006450B7" w:rsidRPr="008373A2">
        <w:rPr>
          <w:rFonts w:ascii="Times New Roman" w:hAnsi="Times New Roman" w:cs="Times New Roman"/>
        </w:rPr>
        <w:t>, and is thereby concluded to be lawful under customary international law</w:t>
      </w:r>
      <w:r w:rsidR="004F407A" w:rsidRPr="008373A2">
        <w:rPr>
          <w:rFonts w:ascii="Times New Roman" w:hAnsi="Times New Roman" w:cs="Times New Roman"/>
        </w:rPr>
        <w:t xml:space="preserve">. </w:t>
      </w:r>
      <w:r w:rsidR="00826217">
        <w:rPr>
          <w:rFonts w:ascii="Times New Roman" w:hAnsi="Times New Roman" w:cs="Times New Roman"/>
        </w:rPr>
        <w:t>If this were possible</w:t>
      </w:r>
      <w:r w:rsidR="004F407A" w:rsidRPr="008373A2">
        <w:rPr>
          <w:rFonts w:ascii="Times New Roman" w:hAnsi="Times New Roman" w:cs="Times New Roman"/>
        </w:rPr>
        <w:t xml:space="preserve">, there </w:t>
      </w:r>
      <w:r w:rsidR="00826217">
        <w:rPr>
          <w:rFonts w:ascii="Times New Roman" w:hAnsi="Times New Roman" w:cs="Times New Roman"/>
        </w:rPr>
        <w:t>would be</w:t>
      </w:r>
      <w:r w:rsidR="004F407A" w:rsidRPr="008373A2">
        <w:rPr>
          <w:rFonts w:ascii="Times New Roman" w:hAnsi="Times New Roman" w:cs="Times New Roman"/>
        </w:rPr>
        <w:t xml:space="preserve"> a clear risk of a circular argument developing, whereby the mere fact an act has been committed leads to the conclusion that it is lawful. </w:t>
      </w:r>
      <w:proofErr w:type="gramStart"/>
      <w:r w:rsidR="004F407A" w:rsidRPr="008373A2">
        <w:rPr>
          <w:rFonts w:ascii="Times New Roman" w:hAnsi="Times New Roman" w:cs="Times New Roman"/>
        </w:rPr>
        <w:t>Thus</w:t>
      </w:r>
      <w:proofErr w:type="gramEnd"/>
      <w:r w:rsidR="004F407A" w:rsidRPr="008373A2">
        <w:rPr>
          <w:rFonts w:ascii="Times New Roman" w:hAnsi="Times New Roman" w:cs="Times New Roman"/>
        </w:rPr>
        <w:t xml:space="preserve"> the ILC rightly observes that ‘the existence of one element may not be deduced merely from the existence of the other’.</w:t>
      </w:r>
      <w:r w:rsidR="004F407A" w:rsidRPr="008373A2">
        <w:rPr>
          <w:rStyle w:val="FootnoteReference"/>
          <w:rFonts w:ascii="Times New Roman" w:hAnsi="Times New Roman" w:cs="Times New Roman"/>
        </w:rPr>
        <w:footnoteReference w:id="90"/>
      </w:r>
    </w:p>
    <w:p w14:paraId="3BB9EA0A" w14:textId="77777777" w:rsidR="004F407A" w:rsidRPr="008373A2" w:rsidRDefault="004F407A" w:rsidP="004F407A">
      <w:pPr>
        <w:spacing w:line="360" w:lineRule="auto"/>
        <w:jc w:val="both"/>
        <w:rPr>
          <w:rFonts w:ascii="Times New Roman" w:hAnsi="Times New Roman" w:cs="Times New Roman"/>
        </w:rPr>
      </w:pPr>
    </w:p>
    <w:p w14:paraId="66545254" w14:textId="122FEC72" w:rsidR="004F407A" w:rsidRPr="008373A2" w:rsidRDefault="004F407A" w:rsidP="004F407A">
      <w:pPr>
        <w:spacing w:line="360" w:lineRule="auto"/>
        <w:jc w:val="both"/>
        <w:rPr>
          <w:rFonts w:ascii="Times New Roman" w:hAnsi="Times New Roman" w:cs="Times New Roman"/>
        </w:rPr>
      </w:pPr>
      <w:r w:rsidRPr="008373A2">
        <w:rPr>
          <w:rFonts w:ascii="Times New Roman" w:hAnsi="Times New Roman" w:cs="Times New Roman"/>
        </w:rPr>
        <w:t xml:space="preserve">Yet, while mere adherence to a practice will not suffice to establish </w:t>
      </w:r>
      <w:r w:rsidRPr="008373A2">
        <w:rPr>
          <w:rFonts w:ascii="Times New Roman" w:hAnsi="Times New Roman" w:cs="Times New Roman"/>
          <w:i/>
          <w:iCs/>
        </w:rPr>
        <w:t>opinio juris</w:t>
      </w:r>
      <w:r w:rsidRPr="008373A2">
        <w:rPr>
          <w:rFonts w:ascii="Times New Roman" w:hAnsi="Times New Roman" w:cs="Times New Roman"/>
        </w:rPr>
        <w:t xml:space="preserve">, the fact states have engaged in a practice may contribute, alongside some additional element(s), to a conclusion that </w:t>
      </w:r>
      <w:r w:rsidRPr="008373A2">
        <w:rPr>
          <w:rFonts w:ascii="Times New Roman" w:hAnsi="Times New Roman" w:cs="Times New Roman"/>
          <w:i/>
          <w:iCs/>
        </w:rPr>
        <w:t>opinio juris</w:t>
      </w:r>
      <w:r w:rsidRPr="008373A2">
        <w:rPr>
          <w:rFonts w:ascii="Times New Roman" w:hAnsi="Times New Roman" w:cs="Times New Roman"/>
        </w:rPr>
        <w:t xml:space="preserve"> for the practice is present. This avoids the potential problem of ‘double counting’ the same act as being sufficient to fulfil both elements</w:t>
      </w:r>
      <w:r w:rsidR="001C7304">
        <w:rPr>
          <w:rFonts w:ascii="Times New Roman" w:hAnsi="Times New Roman" w:cs="Times New Roman"/>
        </w:rPr>
        <w:t xml:space="preserve"> of the two-element test</w:t>
      </w:r>
      <w:r w:rsidRPr="008373A2">
        <w:rPr>
          <w:rFonts w:ascii="Times New Roman" w:hAnsi="Times New Roman" w:cs="Times New Roman"/>
        </w:rPr>
        <w:t xml:space="preserve">, but equally avoids the risk of </w:t>
      </w:r>
      <w:r w:rsidRPr="008373A2">
        <w:rPr>
          <w:rFonts w:ascii="Times New Roman" w:hAnsi="Times New Roman" w:cs="Times New Roman"/>
          <w:i/>
          <w:iCs/>
        </w:rPr>
        <w:t>under-counting</w:t>
      </w:r>
      <w:r w:rsidRPr="008373A2">
        <w:rPr>
          <w:rFonts w:ascii="Times New Roman" w:hAnsi="Times New Roman" w:cs="Times New Roman"/>
        </w:rPr>
        <w:t xml:space="preserve"> the behaviour of states, which must be able, at least in some circumstances, to contribute to our understanding of whether they accept that international law allows that behaviour.</w:t>
      </w:r>
      <w:r w:rsidRPr="008373A2">
        <w:rPr>
          <w:rStyle w:val="FootnoteReference"/>
          <w:rFonts w:ascii="Times New Roman" w:hAnsi="Times New Roman" w:cs="Times New Roman"/>
        </w:rPr>
        <w:footnoteReference w:id="91"/>
      </w:r>
      <w:r w:rsidRPr="008373A2">
        <w:rPr>
          <w:rFonts w:ascii="Times New Roman" w:hAnsi="Times New Roman" w:cs="Times New Roman"/>
        </w:rPr>
        <w:t xml:space="preserve"> This additional element may be provided by the nature and context of the alleged customary rule being identified, and taking them into account can explain the reasoning in both </w:t>
      </w:r>
      <w:r w:rsidRPr="008373A2">
        <w:rPr>
          <w:rFonts w:ascii="Times New Roman" w:hAnsi="Times New Roman" w:cs="Times New Roman"/>
          <w:i/>
          <w:iCs/>
        </w:rPr>
        <w:t>Right of Passage</w:t>
      </w:r>
      <w:r w:rsidRPr="008373A2">
        <w:rPr>
          <w:rFonts w:ascii="Times New Roman" w:hAnsi="Times New Roman" w:cs="Times New Roman"/>
        </w:rPr>
        <w:t xml:space="preserve"> and </w:t>
      </w:r>
      <w:r w:rsidRPr="008373A2">
        <w:rPr>
          <w:rFonts w:ascii="Times New Roman" w:hAnsi="Times New Roman" w:cs="Times New Roman"/>
          <w:i/>
          <w:iCs/>
        </w:rPr>
        <w:t>Navigational and Related Rights</w:t>
      </w:r>
      <w:r w:rsidRPr="008373A2">
        <w:rPr>
          <w:rFonts w:ascii="Times New Roman" w:hAnsi="Times New Roman" w:cs="Times New Roman"/>
        </w:rPr>
        <w:t>, and why it differed from the prohibitive and prescriptive rule cases analysed previously.</w:t>
      </w:r>
    </w:p>
    <w:p w14:paraId="4BE75268" w14:textId="77777777" w:rsidR="004F407A" w:rsidRPr="008373A2" w:rsidRDefault="004F407A" w:rsidP="004F407A">
      <w:pPr>
        <w:spacing w:line="360" w:lineRule="auto"/>
        <w:jc w:val="both"/>
        <w:rPr>
          <w:rFonts w:ascii="Times New Roman" w:hAnsi="Times New Roman" w:cs="Times New Roman"/>
        </w:rPr>
      </w:pPr>
    </w:p>
    <w:p w14:paraId="04513D39" w14:textId="085193A8" w:rsidR="004F407A" w:rsidRPr="008373A2" w:rsidRDefault="004F407A" w:rsidP="004F407A">
      <w:pPr>
        <w:spacing w:line="360" w:lineRule="auto"/>
        <w:jc w:val="both"/>
        <w:rPr>
          <w:rFonts w:ascii="Times New Roman" w:hAnsi="Times New Roman" w:cs="Times New Roman"/>
        </w:rPr>
      </w:pPr>
      <w:r w:rsidRPr="008373A2">
        <w:rPr>
          <w:rFonts w:ascii="Times New Roman" w:hAnsi="Times New Roman" w:cs="Times New Roman"/>
        </w:rPr>
        <w:t xml:space="preserve">In </w:t>
      </w:r>
      <w:r w:rsidRPr="008373A2">
        <w:rPr>
          <w:rFonts w:ascii="Times New Roman" w:hAnsi="Times New Roman" w:cs="Times New Roman"/>
          <w:i/>
          <w:iCs/>
        </w:rPr>
        <w:t>North Sea</w:t>
      </w:r>
      <w:r w:rsidRPr="008373A2">
        <w:rPr>
          <w:rFonts w:ascii="Times New Roman" w:hAnsi="Times New Roman" w:cs="Times New Roman"/>
        </w:rPr>
        <w:t xml:space="preserve"> the Court was quite right to observe that ‘acting, or agreeing to act in a certain way, does not of itself demonstrate anything of a juridical nature’ as the practice in that case was ambiguous. It was consistent with both the underlying international law and the alleged new customary rule. As a result, it would not be possible to conclude based on the practice that </w:t>
      </w:r>
      <w:r w:rsidR="00604BCE" w:rsidRPr="008373A2">
        <w:rPr>
          <w:rFonts w:ascii="Times New Roman" w:hAnsi="Times New Roman" w:cs="Times New Roman"/>
        </w:rPr>
        <w:lastRenderedPageBreak/>
        <w:t xml:space="preserve">the acting state accepts </w:t>
      </w:r>
      <w:r w:rsidRPr="008373A2">
        <w:rPr>
          <w:rFonts w:ascii="Times New Roman" w:hAnsi="Times New Roman" w:cs="Times New Roman"/>
        </w:rPr>
        <w:t xml:space="preserve">the </w:t>
      </w:r>
      <w:r w:rsidR="00604BCE" w:rsidRPr="008373A2">
        <w:rPr>
          <w:rFonts w:ascii="Times New Roman" w:hAnsi="Times New Roman" w:cs="Times New Roman"/>
        </w:rPr>
        <w:t xml:space="preserve">alleged </w:t>
      </w:r>
      <w:r w:rsidRPr="008373A2">
        <w:rPr>
          <w:rFonts w:ascii="Times New Roman" w:hAnsi="Times New Roman" w:cs="Times New Roman"/>
        </w:rPr>
        <w:t>new prescriptive rule</w:t>
      </w:r>
      <w:r w:rsidR="00604BCE" w:rsidRPr="008373A2">
        <w:rPr>
          <w:rFonts w:ascii="Times New Roman" w:hAnsi="Times New Roman" w:cs="Times New Roman"/>
        </w:rPr>
        <w:t xml:space="preserve"> as law</w:t>
      </w:r>
      <w:r w:rsidRPr="008373A2">
        <w:rPr>
          <w:rFonts w:ascii="Times New Roman" w:hAnsi="Times New Roman" w:cs="Times New Roman"/>
        </w:rPr>
        <w:t xml:space="preserve">. However, this reasoning does not apply to cases where the supportive practice is </w:t>
      </w:r>
      <w:r w:rsidRPr="00C10A19">
        <w:rPr>
          <w:rFonts w:ascii="Times New Roman" w:hAnsi="Times New Roman" w:cs="Times New Roman"/>
        </w:rPr>
        <w:t xml:space="preserve">inconsistent </w:t>
      </w:r>
      <w:r w:rsidRPr="008373A2">
        <w:rPr>
          <w:rFonts w:ascii="Times New Roman" w:hAnsi="Times New Roman" w:cs="Times New Roman"/>
        </w:rPr>
        <w:t>with the underlying international law that provides the context for the identification of the alleged customary rule, as will be the case when</w:t>
      </w:r>
      <w:r w:rsidR="00211A1D">
        <w:rPr>
          <w:rFonts w:ascii="Times New Roman" w:hAnsi="Times New Roman" w:cs="Times New Roman"/>
        </w:rPr>
        <w:t xml:space="preserve">, like in </w:t>
      </w:r>
      <w:r w:rsidR="00211A1D" w:rsidRPr="008373A2">
        <w:rPr>
          <w:rFonts w:ascii="Times New Roman" w:hAnsi="Times New Roman" w:cs="Times New Roman"/>
          <w:i/>
          <w:iCs/>
        </w:rPr>
        <w:t>Right of Passage</w:t>
      </w:r>
      <w:r w:rsidR="00211A1D" w:rsidRPr="008373A2">
        <w:rPr>
          <w:rFonts w:ascii="Times New Roman" w:hAnsi="Times New Roman" w:cs="Times New Roman"/>
        </w:rPr>
        <w:t xml:space="preserve"> and </w:t>
      </w:r>
      <w:r w:rsidR="00211A1D" w:rsidRPr="008373A2">
        <w:rPr>
          <w:rFonts w:ascii="Times New Roman" w:hAnsi="Times New Roman" w:cs="Times New Roman"/>
          <w:i/>
          <w:iCs/>
        </w:rPr>
        <w:t>Navigational and Related Rights</w:t>
      </w:r>
      <w:r w:rsidR="00211A1D">
        <w:rPr>
          <w:rFonts w:ascii="Times New Roman" w:hAnsi="Times New Roman" w:cs="Times New Roman"/>
        </w:rPr>
        <w:t>,</w:t>
      </w:r>
      <w:r w:rsidRPr="008373A2">
        <w:rPr>
          <w:rFonts w:ascii="Times New Roman" w:hAnsi="Times New Roman" w:cs="Times New Roman"/>
        </w:rPr>
        <w:t xml:space="preserve"> the existence of a permissive rule is being established in </w:t>
      </w:r>
      <w:r w:rsidR="000D7B56" w:rsidRPr="00437B04">
        <w:rPr>
          <w:rFonts w:ascii="Times New Roman" w:hAnsi="Times New Roman" w:cs="Times New Roman"/>
        </w:rPr>
        <w:t>the</w:t>
      </w:r>
      <w:r w:rsidRPr="008373A2">
        <w:rPr>
          <w:rFonts w:ascii="Times New Roman" w:hAnsi="Times New Roman" w:cs="Times New Roman"/>
        </w:rPr>
        <w:t xml:space="preserve"> context of an underlying prohibition. </w:t>
      </w:r>
    </w:p>
    <w:p w14:paraId="3BA6543A" w14:textId="77777777" w:rsidR="004F407A" w:rsidRPr="008373A2" w:rsidRDefault="004F407A" w:rsidP="004F407A">
      <w:pPr>
        <w:spacing w:line="360" w:lineRule="auto"/>
        <w:jc w:val="both"/>
        <w:rPr>
          <w:rFonts w:ascii="Times New Roman" w:hAnsi="Times New Roman" w:cs="Times New Roman"/>
        </w:rPr>
      </w:pPr>
    </w:p>
    <w:p w14:paraId="76FA0876" w14:textId="4A5A4A74" w:rsidR="004F407A" w:rsidRDefault="004F407A" w:rsidP="004F407A">
      <w:pPr>
        <w:spacing w:line="360" w:lineRule="auto"/>
        <w:jc w:val="both"/>
        <w:rPr>
          <w:rFonts w:ascii="Times New Roman" w:hAnsi="Times New Roman" w:cs="Times New Roman"/>
        </w:rPr>
      </w:pPr>
      <w:proofErr w:type="spellStart"/>
      <w:r w:rsidRPr="008373A2">
        <w:rPr>
          <w:rFonts w:ascii="Times New Roman" w:hAnsi="Times New Roman" w:cs="Times New Roman"/>
        </w:rPr>
        <w:t>Akehurst</w:t>
      </w:r>
      <w:proofErr w:type="spellEnd"/>
      <w:r w:rsidRPr="008373A2">
        <w:rPr>
          <w:rFonts w:ascii="Times New Roman" w:hAnsi="Times New Roman" w:cs="Times New Roman"/>
        </w:rPr>
        <w:t xml:space="preserve"> has argued that for permissive</w:t>
      </w:r>
      <w:r w:rsidRPr="008373A2">
        <w:rPr>
          <w:rFonts w:ascii="Times New Roman" w:hAnsi="Times New Roman" w:cs="Times New Roman"/>
          <w:i/>
          <w:iCs/>
        </w:rPr>
        <w:t xml:space="preserve"> </w:t>
      </w:r>
      <w:r w:rsidRPr="008373A2">
        <w:rPr>
          <w:rFonts w:ascii="Times New Roman" w:hAnsi="Times New Roman" w:cs="Times New Roman"/>
        </w:rPr>
        <w:t>customary rules ‘a claim that States are entitled to act in a particular way can be inferred from the fact that they do act in that way’</w:t>
      </w:r>
      <w:r w:rsidRPr="008373A2">
        <w:rPr>
          <w:rStyle w:val="FootnoteReference"/>
          <w:rFonts w:ascii="Times New Roman" w:hAnsi="Times New Roman" w:cs="Times New Roman"/>
        </w:rPr>
        <w:footnoteReference w:id="92"/>
      </w:r>
      <w:r w:rsidRPr="008373A2">
        <w:rPr>
          <w:rFonts w:ascii="Times New Roman" w:hAnsi="Times New Roman" w:cs="Times New Roman"/>
        </w:rPr>
        <w:t xml:space="preserve"> and </w:t>
      </w:r>
      <w:r w:rsidRPr="008373A2">
        <w:rPr>
          <w:rFonts w:ascii="Times New Roman" w:hAnsi="Times New Roman" w:cs="Times New Roman"/>
          <w:lang w:val="en-US"/>
        </w:rPr>
        <w:t xml:space="preserve">it seems natural at least to </w:t>
      </w:r>
      <w:r w:rsidRPr="00437B04">
        <w:rPr>
          <w:rFonts w:ascii="Times New Roman" w:hAnsi="Times New Roman" w:cs="Times New Roman"/>
          <w:lang w:val="en-US"/>
        </w:rPr>
        <w:t>presume</w:t>
      </w:r>
      <w:r w:rsidRPr="008373A2">
        <w:rPr>
          <w:rFonts w:ascii="Times New Roman" w:hAnsi="Times New Roman" w:cs="Times New Roman"/>
          <w:lang w:val="en-US"/>
        </w:rPr>
        <w:t xml:space="preserve"> that when states act in a certain </w:t>
      </w:r>
      <w:proofErr w:type="gramStart"/>
      <w:r w:rsidRPr="008373A2">
        <w:rPr>
          <w:rFonts w:ascii="Times New Roman" w:hAnsi="Times New Roman" w:cs="Times New Roman"/>
          <w:lang w:val="en-US"/>
        </w:rPr>
        <w:t>way</w:t>
      </w:r>
      <w:proofErr w:type="gramEnd"/>
      <w:r w:rsidRPr="008373A2">
        <w:rPr>
          <w:rFonts w:ascii="Times New Roman" w:hAnsi="Times New Roman" w:cs="Times New Roman"/>
          <w:lang w:val="en-US"/>
        </w:rPr>
        <w:t xml:space="preserve"> they consider that their behavior is lawful. I</w:t>
      </w:r>
      <w:proofErr w:type="spellStart"/>
      <w:r w:rsidRPr="008373A2">
        <w:rPr>
          <w:rFonts w:ascii="Times New Roman" w:hAnsi="Times New Roman" w:cs="Times New Roman"/>
        </w:rPr>
        <w:t>f</w:t>
      </w:r>
      <w:proofErr w:type="spellEnd"/>
      <w:r w:rsidRPr="008373A2">
        <w:rPr>
          <w:rFonts w:ascii="Times New Roman" w:hAnsi="Times New Roman" w:cs="Times New Roman"/>
        </w:rPr>
        <w:t xml:space="preserve"> it is natural to assume that generally when states </w:t>
      </w:r>
      <w:proofErr w:type="gramStart"/>
      <w:r w:rsidRPr="008373A2">
        <w:rPr>
          <w:rFonts w:ascii="Times New Roman" w:hAnsi="Times New Roman" w:cs="Times New Roman"/>
        </w:rPr>
        <w:t>act</w:t>
      </w:r>
      <w:proofErr w:type="gramEnd"/>
      <w:r w:rsidRPr="008373A2">
        <w:rPr>
          <w:rFonts w:ascii="Times New Roman" w:hAnsi="Times New Roman" w:cs="Times New Roman"/>
        </w:rPr>
        <w:t xml:space="preserve"> they </w:t>
      </w:r>
      <w:r w:rsidR="001E4A8E">
        <w:rPr>
          <w:rFonts w:ascii="Times New Roman" w:hAnsi="Times New Roman" w:cs="Times New Roman"/>
        </w:rPr>
        <w:t>accept</w:t>
      </w:r>
      <w:r w:rsidR="001E4A8E" w:rsidRPr="008373A2">
        <w:rPr>
          <w:rFonts w:ascii="Times New Roman" w:hAnsi="Times New Roman" w:cs="Times New Roman"/>
        </w:rPr>
        <w:t xml:space="preserve"> </w:t>
      </w:r>
      <w:r w:rsidRPr="008373A2">
        <w:rPr>
          <w:rFonts w:ascii="Times New Roman" w:hAnsi="Times New Roman" w:cs="Times New Roman"/>
        </w:rPr>
        <w:t xml:space="preserve">they are acting lawfully, in a situation where they are repeatedly acting inconsistently with the underlying international law rules it is reasonable to interpret this as an acceptance – or at least a claim – that the law has changed. In </w:t>
      </w:r>
      <w:r w:rsidRPr="008373A2">
        <w:rPr>
          <w:rFonts w:ascii="Times New Roman" w:hAnsi="Times New Roman" w:cs="Times New Roman"/>
          <w:i/>
          <w:iCs/>
        </w:rPr>
        <w:t xml:space="preserve">Right of Passage </w:t>
      </w:r>
      <w:r w:rsidRPr="008373A2">
        <w:rPr>
          <w:rFonts w:ascii="Times New Roman" w:hAnsi="Times New Roman" w:cs="Times New Roman"/>
        </w:rPr>
        <w:t xml:space="preserve">and </w:t>
      </w:r>
      <w:r w:rsidRPr="008373A2">
        <w:rPr>
          <w:rFonts w:ascii="Times New Roman" w:hAnsi="Times New Roman" w:cs="Times New Roman"/>
          <w:i/>
          <w:iCs/>
        </w:rPr>
        <w:t>Navigational and Related Rights</w:t>
      </w:r>
      <w:r w:rsidRPr="008373A2">
        <w:rPr>
          <w:rFonts w:ascii="Times New Roman" w:hAnsi="Times New Roman" w:cs="Times New Roman"/>
        </w:rPr>
        <w:t xml:space="preserve">, in the context of the underlying general customary rules prohibiting entrance onto another state’s territory, Portugal and Costa Rica were repeatedly acting in a manner that appears to violate the underlying international law rules. The practice is not ambiguous: it is consistent only with the alleged new customary rule, otherwise the acting state is simply repeatedly breaching existing law. In this context, an inference that </w:t>
      </w:r>
      <w:r w:rsidR="000751C9">
        <w:rPr>
          <w:rFonts w:ascii="Times New Roman" w:hAnsi="Times New Roman" w:cs="Times New Roman"/>
        </w:rPr>
        <w:t>a</w:t>
      </w:r>
      <w:r w:rsidR="000751C9" w:rsidRPr="008373A2">
        <w:rPr>
          <w:rFonts w:ascii="Times New Roman" w:hAnsi="Times New Roman" w:cs="Times New Roman"/>
        </w:rPr>
        <w:t xml:space="preserve"> </w:t>
      </w:r>
      <w:r w:rsidRPr="008373A2">
        <w:rPr>
          <w:rFonts w:ascii="Times New Roman" w:hAnsi="Times New Roman" w:cs="Times New Roman"/>
        </w:rPr>
        <w:t>long and constant practice inconsistent with the underlying international law rules is based on the acting state’s acceptance that a legal permission to act in this way exists (</w:t>
      </w:r>
      <w:r w:rsidRPr="008373A2">
        <w:rPr>
          <w:rFonts w:ascii="Times New Roman" w:hAnsi="Times New Roman" w:cs="Times New Roman"/>
          <w:i/>
          <w:iCs/>
        </w:rPr>
        <w:t>opinio juris</w:t>
      </w:r>
      <w:r w:rsidRPr="008373A2">
        <w:rPr>
          <w:rFonts w:ascii="Times New Roman" w:hAnsi="Times New Roman" w:cs="Times New Roman"/>
        </w:rPr>
        <w:t>) seems justified.</w:t>
      </w:r>
    </w:p>
    <w:p w14:paraId="04E72C85" w14:textId="33A39EC4" w:rsidR="00CF1034" w:rsidRDefault="00CF1034" w:rsidP="004F407A">
      <w:pPr>
        <w:spacing w:line="360" w:lineRule="auto"/>
        <w:jc w:val="both"/>
        <w:rPr>
          <w:rFonts w:ascii="Times New Roman" w:hAnsi="Times New Roman" w:cs="Times New Roman"/>
        </w:rPr>
      </w:pPr>
    </w:p>
    <w:p w14:paraId="270EA4BD" w14:textId="4BE46398" w:rsidR="00CF1034" w:rsidRPr="008373A2" w:rsidRDefault="00CF1034" w:rsidP="004F407A">
      <w:pPr>
        <w:spacing w:line="360" w:lineRule="auto"/>
        <w:jc w:val="both"/>
        <w:rPr>
          <w:rFonts w:ascii="Times New Roman" w:hAnsi="Times New Roman" w:cs="Times New Roman"/>
        </w:rPr>
      </w:pPr>
      <w:proofErr w:type="spellStart"/>
      <w:r w:rsidRPr="008373A2">
        <w:rPr>
          <w:rFonts w:ascii="Times New Roman" w:hAnsi="Times New Roman" w:cs="Times New Roman"/>
          <w:i/>
          <w:iCs/>
        </w:rPr>
        <w:t>Right</w:t>
      </w:r>
      <w:proofErr w:type="spellEnd"/>
      <w:r w:rsidRPr="008373A2">
        <w:rPr>
          <w:rFonts w:ascii="Times New Roman" w:hAnsi="Times New Roman" w:cs="Times New Roman"/>
          <w:i/>
          <w:iCs/>
        </w:rPr>
        <w:t xml:space="preserve"> of Passage</w:t>
      </w:r>
      <w:r w:rsidRPr="008373A2">
        <w:rPr>
          <w:rFonts w:ascii="Times New Roman" w:hAnsi="Times New Roman" w:cs="Times New Roman"/>
        </w:rPr>
        <w:t xml:space="preserve"> and </w:t>
      </w:r>
      <w:r w:rsidRPr="008373A2">
        <w:rPr>
          <w:rFonts w:ascii="Times New Roman" w:hAnsi="Times New Roman" w:cs="Times New Roman"/>
          <w:i/>
          <w:iCs/>
        </w:rPr>
        <w:t>Navigational and Related Rights</w:t>
      </w:r>
      <w:r w:rsidRPr="00437B04">
        <w:rPr>
          <w:rFonts w:ascii="Times New Roman" w:hAnsi="Times New Roman" w:cs="Times New Roman"/>
        </w:rPr>
        <w:t xml:space="preserve"> therefore demonstrate that</w:t>
      </w:r>
      <w:r w:rsidRPr="008373A2">
        <w:rPr>
          <w:rFonts w:ascii="Times New Roman" w:hAnsi="Times New Roman" w:cs="Times New Roman"/>
        </w:rPr>
        <w:t xml:space="preserve"> the nature and context of a customary rule matter </w:t>
      </w:r>
      <w:r>
        <w:rPr>
          <w:rFonts w:ascii="Times New Roman" w:hAnsi="Times New Roman" w:cs="Times New Roman"/>
        </w:rPr>
        <w:t>both</w:t>
      </w:r>
      <w:r w:rsidRPr="008373A2">
        <w:rPr>
          <w:rFonts w:ascii="Times New Roman" w:hAnsi="Times New Roman" w:cs="Times New Roman"/>
        </w:rPr>
        <w:t xml:space="preserve"> for the inferences we can make about the </w:t>
      </w:r>
      <w:r w:rsidRPr="00437B04">
        <w:rPr>
          <w:rFonts w:ascii="Times New Roman" w:hAnsi="Times New Roman" w:cs="Times New Roman"/>
        </w:rPr>
        <w:t xml:space="preserve">acting </w:t>
      </w:r>
      <w:r w:rsidRPr="008373A2">
        <w:rPr>
          <w:rFonts w:ascii="Times New Roman" w:hAnsi="Times New Roman" w:cs="Times New Roman"/>
        </w:rPr>
        <w:t xml:space="preserve">state’s </w:t>
      </w:r>
      <w:r w:rsidRPr="008373A2">
        <w:rPr>
          <w:rFonts w:ascii="Times New Roman" w:hAnsi="Times New Roman" w:cs="Times New Roman"/>
          <w:i/>
          <w:iCs/>
        </w:rPr>
        <w:t>opinio juris</w:t>
      </w:r>
      <w:r w:rsidRPr="008373A2">
        <w:rPr>
          <w:rFonts w:ascii="Times New Roman" w:hAnsi="Times New Roman" w:cs="Times New Roman"/>
        </w:rPr>
        <w:t xml:space="preserve">, based on their participation in the practice, </w:t>
      </w:r>
      <w:r>
        <w:rPr>
          <w:rFonts w:ascii="Times New Roman" w:hAnsi="Times New Roman" w:cs="Times New Roman"/>
        </w:rPr>
        <w:t>and</w:t>
      </w:r>
      <w:r w:rsidRPr="008373A2">
        <w:rPr>
          <w:rFonts w:ascii="Times New Roman" w:hAnsi="Times New Roman" w:cs="Times New Roman"/>
        </w:rPr>
        <w:t xml:space="preserve"> as to the </w:t>
      </w:r>
      <w:r w:rsidRPr="008373A2">
        <w:rPr>
          <w:rFonts w:ascii="Times New Roman" w:hAnsi="Times New Roman" w:cs="Times New Roman"/>
          <w:i/>
          <w:iCs/>
        </w:rPr>
        <w:t>opinio juris</w:t>
      </w:r>
      <w:r w:rsidRPr="008373A2">
        <w:rPr>
          <w:rFonts w:ascii="Times New Roman" w:hAnsi="Times New Roman" w:cs="Times New Roman"/>
        </w:rPr>
        <w:t xml:space="preserve"> of the state </w:t>
      </w:r>
      <w:r w:rsidRPr="00437B04">
        <w:rPr>
          <w:rFonts w:ascii="Times New Roman" w:hAnsi="Times New Roman" w:cs="Times New Roman"/>
        </w:rPr>
        <w:t>acted upon</w:t>
      </w:r>
      <w:r w:rsidRPr="008373A2">
        <w:rPr>
          <w:rFonts w:ascii="Times New Roman" w:hAnsi="Times New Roman" w:cs="Times New Roman"/>
        </w:rPr>
        <w:t xml:space="preserve">, or in a position to </w:t>
      </w:r>
      <w:r w:rsidRPr="00867AFA">
        <w:rPr>
          <w:rFonts w:ascii="Times New Roman" w:hAnsi="Times New Roman" w:cs="Times New Roman"/>
        </w:rPr>
        <w:t>react to</w:t>
      </w:r>
      <w:r w:rsidRPr="008373A2">
        <w:rPr>
          <w:rFonts w:ascii="Times New Roman" w:hAnsi="Times New Roman" w:cs="Times New Roman"/>
        </w:rPr>
        <w:t xml:space="preserve"> the practice. When the nature and context of the alleged rule is </w:t>
      </w:r>
      <w:proofErr w:type="gramStart"/>
      <w:r w:rsidRPr="008373A2">
        <w:rPr>
          <w:rFonts w:ascii="Times New Roman" w:hAnsi="Times New Roman" w:cs="Times New Roman"/>
        </w:rPr>
        <w:t>taken into account</w:t>
      </w:r>
      <w:proofErr w:type="gramEnd"/>
      <w:r w:rsidRPr="008373A2">
        <w:rPr>
          <w:rFonts w:ascii="Times New Roman" w:hAnsi="Times New Roman" w:cs="Times New Roman"/>
        </w:rPr>
        <w:t>, we can see that the two-element test was met in both cases.</w:t>
      </w:r>
    </w:p>
    <w:p w14:paraId="71239D70" w14:textId="77777777" w:rsidR="004F407A" w:rsidRPr="008373A2" w:rsidRDefault="004F407A" w:rsidP="004F407A">
      <w:pPr>
        <w:spacing w:line="360" w:lineRule="auto"/>
        <w:jc w:val="both"/>
        <w:rPr>
          <w:rFonts w:ascii="Times New Roman" w:hAnsi="Times New Roman" w:cs="Times New Roman"/>
        </w:rPr>
      </w:pPr>
    </w:p>
    <w:p w14:paraId="01DB865B" w14:textId="7D35E618" w:rsidR="004F407A" w:rsidRPr="008373A2" w:rsidRDefault="004F407A" w:rsidP="00064C83">
      <w:pPr>
        <w:spacing w:line="360" w:lineRule="auto"/>
        <w:jc w:val="both"/>
        <w:rPr>
          <w:rFonts w:ascii="Times New Roman" w:hAnsi="Times New Roman" w:cs="Times New Roman"/>
        </w:rPr>
      </w:pPr>
      <w:r w:rsidRPr="008373A2">
        <w:rPr>
          <w:rFonts w:ascii="Times New Roman" w:hAnsi="Times New Roman" w:cs="Times New Roman"/>
        </w:rPr>
        <w:t xml:space="preserve">The </w:t>
      </w:r>
      <w:r w:rsidR="00CF1034">
        <w:rPr>
          <w:rFonts w:ascii="Times New Roman" w:hAnsi="Times New Roman" w:cs="Times New Roman"/>
        </w:rPr>
        <w:t>situations</w:t>
      </w:r>
      <w:r w:rsidR="00804B59" w:rsidRPr="008373A2">
        <w:rPr>
          <w:rFonts w:ascii="Times New Roman" w:hAnsi="Times New Roman" w:cs="Times New Roman"/>
        </w:rPr>
        <w:t xml:space="preserve"> </w:t>
      </w:r>
      <w:r w:rsidRPr="008373A2">
        <w:rPr>
          <w:rFonts w:ascii="Times New Roman" w:hAnsi="Times New Roman" w:cs="Times New Roman"/>
        </w:rPr>
        <w:t>in which inferences</w:t>
      </w:r>
      <w:r w:rsidR="00BF48B7">
        <w:rPr>
          <w:rFonts w:ascii="Times New Roman" w:hAnsi="Times New Roman" w:cs="Times New Roman"/>
        </w:rPr>
        <w:t xml:space="preserve"> of </w:t>
      </w:r>
      <w:r w:rsidR="00BF48B7" w:rsidRPr="00437B04">
        <w:rPr>
          <w:rFonts w:ascii="Times New Roman" w:hAnsi="Times New Roman" w:cs="Times New Roman"/>
          <w:i/>
          <w:iCs/>
        </w:rPr>
        <w:t>opinio juris</w:t>
      </w:r>
      <w:r w:rsidRPr="008373A2">
        <w:rPr>
          <w:rFonts w:ascii="Times New Roman" w:hAnsi="Times New Roman" w:cs="Times New Roman"/>
        </w:rPr>
        <w:t xml:space="preserve"> may be made</w:t>
      </w:r>
      <w:r w:rsidR="00BF48B7">
        <w:rPr>
          <w:rFonts w:ascii="Times New Roman" w:hAnsi="Times New Roman" w:cs="Times New Roman"/>
        </w:rPr>
        <w:t xml:space="preserve"> from either the actions of states</w:t>
      </w:r>
      <w:r w:rsidR="00C10A19">
        <w:rPr>
          <w:rFonts w:ascii="Times New Roman" w:hAnsi="Times New Roman" w:cs="Times New Roman"/>
        </w:rPr>
        <w:t xml:space="preserve"> or an absence of reaction</w:t>
      </w:r>
      <w:r w:rsidRPr="008373A2">
        <w:rPr>
          <w:rFonts w:ascii="Times New Roman" w:hAnsi="Times New Roman" w:cs="Times New Roman"/>
        </w:rPr>
        <w:t xml:space="preserve"> are relatively rare</w:t>
      </w:r>
      <w:r w:rsidR="00BF48B7">
        <w:rPr>
          <w:rFonts w:ascii="Times New Roman" w:hAnsi="Times New Roman" w:cs="Times New Roman"/>
        </w:rPr>
        <w:t xml:space="preserve"> and will depend on the </w:t>
      </w:r>
      <w:proofErr w:type="gramStart"/>
      <w:r w:rsidR="00BF48B7">
        <w:rPr>
          <w:rFonts w:ascii="Times New Roman" w:hAnsi="Times New Roman" w:cs="Times New Roman"/>
        </w:rPr>
        <w:t>particular circumstances</w:t>
      </w:r>
      <w:proofErr w:type="gramEnd"/>
      <w:r w:rsidR="00BF48B7">
        <w:rPr>
          <w:rFonts w:ascii="Times New Roman" w:hAnsi="Times New Roman" w:cs="Times New Roman"/>
        </w:rPr>
        <w:t>.</w:t>
      </w:r>
      <w:r w:rsidRPr="008373A2">
        <w:rPr>
          <w:rFonts w:ascii="Times New Roman" w:hAnsi="Times New Roman" w:cs="Times New Roman"/>
        </w:rPr>
        <w:t xml:space="preserve"> </w:t>
      </w:r>
      <w:r w:rsidR="00BF48B7">
        <w:rPr>
          <w:rFonts w:ascii="Times New Roman" w:hAnsi="Times New Roman" w:cs="Times New Roman"/>
        </w:rPr>
        <w:t>A</w:t>
      </w:r>
      <w:r w:rsidR="000751C9" w:rsidRPr="008373A2">
        <w:rPr>
          <w:rFonts w:ascii="Times New Roman" w:hAnsi="Times New Roman" w:cs="Times New Roman"/>
        </w:rPr>
        <w:t xml:space="preserve">rguments </w:t>
      </w:r>
      <w:r w:rsidR="000751C9">
        <w:rPr>
          <w:rFonts w:ascii="Times New Roman" w:hAnsi="Times New Roman" w:cs="Times New Roman"/>
        </w:rPr>
        <w:t xml:space="preserve">that </w:t>
      </w:r>
      <w:r w:rsidR="000751C9" w:rsidRPr="008373A2">
        <w:rPr>
          <w:rFonts w:ascii="Times New Roman" w:hAnsi="Times New Roman" w:cs="Times New Roman"/>
        </w:rPr>
        <w:t xml:space="preserve">a long and consistent state practice imply an </w:t>
      </w:r>
      <w:r w:rsidR="000751C9" w:rsidRPr="008373A2">
        <w:rPr>
          <w:rFonts w:ascii="Times New Roman" w:hAnsi="Times New Roman" w:cs="Times New Roman"/>
          <w:i/>
          <w:iCs/>
        </w:rPr>
        <w:t>opinio juris</w:t>
      </w:r>
      <w:r w:rsidR="000751C9" w:rsidRPr="008373A2">
        <w:rPr>
          <w:rFonts w:ascii="Times New Roman" w:hAnsi="Times New Roman" w:cs="Times New Roman"/>
        </w:rPr>
        <w:t xml:space="preserve"> </w:t>
      </w:r>
      <w:r w:rsidR="00BF48B7">
        <w:rPr>
          <w:rFonts w:ascii="Times New Roman" w:hAnsi="Times New Roman" w:cs="Times New Roman"/>
        </w:rPr>
        <w:t xml:space="preserve">on the part of the acting state </w:t>
      </w:r>
      <w:r w:rsidR="000751C9" w:rsidRPr="008373A2">
        <w:rPr>
          <w:rFonts w:ascii="Times New Roman" w:hAnsi="Times New Roman" w:cs="Times New Roman"/>
        </w:rPr>
        <w:t xml:space="preserve">are limited to contexts where </w:t>
      </w:r>
      <w:r w:rsidR="000751C9">
        <w:rPr>
          <w:rFonts w:ascii="Times New Roman" w:hAnsi="Times New Roman" w:cs="Times New Roman"/>
        </w:rPr>
        <w:t>the</w:t>
      </w:r>
      <w:r w:rsidR="000751C9" w:rsidRPr="008373A2">
        <w:rPr>
          <w:rFonts w:ascii="Times New Roman" w:hAnsi="Times New Roman" w:cs="Times New Roman"/>
        </w:rPr>
        <w:t xml:space="preserve"> repeated practice in support of a new customary </w:t>
      </w:r>
      <w:r w:rsidR="000751C9" w:rsidRPr="008373A2">
        <w:rPr>
          <w:rFonts w:ascii="Times New Roman" w:hAnsi="Times New Roman" w:cs="Times New Roman"/>
        </w:rPr>
        <w:lastRenderedPageBreak/>
        <w:t xml:space="preserve">rule is inconsistent with the underlying international law </w:t>
      </w:r>
      <w:r w:rsidR="00804B59">
        <w:rPr>
          <w:rFonts w:ascii="Times New Roman" w:hAnsi="Times New Roman" w:cs="Times New Roman"/>
        </w:rPr>
        <w:t>rules</w:t>
      </w:r>
      <w:r w:rsidR="000751C9" w:rsidRPr="008373A2">
        <w:rPr>
          <w:rFonts w:ascii="Times New Roman" w:hAnsi="Times New Roman" w:cs="Times New Roman"/>
        </w:rPr>
        <w:t>.</w:t>
      </w:r>
      <w:r w:rsidR="000751C9" w:rsidRPr="008373A2">
        <w:rPr>
          <w:rStyle w:val="FootnoteReference"/>
          <w:rFonts w:ascii="Times New Roman" w:hAnsi="Times New Roman" w:cs="Times New Roman"/>
        </w:rPr>
        <w:footnoteReference w:id="93"/>
      </w:r>
      <w:r w:rsidR="000751C9" w:rsidRPr="008373A2">
        <w:rPr>
          <w:rFonts w:ascii="Times New Roman" w:hAnsi="Times New Roman" w:cs="Times New Roman"/>
        </w:rPr>
        <w:t xml:space="preserve"> </w:t>
      </w:r>
      <w:r w:rsidR="00CF1034">
        <w:rPr>
          <w:rFonts w:ascii="Times New Roman" w:hAnsi="Times New Roman" w:cs="Times New Roman"/>
        </w:rPr>
        <w:t>N</w:t>
      </w:r>
      <w:r w:rsidR="00C10A19">
        <w:rPr>
          <w:rFonts w:ascii="Times New Roman" w:hAnsi="Times New Roman" w:cs="Times New Roman"/>
        </w:rPr>
        <w:t>ot</w:t>
      </w:r>
      <w:r w:rsidRPr="008373A2">
        <w:rPr>
          <w:rFonts w:ascii="Times New Roman" w:hAnsi="Times New Roman" w:cs="Times New Roman"/>
        </w:rPr>
        <w:t xml:space="preserve"> every action inconsistent with the underlying international law rules imply an </w:t>
      </w:r>
      <w:r w:rsidRPr="008373A2">
        <w:rPr>
          <w:rFonts w:ascii="Times New Roman" w:hAnsi="Times New Roman" w:cs="Times New Roman"/>
          <w:i/>
          <w:iCs/>
        </w:rPr>
        <w:t>opinio juris</w:t>
      </w:r>
      <w:r w:rsidR="004861EA">
        <w:rPr>
          <w:rFonts w:ascii="Times New Roman" w:hAnsi="Times New Roman" w:cs="Times New Roman"/>
        </w:rPr>
        <w:t>:</w:t>
      </w:r>
      <w:r w:rsidRPr="008373A2">
        <w:rPr>
          <w:rFonts w:ascii="Times New Roman" w:hAnsi="Times New Roman" w:cs="Times New Roman"/>
        </w:rPr>
        <w:t xml:space="preserve"> </w:t>
      </w:r>
      <w:r w:rsidR="004861EA">
        <w:rPr>
          <w:rFonts w:ascii="Times New Roman" w:hAnsi="Times New Roman" w:cs="Times New Roman"/>
        </w:rPr>
        <w:t>i</w:t>
      </w:r>
      <w:r w:rsidRPr="008373A2">
        <w:rPr>
          <w:rFonts w:ascii="Times New Roman" w:hAnsi="Times New Roman" w:cs="Times New Roman"/>
        </w:rPr>
        <w:t xml:space="preserve">solated examples of inconsistent conduct </w:t>
      </w:r>
      <w:r w:rsidR="00804B59">
        <w:rPr>
          <w:rFonts w:ascii="Times New Roman" w:hAnsi="Times New Roman" w:cs="Times New Roman"/>
        </w:rPr>
        <w:t xml:space="preserve">by a state </w:t>
      </w:r>
      <w:r w:rsidRPr="008373A2">
        <w:rPr>
          <w:rFonts w:ascii="Times New Roman" w:hAnsi="Times New Roman" w:cs="Times New Roman"/>
        </w:rPr>
        <w:t>do not justify the inference of an acceptance that the law has changed and should be ‘treated as breaches of that rule, not as indications of the recognition of a new rule.’</w:t>
      </w:r>
      <w:r w:rsidRPr="008373A2">
        <w:rPr>
          <w:rStyle w:val="FootnoteReference"/>
          <w:rFonts w:ascii="Times New Roman" w:hAnsi="Times New Roman" w:cs="Times New Roman"/>
        </w:rPr>
        <w:footnoteReference w:id="94"/>
      </w:r>
      <w:r w:rsidRPr="008373A2">
        <w:rPr>
          <w:rFonts w:ascii="Times New Roman" w:hAnsi="Times New Roman" w:cs="Times New Roman"/>
        </w:rPr>
        <w:t xml:space="preserve"> Moreover, any conclusion that practice is accompanied by </w:t>
      </w:r>
      <w:r w:rsidRPr="008373A2">
        <w:rPr>
          <w:rFonts w:ascii="Times New Roman" w:hAnsi="Times New Roman" w:cs="Times New Roman"/>
          <w:i/>
          <w:iCs/>
        </w:rPr>
        <w:t>opinio juris</w:t>
      </w:r>
      <w:r w:rsidRPr="008373A2">
        <w:rPr>
          <w:rFonts w:ascii="Times New Roman" w:hAnsi="Times New Roman" w:cs="Times New Roman"/>
        </w:rPr>
        <w:t xml:space="preserve"> will obviously be negated if the acting state tries to justify their practice by reference to the underlying international law </w:t>
      </w:r>
      <w:r w:rsidR="00D94641">
        <w:rPr>
          <w:rFonts w:ascii="Times New Roman" w:hAnsi="Times New Roman" w:cs="Times New Roman"/>
        </w:rPr>
        <w:t>rules</w:t>
      </w:r>
      <w:r w:rsidRPr="008373A2">
        <w:rPr>
          <w:rFonts w:ascii="Times New Roman" w:hAnsi="Times New Roman" w:cs="Times New Roman"/>
        </w:rPr>
        <w:t>.</w:t>
      </w:r>
      <w:r w:rsidRPr="008373A2">
        <w:rPr>
          <w:rStyle w:val="FootnoteReference"/>
          <w:rFonts w:ascii="Times New Roman" w:hAnsi="Times New Roman" w:cs="Times New Roman"/>
        </w:rPr>
        <w:footnoteReference w:id="95"/>
      </w:r>
      <w:r w:rsidRPr="008373A2">
        <w:rPr>
          <w:rFonts w:ascii="Times New Roman" w:hAnsi="Times New Roman" w:cs="Times New Roman"/>
        </w:rPr>
        <w:t xml:space="preserve"> It could also be that the </w:t>
      </w:r>
      <w:r w:rsidR="00804B59">
        <w:rPr>
          <w:rFonts w:ascii="Times New Roman" w:hAnsi="Times New Roman" w:cs="Times New Roman"/>
        </w:rPr>
        <w:t xml:space="preserve">particular factual </w:t>
      </w:r>
      <w:r w:rsidRPr="008373A2">
        <w:rPr>
          <w:rFonts w:ascii="Times New Roman" w:hAnsi="Times New Roman" w:cs="Times New Roman"/>
        </w:rPr>
        <w:t xml:space="preserve">circumstances should prevent any inference </w:t>
      </w:r>
      <w:r w:rsidR="00BB123B">
        <w:rPr>
          <w:rFonts w:ascii="Times New Roman" w:hAnsi="Times New Roman" w:cs="Times New Roman"/>
        </w:rPr>
        <w:t>of</w:t>
      </w:r>
      <w:r w:rsidRPr="008373A2">
        <w:rPr>
          <w:rFonts w:ascii="Times New Roman" w:hAnsi="Times New Roman" w:cs="Times New Roman"/>
        </w:rPr>
        <w:t xml:space="preserve"> </w:t>
      </w:r>
      <w:r w:rsidRPr="008373A2">
        <w:rPr>
          <w:rFonts w:ascii="Times New Roman" w:hAnsi="Times New Roman" w:cs="Times New Roman"/>
          <w:i/>
          <w:iCs/>
        </w:rPr>
        <w:t>opinio juris</w:t>
      </w:r>
      <w:r w:rsidRPr="008373A2">
        <w:rPr>
          <w:rFonts w:ascii="Times New Roman" w:hAnsi="Times New Roman" w:cs="Times New Roman"/>
        </w:rPr>
        <w:t xml:space="preserve"> for </w:t>
      </w:r>
      <w:r w:rsidR="00BB123B">
        <w:rPr>
          <w:rFonts w:ascii="Times New Roman" w:hAnsi="Times New Roman" w:cs="Times New Roman"/>
        </w:rPr>
        <w:t xml:space="preserve">a </w:t>
      </w:r>
      <w:r w:rsidRPr="008373A2">
        <w:rPr>
          <w:rFonts w:ascii="Times New Roman" w:hAnsi="Times New Roman" w:cs="Times New Roman"/>
        </w:rPr>
        <w:t>new rule.</w:t>
      </w:r>
      <w:r w:rsidRPr="008373A2">
        <w:rPr>
          <w:rStyle w:val="FootnoteReference"/>
          <w:rFonts w:ascii="Times New Roman" w:hAnsi="Times New Roman" w:cs="Times New Roman"/>
        </w:rPr>
        <w:footnoteReference w:id="96"/>
      </w:r>
      <w:r w:rsidRPr="008373A2">
        <w:rPr>
          <w:rFonts w:ascii="Times New Roman" w:hAnsi="Times New Roman" w:cs="Times New Roman"/>
        </w:rPr>
        <w:t xml:space="preserve"> In any case, </w:t>
      </w:r>
      <w:r w:rsidR="00804B59">
        <w:rPr>
          <w:rFonts w:ascii="Times New Roman" w:hAnsi="Times New Roman" w:cs="Times New Roman"/>
        </w:rPr>
        <w:t>even where an inference is made as to</w:t>
      </w:r>
      <w:r w:rsidRPr="008373A2">
        <w:rPr>
          <w:rFonts w:ascii="Times New Roman" w:hAnsi="Times New Roman" w:cs="Times New Roman"/>
        </w:rPr>
        <w:t xml:space="preserve"> the individual </w:t>
      </w:r>
      <w:r w:rsidRPr="008373A2">
        <w:rPr>
          <w:rFonts w:ascii="Times New Roman" w:hAnsi="Times New Roman" w:cs="Times New Roman"/>
          <w:i/>
          <w:iCs/>
        </w:rPr>
        <w:t>opinio juris</w:t>
      </w:r>
      <w:r w:rsidRPr="008373A2">
        <w:rPr>
          <w:rFonts w:ascii="Times New Roman" w:hAnsi="Times New Roman" w:cs="Times New Roman"/>
        </w:rPr>
        <w:t xml:space="preserve"> of the acting state</w:t>
      </w:r>
      <w:r w:rsidR="00804B59">
        <w:rPr>
          <w:rFonts w:ascii="Times New Roman" w:hAnsi="Times New Roman" w:cs="Times New Roman"/>
        </w:rPr>
        <w:t>,</w:t>
      </w:r>
      <w:r w:rsidRPr="008373A2">
        <w:rPr>
          <w:rFonts w:ascii="Times New Roman" w:hAnsi="Times New Roman" w:cs="Times New Roman"/>
        </w:rPr>
        <w:t xml:space="preserve"> evidence of the general </w:t>
      </w:r>
      <w:r w:rsidRPr="008373A2">
        <w:rPr>
          <w:rFonts w:ascii="Times New Roman" w:hAnsi="Times New Roman" w:cs="Times New Roman"/>
          <w:i/>
          <w:iCs/>
        </w:rPr>
        <w:t xml:space="preserve">opinio juris </w:t>
      </w:r>
      <w:r w:rsidRPr="008373A2">
        <w:rPr>
          <w:rFonts w:ascii="Times New Roman" w:hAnsi="Times New Roman" w:cs="Times New Roman"/>
        </w:rPr>
        <w:t xml:space="preserve">of other states must still be found for the two-element test to be fulfilled and a new customary rule to be identified. </w:t>
      </w:r>
      <w:r w:rsidR="00EE77FB">
        <w:rPr>
          <w:rFonts w:ascii="Times New Roman" w:hAnsi="Times New Roman" w:cs="Times New Roman"/>
        </w:rPr>
        <w:t>O</w:t>
      </w:r>
      <w:r w:rsidRPr="008373A2">
        <w:rPr>
          <w:rFonts w:ascii="Times New Roman" w:hAnsi="Times New Roman" w:cs="Times New Roman"/>
        </w:rPr>
        <w:t xml:space="preserve">ther states reacting negatively to </w:t>
      </w:r>
      <w:r w:rsidR="008E3FCC">
        <w:rPr>
          <w:rFonts w:ascii="Times New Roman" w:hAnsi="Times New Roman" w:cs="Times New Roman"/>
        </w:rPr>
        <w:t>a</w:t>
      </w:r>
      <w:r w:rsidRPr="008373A2">
        <w:rPr>
          <w:rFonts w:ascii="Times New Roman" w:hAnsi="Times New Roman" w:cs="Times New Roman"/>
        </w:rPr>
        <w:t xml:space="preserve"> practice or suggesting that the practice breaches international law would show that, despite </w:t>
      </w:r>
      <w:r w:rsidR="00EE77FB">
        <w:rPr>
          <w:rFonts w:ascii="Times New Roman" w:hAnsi="Times New Roman" w:cs="Times New Roman"/>
        </w:rPr>
        <w:t>the</w:t>
      </w:r>
      <w:r w:rsidRPr="008373A2">
        <w:rPr>
          <w:rFonts w:ascii="Times New Roman" w:hAnsi="Times New Roman" w:cs="Times New Roman"/>
        </w:rPr>
        <w:t xml:space="preserve"> </w:t>
      </w:r>
      <w:r w:rsidR="008E3FCC">
        <w:rPr>
          <w:rFonts w:ascii="Times New Roman" w:hAnsi="Times New Roman" w:cs="Times New Roman"/>
        </w:rPr>
        <w:t>inference</w:t>
      </w:r>
      <w:r w:rsidRPr="008373A2">
        <w:rPr>
          <w:rFonts w:ascii="Times New Roman" w:hAnsi="Times New Roman" w:cs="Times New Roman"/>
        </w:rPr>
        <w:t xml:space="preserve"> of </w:t>
      </w:r>
      <w:r w:rsidRPr="008373A2">
        <w:rPr>
          <w:rFonts w:ascii="Times New Roman" w:hAnsi="Times New Roman" w:cs="Times New Roman"/>
          <w:i/>
          <w:iCs/>
        </w:rPr>
        <w:t>opinio juris</w:t>
      </w:r>
      <w:r w:rsidRPr="008373A2">
        <w:rPr>
          <w:rFonts w:ascii="Times New Roman" w:hAnsi="Times New Roman" w:cs="Times New Roman"/>
        </w:rPr>
        <w:t xml:space="preserve"> on the part of the acting state, general </w:t>
      </w:r>
      <w:r w:rsidRPr="008373A2">
        <w:rPr>
          <w:rFonts w:ascii="Times New Roman" w:hAnsi="Times New Roman" w:cs="Times New Roman"/>
          <w:i/>
          <w:iCs/>
        </w:rPr>
        <w:t>opinio juris</w:t>
      </w:r>
      <w:r w:rsidRPr="008373A2">
        <w:rPr>
          <w:rFonts w:ascii="Times New Roman" w:hAnsi="Times New Roman" w:cs="Times New Roman"/>
        </w:rPr>
        <w:t xml:space="preserve"> for the rule was not present.</w:t>
      </w:r>
      <w:r w:rsidRPr="008373A2">
        <w:rPr>
          <w:rStyle w:val="FootnoteReference"/>
          <w:rFonts w:ascii="Times New Roman" w:hAnsi="Times New Roman" w:cs="Times New Roman"/>
        </w:rPr>
        <w:footnoteReference w:id="97"/>
      </w:r>
      <w:r w:rsidRPr="008373A2">
        <w:rPr>
          <w:rFonts w:ascii="Times New Roman" w:hAnsi="Times New Roman" w:cs="Times New Roman"/>
        </w:rPr>
        <w:t xml:space="preserve"> </w:t>
      </w:r>
      <w:r w:rsidR="00EE77FB">
        <w:rPr>
          <w:rFonts w:ascii="Times New Roman" w:hAnsi="Times New Roman" w:cs="Times New Roman"/>
        </w:rPr>
        <w:t xml:space="preserve">However, states should not be expected to express a negative reaction to every incidence of conduct contrary to existing international law or risk their silence being interpreted as acceptance of a new customary rule. It is only where the circumstances generate an expectation of a reaction, </w:t>
      </w:r>
      <w:r w:rsidR="00035C92">
        <w:rPr>
          <w:rFonts w:ascii="Times New Roman" w:hAnsi="Times New Roman" w:cs="Times New Roman"/>
        </w:rPr>
        <w:t>for example</w:t>
      </w:r>
      <w:r w:rsidR="00EE77FB">
        <w:rPr>
          <w:rFonts w:ascii="Times New Roman" w:hAnsi="Times New Roman" w:cs="Times New Roman"/>
        </w:rPr>
        <w:t xml:space="preserve"> because the state in question is directly affected by the practice or because the acting state is repeatedly acting in a way inconsistent with international law, that a failure to react may evidence acceptance of a new rule.</w:t>
      </w:r>
      <w:r w:rsidR="000A3AA6">
        <w:rPr>
          <w:rStyle w:val="FootnoteReference"/>
          <w:rFonts w:ascii="Times New Roman" w:hAnsi="Times New Roman" w:cs="Times New Roman"/>
        </w:rPr>
        <w:footnoteReference w:id="98"/>
      </w:r>
    </w:p>
    <w:p w14:paraId="1565AFAB" w14:textId="7910FBE0" w:rsidR="00DD7536" w:rsidRPr="008373A2" w:rsidRDefault="00DD7536" w:rsidP="00064C83">
      <w:pPr>
        <w:spacing w:line="360" w:lineRule="auto"/>
        <w:jc w:val="both"/>
        <w:rPr>
          <w:rFonts w:ascii="Times New Roman" w:hAnsi="Times New Roman" w:cs="Times New Roman"/>
        </w:rPr>
      </w:pPr>
    </w:p>
    <w:p w14:paraId="1B9BA887" w14:textId="77D1823E" w:rsidR="00DD7536" w:rsidRPr="008373A2" w:rsidRDefault="00DD7536" w:rsidP="00064C83">
      <w:pPr>
        <w:spacing w:line="360" w:lineRule="auto"/>
        <w:jc w:val="both"/>
        <w:rPr>
          <w:rFonts w:ascii="Times New Roman" w:hAnsi="Times New Roman" w:cs="Times New Roman"/>
        </w:rPr>
      </w:pPr>
      <w:r w:rsidRPr="008373A2">
        <w:rPr>
          <w:rFonts w:ascii="Times New Roman" w:hAnsi="Times New Roman" w:cs="Times New Roman"/>
        </w:rPr>
        <w:t xml:space="preserve">Finally, the </w:t>
      </w:r>
      <w:r w:rsidRPr="008373A2">
        <w:rPr>
          <w:rFonts w:ascii="Times New Roman" w:hAnsi="Times New Roman" w:cs="Times New Roman"/>
          <w:i/>
          <w:iCs/>
        </w:rPr>
        <w:t>Right of Passage</w:t>
      </w:r>
      <w:r w:rsidRPr="008373A2">
        <w:rPr>
          <w:rFonts w:ascii="Times New Roman" w:hAnsi="Times New Roman" w:cs="Times New Roman"/>
        </w:rPr>
        <w:t xml:space="preserve"> and </w:t>
      </w:r>
      <w:r w:rsidRPr="008373A2">
        <w:rPr>
          <w:rFonts w:ascii="Times New Roman" w:hAnsi="Times New Roman" w:cs="Times New Roman"/>
          <w:i/>
          <w:iCs/>
        </w:rPr>
        <w:t>Navigational and Related Rights</w:t>
      </w:r>
      <w:r w:rsidRPr="008373A2">
        <w:rPr>
          <w:rFonts w:ascii="Times New Roman" w:hAnsi="Times New Roman" w:cs="Times New Roman"/>
        </w:rPr>
        <w:t xml:space="preserve"> cases highlight the points made earlier about the characterisation of the rules at issue in a dispute. It is obviously possible, in principle, to analyse both cases as </w:t>
      </w:r>
      <w:r w:rsidR="00641D53" w:rsidRPr="008373A2">
        <w:rPr>
          <w:rFonts w:ascii="Times New Roman" w:hAnsi="Times New Roman" w:cs="Times New Roman"/>
        </w:rPr>
        <w:t xml:space="preserve">instead </w:t>
      </w:r>
      <w:r w:rsidRPr="008373A2">
        <w:rPr>
          <w:rFonts w:ascii="Times New Roman" w:hAnsi="Times New Roman" w:cs="Times New Roman"/>
        </w:rPr>
        <w:t xml:space="preserve">concerning the identification of </w:t>
      </w:r>
      <w:r w:rsidR="002B3FAE">
        <w:rPr>
          <w:rFonts w:ascii="Times New Roman" w:hAnsi="Times New Roman" w:cs="Times New Roman"/>
        </w:rPr>
        <w:t>a</w:t>
      </w:r>
      <w:r w:rsidR="002B3FAE" w:rsidRPr="008373A2">
        <w:rPr>
          <w:rFonts w:ascii="Times New Roman" w:hAnsi="Times New Roman" w:cs="Times New Roman"/>
          <w:i/>
          <w:iCs/>
        </w:rPr>
        <w:t xml:space="preserve"> </w:t>
      </w:r>
      <w:r w:rsidRPr="008373A2">
        <w:rPr>
          <w:rFonts w:ascii="Times New Roman" w:hAnsi="Times New Roman" w:cs="Times New Roman"/>
          <w:i/>
          <w:iCs/>
        </w:rPr>
        <w:t xml:space="preserve">prohibitive </w:t>
      </w:r>
      <w:r w:rsidRPr="008373A2">
        <w:rPr>
          <w:rFonts w:ascii="Times New Roman" w:hAnsi="Times New Roman" w:cs="Times New Roman"/>
        </w:rPr>
        <w:t xml:space="preserve">rule </w:t>
      </w:r>
      <w:r w:rsidRPr="008373A2">
        <w:rPr>
          <w:rFonts w:ascii="Times New Roman" w:hAnsi="Times New Roman" w:cs="Times New Roman"/>
        </w:rPr>
        <w:lastRenderedPageBreak/>
        <w:t>of custom which pr</w:t>
      </w:r>
      <w:r w:rsidR="00641D53" w:rsidRPr="008373A2">
        <w:rPr>
          <w:rFonts w:ascii="Times New Roman" w:hAnsi="Times New Roman" w:cs="Times New Roman"/>
        </w:rPr>
        <w:t>event</w:t>
      </w:r>
      <w:r w:rsidR="00B66C84">
        <w:rPr>
          <w:rFonts w:ascii="Times New Roman" w:hAnsi="Times New Roman" w:cs="Times New Roman"/>
        </w:rPr>
        <w:t>s</w:t>
      </w:r>
      <w:r w:rsidRPr="008373A2">
        <w:rPr>
          <w:rFonts w:ascii="Times New Roman" w:hAnsi="Times New Roman" w:cs="Times New Roman"/>
        </w:rPr>
        <w:t xml:space="preserve"> India and Nicaragua from obstructing the other party’s </w:t>
      </w:r>
      <w:r w:rsidR="00AD549B">
        <w:rPr>
          <w:rFonts w:ascii="Times New Roman" w:hAnsi="Times New Roman" w:cs="Times New Roman"/>
        </w:rPr>
        <w:t>passage or fishing respectively</w:t>
      </w:r>
      <w:r w:rsidR="000F4EE2" w:rsidRPr="008373A2">
        <w:rPr>
          <w:rFonts w:ascii="Times New Roman" w:hAnsi="Times New Roman" w:cs="Times New Roman"/>
        </w:rPr>
        <w:t xml:space="preserve">, in a context where </w:t>
      </w:r>
      <w:r w:rsidR="00A7603D" w:rsidRPr="008373A2">
        <w:rPr>
          <w:rFonts w:ascii="Times New Roman" w:hAnsi="Times New Roman" w:cs="Times New Roman"/>
        </w:rPr>
        <w:t>the underlying international law rules</w:t>
      </w:r>
      <w:r w:rsidR="000F4EE2" w:rsidRPr="008373A2">
        <w:rPr>
          <w:rFonts w:ascii="Times New Roman" w:hAnsi="Times New Roman" w:cs="Times New Roman"/>
        </w:rPr>
        <w:t xml:space="preserve"> permit</w:t>
      </w:r>
      <w:r w:rsidR="00230E24">
        <w:rPr>
          <w:rFonts w:ascii="Times New Roman" w:hAnsi="Times New Roman" w:cs="Times New Roman"/>
        </w:rPr>
        <w:t>ted</w:t>
      </w:r>
      <w:r w:rsidR="00BC6A1C">
        <w:rPr>
          <w:rFonts w:ascii="Times New Roman" w:hAnsi="Times New Roman" w:cs="Times New Roman"/>
        </w:rPr>
        <w:t xml:space="preserve"> – but did not require –</w:t>
      </w:r>
      <w:r w:rsidR="000F4EE2" w:rsidRPr="008373A2">
        <w:rPr>
          <w:rFonts w:ascii="Times New Roman" w:hAnsi="Times New Roman" w:cs="Times New Roman"/>
        </w:rPr>
        <w:t xml:space="preserve"> </w:t>
      </w:r>
      <w:r w:rsidR="00AD549B" w:rsidRPr="008373A2">
        <w:rPr>
          <w:rFonts w:ascii="Times New Roman" w:hAnsi="Times New Roman" w:cs="Times New Roman"/>
        </w:rPr>
        <w:t>th</w:t>
      </w:r>
      <w:r w:rsidR="00AD549B">
        <w:rPr>
          <w:rFonts w:ascii="Times New Roman" w:hAnsi="Times New Roman" w:cs="Times New Roman"/>
        </w:rPr>
        <w:t>ose states</w:t>
      </w:r>
      <w:r w:rsidR="00AD549B" w:rsidRPr="008373A2">
        <w:rPr>
          <w:rFonts w:ascii="Times New Roman" w:hAnsi="Times New Roman" w:cs="Times New Roman"/>
        </w:rPr>
        <w:t xml:space="preserve"> </w:t>
      </w:r>
      <w:r w:rsidR="000F4EE2" w:rsidRPr="008373A2">
        <w:rPr>
          <w:rFonts w:ascii="Times New Roman" w:hAnsi="Times New Roman" w:cs="Times New Roman"/>
        </w:rPr>
        <w:t>to restrict access to their territory</w:t>
      </w:r>
      <w:r w:rsidRPr="008373A2">
        <w:rPr>
          <w:rFonts w:ascii="Times New Roman" w:hAnsi="Times New Roman" w:cs="Times New Roman"/>
        </w:rPr>
        <w:t xml:space="preserve">. </w:t>
      </w:r>
      <w:r w:rsidR="000F4EE2" w:rsidRPr="008373A2">
        <w:rPr>
          <w:rFonts w:ascii="Times New Roman" w:hAnsi="Times New Roman" w:cs="Times New Roman"/>
        </w:rPr>
        <w:t>Framed in this way, the absence of</w:t>
      </w:r>
      <w:r w:rsidR="00BC6A1C">
        <w:rPr>
          <w:rFonts w:ascii="Times New Roman" w:hAnsi="Times New Roman" w:cs="Times New Roman"/>
        </w:rPr>
        <w:t xml:space="preserve"> positive evidence of</w:t>
      </w:r>
      <w:r w:rsidR="000F4EE2" w:rsidRPr="008373A2">
        <w:rPr>
          <w:rFonts w:ascii="Times New Roman" w:hAnsi="Times New Roman" w:cs="Times New Roman"/>
        </w:rPr>
        <w:t xml:space="preserve"> </w:t>
      </w:r>
      <w:r w:rsidR="000F4EE2" w:rsidRPr="008373A2">
        <w:rPr>
          <w:rFonts w:ascii="Times New Roman" w:hAnsi="Times New Roman" w:cs="Times New Roman"/>
          <w:i/>
          <w:iCs/>
        </w:rPr>
        <w:t>opinio juris</w:t>
      </w:r>
      <w:r w:rsidR="000F4EE2" w:rsidRPr="008373A2">
        <w:rPr>
          <w:rFonts w:ascii="Times New Roman" w:hAnsi="Times New Roman" w:cs="Times New Roman"/>
        </w:rPr>
        <w:t xml:space="preserve"> would be an insurmountable obstacle</w:t>
      </w:r>
      <w:r w:rsidR="00E529FD">
        <w:rPr>
          <w:rFonts w:ascii="Times New Roman" w:hAnsi="Times New Roman" w:cs="Times New Roman"/>
        </w:rPr>
        <w:t xml:space="preserve"> for Portugal and Costa Rica’s arguments</w:t>
      </w:r>
      <w:r w:rsidR="000F4EE2" w:rsidRPr="008373A2">
        <w:rPr>
          <w:rFonts w:ascii="Times New Roman" w:hAnsi="Times New Roman" w:cs="Times New Roman"/>
        </w:rPr>
        <w:t>: the</w:t>
      </w:r>
      <w:r w:rsidR="00641D53" w:rsidRPr="008373A2">
        <w:rPr>
          <w:rFonts w:ascii="Times New Roman" w:hAnsi="Times New Roman" w:cs="Times New Roman"/>
        </w:rPr>
        <w:t xml:space="preserve"> territorial states’</w:t>
      </w:r>
      <w:r w:rsidR="000F4EE2" w:rsidRPr="008373A2">
        <w:rPr>
          <w:rFonts w:ascii="Times New Roman" w:hAnsi="Times New Roman" w:cs="Times New Roman"/>
        </w:rPr>
        <w:t xml:space="preserve"> omission to object to the passage or fishing is consistent with both </w:t>
      </w:r>
      <w:r w:rsidR="00641D53" w:rsidRPr="008373A2">
        <w:rPr>
          <w:rFonts w:ascii="Times New Roman" w:hAnsi="Times New Roman" w:cs="Times New Roman"/>
        </w:rPr>
        <w:t xml:space="preserve">the alleged </w:t>
      </w:r>
      <w:r w:rsidR="00840D27" w:rsidRPr="008373A2">
        <w:rPr>
          <w:rFonts w:ascii="Times New Roman" w:hAnsi="Times New Roman" w:cs="Times New Roman"/>
        </w:rPr>
        <w:t xml:space="preserve">prohibitive </w:t>
      </w:r>
      <w:r w:rsidR="000F4EE2" w:rsidRPr="008373A2">
        <w:rPr>
          <w:rFonts w:ascii="Times New Roman" w:hAnsi="Times New Roman" w:cs="Times New Roman"/>
        </w:rPr>
        <w:t>rule</w:t>
      </w:r>
      <w:r w:rsidR="00641D53" w:rsidRPr="008373A2">
        <w:rPr>
          <w:rFonts w:ascii="Times New Roman" w:hAnsi="Times New Roman" w:cs="Times New Roman"/>
        </w:rPr>
        <w:t xml:space="preserve"> and </w:t>
      </w:r>
      <w:r w:rsidR="00A7603D" w:rsidRPr="008373A2">
        <w:rPr>
          <w:rFonts w:ascii="Times New Roman" w:hAnsi="Times New Roman" w:cs="Times New Roman"/>
        </w:rPr>
        <w:t>the underlying international law rules</w:t>
      </w:r>
      <w:r w:rsidR="000F4EE2" w:rsidRPr="008373A2">
        <w:rPr>
          <w:rFonts w:ascii="Times New Roman" w:hAnsi="Times New Roman" w:cs="Times New Roman"/>
        </w:rPr>
        <w:t xml:space="preserve"> and so </w:t>
      </w:r>
      <w:r w:rsidR="00641D53" w:rsidRPr="008373A2">
        <w:rPr>
          <w:rFonts w:ascii="Times New Roman" w:hAnsi="Times New Roman" w:cs="Times New Roman"/>
        </w:rPr>
        <w:t xml:space="preserve">constitutes </w:t>
      </w:r>
      <w:r w:rsidR="000F4EE2" w:rsidRPr="008373A2">
        <w:rPr>
          <w:rFonts w:ascii="Times New Roman" w:hAnsi="Times New Roman" w:cs="Times New Roman"/>
        </w:rPr>
        <w:t>an ambiguous practice f</w:t>
      </w:r>
      <w:r w:rsidR="00641D53" w:rsidRPr="008373A2">
        <w:rPr>
          <w:rFonts w:ascii="Times New Roman" w:hAnsi="Times New Roman" w:cs="Times New Roman"/>
        </w:rPr>
        <w:t>ro</w:t>
      </w:r>
      <w:r w:rsidR="000F4EE2" w:rsidRPr="008373A2">
        <w:rPr>
          <w:rFonts w:ascii="Times New Roman" w:hAnsi="Times New Roman" w:cs="Times New Roman"/>
        </w:rPr>
        <w:t xml:space="preserve">m which no inference of </w:t>
      </w:r>
      <w:r w:rsidR="000F4EE2" w:rsidRPr="008373A2">
        <w:rPr>
          <w:rFonts w:ascii="Times New Roman" w:hAnsi="Times New Roman" w:cs="Times New Roman"/>
          <w:i/>
          <w:iCs/>
        </w:rPr>
        <w:t>opinio juris</w:t>
      </w:r>
      <w:r w:rsidR="000F4EE2" w:rsidRPr="008373A2">
        <w:rPr>
          <w:rFonts w:ascii="Times New Roman" w:hAnsi="Times New Roman" w:cs="Times New Roman"/>
        </w:rPr>
        <w:t xml:space="preserve"> </w:t>
      </w:r>
      <w:r w:rsidR="00E529FD">
        <w:rPr>
          <w:rFonts w:ascii="Times New Roman" w:hAnsi="Times New Roman" w:cs="Times New Roman"/>
        </w:rPr>
        <w:t xml:space="preserve">for the </w:t>
      </w:r>
      <w:r w:rsidR="00AD549B">
        <w:rPr>
          <w:rFonts w:ascii="Times New Roman" w:hAnsi="Times New Roman" w:cs="Times New Roman"/>
        </w:rPr>
        <w:t xml:space="preserve">alleged </w:t>
      </w:r>
      <w:r w:rsidR="00E529FD">
        <w:rPr>
          <w:rFonts w:ascii="Times New Roman" w:hAnsi="Times New Roman" w:cs="Times New Roman"/>
        </w:rPr>
        <w:t xml:space="preserve">new prohibition </w:t>
      </w:r>
      <w:r w:rsidR="00AD549B">
        <w:rPr>
          <w:rFonts w:ascii="Times New Roman" w:hAnsi="Times New Roman" w:cs="Times New Roman"/>
        </w:rPr>
        <w:t xml:space="preserve">on restricting access </w:t>
      </w:r>
      <w:r w:rsidR="000F4EE2" w:rsidRPr="008373A2">
        <w:rPr>
          <w:rFonts w:ascii="Times New Roman" w:hAnsi="Times New Roman" w:cs="Times New Roman"/>
        </w:rPr>
        <w:t xml:space="preserve">can be made. Yet, these cases also demonstrate the limits of how a dispute may be characterised: the parties, and indeed the Court, are not completely free to manipulate the nature of a rule to their own advantage. </w:t>
      </w:r>
      <w:r w:rsidR="00641D53" w:rsidRPr="008373A2">
        <w:rPr>
          <w:rFonts w:ascii="Times New Roman" w:hAnsi="Times New Roman" w:cs="Times New Roman"/>
        </w:rPr>
        <w:t xml:space="preserve">There is a correct analysis, and it will depend on the context and development of the area of international law in question. </w:t>
      </w:r>
      <w:r w:rsidR="00381B05" w:rsidRPr="008373A2">
        <w:rPr>
          <w:rFonts w:ascii="Times New Roman" w:hAnsi="Times New Roman" w:cs="Times New Roman"/>
        </w:rPr>
        <w:t xml:space="preserve">If </w:t>
      </w:r>
      <w:r w:rsidR="00381B05" w:rsidRPr="008373A2">
        <w:rPr>
          <w:rFonts w:ascii="Times New Roman" w:hAnsi="Times New Roman" w:cs="Times New Roman"/>
          <w:i/>
          <w:iCs/>
        </w:rPr>
        <w:t>Right of Passage</w:t>
      </w:r>
      <w:r w:rsidR="00381B05" w:rsidRPr="008373A2">
        <w:rPr>
          <w:rFonts w:ascii="Times New Roman" w:hAnsi="Times New Roman" w:cs="Times New Roman"/>
        </w:rPr>
        <w:t xml:space="preserve"> really concern</w:t>
      </w:r>
      <w:r w:rsidR="00641D53" w:rsidRPr="008373A2">
        <w:rPr>
          <w:rFonts w:ascii="Times New Roman" w:hAnsi="Times New Roman" w:cs="Times New Roman"/>
        </w:rPr>
        <w:t>ed</w:t>
      </w:r>
      <w:r w:rsidR="00381B05" w:rsidRPr="008373A2">
        <w:rPr>
          <w:rFonts w:ascii="Times New Roman" w:hAnsi="Times New Roman" w:cs="Times New Roman"/>
        </w:rPr>
        <w:t xml:space="preserve"> the establishment of a </w:t>
      </w:r>
      <w:r w:rsidR="00A268FF" w:rsidRPr="008373A2">
        <w:rPr>
          <w:rFonts w:ascii="Times New Roman" w:hAnsi="Times New Roman" w:cs="Times New Roman"/>
        </w:rPr>
        <w:t xml:space="preserve">new </w:t>
      </w:r>
      <w:r w:rsidR="00381B05" w:rsidRPr="008373A2">
        <w:rPr>
          <w:rFonts w:ascii="Times New Roman" w:hAnsi="Times New Roman" w:cs="Times New Roman"/>
        </w:rPr>
        <w:t xml:space="preserve">prohibition on obstructing Portugal’s passage, then what </w:t>
      </w:r>
      <w:r w:rsidR="00A7603D" w:rsidRPr="008373A2">
        <w:rPr>
          <w:rFonts w:ascii="Times New Roman" w:hAnsi="Times New Roman" w:cs="Times New Roman"/>
        </w:rPr>
        <w:t xml:space="preserve">underlying </w:t>
      </w:r>
      <w:r w:rsidR="00381B05" w:rsidRPr="008373A2">
        <w:rPr>
          <w:rFonts w:ascii="Times New Roman" w:hAnsi="Times New Roman" w:cs="Times New Roman"/>
        </w:rPr>
        <w:t xml:space="preserve">international law rule </w:t>
      </w:r>
      <w:r w:rsidR="00641D53" w:rsidRPr="008373A2">
        <w:rPr>
          <w:rFonts w:ascii="Times New Roman" w:hAnsi="Times New Roman" w:cs="Times New Roman"/>
        </w:rPr>
        <w:t>wa</w:t>
      </w:r>
      <w:r w:rsidR="00381B05" w:rsidRPr="008373A2">
        <w:rPr>
          <w:rFonts w:ascii="Times New Roman" w:hAnsi="Times New Roman" w:cs="Times New Roman"/>
        </w:rPr>
        <w:t xml:space="preserve">s providing </w:t>
      </w:r>
      <w:r w:rsidR="00641D53" w:rsidRPr="008373A2">
        <w:rPr>
          <w:rFonts w:ascii="Times New Roman" w:hAnsi="Times New Roman" w:cs="Times New Roman"/>
        </w:rPr>
        <w:t xml:space="preserve">the </w:t>
      </w:r>
      <w:r w:rsidR="0053061B" w:rsidRPr="008373A2">
        <w:rPr>
          <w:rFonts w:ascii="Times New Roman" w:hAnsi="Times New Roman" w:cs="Times New Roman"/>
        </w:rPr>
        <w:t xml:space="preserve">underlying </w:t>
      </w:r>
      <w:r w:rsidR="00381B05" w:rsidRPr="008373A2">
        <w:rPr>
          <w:rFonts w:ascii="Times New Roman" w:hAnsi="Times New Roman" w:cs="Times New Roman"/>
        </w:rPr>
        <w:t xml:space="preserve">permission for Portugal’s passage? </w:t>
      </w:r>
      <w:r w:rsidR="00641D53" w:rsidRPr="008373A2">
        <w:rPr>
          <w:rFonts w:ascii="Times New Roman" w:hAnsi="Times New Roman" w:cs="Times New Roman"/>
        </w:rPr>
        <w:t xml:space="preserve">No obvious candidate exists. </w:t>
      </w:r>
      <w:r w:rsidR="00082261" w:rsidRPr="008373A2">
        <w:rPr>
          <w:rFonts w:ascii="Times New Roman" w:hAnsi="Times New Roman" w:cs="Times New Roman"/>
        </w:rPr>
        <w:t>T</w:t>
      </w:r>
      <w:r w:rsidR="000F4EE2" w:rsidRPr="008373A2">
        <w:rPr>
          <w:rFonts w:ascii="Times New Roman" w:hAnsi="Times New Roman" w:cs="Times New Roman"/>
        </w:rPr>
        <w:t xml:space="preserve">he customary rule to be identified </w:t>
      </w:r>
      <w:r w:rsidR="00082261" w:rsidRPr="008373A2">
        <w:rPr>
          <w:rFonts w:ascii="Times New Roman" w:hAnsi="Times New Roman" w:cs="Times New Roman"/>
        </w:rPr>
        <w:t>must be permissive</w:t>
      </w:r>
      <w:r w:rsidR="000F4EE2" w:rsidRPr="008373A2">
        <w:rPr>
          <w:rFonts w:ascii="Times New Roman" w:hAnsi="Times New Roman" w:cs="Times New Roman"/>
        </w:rPr>
        <w:t xml:space="preserve"> </w:t>
      </w:r>
      <w:r w:rsidR="00082261" w:rsidRPr="008373A2">
        <w:rPr>
          <w:rFonts w:ascii="Times New Roman" w:hAnsi="Times New Roman" w:cs="Times New Roman"/>
        </w:rPr>
        <w:t xml:space="preserve">because the </w:t>
      </w:r>
      <w:r w:rsidR="003776B5" w:rsidRPr="008373A2">
        <w:rPr>
          <w:rFonts w:ascii="Times New Roman" w:hAnsi="Times New Roman" w:cs="Times New Roman"/>
        </w:rPr>
        <w:t>established</w:t>
      </w:r>
      <w:r w:rsidR="00BC6A1C">
        <w:rPr>
          <w:rFonts w:ascii="Times New Roman" w:hAnsi="Times New Roman" w:cs="Times New Roman"/>
        </w:rPr>
        <w:t xml:space="preserve"> underlying</w:t>
      </w:r>
      <w:r w:rsidR="00082261" w:rsidRPr="008373A2">
        <w:rPr>
          <w:rFonts w:ascii="Times New Roman" w:hAnsi="Times New Roman" w:cs="Times New Roman"/>
        </w:rPr>
        <w:t xml:space="preserve"> principles of territorial sovereignty and integrity c</w:t>
      </w:r>
      <w:r w:rsidR="003776B5" w:rsidRPr="008373A2">
        <w:rPr>
          <w:rFonts w:ascii="Times New Roman" w:hAnsi="Times New Roman" w:cs="Times New Roman"/>
        </w:rPr>
        <w:t>learly</w:t>
      </w:r>
      <w:r w:rsidR="00082261" w:rsidRPr="008373A2">
        <w:rPr>
          <w:rFonts w:ascii="Times New Roman" w:hAnsi="Times New Roman" w:cs="Times New Roman"/>
        </w:rPr>
        <w:t xml:space="preserve"> prohibit such encroachments on a</w:t>
      </w:r>
      <w:r w:rsidR="00781231" w:rsidRPr="00437B04">
        <w:rPr>
          <w:rFonts w:ascii="Times New Roman" w:hAnsi="Times New Roman" w:cs="Times New Roman"/>
        </w:rPr>
        <w:t>nother</w:t>
      </w:r>
      <w:r w:rsidR="00082261" w:rsidRPr="008373A2">
        <w:rPr>
          <w:rFonts w:ascii="Times New Roman" w:hAnsi="Times New Roman" w:cs="Times New Roman"/>
        </w:rPr>
        <w:t xml:space="preserve"> state’s territory.</w:t>
      </w:r>
      <w:r w:rsidR="000F4EE2" w:rsidRPr="008373A2">
        <w:rPr>
          <w:rFonts w:ascii="Times New Roman" w:hAnsi="Times New Roman" w:cs="Times New Roman"/>
        </w:rPr>
        <w:t xml:space="preserve"> </w:t>
      </w:r>
    </w:p>
    <w:p w14:paraId="2E1CB1F9" w14:textId="04000DF3" w:rsidR="002A660F" w:rsidRPr="008373A2" w:rsidRDefault="002A660F" w:rsidP="00064C83">
      <w:pPr>
        <w:spacing w:line="360" w:lineRule="auto"/>
        <w:jc w:val="both"/>
        <w:rPr>
          <w:rFonts w:ascii="Times New Roman" w:hAnsi="Times New Roman" w:cs="Times New Roman"/>
        </w:rPr>
      </w:pPr>
    </w:p>
    <w:p w14:paraId="1123D170" w14:textId="77777777" w:rsidR="000A29B0" w:rsidRPr="008373A2" w:rsidRDefault="000A29B0" w:rsidP="00064C83">
      <w:pPr>
        <w:spacing w:line="360" w:lineRule="auto"/>
        <w:jc w:val="both"/>
        <w:rPr>
          <w:rFonts w:ascii="Times New Roman" w:hAnsi="Times New Roman" w:cs="Times New Roman"/>
        </w:rPr>
      </w:pPr>
    </w:p>
    <w:p w14:paraId="04C2FC07" w14:textId="110465E1" w:rsidR="009B7CE7" w:rsidRPr="008373A2" w:rsidRDefault="009B7CE7">
      <w:pPr>
        <w:pStyle w:val="ListParagraph"/>
        <w:numPr>
          <w:ilvl w:val="0"/>
          <w:numId w:val="5"/>
        </w:numPr>
        <w:spacing w:line="360" w:lineRule="auto"/>
        <w:jc w:val="both"/>
        <w:rPr>
          <w:rFonts w:ascii="Times New Roman" w:hAnsi="Times New Roman" w:cs="Times New Roman"/>
          <w:b/>
          <w:bCs/>
        </w:rPr>
      </w:pPr>
      <w:r w:rsidRPr="008373A2">
        <w:rPr>
          <w:rFonts w:ascii="Times New Roman" w:hAnsi="Times New Roman" w:cs="Times New Roman"/>
          <w:b/>
          <w:bCs/>
        </w:rPr>
        <w:t>Conclusion</w:t>
      </w:r>
    </w:p>
    <w:p w14:paraId="70C51937" w14:textId="77777777" w:rsidR="009B7CE7" w:rsidRPr="008373A2" w:rsidRDefault="009B7CE7" w:rsidP="00064C83">
      <w:pPr>
        <w:pStyle w:val="ListParagraph"/>
        <w:spacing w:line="360" w:lineRule="auto"/>
        <w:jc w:val="both"/>
        <w:rPr>
          <w:rFonts w:ascii="Times New Roman" w:hAnsi="Times New Roman" w:cs="Times New Roman"/>
        </w:rPr>
      </w:pPr>
    </w:p>
    <w:p w14:paraId="64683FF9" w14:textId="45664E80" w:rsidR="00810A52" w:rsidRPr="008373A2" w:rsidRDefault="00F65617" w:rsidP="00064C83">
      <w:pPr>
        <w:spacing w:line="360" w:lineRule="auto"/>
        <w:jc w:val="both"/>
        <w:rPr>
          <w:rFonts w:ascii="Times New Roman" w:hAnsi="Times New Roman" w:cs="Times New Roman"/>
        </w:rPr>
      </w:pPr>
      <w:r w:rsidRPr="008373A2">
        <w:rPr>
          <w:rFonts w:ascii="Times New Roman" w:hAnsi="Times New Roman" w:cs="Times New Roman"/>
        </w:rPr>
        <w:t>This article</w:t>
      </w:r>
      <w:r w:rsidR="000E7058" w:rsidRPr="008373A2">
        <w:rPr>
          <w:rFonts w:ascii="Times New Roman" w:hAnsi="Times New Roman" w:cs="Times New Roman"/>
        </w:rPr>
        <w:t xml:space="preserve"> </w:t>
      </w:r>
      <w:r w:rsidR="00B253F7" w:rsidRPr="008373A2">
        <w:rPr>
          <w:rFonts w:ascii="Times New Roman" w:hAnsi="Times New Roman" w:cs="Times New Roman"/>
        </w:rPr>
        <w:t>has shown</w:t>
      </w:r>
      <w:r w:rsidR="00DF3117" w:rsidRPr="008373A2">
        <w:rPr>
          <w:rFonts w:ascii="Times New Roman" w:hAnsi="Times New Roman" w:cs="Times New Roman"/>
        </w:rPr>
        <w:t xml:space="preserve"> how the nature and context of a customary rule impact the identification </w:t>
      </w:r>
      <w:r w:rsidR="00641D53" w:rsidRPr="008373A2">
        <w:rPr>
          <w:rFonts w:ascii="Times New Roman" w:hAnsi="Times New Roman" w:cs="Times New Roman"/>
        </w:rPr>
        <w:t>of customary international law</w:t>
      </w:r>
      <w:r w:rsidR="008F1492">
        <w:rPr>
          <w:rFonts w:ascii="Times New Roman" w:hAnsi="Times New Roman" w:cs="Times New Roman"/>
        </w:rPr>
        <w:t xml:space="preserve">, and in particular their effect on how the existence of the elements of state practice and </w:t>
      </w:r>
      <w:r w:rsidR="008F1492" w:rsidRPr="00C81A70">
        <w:rPr>
          <w:rFonts w:ascii="Times New Roman" w:hAnsi="Times New Roman" w:cs="Times New Roman"/>
          <w:i/>
          <w:iCs/>
        </w:rPr>
        <w:t>opinio juris</w:t>
      </w:r>
      <w:r w:rsidR="008F1492">
        <w:rPr>
          <w:rFonts w:ascii="Times New Roman" w:hAnsi="Times New Roman" w:cs="Times New Roman"/>
        </w:rPr>
        <w:t xml:space="preserve"> is evaluated</w:t>
      </w:r>
      <w:r w:rsidR="00641D53" w:rsidRPr="008373A2">
        <w:rPr>
          <w:rFonts w:ascii="Times New Roman" w:hAnsi="Times New Roman" w:cs="Times New Roman"/>
        </w:rPr>
        <w:t xml:space="preserve">. </w:t>
      </w:r>
      <w:r w:rsidR="00406199" w:rsidRPr="008373A2">
        <w:rPr>
          <w:rFonts w:ascii="Times New Roman" w:hAnsi="Times New Roman" w:cs="Times New Roman"/>
        </w:rPr>
        <w:t xml:space="preserve">In situations where state practice does not consist of statements by states as to the content of customary </w:t>
      </w:r>
      <w:r w:rsidR="00D0301B">
        <w:rPr>
          <w:rFonts w:ascii="Times New Roman" w:hAnsi="Times New Roman" w:cs="Times New Roman"/>
        </w:rPr>
        <w:t xml:space="preserve">international </w:t>
      </w:r>
      <w:r w:rsidR="00406199" w:rsidRPr="008373A2">
        <w:rPr>
          <w:rFonts w:ascii="Times New Roman" w:hAnsi="Times New Roman" w:cs="Times New Roman"/>
        </w:rPr>
        <w:t xml:space="preserve">law, </w:t>
      </w:r>
      <w:proofErr w:type="gramStart"/>
      <w:r w:rsidR="00406199" w:rsidRPr="008373A2">
        <w:rPr>
          <w:rFonts w:ascii="Times New Roman" w:hAnsi="Times New Roman" w:cs="Times New Roman"/>
        </w:rPr>
        <w:t>t</w:t>
      </w:r>
      <w:r w:rsidR="00641D53" w:rsidRPr="008373A2">
        <w:rPr>
          <w:rFonts w:ascii="Times New Roman" w:hAnsi="Times New Roman" w:cs="Times New Roman"/>
        </w:rPr>
        <w:t>aking into account</w:t>
      </w:r>
      <w:proofErr w:type="gramEnd"/>
      <w:r w:rsidR="00810A52" w:rsidRPr="008373A2">
        <w:rPr>
          <w:rFonts w:ascii="Times New Roman" w:hAnsi="Times New Roman" w:cs="Times New Roman"/>
        </w:rPr>
        <w:t xml:space="preserve"> </w:t>
      </w:r>
      <w:r w:rsidR="006730CE" w:rsidRPr="008373A2">
        <w:rPr>
          <w:rFonts w:ascii="Times New Roman" w:hAnsi="Times New Roman" w:cs="Times New Roman"/>
        </w:rPr>
        <w:t xml:space="preserve">the </w:t>
      </w:r>
      <w:r w:rsidR="00810A52" w:rsidRPr="008373A2">
        <w:rPr>
          <w:rFonts w:ascii="Times New Roman" w:hAnsi="Times New Roman" w:cs="Times New Roman"/>
        </w:rPr>
        <w:t>nature of a customary rule</w:t>
      </w:r>
      <w:r w:rsidR="00026D28">
        <w:rPr>
          <w:rFonts w:ascii="Times New Roman" w:hAnsi="Times New Roman" w:cs="Times New Roman"/>
        </w:rPr>
        <w:t>, the kinds of acts that constitute practice in support of the rule,</w:t>
      </w:r>
      <w:r w:rsidR="00810A52" w:rsidRPr="008373A2">
        <w:rPr>
          <w:rFonts w:ascii="Times New Roman" w:hAnsi="Times New Roman" w:cs="Times New Roman"/>
        </w:rPr>
        <w:t xml:space="preserve"> and </w:t>
      </w:r>
      <w:r w:rsidR="009B25D5" w:rsidRPr="008373A2">
        <w:rPr>
          <w:rFonts w:ascii="Times New Roman" w:hAnsi="Times New Roman" w:cs="Times New Roman"/>
        </w:rPr>
        <w:t xml:space="preserve">how this </w:t>
      </w:r>
      <w:r w:rsidR="00810A52" w:rsidRPr="008373A2">
        <w:rPr>
          <w:rFonts w:ascii="Times New Roman" w:hAnsi="Times New Roman" w:cs="Times New Roman"/>
        </w:rPr>
        <w:t>interacts with the</w:t>
      </w:r>
      <w:r w:rsidR="004807E4" w:rsidRPr="008373A2">
        <w:rPr>
          <w:rFonts w:ascii="Times New Roman" w:hAnsi="Times New Roman" w:cs="Times New Roman"/>
        </w:rPr>
        <w:t xml:space="preserve"> </w:t>
      </w:r>
      <w:r w:rsidR="00026D28">
        <w:rPr>
          <w:rFonts w:ascii="Times New Roman" w:hAnsi="Times New Roman" w:cs="Times New Roman"/>
        </w:rPr>
        <w:t xml:space="preserve">underlying international law rules, </w:t>
      </w:r>
      <w:r w:rsidR="00810A52" w:rsidRPr="008373A2">
        <w:rPr>
          <w:rFonts w:ascii="Times New Roman" w:hAnsi="Times New Roman" w:cs="Times New Roman"/>
        </w:rPr>
        <w:t>bring</w:t>
      </w:r>
      <w:r w:rsidR="00641D53" w:rsidRPr="008373A2">
        <w:rPr>
          <w:rFonts w:ascii="Times New Roman" w:hAnsi="Times New Roman" w:cs="Times New Roman"/>
        </w:rPr>
        <w:t>s</w:t>
      </w:r>
      <w:r w:rsidR="00810A52" w:rsidRPr="008373A2">
        <w:rPr>
          <w:rFonts w:ascii="Times New Roman" w:hAnsi="Times New Roman" w:cs="Times New Roman"/>
        </w:rPr>
        <w:t xml:space="preserve"> greater precision to a process that </w:t>
      </w:r>
      <w:r w:rsidR="004D5D3F">
        <w:rPr>
          <w:rFonts w:ascii="Times New Roman" w:hAnsi="Times New Roman" w:cs="Times New Roman"/>
        </w:rPr>
        <w:t>can</w:t>
      </w:r>
      <w:r w:rsidR="00810A52" w:rsidRPr="008373A2">
        <w:rPr>
          <w:rFonts w:ascii="Times New Roman" w:hAnsi="Times New Roman" w:cs="Times New Roman"/>
        </w:rPr>
        <w:t xml:space="preserve"> appear opaque or mysterious. </w:t>
      </w:r>
      <w:r w:rsidR="00E60CEE" w:rsidRPr="008373A2">
        <w:rPr>
          <w:rFonts w:ascii="Times New Roman" w:hAnsi="Times New Roman" w:cs="Times New Roman"/>
        </w:rPr>
        <w:t xml:space="preserve">Where the nature of an alleged customary rule is such that practice in support of that rule is </w:t>
      </w:r>
      <w:r w:rsidR="00672948">
        <w:rPr>
          <w:rFonts w:ascii="Times New Roman" w:hAnsi="Times New Roman" w:cs="Times New Roman"/>
        </w:rPr>
        <w:t xml:space="preserve">also </w:t>
      </w:r>
      <w:r w:rsidR="00E60CEE" w:rsidRPr="008373A2">
        <w:rPr>
          <w:rFonts w:ascii="Times New Roman" w:hAnsi="Times New Roman" w:cs="Times New Roman"/>
        </w:rPr>
        <w:t>consistent with the</w:t>
      </w:r>
      <w:r w:rsidR="009E0420">
        <w:rPr>
          <w:rFonts w:ascii="Times New Roman" w:hAnsi="Times New Roman" w:cs="Times New Roman"/>
        </w:rPr>
        <w:t xml:space="preserve"> </w:t>
      </w:r>
      <w:r w:rsidR="004D2775">
        <w:rPr>
          <w:rFonts w:ascii="Times New Roman" w:hAnsi="Times New Roman" w:cs="Times New Roman"/>
        </w:rPr>
        <w:t xml:space="preserve">context of </w:t>
      </w:r>
      <w:r w:rsidR="00A7603D" w:rsidRPr="008373A2">
        <w:rPr>
          <w:rFonts w:ascii="Times New Roman" w:hAnsi="Times New Roman" w:cs="Times New Roman"/>
        </w:rPr>
        <w:t>underlying international law rules</w:t>
      </w:r>
      <w:r w:rsidR="00E60CEE" w:rsidRPr="008373A2">
        <w:rPr>
          <w:rFonts w:ascii="Times New Roman" w:hAnsi="Times New Roman" w:cs="Times New Roman"/>
        </w:rPr>
        <w:t xml:space="preserve"> in which the alleged rule is located, it will be ambiguous. Evidence of </w:t>
      </w:r>
      <w:r w:rsidR="00E60CEE" w:rsidRPr="008373A2">
        <w:rPr>
          <w:rFonts w:ascii="Times New Roman" w:hAnsi="Times New Roman" w:cs="Times New Roman"/>
          <w:i/>
          <w:iCs/>
        </w:rPr>
        <w:t>opinio juris</w:t>
      </w:r>
      <w:r w:rsidR="00E60CEE" w:rsidRPr="008373A2">
        <w:rPr>
          <w:rFonts w:ascii="Times New Roman" w:hAnsi="Times New Roman" w:cs="Times New Roman"/>
        </w:rPr>
        <w:t xml:space="preserve"> for the new rule will </w:t>
      </w:r>
      <w:r w:rsidR="005C510E" w:rsidRPr="008373A2">
        <w:rPr>
          <w:rFonts w:ascii="Times New Roman" w:hAnsi="Times New Roman" w:cs="Times New Roman"/>
        </w:rPr>
        <w:t xml:space="preserve">therefore </w:t>
      </w:r>
      <w:r w:rsidR="00E60CEE" w:rsidRPr="008373A2">
        <w:rPr>
          <w:rFonts w:ascii="Times New Roman" w:hAnsi="Times New Roman" w:cs="Times New Roman"/>
        </w:rPr>
        <w:t>be essential</w:t>
      </w:r>
      <w:r w:rsidR="004562B1">
        <w:rPr>
          <w:rFonts w:ascii="Times New Roman" w:hAnsi="Times New Roman" w:cs="Times New Roman"/>
        </w:rPr>
        <w:t xml:space="preserve"> to clarify the meaning of the practice and</w:t>
      </w:r>
      <w:r w:rsidR="00E60CEE" w:rsidRPr="008373A2">
        <w:rPr>
          <w:rFonts w:ascii="Times New Roman" w:hAnsi="Times New Roman" w:cs="Times New Roman"/>
        </w:rPr>
        <w:t xml:space="preserve"> for the new </w:t>
      </w:r>
      <w:r w:rsidR="004562B1">
        <w:rPr>
          <w:rFonts w:ascii="Times New Roman" w:hAnsi="Times New Roman" w:cs="Times New Roman"/>
        </w:rPr>
        <w:t xml:space="preserve">customary </w:t>
      </w:r>
      <w:r w:rsidR="00E60CEE" w:rsidRPr="008373A2">
        <w:rPr>
          <w:rFonts w:ascii="Times New Roman" w:hAnsi="Times New Roman" w:cs="Times New Roman"/>
        </w:rPr>
        <w:t xml:space="preserve">rule to be identified. By contrast, where practice supporting an alleged customary rule is inconsistent with the context of </w:t>
      </w:r>
      <w:r w:rsidR="00021279" w:rsidRPr="008373A2">
        <w:rPr>
          <w:rFonts w:ascii="Times New Roman" w:hAnsi="Times New Roman" w:cs="Times New Roman"/>
        </w:rPr>
        <w:t>underlying international law rules</w:t>
      </w:r>
      <w:r w:rsidR="00E60CEE" w:rsidRPr="008373A2">
        <w:rPr>
          <w:rFonts w:ascii="Times New Roman" w:hAnsi="Times New Roman" w:cs="Times New Roman"/>
        </w:rPr>
        <w:t>,</w:t>
      </w:r>
      <w:r w:rsidR="00616642" w:rsidRPr="008373A2">
        <w:rPr>
          <w:rFonts w:ascii="Times New Roman" w:hAnsi="Times New Roman" w:cs="Times New Roman"/>
        </w:rPr>
        <w:t xml:space="preserve"> an acting state’s</w:t>
      </w:r>
      <w:r w:rsidR="00E60CEE" w:rsidRPr="008373A2">
        <w:rPr>
          <w:rFonts w:ascii="Times New Roman" w:hAnsi="Times New Roman" w:cs="Times New Roman"/>
        </w:rPr>
        <w:t xml:space="preserve"> </w:t>
      </w:r>
      <w:r w:rsidR="00E60CEE" w:rsidRPr="008373A2">
        <w:rPr>
          <w:rFonts w:ascii="Times New Roman" w:hAnsi="Times New Roman" w:cs="Times New Roman"/>
          <w:i/>
          <w:iCs/>
        </w:rPr>
        <w:t xml:space="preserve">opinio juris </w:t>
      </w:r>
      <w:r w:rsidR="00E60CEE" w:rsidRPr="008373A2">
        <w:rPr>
          <w:rFonts w:ascii="Times New Roman" w:hAnsi="Times New Roman" w:cs="Times New Roman"/>
        </w:rPr>
        <w:t>for the new rule may be inferred from the</w:t>
      </w:r>
      <w:r w:rsidR="00616642" w:rsidRPr="008373A2">
        <w:rPr>
          <w:rFonts w:ascii="Times New Roman" w:hAnsi="Times New Roman" w:cs="Times New Roman"/>
        </w:rPr>
        <w:t xml:space="preserve">ir </w:t>
      </w:r>
      <w:r w:rsidR="00714723">
        <w:rPr>
          <w:rFonts w:ascii="Times New Roman" w:hAnsi="Times New Roman" w:cs="Times New Roman"/>
        </w:rPr>
        <w:lastRenderedPageBreak/>
        <w:t xml:space="preserve">consistent </w:t>
      </w:r>
      <w:r w:rsidR="00616642" w:rsidRPr="008373A2">
        <w:rPr>
          <w:rFonts w:ascii="Times New Roman" w:hAnsi="Times New Roman" w:cs="Times New Roman"/>
        </w:rPr>
        <w:t>participation in the</w:t>
      </w:r>
      <w:r w:rsidR="00E60CEE" w:rsidRPr="008373A2">
        <w:rPr>
          <w:rFonts w:ascii="Times New Roman" w:hAnsi="Times New Roman" w:cs="Times New Roman"/>
        </w:rPr>
        <w:t xml:space="preserve"> supportive practice</w:t>
      </w:r>
      <w:r w:rsidR="00F03CEE" w:rsidRPr="008373A2">
        <w:rPr>
          <w:rFonts w:ascii="Times New Roman" w:hAnsi="Times New Roman" w:cs="Times New Roman"/>
        </w:rPr>
        <w:t xml:space="preserve">, </w:t>
      </w:r>
      <w:r w:rsidR="00616642" w:rsidRPr="008373A2">
        <w:rPr>
          <w:rFonts w:ascii="Times New Roman" w:hAnsi="Times New Roman" w:cs="Times New Roman"/>
        </w:rPr>
        <w:t xml:space="preserve">while the </w:t>
      </w:r>
      <w:r w:rsidR="00616642" w:rsidRPr="00437B04">
        <w:rPr>
          <w:rFonts w:ascii="Times New Roman" w:hAnsi="Times New Roman" w:cs="Times New Roman"/>
          <w:i/>
          <w:iCs/>
        </w:rPr>
        <w:t>opinio juris</w:t>
      </w:r>
      <w:r w:rsidR="00616642" w:rsidRPr="008373A2">
        <w:rPr>
          <w:rFonts w:ascii="Times New Roman" w:hAnsi="Times New Roman" w:cs="Times New Roman"/>
        </w:rPr>
        <w:t xml:space="preserve"> of other states</w:t>
      </w:r>
      <w:r w:rsidR="00F03CEE" w:rsidRPr="008373A2">
        <w:rPr>
          <w:rFonts w:ascii="Times New Roman" w:hAnsi="Times New Roman" w:cs="Times New Roman"/>
        </w:rPr>
        <w:t xml:space="preserve"> </w:t>
      </w:r>
      <w:r w:rsidR="00654285" w:rsidRPr="008373A2">
        <w:rPr>
          <w:rFonts w:ascii="Times New Roman" w:hAnsi="Times New Roman" w:cs="Times New Roman"/>
        </w:rPr>
        <w:t xml:space="preserve">may </w:t>
      </w:r>
      <w:r w:rsidR="00F03CEE" w:rsidRPr="008373A2">
        <w:rPr>
          <w:rFonts w:ascii="Times New Roman" w:hAnsi="Times New Roman" w:cs="Times New Roman"/>
        </w:rPr>
        <w:t>be evidenced by the</w:t>
      </w:r>
      <w:r w:rsidR="00616642" w:rsidRPr="008373A2">
        <w:rPr>
          <w:rFonts w:ascii="Times New Roman" w:hAnsi="Times New Roman" w:cs="Times New Roman"/>
        </w:rPr>
        <w:t>ir</w:t>
      </w:r>
      <w:r w:rsidR="00F03CEE" w:rsidRPr="008373A2">
        <w:rPr>
          <w:rFonts w:ascii="Times New Roman" w:hAnsi="Times New Roman" w:cs="Times New Roman"/>
        </w:rPr>
        <w:t xml:space="preserve"> failure to react negatively to that practice</w:t>
      </w:r>
      <w:r w:rsidR="00E60CEE" w:rsidRPr="008373A2">
        <w:rPr>
          <w:rFonts w:ascii="Times New Roman" w:hAnsi="Times New Roman" w:cs="Times New Roman"/>
        </w:rPr>
        <w:t>.</w:t>
      </w:r>
    </w:p>
    <w:p w14:paraId="429EB0A2" w14:textId="77777777" w:rsidR="006A5C28" w:rsidRPr="008373A2" w:rsidRDefault="006A5C28" w:rsidP="00064C83">
      <w:pPr>
        <w:spacing w:line="360" w:lineRule="auto"/>
        <w:jc w:val="both"/>
        <w:rPr>
          <w:rFonts w:ascii="Times New Roman" w:hAnsi="Times New Roman" w:cs="Times New Roman"/>
        </w:rPr>
      </w:pPr>
    </w:p>
    <w:p w14:paraId="1F92F212" w14:textId="5951D092" w:rsidR="00772787" w:rsidRDefault="00EC47AB" w:rsidP="00064C83">
      <w:pPr>
        <w:spacing w:line="360" w:lineRule="auto"/>
        <w:jc w:val="both"/>
        <w:rPr>
          <w:rFonts w:ascii="Times New Roman" w:hAnsi="Times New Roman" w:cs="Times New Roman"/>
        </w:rPr>
      </w:pPr>
      <w:r w:rsidRPr="00437B04">
        <w:rPr>
          <w:rFonts w:ascii="Times New Roman" w:hAnsi="Times New Roman" w:cs="Times New Roman"/>
        </w:rPr>
        <w:t xml:space="preserve">When the </w:t>
      </w:r>
      <w:r>
        <w:rPr>
          <w:rFonts w:ascii="Times New Roman" w:hAnsi="Times New Roman" w:cs="Times New Roman"/>
        </w:rPr>
        <w:t xml:space="preserve">nature and context of the customary rules being identified are </w:t>
      </w:r>
      <w:proofErr w:type="gramStart"/>
      <w:r>
        <w:rPr>
          <w:rFonts w:ascii="Times New Roman" w:hAnsi="Times New Roman" w:cs="Times New Roman"/>
        </w:rPr>
        <w:t>taken into account</w:t>
      </w:r>
      <w:proofErr w:type="gramEnd"/>
      <w:r w:rsidR="00714723">
        <w:rPr>
          <w:rFonts w:ascii="Times New Roman" w:hAnsi="Times New Roman" w:cs="Times New Roman"/>
        </w:rPr>
        <w:t xml:space="preserve"> in this way</w:t>
      </w:r>
      <w:r>
        <w:rPr>
          <w:rFonts w:ascii="Times New Roman" w:hAnsi="Times New Roman" w:cs="Times New Roman"/>
        </w:rPr>
        <w:t xml:space="preserve">, we can see that in the cases above the Court was applying the two-element test of state practice accompanied by </w:t>
      </w:r>
      <w:r w:rsidRPr="00437B04">
        <w:rPr>
          <w:rFonts w:ascii="Times New Roman" w:hAnsi="Times New Roman" w:cs="Times New Roman"/>
          <w:i/>
          <w:iCs/>
        </w:rPr>
        <w:t>opinio juris</w:t>
      </w:r>
      <w:r>
        <w:rPr>
          <w:rFonts w:ascii="Times New Roman" w:hAnsi="Times New Roman" w:cs="Times New Roman"/>
        </w:rPr>
        <w:t xml:space="preserve">. </w:t>
      </w:r>
      <w:r w:rsidR="0013626D">
        <w:rPr>
          <w:rFonts w:ascii="Times New Roman" w:hAnsi="Times New Roman" w:cs="Times New Roman"/>
        </w:rPr>
        <w:t>The analysis has also revealed how states involved in litigation disregard the nature and context of customary rules at their peril: cases may be won or lost based on how the nature</w:t>
      </w:r>
      <w:r w:rsidR="00F5481B">
        <w:rPr>
          <w:rFonts w:ascii="Times New Roman" w:hAnsi="Times New Roman" w:cs="Times New Roman"/>
        </w:rPr>
        <w:t>s</w:t>
      </w:r>
      <w:r w:rsidR="0013626D">
        <w:rPr>
          <w:rFonts w:ascii="Times New Roman" w:hAnsi="Times New Roman" w:cs="Times New Roman"/>
        </w:rPr>
        <w:t xml:space="preserve"> of the rule</w:t>
      </w:r>
      <w:r w:rsidR="00F5481B">
        <w:rPr>
          <w:rFonts w:ascii="Times New Roman" w:hAnsi="Times New Roman" w:cs="Times New Roman"/>
        </w:rPr>
        <w:t>s</w:t>
      </w:r>
      <w:r w:rsidR="0013626D">
        <w:rPr>
          <w:rFonts w:ascii="Times New Roman" w:hAnsi="Times New Roman" w:cs="Times New Roman"/>
        </w:rPr>
        <w:t xml:space="preserve"> concerned </w:t>
      </w:r>
      <w:r w:rsidR="00F5481B">
        <w:rPr>
          <w:rFonts w:ascii="Times New Roman" w:hAnsi="Times New Roman" w:cs="Times New Roman"/>
        </w:rPr>
        <w:t>are</w:t>
      </w:r>
      <w:r w:rsidR="0013626D">
        <w:rPr>
          <w:rFonts w:ascii="Times New Roman" w:hAnsi="Times New Roman" w:cs="Times New Roman"/>
        </w:rPr>
        <w:t xml:space="preserve"> characteri</w:t>
      </w:r>
      <w:r w:rsidR="00B379EF">
        <w:rPr>
          <w:rFonts w:ascii="Times New Roman" w:hAnsi="Times New Roman" w:cs="Times New Roman"/>
        </w:rPr>
        <w:t>z</w:t>
      </w:r>
      <w:r w:rsidR="0013626D">
        <w:rPr>
          <w:rFonts w:ascii="Times New Roman" w:hAnsi="Times New Roman" w:cs="Times New Roman"/>
        </w:rPr>
        <w:t>ed by the parties or the Court.</w:t>
      </w:r>
      <w:r>
        <w:rPr>
          <w:rFonts w:ascii="Times New Roman" w:hAnsi="Times New Roman" w:cs="Times New Roman"/>
        </w:rPr>
        <w:t xml:space="preserve"> </w:t>
      </w:r>
    </w:p>
    <w:p w14:paraId="0E6EB425" w14:textId="77777777" w:rsidR="00772787" w:rsidRDefault="00772787" w:rsidP="00064C83">
      <w:pPr>
        <w:spacing w:line="360" w:lineRule="auto"/>
        <w:jc w:val="both"/>
        <w:rPr>
          <w:rFonts w:ascii="Times New Roman" w:hAnsi="Times New Roman" w:cs="Times New Roman"/>
        </w:rPr>
      </w:pPr>
    </w:p>
    <w:p w14:paraId="7B13C4C9" w14:textId="14884D0B" w:rsidR="009B7CE7" w:rsidRPr="008373A2" w:rsidRDefault="0013626D" w:rsidP="00064C83">
      <w:pPr>
        <w:spacing w:line="360" w:lineRule="auto"/>
        <w:jc w:val="both"/>
        <w:rPr>
          <w:rFonts w:ascii="Times New Roman" w:hAnsi="Times New Roman" w:cs="Times New Roman"/>
        </w:rPr>
      </w:pPr>
      <w:r>
        <w:rPr>
          <w:rFonts w:ascii="Times New Roman" w:hAnsi="Times New Roman" w:cs="Times New Roman"/>
        </w:rPr>
        <w:t xml:space="preserve">Although arguing that </w:t>
      </w:r>
      <w:r w:rsidRPr="00437B04">
        <w:rPr>
          <w:rFonts w:ascii="Times New Roman" w:hAnsi="Times New Roman" w:cs="Times New Roman"/>
          <w:i/>
          <w:iCs/>
        </w:rPr>
        <w:t>opinio juris</w:t>
      </w:r>
      <w:r>
        <w:rPr>
          <w:rFonts w:ascii="Times New Roman" w:hAnsi="Times New Roman" w:cs="Times New Roman"/>
        </w:rPr>
        <w:t xml:space="preserve"> </w:t>
      </w:r>
      <w:r w:rsidR="00DB7B84">
        <w:rPr>
          <w:rFonts w:ascii="Times New Roman" w:hAnsi="Times New Roman" w:cs="Times New Roman"/>
        </w:rPr>
        <w:t xml:space="preserve">for a new customary rule </w:t>
      </w:r>
      <w:r>
        <w:rPr>
          <w:rFonts w:ascii="Times New Roman" w:hAnsi="Times New Roman" w:cs="Times New Roman"/>
        </w:rPr>
        <w:t xml:space="preserve">may in certain circumstances be inferred from </w:t>
      </w:r>
      <w:r w:rsidR="008C68F1">
        <w:rPr>
          <w:rFonts w:ascii="Times New Roman" w:hAnsi="Times New Roman" w:cs="Times New Roman"/>
        </w:rPr>
        <w:t xml:space="preserve">state </w:t>
      </w:r>
      <w:proofErr w:type="gramStart"/>
      <w:r>
        <w:rPr>
          <w:rFonts w:ascii="Times New Roman" w:hAnsi="Times New Roman" w:cs="Times New Roman"/>
        </w:rPr>
        <w:t>practice,</w:t>
      </w:r>
      <w:r w:rsidR="00413C39">
        <w:rPr>
          <w:rFonts w:ascii="Times New Roman" w:hAnsi="Times New Roman" w:cs="Times New Roman"/>
        </w:rPr>
        <w:t xml:space="preserve"> </w:t>
      </w:r>
      <w:r w:rsidR="00DB7B84">
        <w:rPr>
          <w:rFonts w:ascii="Times New Roman" w:hAnsi="Times New Roman" w:cs="Times New Roman"/>
        </w:rPr>
        <w:t>and</w:t>
      </w:r>
      <w:proofErr w:type="gramEnd"/>
      <w:r w:rsidR="00DB7B84">
        <w:rPr>
          <w:rFonts w:ascii="Times New Roman" w:hAnsi="Times New Roman" w:cs="Times New Roman"/>
        </w:rPr>
        <w:t xml:space="preserve"> evidenced by an absence of reaction</w:t>
      </w:r>
      <w:r w:rsidR="008C68F1">
        <w:rPr>
          <w:rFonts w:ascii="Times New Roman" w:hAnsi="Times New Roman" w:cs="Times New Roman"/>
        </w:rPr>
        <w:t xml:space="preserve"> by other states</w:t>
      </w:r>
      <w:r w:rsidR="00413C39">
        <w:rPr>
          <w:rFonts w:ascii="Times New Roman" w:hAnsi="Times New Roman" w:cs="Times New Roman"/>
        </w:rPr>
        <w:t>,</w:t>
      </w:r>
      <w:r>
        <w:rPr>
          <w:rFonts w:ascii="Times New Roman" w:hAnsi="Times New Roman" w:cs="Times New Roman"/>
        </w:rPr>
        <w:t xml:space="preserve"> the analysis above does not support the view that </w:t>
      </w:r>
      <w:r w:rsidR="006E5CA5">
        <w:rPr>
          <w:rFonts w:ascii="Times New Roman" w:hAnsi="Times New Roman" w:cs="Times New Roman"/>
        </w:rPr>
        <w:t xml:space="preserve">those states with the power </w:t>
      </w:r>
      <w:r w:rsidR="00ED5B5C">
        <w:rPr>
          <w:rFonts w:ascii="Times New Roman" w:hAnsi="Times New Roman" w:cs="Times New Roman"/>
        </w:rPr>
        <w:t xml:space="preserve">or inclination </w:t>
      </w:r>
      <w:r w:rsidR="006E5CA5">
        <w:rPr>
          <w:rFonts w:ascii="Times New Roman" w:hAnsi="Times New Roman" w:cs="Times New Roman"/>
        </w:rPr>
        <w:t xml:space="preserve">to act </w:t>
      </w:r>
      <w:r w:rsidR="00DB7B84">
        <w:rPr>
          <w:rFonts w:ascii="Times New Roman" w:hAnsi="Times New Roman" w:cs="Times New Roman"/>
        </w:rPr>
        <w:t xml:space="preserve">inconsistently with existing </w:t>
      </w:r>
      <w:r w:rsidR="00F47FA0">
        <w:rPr>
          <w:rFonts w:ascii="Times New Roman" w:hAnsi="Times New Roman" w:cs="Times New Roman"/>
        </w:rPr>
        <w:t xml:space="preserve">international </w:t>
      </w:r>
      <w:r w:rsidR="00DB7B84">
        <w:rPr>
          <w:rFonts w:ascii="Times New Roman" w:hAnsi="Times New Roman" w:cs="Times New Roman"/>
        </w:rPr>
        <w:t>law</w:t>
      </w:r>
      <w:r w:rsidR="006E5CA5">
        <w:rPr>
          <w:rFonts w:ascii="Times New Roman" w:hAnsi="Times New Roman" w:cs="Times New Roman"/>
        </w:rPr>
        <w:t xml:space="preserve"> will</w:t>
      </w:r>
      <w:r w:rsidR="00DB7B84">
        <w:rPr>
          <w:rFonts w:ascii="Times New Roman" w:hAnsi="Times New Roman" w:cs="Times New Roman"/>
        </w:rPr>
        <w:t xml:space="preserve"> as a result</w:t>
      </w:r>
      <w:r w:rsidR="006E5CA5">
        <w:rPr>
          <w:rFonts w:ascii="Times New Roman" w:hAnsi="Times New Roman" w:cs="Times New Roman"/>
        </w:rPr>
        <w:t xml:space="preserve"> be able to shape customary international law to their will</w:t>
      </w:r>
      <w:r w:rsidR="00ED5B5C">
        <w:rPr>
          <w:rFonts w:ascii="Times New Roman" w:hAnsi="Times New Roman" w:cs="Times New Roman"/>
        </w:rPr>
        <w:t xml:space="preserve"> through their practice alone</w:t>
      </w:r>
      <w:r w:rsidR="006E5CA5">
        <w:rPr>
          <w:rFonts w:ascii="Times New Roman" w:hAnsi="Times New Roman" w:cs="Times New Roman"/>
        </w:rPr>
        <w:t xml:space="preserve">. </w:t>
      </w:r>
      <w:r w:rsidR="00F47FA0">
        <w:rPr>
          <w:rFonts w:ascii="Times New Roman" w:hAnsi="Times New Roman" w:cs="Times New Roman"/>
        </w:rPr>
        <w:t>As set out above, i</w:t>
      </w:r>
      <w:r w:rsidR="006E5CA5">
        <w:rPr>
          <w:rFonts w:ascii="Times New Roman" w:hAnsi="Times New Roman" w:cs="Times New Roman"/>
        </w:rPr>
        <w:t xml:space="preserve">nferences </w:t>
      </w:r>
      <w:r w:rsidR="00A542BE">
        <w:rPr>
          <w:rFonts w:ascii="Times New Roman" w:hAnsi="Times New Roman" w:cs="Times New Roman"/>
        </w:rPr>
        <w:t xml:space="preserve">of </w:t>
      </w:r>
      <w:r w:rsidR="00A542BE" w:rsidRPr="00437B04">
        <w:rPr>
          <w:rFonts w:ascii="Times New Roman" w:hAnsi="Times New Roman" w:cs="Times New Roman"/>
          <w:i/>
          <w:iCs/>
        </w:rPr>
        <w:t>opinio juris</w:t>
      </w:r>
      <w:r w:rsidR="00A542BE">
        <w:rPr>
          <w:rFonts w:ascii="Times New Roman" w:hAnsi="Times New Roman" w:cs="Times New Roman"/>
        </w:rPr>
        <w:t xml:space="preserve"> from practice </w:t>
      </w:r>
      <w:r w:rsidR="006E5CA5">
        <w:rPr>
          <w:rFonts w:ascii="Times New Roman" w:hAnsi="Times New Roman" w:cs="Times New Roman"/>
        </w:rPr>
        <w:t xml:space="preserve">may be made only in limited circumstances. For </w:t>
      </w:r>
      <w:r w:rsidR="00CA42C1">
        <w:rPr>
          <w:rFonts w:ascii="Times New Roman" w:hAnsi="Times New Roman" w:cs="Times New Roman"/>
        </w:rPr>
        <w:t>an</w:t>
      </w:r>
      <w:r w:rsidR="006E5CA5">
        <w:rPr>
          <w:rFonts w:ascii="Times New Roman" w:hAnsi="Times New Roman" w:cs="Times New Roman"/>
        </w:rPr>
        <w:t xml:space="preserve"> acting state, repeatedly engaging in what appears to be a violation of existing law </w:t>
      </w:r>
      <w:r w:rsidR="00A542BE">
        <w:rPr>
          <w:rFonts w:ascii="Times New Roman" w:hAnsi="Times New Roman" w:cs="Times New Roman"/>
        </w:rPr>
        <w:t xml:space="preserve">in this way </w:t>
      </w:r>
      <w:r w:rsidR="006E5CA5">
        <w:rPr>
          <w:rFonts w:ascii="Times New Roman" w:hAnsi="Times New Roman" w:cs="Times New Roman"/>
        </w:rPr>
        <w:t>carries its own risk</w:t>
      </w:r>
      <w:r w:rsidR="00ED4B89">
        <w:rPr>
          <w:rFonts w:ascii="Times New Roman" w:hAnsi="Times New Roman" w:cs="Times New Roman"/>
        </w:rPr>
        <w:t>s</w:t>
      </w:r>
      <w:r w:rsidR="006E5CA5">
        <w:rPr>
          <w:rFonts w:ascii="Times New Roman" w:hAnsi="Times New Roman" w:cs="Times New Roman"/>
        </w:rPr>
        <w:t xml:space="preserve">. In any case, any such inference will only be as to the </w:t>
      </w:r>
      <w:r w:rsidR="006E5CA5" w:rsidRPr="00437B04">
        <w:rPr>
          <w:rFonts w:ascii="Times New Roman" w:hAnsi="Times New Roman" w:cs="Times New Roman"/>
          <w:i/>
          <w:iCs/>
        </w:rPr>
        <w:t>opinio juris</w:t>
      </w:r>
      <w:r w:rsidR="006E5CA5">
        <w:rPr>
          <w:rFonts w:ascii="Times New Roman" w:hAnsi="Times New Roman" w:cs="Times New Roman"/>
        </w:rPr>
        <w:t xml:space="preserve"> of the acting state. Although the </w:t>
      </w:r>
      <w:r w:rsidR="006E5CA5" w:rsidRPr="00437B04">
        <w:rPr>
          <w:rFonts w:ascii="Times New Roman" w:hAnsi="Times New Roman" w:cs="Times New Roman"/>
          <w:i/>
          <w:iCs/>
        </w:rPr>
        <w:t>opinio juris</w:t>
      </w:r>
      <w:r w:rsidR="006E5CA5">
        <w:rPr>
          <w:rFonts w:ascii="Times New Roman" w:hAnsi="Times New Roman" w:cs="Times New Roman"/>
        </w:rPr>
        <w:t xml:space="preserve"> of other states may be evidenced by </w:t>
      </w:r>
      <w:r w:rsidR="0006443F">
        <w:rPr>
          <w:rFonts w:ascii="Times New Roman" w:hAnsi="Times New Roman" w:cs="Times New Roman"/>
        </w:rPr>
        <w:t>their failure to react</w:t>
      </w:r>
      <w:r w:rsidR="006E5CA5">
        <w:rPr>
          <w:rFonts w:ascii="Times New Roman" w:hAnsi="Times New Roman" w:cs="Times New Roman"/>
        </w:rPr>
        <w:t xml:space="preserve"> to practice inconsistent with existing law</w:t>
      </w:r>
      <w:r w:rsidR="00E04510">
        <w:rPr>
          <w:rFonts w:ascii="Times New Roman" w:hAnsi="Times New Roman" w:cs="Times New Roman"/>
        </w:rPr>
        <w:t>, this is only</w:t>
      </w:r>
      <w:r w:rsidR="0006443F">
        <w:rPr>
          <w:rFonts w:ascii="Times New Roman" w:hAnsi="Times New Roman" w:cs="Times New Roman"/>
        </w:rPr>
        <w:t xml:space="preserve"> where the circumstances are such as to create an expectation of a reaction</w:t>
      </w:r>
      <w:r w:rsidR="006E5CA5">
        <w:rPr>
          <w:rFonts w:ascii="Times New Roman" w:hAnsi="Times New Roman" w:cs="Times New Roman"/>
        </w:rPr>
        <w:t xml:space="preserve">, </w:t>
      </w:r>
      <w:r w:rsidR="00E04510">
        <w:rPr>
          <w:rFonts w:ascii="Times New Roman" w:hAnsi="Times New Roman" w:cs="Times New Roman"/>
        </w:rPr>
        <w:t xml:space="preserve">and </w:t>
      </w:r>
      <w:r w:rsidR="006E5CA5">
        <w:rPr>
          <w:rFonts w:ascii="Times New Roman" w:hAnsi="Times New Roman" w:cs="Times New Roman"/>
        </w:rPr>
        <w:t xml:space="preserve">their statements of protest will be sufficient to prevent any such conclusion. </w:t>
      </w:r>
      <w:r w:rsidR="00803342">
        <w:rPr>
          <w:rFonts w:ascii="Times New Roman" w:hAnsi="Times New Roman" w:cs="Times New Roman"/>
        </w:rPr>
        <w:t>Overall</w:t>
      </w:r>
      <w:r w:rsidR="006E5CA5">
        <w:rPr>
          <w:rFonts w:ascii="Times New Roman" w:hAnsi="Times New Roman" w:cs="Times New Roman"/>
        </w:rPr>
        <w:t xml:space="preserve">, this article has </w:t>
      </w:r>
      <w:r w:rsidR="00803342">
        <w:rPr>
          <w:rFonts w:ascii="Times New Roman" w:hAnsi="Times New Roman" w:cs="Times New Roman"/>
        </w:rPr>
        <w:t>not d</w:t>
      </w:r>
      <w:r w:rsidR="00C727E5">
        <w:rPr>
          <w:rFonts w:ascii="Times New Roman" w:hAnsi="Times New Roman" w:cs="Times New Roman"/>
        </w:rPr>
        <w:t>i</w:t>
      </w:r>
      <w:r w:rsidR="008C68F1">
        <w:rPr>
          <w:rFonts w:ascii="Times New Roman" w:hAnsi="Times New Roman" w:cs="Times New Roman"/>
        </w:rPr>
        <w:t>minished</w:t>
      </w:r>
      <w:r w:rsidR="00C727E5">
        <w:rPr>
          <w:rFonts w:ascii="Times New Roman" w:hAnsi="Times New Roman" w:cs="Times New Roman"/>
        </w:rPr>
        <w:t xml:space="preserve"> the need for evidence of</w:t>
      </w:r>
      <w:r w:rsidR="00803342">
        <w:rPr>
          <w:rFonts w:ascii="Times New Roman" w:hAnsi="Times New Roman" w:cs="Times New Roman"/>
        </w:rPr>
        <w:t xml:space="preserve"> </w:t>
      </w:r>
      <w:r w:rsidR="00803342" w:rsidRPr="00437B04">
        <w:rPr>
          <w:rFonts w:ascii="Times New Roman" w:hAnsi="Times New Roman" w:cs="Times New Roman"/>
          <w:i/>
          <w:iCs/>
        </w:rPr>
        <w:t>opinio juris</w:t>
      </w:r>
      <w:r w:rsidR="00803342">
        <w:rPr>
          <w:rFonts w:ascii="Times New Roman" w:hAnsi="Times New Roman" w:cs="Times New Roman"/>
        </w:rPr>
        <w:t xml:space="preserve"> but highlighted its importance: it is not only one half of the two-element test</w:t>
      </w:r>
      <w:r w:rsidR="0000136B">
        <w:rPr>
          <w:rFonts w:ascii="Times New Roman" w:hAnsi="Times New Roman" w:cs="Times New Roman"/>
        </w:rPr>
        <w:t xml:space="preserve"> for identification of customary international law</w:t>
      </w:r>
      <w:r w:rsidR="00803342">
        <w:rPr>
          <w:rFonts w:ascii="Times New Roman" w:hAnsi="Times New Roman" w:cs="Times New Roman"/>
        </w:rPr>
        <w:t xml:space="preserve">, but in some situations the state practice element is dependent on evidence of </w:t>
      </w:r>
      <w:r w:rsidR="00803342" w:rsidRPr="00437B04">
        <w:rPr>
          <w:rFonts w:ascii="Times New Roman" w:hAnsi="Times New Roman" w:cs="Times New Roman"/>
          <w:i/>
          <w:iCs/>
        </w:rPr>
        <w:t>opinio juris</w:t>
      </w:r>
      <w:r w:rsidR="00803342">
        <w:rPr>
          <w:rFonts w:ascii="Times New Roman" w:hAnsi="Times New Roman" w:cs="Times New Roman"/>
        </w:rPr>
        <w:t xml:space="preserve"> to </w:t>
      </w:r>
      <w:r w:rsidR="003A60E6">
        <w:rPr>
          <w:rFonts w:ascii="Times New Roman" w:hAnsi="Times New Roman" w:cs="Times New Roman"/>
        </w:rPr>
        <w:t>turn</w:t>
      </w:r>
      <w:r w:rsidR="00803342">
        <w:rPr>
          <w:rFonts w:ascii="Times New Roman" w:hAnsi="Times New Roman" w:cs="Times New Roman"/>
        </w:rPr>
        <w:t xml:space="preserve"> </w:t>
      </w:r>
      <w:r w:rsidR="003A60E6">
        <w:rPr>
          <w:rFonts w:ascii="Times New Roman" w:hAnsi="Times New Roman" w:cs="Times New Roman"/>
        </w:rPr>
        <w:t xml:space="preserve">ambiguous </w:t>
      </w:r>
      <w:r w:rsidR="00803342">
        <w:rPr>
          <w:rFonts w:ascii="Times New Roman" w:hAnsi="Times New Roman" w:cs="Times New Roman"/>
        </w:rPr>
        <w:t xml:space="preserve">state conduct </w:t>
      </w:r>
      <w:r w:rsidR="003A60E6">
        <w:rPr>
          <w:rFonts w:ascii="Times New Roman" w:hAnsi="Times New Roman" w:cs="Times New Roman"/>
        </w:rPr>
        <w:t>into</w:t>
      </w:r>
      <w:r w:rsidR="00803342">
        <w:rPr>
          <w:rFonts w:ascii="Times New Roman" w:hAnsi="Times New Roman" w:cs="Times New Roman"/>
        </w:rPr>
        <w:t xml:space="preserve"> legally meaningful practice.</w:t>
      </w:r>
      <w:r>
        <w:rPr>
          <w:rFonts w:ascii="Times New Roman" w:hAnsi="Times New Roman" w:cs="Times New Roman"/>
        </w:rPr>
        <w:t xml:space="preserve"> </w:t>
      </w:r>
      <w:r w:rsidR="00EC47AB">
        <w:rPr>
          <w:rFonts w:ascii="Times New Roman" w:hAnsi="Times New Roman" w:cs="Times New Roman"/>
        </w:rPr>
        <w:t xml:space="preserve"> </w:t>
      </w:r>
    </w:p>
    <w:sectPr w:rsidR="009B7CE7" w:rsidRPr="008373A2" w:rsidSect="003973A8">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C4E8" w14:textId="77777777" w:rsidR="00FD6662" w:rsidRDefault="00FD6662" w:rsidP="00740C63">
      <w:r>
        <w:separator/>
      </w:r>
    </w:p>
  </w:endnote>
  <w:endnote w:type="continuationSeparator" w:id="0">
    <w:p w14:paraId="746582AF" w14:textId="77777777" w:rsidR="00FD6662" w:rsidRDefault="00FD6662" w:rsidP="0074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5687681"/>
      <w:docPartObj>
        <w:docPartGallery w:val="Page Numbers (Bottom of Page)"/>
        <w:docPartUnique/>
      </w:docPartObj>
    </w:sdtPr>
    <w:sdtEndPr>
      <w:rPr>
        <w:rStyle w:val="PageNumber"/>
      </w:rPr>
    </w:sdtEndPr>
    <w:sdtContent>
      <w:p w14:paraId="1DF1C58A" w14:textId="67455876" w:rsidR="00F100EB" w:rsidRDefault="00F100EB" w:rsidP="008F0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8336BC" w14:textId="77777777" w:rsidR="00F100EB" w:rsidRDefault="00F100EB" w:rsidP="006940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379817"/>
      <w:docPartObj>
        <w:docPartGallery w:val="Page Numbers (Bottom of Page)"/>
        <w:docPartUnique/>
      </w:docPartObj>
    </w:sdtPr>
    <w:sdtEndPr>
      <w:rPr>
        <w:rStyle w:val="PageNumber"/>
        <w:rFonts w:ascii="Times New Roman" w:hAnsi="Times New Roman" w:cs="Times New Roman"/>
        <w:sz w:val="20"/>
        <w:szCs w:val="20"/>
      </w:rPr>
    </w:sdtEndPr>
    <w:sdtContent>
      <w:p w14:paraId="48B36120" w14:textId="178CFBCE" w:rsidR="00F100EB" w:rsidRPr="00694076" w:rsidRDefault="00F100EB" w:rsidP="008F04C1">
        <w:pPr>
          <w:pStyle w:val="Footer"/>
          <w:framePr w:wrap="none" w:vAnchor="text" w:hAnchor="margin" w:xAlign="right" w:y="1"/>
          <w:rPr>
            <w:rStyle w:val="PageNumber"/>
            <w:rFonts w:ascii="Times New Roman" w:hAnsi="Times New Roman" w:cs="Times New Roman"/>
            <w:sz w:val="20"/>
            <w:szCs w:val="20"/>
          </w:rPr>
        </w:pPr>
        <w:r w:rsidRPr="00694076">
          <w:rPr>
            <w:rStyle w:val="PageNumber"/>
            <w:rFonts w:ascii="Times New Roman" w:hAnsi="Times New Roman" w:cs="Times New Roman"/>
            <w:sz w:val="20"/>
            <w:szCs w:val="20"/>
          </w:rPr>
          <w:fldChar w:fldCharType="begin"/>
        </w:r>
        <w:r w:rsidRPr="00694076">
          <w:rPr>
            <w:rStyle w:val="PageNumber"/>
            <w:rFonts w:ascii="Times New Roman" w:hAnsi="Times New Roman" w:cs="Times New Roman"/>
            <w:sz w:val="20"/>
            <w:szCs w:val="20"/>
          </w:rPr>
          <w:instrText xml:space="preserve"> PAGE </w:instrText>
        </w:r>
        <w:r w:rsidRPr="00694076">
          <w:rPr>
            <w:rStyle w:val="PageNumber"/>
            <w:rFonts w:ascii="Times New Roman" w:hAnsi="Times New Roman" w:cs="Times New Roman"/>
            <w:sz w:val="20"/>
            <w:szCs w:val="20"/>
          </w:rPr>
          <w:fldChar w:fldCharType="separate"/>
        </w:r>
        <w:r w:rsidRPr="00694076">
          <w:rPr>
            <w:rStyle w:val="PageNumber"/>
            <w:rFonts w:ascii="Times New Roman" w:hAnsi="Times New Roman" w:cs="Times New Roman"/>
            <w:noProof/>
            <w:sz w:val="20"/>
            <w:szCs w:val="20"/>
          </w:rPr>
          <w:t>1</w:t>
        </w:r>
        <w:r w:rsidRPr="00694076">
          <w:rPr>
            <w:rStyle w:val="PageNumber"/>
            <w:rFonts w:ascii="Times New Roman" w:hAnsi="Times New Roman" w:cs="Times New Roman"/>
            <w:sz w:val="20"/>
            <w:szCs w:val="20"/>
          </w:rPr>
          <w:fldChar w:fldCharType="end"/>
        </w:r>
      </w:p>
    </w:sdtContent>
  </w:sdt>
  <w:p w14:paraId="3B7BA77E" w14:textId="77777777" w:rsidR="00F100EB" w:rsidRDefault="00F100EB" w:rsidP="006940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8442" w14:textId="77777777" w:rsidR="00FD6662" w:rsidRDefault="00FD6662" w:rsidP="00740C63">
      <w:r>
        <w:separator/>
      </w:r>
    </w:p>
  </w:footnote>
  <w:footnote w:type="continuationSeparator" w:id="0">
    <w:p w14:paraId="7B84505A" w14:textId="77777777" w:rsidR="00FD6662" w:rsidRDefault="00FD6662" w:rsidP="00740C63">
      <w:r>
        <w:continuationSeparator/>
      </w:r>
    </w:p>
  </w:footnote>
  <w:footnote w:id="1">
    <w:p w14:paraId="10EF681C" w14:textId="0E1058CF" w:rsidR="00321E47" w:rsidRPr="00563F6C" w:rsidRDefault="00321E47" w:rsidP="00321E47">
      <w:pPr>
        <w:pStyle w:val="FootnoteText"/>
        <w:jc w:val="both"/>
        <w:rPr>
          <w:rFonts w:ascii="Times New Roman" w:hAnsi="Times New Roman" w:cs="Times New Roman"/>
        </w:rPr>
      </w:pPr>
      <w:r>
        <w:rPr>
          <w:rFonts w:ascii="Times New Roman" w:hAnsi="Times New Roman" w:cs="Times New Roman"/>
        </w:rPr>
        <w:t xml:space="preserve">* DPhil candidate, University of Oxford, </w:t>
      </w:r>
      <w:r w:rsidR="00D3266B">
        <w:rPr>
          <w:rFonts w:ascii="Times New Roman" w:hAnsi="Times New Roman" w:cs="Times New Roman"/>
        </w:rPr>
        <w:t>United Kingdom</w:t>
      </w:r>
      <w:r>
        <w:rPr>
          <w:rFonts w:ascii="Times New Roman" w:hAnsi="Times New Roman" w:cs="Times New Roman"/>
        </w:rPr>
        <w:t xml:space="preserve">. I would like to thank Dapo Akande, </w:t>
      </w:r>
      <w:proofErr w:type="spellStart"/>
      <w:r>
        <w:rPr>
          <w:rFonts w:ascii="Times New Roman" w:hAnsi="Times New Roman" w:cs="Times New Roman"/>
        </w:rPr>
        <w:t>Sachintha</w:t>
      </w:r>
      <w:proofErr w:type="spellEnd"/>
      <w:r>
        <w:rPr>
          <w:rFonts w:ascii="Times New Roman" w:hAnsi="Times New Roman" w:cs="Times New Roman"/>
        </w:rPr>
        <w:t xml:space="preserve"> Dias, Andrea </w:t>
      </w:r>
      <w:proofErr w:type="spellStart"/>
      <w:r>
        <w:rPr>
          <w:rFonts w:ascii="Times New Roman" w:hAnsi="Times New Roman" w:cs="Times New Roman"/>
        </w:rPr>
        <w:t>Dolcetti</w:t>
      </w:r>
      <w:proofErr w:type="spellEnd"/>
      <w:r>
        <w:rPr>
          <w:rFonts w:ascii="Times New Roman" w:hAnsi="Times New Roman" w:cs="Times New Roman"/>
        </w:rPr>
        <w:t xml:space="preserve">, </w:t>
      </w:r>
      <w:proofErr w:type="spellStart"/>
      <w:r>
        <w:rPr>
          <w:rFonts w:ascii="Times New Roman" w:hAnsi="Times New Roman" w:cs="Times New Roman"/>
        </w:rPr>
        <w:t>Gehan</w:t>
      </w:r>
      <w:proofErr w:type="spellEnd"/>
      <w:r>
        <w:rPr>
          <w:rFonts w:ascii="Times New Roman" w:hAnsi="Times New Roman" w:cs="Times New Roman"/>
        </w:rPr>
        <w:t xml:space="preserve"> </w:t>
      </w:r>
      <w:proofErr w:type="spellStart"/>
      <w:r w:rsidRPr="0014404E">
        <w:rPr>
          <w:rFonts w:ascii="Times New Roman" w:hAnsi="Times New Roman" w:cs="Times New Roman"/>
        </w:rPr>
        <w:t>Gunatilleke</w:t>
      </w:r>
      <w:proofErr w:type="spellEnd"/>
      <w:r>
        <w:rPr>
          <w:rFonts w:ascii="Times New Roman" w:hAnsi="Times New Roman" w:cs="Times New Roman"/>
        </w:rPr>
        <w:t>,</w:t>
      </w:r>
      <w:r w:rsidR="00715058">
        <w:rPr>
          <w:rFonts w:ascii="Times New Roman" w:hAnsi="Times New Roman" w:cs="Times New Roman"/>
        </w:rPr>
        <w:t xml:space="preserve"> </w:t>
      </w:r>
      <w:r w:rsidR="00715058">
        <w:rPr>
          <w:rFonts w:ascii="Times New Roman" w:hAnsi="Times New Roman" w:cs="Times New Roman"/>
        </w:rPr>
        <w:t xml:space="preserve">Tom </w:t>
      </w:r>
      <w:proofErr w:type="spellStart"/>
      <w:r w:rsidR="00715058">
        <w:rPr>
          <w:rFonts w:ascii="Times New Roman" w:hAnsi="Times New Roman" w:cs="Times New Roman"/>
        </w:rPr>
        <w:t>Kohavi</w:t>
      </w:r>
      <w:proofErr w:type="spellEnd"/>
      <w:r w:rsidR="00715058">
        <w:rPr>
          <w:rFonts w:ascii="Times New Roman" w:hAnsi="Times New Roman" w:cs="Times New Roman"/>
        </w:rPr>
        <w:t xml:space="preserve">, </w:t>
      </w:r>
      <w:r>
        <w:rPr>
          <w:rFonts w:ascii="Times New Roman" w:hAnsi="Times New Roman" w:cs="Times New Roman"/>
        </w:rPr>
        <w:t xml:space="preserve">Ulf </w:t>
      </w:r>
      <w:proofErr w:type="spellStart"/>
      <w:r>
        <w:rPr>
          <w:rFonts w:ascii="Times New Roman" w:hAnsi="Times New Roman" w:cs="Times New Roman"/>
        </w:rPr>
        <w:t>Linderfalk</w:t>
      </w:r>
      <w:proofErr w:type="spellEnd"/>
      <w:r>
        <w:rPr>
          <w:rFonts w:ascii="Times New Roman" w:hAnsi="Times New Roman" w:cs="Times New Roman"/>
        </w:rPr>
        <w:t xml:space="preserve">, participants in seminars in Oxford and Lund, and the anonymous reviewers for </w:t>
      </w:r>
      <w:r w:rsidRPr="00563F6C">
        <w:rPr>
          <w:rFonts w:ascii="Times New Roman" w:hAnsi="Times New Roman" w:cs="Times New Roman"/>
        </w:rPr>
        <w:t>their he</w:t>
      </w:r>
      <w:r w:rsidRPr="00B73E2C">
        <w:rPr>
          <w:rFonts w:ascii="Times New Roman" w:hAnsi="Times New Roman" w:cs="Times New Roman"/>
        </w:rPr>
        <w:t xml:space="preserve">lpful comments on previous drafts. Much of the research for this article was conducted while I was a Visiting Researcher at the </w:t>
      </w:r>
      <w:proofErr w:type="spellStart"/>
      <w:r w:rsidRPr="00B73E2C">
        <w:rPr>
          <w:rFonts w:ascii="Times New Roman" w:hAnsi="Times New Roman" w:cs="Times New Roman"/>
        </w:rPr>
        <w:t>Université</w:t>
      </w:r>
      <w:proofErr w:type="spellEnd"/>
      <w:r w:rsidRPr="00B73E2C">
        <w:rPr>
          <w:rFonts w:ascii="Times New Roman" w:hAnsi="Times New Roman" w:cs="Times New Roman"/>
        </w:rPr>
        <w:t xml:space="preserve"> Libre de </w:t>
      </w:r>
      <w:proofErr w:type="spellStart"/>
      <w:r w:rsidRPr="00B73E2C">
        <w:rPr>
          <w:rFonts w:ascii="Times New Roman" w:hAnsi="Times New Roman" w:cs="Times New Roman"/>
        </w:rPr>
        <w:t>Bruxelles</w:t>
      </w:r>
      <w:proofErr w:type="spellEnd"/>
      <w:r w:rsidRPr="00B73E2C">
        <w:rPr>
          <w:rFonts w:ascii="Times New Roman" w:hAnsi="Times New Roman" w:cs="Times New Roman"/>
        </w:rPr>
        <w:t xml:space="preserve"> in 2019. I am grateful to the </w:t>
      </w:r>
      <w:proofErr w:type="spellStart"/>
      <w:r w:rsidRPr="00B73E2C">
        <w:rPr>
          <w:rFonts w:ascii="Times New Roman" w:hAnsi="Times New Roman" w:cs="Times New Roman"/>
        </w:rPr>
        <w:t>Fondation</w:t>
      </w:r>
      <w:proofErr w:type="spellEnd"/>
      <w:r w:rsidRPr="00B73E2C">
        <w:rPr>
          <w:rFonts w:ascii="Times New Roman" w:hAnsi="Times New Roman" w:cs="Times New Roman"/>
        </w:rPr>
        <w:t xml:space="preserve"> Wiener-</w:t>
      </w:r>
      <w:proofErr w:type="spellStart"/>
      <w:r w:rsidRPr="00B73E2C">
        <w:rPr>
          <w:rFonts w:ascii="Times New Roman" w:hAnsi="Times New Roman" w:cs="Times New Roman"/>
        </w:rPr>
        <w:t>Anspach</w:t>
      </w:r>
      <w:proofErr w:type="spellEnd"/>
      <w:r w:rsidRPr="00B73E2C">
        <w:rPr>
          <w:rFonts w:ascii="Times New Roman" w:hAnsi="Times New Roman" w:cs="Times New Roman"/>
        </w:rPr>
        <w:t xml:space="preserve"> for the</w:t>
      </w:r>
      <w:r w:rsidRPr="003229F7">
        <w:rPr>
          <w:rFonts w:ascii="Times New Roman" w:hAnsi="Times New Roman" w:cs="Times New Roman"/>
        </w:rPr>
        <w:t xml:space="preserve"> Doctoral Fellowship which enabled me to undertake this exchange.</w:t>
      </w:r>
      <w:r w:rsidR="00D3266B" w:rsidRPr="003229F7">
        <w:rPr>
          <w:rFonts w:ascii="Times New Roman" w:hAnsi="Times New Roman" w:cs="Times New Roman"/>
        </w:rPr>
        <w:t xml:space="preserve"> </w:t>
      </w:r>
      <w:r w:rsidR="00D3266B" w:rsidRPr="00C81A70">
        <w:rPr>
          <w:rFonts w:ascii="Times New Roman" w:hAnsi="Times New Roman" w:cs="Times New Roman"/>
        </w:rPr>
        <w:t>Email: katie.johnston@law.ox.ac.uk</w:t>
      </w:r>
      <w:r w:rsidR="00D3266B" w:rsidRPr="00C81A70">
        <w:rPr>
          <w:rFonts w:ascii="Times New Roman" w:hAnsi="Times New Roman" w:cs="Times New Roman"/>
        </w:rPr>
        <w:t>.</w:t>
      </w:r>
    </w:p>
    <w:p w14:paraId="15FC8F29" w14:textId="6D5B59AD" w:rsidR="00622B4C" w:rsidRPr="00600DF7" w:rsidRDefault="00622B4C" w:rsidP="00600DF7">
      <w:pPr>
        <w:pStyle w:val="FootnoteText"/>
        <w:jc w:val="both"/>
        <w:rPr>
          <w:rFonts w:ascii="Times New Roman" w:hAnsi="Times New Roman" w:cs="Times New Roman"/>
        </w:rPr>
      </w:pPr>
      <w:r w:rsidRPr="00563F6C">
        <w:rPr>
          <w:rStyle w:val="FootnoteReference"/>
          <w:rFonts w:ascii="Times New Roman" w:hAnsi="Times New Roman" w:cs="Times New Roman"/>
        </w:rPr>
        <w:footnoteRef/>
      </w:r>
      <w:r w:rsidRPr="00563F6C">
        <w:rPr>
          <w:rFonts w:ascii="Times New Roman" w:hAnsi="Times New Roman" w:cs="Times New Roman"/>
        </w:rPr>
        <w:t xml:space="preserve"> </w:t>
      </w:r>
      <w:r w:rsidRPr="00B73E2C">
        <w:rPr>
          <w:rFonts w:ascii="Times New Roman" w:hAnsi="Times New Roman" w:cs="Times New Roman"/>
          <w:i/>
          <w:iCs/>
        </w:rPr>
        <w:t>Case of the SS Lotus</w:t>
      </w:r>
      <w:r w:rsidRPr="00B73E2C">
        <w:rPr>
          <w:rFonts w:ascii="Times New Roman" w:hAnsi="Times New Roman" w:cs="Times New Roman"/>
        </w:rPr>
        <w:t>, 1927 PCIJ Series A</w:t>
      </w:r>
      <w:r w:rsidR="00842024">
        <w:rPr>
          <w:rFonts w:ascii="Times New Roman" w:hAnsi="Times New Roman" w:cs="Times New Roman"/>
        </w:rPr>
        <w:t>,</w:t>
      </w:r>
      <w:r w:rsidRPr="00563F6C">
        <w:rPr>
          <w:rFonts w:ascii="Times New Roman" w:hAnsi="Times New Roman" w:cs="Times New Roman"/>
        </w:rPr>
        <w:t xml:space="preserve"> No</w:t>
      </w:r>
      <w:r w:rsidR="00842024">
        <w:rPr>
          <w:rFonts w:ascii="Times New Roman" w:hAnsi="Times New Roman" w:cs="Times New Roman"/>
        </w:rPr>
        <w:t>.</w:t>
      </w:r>
      <w:r w:rsidRPr="00563F6C">
        <w:rPr>
          <w:rFonts w:ascii="Times New Roman" w:hAnsi="Times New Roman" w:cs="Times New Roman"/>
        </w:rPr>
        <w:t xml:space="preserve"> 10</w:t>
      </w:r>
      <w:r w:rsidRPr="00C81A70">
        <w:rPr>
          <w:rFonts w:ascii="Times New Roman" w:hAnsi="Times New Roman" w:cs="Times New Roman"/>
        </w:rPr>
        <w:t xml:space="preserve">; </w:t>
      </w:r>
      <w:r w:rsidRPr="00C81A70">
        <w:rPr>
          <w:rFonts w:ascii="Times New Roman" w:hAnsi="Times New Roman" w:cs="Times New Roman"/>
          <w:i/>
          <w:iCs/>
        </w:rPr>
        <w:t>Colombian-Peruvian Asylum Case</w:t>
      </w:r>
      <w:r w:rsidRPr="00C81A70">
        <w:rPr>
          <w:rFonts w:ascii="Times New Roman" w:hAnsi="Times New Roman" w:cs="Times New Roman"/>
        </w:rPr>
        <w:t xml:space="preserve">, Judgment, 20 November 1950, ICJ Reports (1950) 266; </w:t>
      </w:r>
      <w:r w:rsidRPr="00C81A70">
        <w:rPr>
          <w:rFonts w:ascii="Times New Roman" w:hAnsi="Times New Roman" w:cs="Times New Roman"/>
          <w:i/>
          <w:iCs/>
        </w:rPr>
        <w:t xml:space="preserve">Legality of the Threat or Use of </w:t>
      </w:r>
      <w:proofErr w:type="gramStart"/>
      <w:r w:rsidRPr="00C81A70">
        <w:rPr>
          <w:rFonts w:ascii="Times New Roman" w:hAnsi="Times New Roman" w:cs="Times New Roman"/>
          <w:i/>
          <w:iCs/>
        </w:rPr>
        <w:t>Nuclear Weapons</w:t>
      </w:r>
      <w:proofErr w:type="gramEnd"/>
      <w:r w:rsidRPr="00C81A70">
        <w:rPr>
          <w:rFonts w:ascii="Times New Roman" w:hAnsi="Times New Roman" w:cs="Times New Roman"/>
        </w:rPr>
        <w:t xml:space="preserve">, Advisory Opinion, 8 July 1996, ICJ Reports (1996) 22; </w:t>
      </w:r>
      <w:r w:rsidRPr="00C81A70">
        <w:rPr>
          <w:rFonts w:ascii="Times New Roman" w:hAnsi="Times New Roman" w:cs="Times New Roman"/>
          <w:i/>
          <w:iCs/>
        </w:rPr>
        <w:t>North Sea Continental</w:t>
      </w:r>
      <w:r w:rsidRPr="00600DF7">
        <w:rPr>
          <w:rFonts w:ascii="Times New Roman" w:hAnsi="Times New Roman" w:cs="Times New Roman"/>
          <w:i/>
          <w:iCs/>
        </w:rPr>
        <w:t xml:space="preserve"> Shelf</w:t>
      </w:r>
      <w:r w:rsidRPr="00600DF7">
        <w:rPr>
          <w:rFonts w:ascii="Times New Roman" w:hAnsi="Times New Roman" w:cs="Times New Roman"/>
        </w:rPr>
        <w:t>, Judgment, 20 February 1969, ICJ Reports (1969) 3.</w:t>
      </w:r>
    </w:p>
  </w:footnote>
  <w:footnote w:id="2">
    <w:p w14:paraId="3100C57A" w14:textId="19D7DB27" w:rsidR="00F42F3F" w:rsidRPr="00600DF7" w:rsidRDefault="00F42F3F"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Case concerning Right of Passage over Indian Territory</w:t>
      </w:r>
      <w:r w:rsidRPr="00600DF7">
        <w:rPr>
          <w:rFonts w:ascii="Times New Roman" w:hAnsi="Times New Roman" w:cs="Times New Roman"/>
        </w:rPr>
        <w:t xml:space="preserve">, Merits, 12 April 1960, ICJ Reports (1960) 6; </w:t>
      </w:r>
      <w:r w:rsidRPr="00600DF7">
        <w:rPr>
          <w:rFonts w:ascii="Times New Roman" w:hAnsi="Times New Roman" w:cs="Times New Roman"/>
          <w:i/>
          <w:iCs/>
        </w:rPr>
        <w:t>Dispute regarding Navigational and Related Rights</w:t>
      </w:r>
      <w:r w:rsidRPr="00600DF7">
        <w:rPr>
          <w:rFonts w:ascii="Times New Roman" w:hAnsi="Times New Roman" w:cs="Times New Roman"/>
        </w:rPr>
        <w:t>, Judgment, 13 July 2009, ICJ Reports (2009) 213.</w:t>
      </w:r>
    </w:p>
  </w:footnote>
  <w:footnote w:id="3">
    <w:p w14:paraId="30625F53" w14:textId="77777777" w:rsidR="007C042B" w:rsidRPr="00600DF7" w:rsidRDefault="007C042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Military and Paramilitary Activities in and against Nicaragua</w:t>
      </w:r>
      <w:r w:rsidRPr="00600DF7">
        <w:rPr>
          <w:rFonts w:ascii="Times New Roman" w:hAnsi="Times New Roman" w:cs="Times New Roman"/>
          <w:iCs/>
        </w:rPr>
        <w:t>, Merits, 27 June 1986, ICJ Reports (1986) 14.</w:t>
      </w:r>
    </w:p>
  </w:footnote>
  <w:footnote w:id="4">
    <w:p w14:paraId="6C7531AD" w14:textId="70735099"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00842024" w:rsidRPr="00600DF7">
        <w:rPr>
          <w:rFonts w:ascii="Times New Roman" w:hAnsi="Times New Roman" w:cs="Times New Roman"/>
        </w:rPr>
        <w:t>Statute of the Court,</w:t>
      </w:r>
      <w:r w:rsidR="00842024">
        <w:rPr>
          <w:rFonts w:ascii="Times New Roman" w:hAnsi="Times New Roman" w:cs="Times New Roman"/>
        </w:rPr>
        <w:t xml:space="preserve"> </w:t>
      </w:r>
      <w:r w:rsidR="00842024" w:rsidRPr="00600DF7">
        <w:rPr>
          <w:rFonts w:ascii="Times New Roman" w:hAnsi="Times New Roman" w:cs="Times New Roman"/>
        </w:rPr>
        <w:t>Article 38(1)(b)</w:t>
      </w:r>
      <w:r w:rsidR="00842024">
        <w:rPr>
          <w:rFonts w:ascii="Times New Roman" w:hAnsi="Times New Roman" w:cs="Times New Roman"/>
        </w:rPr>
        <w:t xml:space="preserve">, </w:t>
      </w:r>
      <w:r w:rsidRPr="00600DF7">
        <w:rPr>
          <w:rFonts w:ascii="Times New Roman" w:hAnsi="Times New Roman" w:cs="Times New Roman"/>
        </w:rPr>
        <w:t xml:space="preserve">Charter of the United Nations and Statute of the International Court of Justice 1945, 1 UNTS 16. </w:t>
      </w:r>
    </w:p>
  </w:footnote>
  <w:footnote w:id="5">
    <w:p w14:paraId="51048A46" w14:textId="6D89F877"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See </w:t>
      </w:r>
      <w:proofErr w:type="gramStart"/>
      <w:r w:rsidRPr="00600DF7">
        <w:rPr>
          <w:rFonts w:ascii="Times New Roman" w:hAnsi="Times New Roman" w:cs="Times New Roman"/>
        </w:rPr>
        <w:t>e.g.</w:t>
      </w:r>
      <w:proofErr w:type="gramEnd"/>
      <w:r w:rsidRPr="00600DF7">
        <w:rPr>
          <w:rFonts w:ascii="Times New Roman" w:hAnsi="Times New Roman" w:cs="Times New Roman"/>
        </w:rPr>
        <w:t xml:space="preserve"> International Law Commission (ILC), First report on formation and evidence of customary international law by Michael Wood, Special Rapporteur, A/CN.4/663, 17 May 2013, </w:t>
      </w:r>
      <w:r w:rsidR="000F405D">
        <w:rPr>
          <w:rFonts w:ascii="Times New Roman" w:hAnsi="Times New Roman" w:cs="Times New Roman"/>
        </w:rPr>
        <w:t xml:space="preserve">at </w:t>
      </w:r>
      <w:r w:rsidRPr="00600DF7">
        <w:rPr>
          <w:rFonts w:ascii="Times New Roman" w:hAnsi="Times New Roman" w:cs="Times New Roman"/>
        </w:rPr>
        <w:t>para. 31.</w:t>
      </w:r>
    </w:p>
  </w:footnote>
  <w:footnote w:id="6">
    <w:p w14:paraId="0CB08A92" w14:textId="764D628C"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Tams, ‘Meta-Custom and the Court: A Study in Judicial Law-Making’ (2015) 14 </w:t>
      </w:r>
      <w:r w:rsidRPr="00600DF7">
        <w:rPr>
          <w:rFonts w:ascii="Times New Roman" w:hAnsi="Times New Roman" w:cs="Times New Roman"/>
          <w:i/>
          <w:iCs/>
        </w:rPr>
        <w:t xml:space="preserve">The Law and Practice of International Tribunals </w:t>
      </w:r>
      <w:r w:rsidRPr="00600DF7">
        <w:rPr>
          <w:rFonts w:ascii="Times New Roman" w:hAnsi="Times New Roman" w:cs="Times New Roman"/>
        </w:rPr>
        <w:t>(</w:t>
      </w:r>
      <w:r w:rsidRPr="00600DF7">
        <w:rPr>
          <w:rFonts w:ascii="Times New Roman" w:hAnsi="Times New Roman" w:cs="Times New Roman"/>
          <w:i/>
          <w:iCs/>
        </w:rPr>
        <w:t>LPICT</w:t>
      </w:r>
      <w:r w:rsidRPr="00600DF7">
        <w:rPr>
          <w:rFonts w:ascii="Times New Roman" w:hAnsi="Times New Roman" w:cs="Times New Roman"/>
        </w:rPr>
        <w:t xml:space="preserve">) 51, </w:t>
      </w:r>
      <w:r w:rsidR="000F405D">
        <w:rPr>
          <w:rFonts w:ascii="Times New Roman" w:hAnsi="Times New Roman" w:cs="Times New Roman"/>
        </w:rPr>
        <w:t xml:space="preserve">at </w:t>
      </w:r>
      <w:r w:rsidRPr="00600DF7">
        <w:rPr>
          <w:rFonts w:ascii="Times New Roman" w:hAnsi="Times New Roman" w:cs="Times New Roman"/>
        </w:rPr>
        <w:t>58.</w:t>
      </w:r>
    </w:p>
  </w:footnote>
  <w:footnote w:id="7">
    <w:p w14:paraId="594BE73F" w14:textId="52AEB565"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Wood’s First Report, </w:t>
      </w:r>
      <w:r w:rsidRPr="00600DF7">
        <w:rPr>
          <w:rFonts w:ascii="Times New Roman" w:hAnsi="Times New Roman" w:cs="Times New Roman"/>
          <w:i/>
          <w:iCs/>
        </w:rPr>
        <w:t>supra</w:t>
      </w:r>
      <w:r w:rsidRPr="00600DF7">
        <w:rPr>
          <w:rFonts w:ascii="Times New Roman" w:hAnsi="Times New Roman" w:cs="Times New Roman"/>
        </w:rPr>
        <w:t xml:space="preserve"> note </w:t>
      </w:r>
      <w:r w:rsidR="00CA53DB" w:rsidRPr="00600DF7">
        <w:rPr>
          <w:rFonts w:ascii="Times New Roman" w:hAnsi="Times New Roman" w:cs="Times New Roman"/>
        </w:rPr>
        <w:t>5</w:t>
      </w:r>
      <w:r w:rsidRPr="00600DF7">
        <w:rPr>
          <w:rFonts w:ascii="Times New Roman" w:hAnsi="Times New Roman" w:cs="Times New Roman"/>
        </w:rPr>
        <w:t xml:space="preserve">, </w:t>
      </w:r>
      <w:r w:rsidR="000F405D">
        <w:rPr>
          <w:rFonts w:ascii="Times New Roman" w:hAnsi="Times New Roman" w:cs="Times New Roman"/>
        </w:rPr>
        <w:t xml:space="preserve">at </w:t>
      </w:r>
      <w:r w:rsidRPr="00600DF7">
        <w:rPr>
          <w:rFonts w:ascii="Times New Roman" w:hAnsi="Times New Roman" w:cs="Times New Roman"/>
        </w:rPr>
        <w:t xml:space="preserve">paras. 57-65; e.g., </w:t>
      </w:r>
      <w:r w:rsidRPr="00600DF7">
        <w:rPr>
          <w:rFonts w:ascii="Times New Roman" w:hAnsi="Times New Roman" w:cs="Times New Roman"/>
          <w:i/>
          <w:iCs/>
        </w:rPr>
        <w:t xml:space="preserve">Legal Consequences of the Separation of the </w:t>
      </w:r>
      <w:proofErr w:type="spellStart"/>
      <w:r w:rsidRPr="00600DF7">
        <w:rPr>
          <w:rFonts w:ascii="Times New Roman" w:hAnsi="Times New Roman" w:cs="Times New Roman"/>
          <w:i/>
          <w:iCs/>
        </w:rPr>
        <w:t>Chagos</w:t>
      </w:r>
      <w:proofErr w:type="spellEnd"/>
      <w:r w:rsidRPr="00600DF7">
        <w:rPr>
          <w:rFonts w:ascii="Times New Roman" w:hAnsi="Times New Roman" w:cs="Times New Roman"/>
          <w:i/>
          <w:iCs/>
        </w:rPr>
        <w:t xml:space="preserve"> Archipelago from Mauritius in 1965</w:t>
      </w:r>
      <w:r w:rsidRPr="00600DF7">
        <w:rPr>
          <w:rFonts w:ascii="Times New Roman" w:hAnsi="Times New Roman" w:cs="Times New Roman"/>
        </w:rPr>
        <w:t xml:space="preserve">, Advisory Opinion, 25 February 2019, ICJ Reports (2019) 95, </w:t>
      </w:r>
      <w:r w:rsidR="000F405D">
        <w:rPr>
          <w:rFonts w:ascii="Times New Roman" w:hAnsi="Times New Roman" w:cs="Times New Roman"/>
        </w:rPr>
        <w:t xml:space="preserve">at </w:t>
      </w:r>
      <w:r w:rsidRPr="00600DF7">
        <w:rPr>
          <w:rFonts w:ascii="Times New Roman" w:hAnsi="Times New Roman" w:cs="Times New Roman"/>
        </w:rPr>
        <w:t xml:space="preserve">para. 149; ‘the criteria which it has repeatedly laid down for identifying a rule of customary international law…’ </w:t>
      </w:r>
      <w:r w:rsidRPr="00600DF7">
        <w:rPr>
          <w:rFonts w:ascii="Times New Roman" w:hAnsi="Times New Roman" w:cs="Times New Roman"/>
          <w:i/>
          <w:iCs/>
        </w:rPr>
        <w:t>Jurisdictional Immunities of the State (Germany v Italy)</w:t>
      </w:r>
      <w:r w:rsidRPr="00600DF7">
        <w:rPr>
          <w:rFonts w:ascii="Times New Roman" w:hAnsi="Times New Roman" w:cs="Times New Roman"/>
        </w:rPr>
        <w:t xml:space="preserve">, Judgment, 3 February 2012, ICJ Reports (2012) 99, </w:t>
      </w:r>
      <w:r w:rsidR="000F405D">
        <w:rPr>
          <w:rFonts w:ascii="Times New Roman" w:hAnsi="Times New Roman" w:cs="Times New Roman"/>
        </w:rPr>
        <w:t xml:space="preserve">at </w:t>
      </w:r>
      <w:r w:rsidRPr="00600DF7">
        <w:rPr>
          <w:rFonts w:ascii="Times New Roman" w:hAnsi="Times New Roman" w:cs="Times New Roman"/>
        </w:rPr>
        <w:t>para. 55.</w:t>
      </w:r>
    </w:p>
  </w:footnote>
  <w:footnote w:id="8">
    <w:p w14:paraId="0D83EA1A" w14:textId="2BD4CD87"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00505EE0" w:rsidRPr="00600DF7">
        <w:rPr>
          <w:rFonts w:ascii="Times New Roman" w:hAnsi="Times New Roman" w:cs="Times New Roman"/>
        </w:rPr>
        <w:t xml:space="preserve">For example, in </w:t>
      </w:r>
      <w:r w:rsidR="00505EE0" w:rsidRPr="00600DF7">
        <w:rPr>
          <w:rFonts w:ascii="Times New Roman" w:hAnsi="Times New Roman" w:cs="Times New Roman"/>
          <w:i/>
          <w:iCs/>
        </w:rPr>
        <w:t>Nicaragua</w:t>
      </w:r>
      <w:r w:rsidR="00505EE0" w:rsidRPr="00600DF7">
        <w:rPr>
          <w:rFonts w:ascii="Times New Roman" w:hAnsi="Times New Roman" w:cs="Times New Roman"/>
        </w:rPr>
        <w:t xml:space="preserve">, the Court held that common articles one and three of the Geneva Conventions were customary rules, despite a ‘complete failure to inquire whether opinio juris and practice support’ that conclusion, </w:t>
      </w:r>
      <w:r w:rsidR="00505EE0" w:rsidRPr="00600DF7">
        <w:rPr>
          <w:rFonts w:ascii="Times New Roman" w:hAnsi="Times New Roman" w:cs="Times New Roman"/>
          <w:i/>
          <w:iCs/>
        </w:rPr>
        <w:t>supra</w:t>
      </w:r>
      <w:r w:rsidR="00505EE0" w:rsidRPr="00600DF7">
        <w:rPr>
          <w:rFonts w:ascii="Times New Roman" w:hAnsi="Times New Roman" w:cs="Times New Roman"/>
        </w:rPr>
        <w:t xml:space="preserve"> note </w:t>
      </w:r>
      <w:r w:rsidR="00437B04" w:rsidRPr="00600DF7">
        <w:rPr>
          <w:rFonts w:ascii="Times New Roman" w:hAnsi="Times New Roman" w:cs="Times New Roman"/>
        </w:rPr>
        <w:t>3</w:t>
      </w:r>
      <w:r w:rsidR="00505EE0" w:rsidRPr="00600DF7">
        <w:rPr>
          <w:rFonts w:ascii="Times New Roman" w:hAnsi="Times New Roman" w:cs="Times New Roman"/>
        </w:rPr>
        <w:t xml:space="preserve">, </w:t>
      </w:r>
      <w:r w:rsidR="000F405D">
        <w:rPr>
          <w:rFonts w:ascii="Times New Roman" w:hAnsi="Times New Roman" w:cs="Times New Roman"/>
        </w:rPr>
        <w:t xml:space="preserve">at </w:t>
      </w:r>
      <w:r w:rsidR="00505EE0" w:rsidRPr="00600DF7">
        <w:rPr>
          <w:rFonts w:ascii="Times New Roman" w:hAnsi="Times New Roman" w:cs="Times New Roman"/>
        </w:rPr>
        <w:t>para</w:t>
      </w:r>
      <w:r w:rsidR="000F405D">
        <w:rPr>
          <w:rFonts w:ascii="Times New Roman" w:hAnsi="Times New Roman" w:cs="Times New Roman"/>
        </w:rPr>
        <w:t>.</w:t>
      </w:r>
      <w:r w:rsidR="00505EE0" w:rsidRPr="00600DF7">
        <w:rPr>
          <w:rFonts w:ascii="Times New Roman" w:hAnsi="Times New Roman" w:cs="Times New Roman"/>
        </w:rPr>
        <w:t xml:space="preserve"> 218; T. </w:t>
      </w:r>
      <w:proofErr w:type="spellStart"/>
      <w:r w:rsidR="00505EE0" w:rsidRPr="00600DF7">
        <w:rPr>
          <w:rFonts w:ascii="Times New Roman" w:hAnsi="Times New Roman" w:cs="Times New Roman"/>
        </w:rPr>
        <w:t>Meron</w:t>
      </w:r>
      <w:proofErr w:type="spellEnd"/>
      <w:r w:rsidR="00505EE0" w:rsidRPr="00600DF7">
        <w:rPr>
          <w:rFonts w:ascii="Times New Roman" w:hAnsi="Times New Roman" w:cs="Times New Roman"/>
        </w:rPr>
        <w:t xml:space="preserve">, </w:t>
      </w:r>
      <w:r w:rsidR="00505EE0" w:rsidRPr="00600DF7">
        <w:rPr>
          <w:rFonts w:ascii="Times New Roman" w:hAnsi="Times New Roman" w:cs="Times New Roman"/>
          <w:i/>
          <w:iCs/>
        </w:rPr>
        <w:t xml:space="preserve">The Making of International Criminal Justice: </w:t>
      </w:r>
      <w:proofErr w:type="gramStart"/>
      <w:r w:rsidR="00505EE0" w:rsidRPr="00600DF7">
        <w:rPr>
          <w:rFonts w:ascii="Times New Roman" w:hAnsi="Times New Roman" w:cs="Times New Roman"/>
          <w:i/>
          <w:iCs/>
        </w:rPr>
        <w:t>the</w:t>
      </w:r>
      <w:proofErr w:type="gramEnd"/>
      <w:r w:rsidR="00505EE0" w:rsidRPr="00600DF7">
        <w:rPr>
          <w:rFonts w:ascii="Times New Roman" w:hAnsi="Times New Roman" w:cs="Times New Roman"/>
          <w:i/>
          <w:iCs/>
        </w:rPr>
        <w:t xml:space="preserve"> View from the Bench</w:t>
      </w:r>
      <w:r w:rsidR="00505EE0" w:rsidRPr="00600DF7">
        <w:rPr>
          <w:rFonts w:ascii="Times New Roman" w:hAnsi="Times New Roman" w:cs="Times New Roman"/>
        </w:rPr>
        <w:t xml:space="preserve"> (OUP 2011), </w:t>
      </w:r>
      <w:r w:rsidR="000F405D">
        <w:rPr>
          <w:rFonts w:ascii="Times New Roman" w:hAnsi="Times New Roman" w:cs="Times New Roman"/>
        </w:rPr>
        <w:t xml:space="preserve">at </w:t>
      </w:r>
      <w:r w:rsidR="00505EE0" w:rsidRPr="00600DF7">
        <w:rPr>
          <w:rFonts w:ascii="Times New Roman" w:hAnsi="Times New Roman" w:cs="Times New Roman"/>
        </w:rPr>
        <w:t xml:space="preserve">30. See also </w:t>
      </w:r>
      <w:proofErr w:type="spellStart"/>
      <w:r w:rsidRPr="00600DF7">
        <w:rPr>
          <w:rFonts w:ascii="Times New Roman" w:hAnsi="Times New Roman" w:cs="Times New Roman"/>
        </w:rPr>
        <w:t>Talmon</w:t>
      </w:r>
      <w:proofErr w:type="spellEnd"/>
      <w:r w:rsidRPr="00600DF7">
        <w:rPr>
          <w:rFonts w:ascii="Times New Roman" w:hAnsi="Times New Roman" w:cs="Times New Roman"/>
        </w:rPr>
        <w:t xml:space="preserve"> ‘Determining Customary International Law: The ICJ’s Methodology between Induction, Deduction and Assertion’ 26 </w:t>
      </w:r>
      <w:r w:rsidRPr="00600DF7">
        <w:rPr>
          <w:rFonts w:ascii="Times New Roman" w:hAnsi="Times New Roman" w:cs="Times New Roman"/>
          <w:i/>
          <w:iCs/>
        </w:rPr>
        <w:t>European Journal of International Law</w:t>
      </w:r>
      <w:r w:rsidRPr="00600DF7">
        <w:rPr>
          <w:rFonts w:ascii="Times New Roman" w:hAnsi="Times New Roman" w:cs="Times New Roman"/>
        </w:rPr>
        <w:t xml:space="preserve"> (</w:t>
      </w:r>
      <w:r w:rsidRPr="00600DF7">
        <w:rPr>
          <w:rFonts w:ascii="Times New Roman" w:hAnsi="Times New Roman" w:cs="Times New Roman"/>
          <w:i/>
          <w:iCs/>
        </w:rPr>
        <w:t>EJIL</w:t>
      </w:r>
      <w:r w:rsidRPr="00600DF7">
        <w:rPr>
          <w:rFonts w:ascii="Times New Roman" w:hAnsi="Times New Roman" w:cs="Times New Roman"/>
        </w:rPr>
        <w:t xml:space="preserve">) (2015) 417; Mendelson, ‘The International Court of Justice and the Sources of International Law’ in V. Lowe and M. Fitzmaurice (eds.) </w:t>
      </w:r>
      <w:r w:rsidRPr="00600DF7">
        <w:rPr>
          <w:rFonts w:ascii="Times New Roman" w:hAnsi="Times New Roman" w:cs="Times New Roman"/>
          <w:i/>
          <w:iCs/>
        </w:rPr>
        <w:t>Fifty Years of the International Court of Justice</w:t>
      </w:r>
      <w:r w:rsidRPr="00600DF7">
        <w:rPr>
          <w:rFonts w:ascii="Times New Roman" w:hAnsi="Times New Roman" w:cs="Times New Roman"/>
        </w:rPr>
        <w:t xml:space="preserve"> (1996) 63, </w:t>
      </w:r>
      <w:r w:rsidR="000F405D">
        <w:rPr>
          <w:rFonts w:ascii="Times New Roman" w:hAnsi="Times New Roman" w:cs="Times New Roman"/>
        </w:rPr>
        <w:t xml:space="preserve">at </w:t>
      </w:r>
      <w:r w:rsidRPr="00600DF7">
        <w:rPr>
          <w:rFonts w:ascii="Times New Roman" w:hAnsi="Times New Roman" w:cs="Times New Roman"/>
        </w:rPr>
        <w:t>67.</w:t>
      </w:r>
    </w:p>
  </w:footnote>
  <w:footnote w:id="9">
    <w:p w14:paraId="4A00AE73" w14:textId="12E800DC"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proofErr w:type="spellStart"/>
      <w:r w:rsidRPr="00600DF7">
        <w:rPr>
          <w:rFonts w:ascii="Times New Roman" w:hAnsi="Times New Roman" w:cs="Times New Roman"/>
        </w:rPr>
        <w:t>Akehurst</w:t>
      </w:r>
      <w:proofErr w:type="spellEnd"/>
      <w:r w:rsidRPr="00600DF7">
        <w:rPr>
          <w:rFonts w:ascii="Times New Roman" w:hAnsi="Times New Roman" w:cs="Times New Roman"/>
        </w:rPr>
        <w:t xml:space="preserve">, ‘Custom as a Source of International Law’ 47(1) </w:t>
      </w:r>
      <w:r w:rsidRPr="00600DF7">
        <w:rPr>
          <w:rFonts w:ascii="Times New Roman" w:hAnsi="Times New Roman" w:cs="Times New Roman"/>
          <w:i/>
          <w:iCs/>
        </w:rPr>
        <w:t>British Yearbook of International Law</w:t>
      </w:r>
      <w:r w:rsidR="000F405D">
        <w:rPr>
          <w:rFonts w:ascii="Times New Roman" w:hAnsi="Times New Roman" w:cs="Times New Roman"/>
          <w:i/>
          <w:iCs/>
        </w:rPr>
        <w:t xml:space="preserve"> </w:t>
      </w:r>
      <w:r w:rsidR="000F405D" w:rsidRPr="00600DF7">
        <w:rPr>
          <w:rFonts w:ascii="Times New Roman" w:hAnsi="Times New Roman" w:cs="Times New Roman"/>
        </w:rPr>
        <w:t>(1975)</w:t>
      </w:r>
      <w:r w:rsidRPr="00600DF7">
        <w:rPr>
          <w:rFonts w:ascii="Times New Roman" w:hAnsi="Times New Roman" w:cs="Times New Roman"/>
          <w:i/>
          <w:iCs/>
        </w:rPr>
        <w:t xml:space="preserve"> </w:t>
      </w:r>
      <w:r w:rsidRPr="00600DF7">
        <w:rPr>
          <w:rFonts w:ascii="Times New Roman" w:hAnsi="Times New Roman" w:cs="Times New Roman"/>
        </w:rPr>
        <w:t xml:space="preserve">1, </w:t>
      </w:r>
      <w:r w:rsidR="000F405D">
        <w:rPr>
          <w:rFonts w:ascii="Times New Roman" w:hAnsi="Times New Roman" w:cs="Times New Roman"/>
        </w:rPr>
        <w:t xml:space="preserve">at </w:t>
      </w:r>
      <w:r w:rsidRPr="00600DF7">
        <w:rPr>
          <w:rFonts w:ascii="Times New Roman" w:hAnsi="Times New Roman" w:cs="Times New Roman"/>
        </w:rPr>
        <w:t>32.</w:t>
      </w:r>
    </w:p>
  </w:footnote>
  <w:footnote w:id="10">
    <w:p w14:paraId="2D3D5193" w14:textId="63962A35"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Geiger, ‘Customary International Law in the Jurisprudence of the International Court of Justice: A Critical Appraisal’ in U. </w:t>
      </w:r>
      <w:proofErr w:type="spellStart"/>
      <w:r w:rsidRPr="00600DF7">
        <w:rPr>
          <w:rFonts w:ascii="Times New Roman" w:hAnsi="Times New Roman" w:cs="Times New Roman"/>
        </w:rPr>
        <w:t>Fastenach</w:t>
      </w:r>
      <w:proofErr w:type="spellEnd"/>
      <w:r w:rsidRPr="00600DF7">
        <w:rPr>
          <w:rFonts w:ascii="Times New Roman" w:hAnsi="Times New Roman" w:cs="Times New Roman"/>
        </w:rPr>
        <w:t xml:space="preserve"> (ed</w:t>
      </w:r>
      <w:r w:rsidR="000F405D">
        <w:rPr>
          <w:rFonts w:ascii="Times New Roman" w:hAnsi="Times New Roman" w:cs="Times New Roman"/>
        </w:rPr>
        <w:t>.</w:t>
      </w:r>
      <w:r w:rsidRPr="00600DF7">
        <w:rPr>
          <w:rFonts w:ascii="Times New Roman" w:hAnsi="Times New Roman" w:cs="Times New Roman"/>
        </w:rPr>
        <w:t xml:space="preserve">), </w:t>
      </w:r>
      <w:r w:rsidRPr="00600DF7">
        <w:rPr>
          <w:rFonts w:ascii="Times New Roman" w:hAnsi="Times New Roman" w:cs="Times New Roman"/>
          <w:i/>
          <w:iCs/>
        </w:rPr>
        <w:t xml:space="preserve">From bilateralism to community interest: essays in honour of Bruno </w:t>
      </w:r>
      <w:proofErr w:type="spellStart"/>
      <w:r w:rsidRPr="00600DF7">
        <w:rPr>
          <w:rFonts w:ascii="Times New Roman" w:hAnsi="Times New Roman" w:cs="Times New Roman"/>
          <w:i/>
          <w:iCs/>
        </w:rPr>
        <w:t>Simma</w:t>
      </w:r>
      <w:proofErr w:type="spellEnd"/>
      <w:r w:rsidRPr="00600DF7">
        <w:rPr>
          <w:rFonts w:ascii="Times New Roman" w:hAnsi="Times New Roman" w:cs="Times New Roman"/>
        </w:rPr>
        <w:t xml:space="preserve"> (2011) 67</w:t>
      </w:r>
      <w:r w:rsidR="000F405D">
        <w:rPr>
          <w:rFonts w:ascii="Times New Roman" w:hAnsi="Times New Roman" w:cs="Times New Roman"/>
        </w:rPr>
        <w:t>3, at 674</w:t>
      </w:r>
      <w:r w:rsidR="00D55322" w:rsidRPr="00600DF7">
        <w:rPr>
          <w:rFonts w:ascii="Times New Roman" w:hAnsi="Times New Roman" w:cs="Times New Roman"/>
        </w:rPr>
        <w:t>. See also</w:t>
      </w:r>
      <w:r w:rsidRPr="00600DF7">
        <w:rPr>
          <w:rFonts w:ascii="Times New Roman" w:hAnsi="Times New Roman" w:cs="Times New Roman"/>
        </w:rPr>
        <w:t xml:space="preserve"> Kelly, 'The Twilight of Customary International Law' (2000) 40 </w:t>
      </w:r>
      <w:r w:rsidRPr="00600DF7">
        <w:rPr>
          <w:rFonts w:ascii="Times New Roman" w:hAnsi="Times New Roman" w:cs="Times New Roman"/>
          <w:i/>
          <w:iCs/>
        </w:rPr>
        <w:t>Virginia Journal of International Law</w:t>
      </w:r>
      <w:r w:rsidRPr="00600DF7">
        <w:rPr>
          <w:rFonts w:ascii="Times New Roman" w:hAnsi="Times New Roman" w:cs="Times New Roman"/>
        </w:rPr>
        <w:t xml:space="preserve"> 449, </w:t>
      </w:r>
      <w:r w:rsidR="000F405D">
        <w:rPr>
          <w:rFonts w:ascii="Times New Roman" w:hAnsi="Times New Roman" w:cs="Times New Roman"/>
        </w:rPr>
        <w:t xml:space="preserve">at </w:t>
      </w:r>
      <w:r w:rsidRPr="00600DF7">
        <w:rPr>
          <w:rFonts w:ascii="Times New Roman" w:hAnsi="Times New Roman" w:cs="Times New Roman"/>
        </w:rPr>
        <w:t>469-</w:t>
      </w:r>
      <w:r w:rsidR="000F405D">
        <w:rPr>
          <w:rFonts w:ascii="Times New Roman" w:hAnsi="Times New Roman" w:cs="Times New Roman"/>
        </w:rPr>
        <w:t>4</w:t>
      </w:r>
      <w:r w:rsidRPr="00600DF7">
        <w:rPr>
          <w:rFonts w:ascii="Times New Roman" w:hAnsi="Times New Roman" w:cs="Times New Roman"/>
        </w:rPr>
        <w:t>70; Choi and Gulati, ‘Customary International Law: How do Courts do it?’ in C.A. Bradley (ed</w:t>
      </w:r>
      <w:r w:rsidR="000F405D">
        <w:rPr>
          <w:rFonts w:ascii="Times New Roman" w:hAnsi="Times New Roman" w:cs="Times New Roman"/>
        </w:rPr>
        <w:t>.</w:t>
      </w:r>
      <w:r w:rsidRPr="00600DF7">
        <w:rPr>
          <w:rFonts w:ascii="Times New Roman" w:hAnsi="Times New Roman" w:cs="Times New Roman"/>
        </w:rPr>
        <w:t xml:space="preserve">), </w:t>
      </w:r>
      <w:r w:rsidRPr="00600DF7">
        <w:rPr>
          <w:rFonts w:ascii="Times New Roman" w:hAnsi="Times New Roman" w:cs="Times New Roman"/>
          <w:i/>
          <w:iCs/>
        </w:rPr>
        <w:t>Custom's future: international law in a changing world</w:t>
      </w:r>
      <w:r w:rsidRPr="00600DF7">
        <w:rPr>
          <w:rFonts w:ascii="Times New Roman" w:hAnsi="Times New Roman" w:cs="Times New Roman"/>
        </w:rPr>
        <w:t xml:space="preserve"> (2016)</w:t>
      </w:r>
      <w:r w:rsidR="000F405D">
        <w:rPr>
          <w:rFonts w:ascii="Times New Roman" w:hAnsi="Times New Roman" w:cs="Times New Roman"/>
        </w:rPr>
        <w:t xml:space="preserve"> 177</w:t>
      </w:r>
      <w:r w:rsidRPr="00600DF7">
        <w:rPr>
          <w:rFonts w:ascii="Times New Roman" w:hAnsi="Times New Roman" w:cs="Times New Roman"/>
        </w:rPr>
        <w:t>,</w:t>
      </w:r>
      <w:r w:rsidR="000F405D">
        <w:rPr>
          <w:rFonts w:ascii="Times New Roman" w:hAnsi="Times New Roman" w:cs="Times New Roman"/>
        </w:rPr>
        <w:t xml:space="preserve"> at</w:t>
      </w:r>
      <w:r w:rsidRPr="00600DF7">
        <w:rPr>
          <w:rFonts w:ascii="Times New Roman" w:hAnsi="Times New Roman" w:cs="Times New Roman"/>
        </w:rPr>
        <w:t xml:space="preserve"> 146.</w:t>
      </w:r>
    </w:p>
  </w:footnote>
  <w:footnote w:id="11">
    <w:p w14:paraId="10EAB272" w14:textId="6DA29949"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Alvarez-</w:t>
      </w:r>
      <w:proofErr w:type="spellStart"/>
      <w:r w:rsidRPr="00600DF7">
        <w:rPr>
          <w:rFonts w:ascii="Times New Roman" w:hAnsi="Times New Roman" w:cs="Times New Roman"/>
        </w:rPr>
        <w:t>Jímenez</w:t>
      </w:r>
      <w:proofErr w:type="spellEnd"/>
      <w:r w:rsidRPr="00600DF7">
        <w:rPr>
          <w:rFonts w:ascii="Times New Roman" w:hAnsi="Times New Roman" w:cs="Times New Roman"/>
        </w:rPr>
        <w:t xml:space="preserve">, ‘Methods for the Identification of Customary International Law in the International Court of Justice’s Jurisprudence 2000-2009’, 60 </w:t>
      </w:r>
      <w:r w:rsidRPr="00600DF7">
        <w:rPr>
          <w:rFonts w:ascii="Times New Roman" w:hAnsi="Times New Roman" w:cs="Times New Roman"/>
          <w:i/>
          <w:iCs/>
        </w:rPr>
        <w:t>International and Comparative Law Quarterly</w:t>
      </w:r>
      <w:r w:rsidRPr="00600DF7">
        <w:rPr>
          <w:rFonts w:ascii="Times New Roman" w:hAnsi="Times New Roman" w:cs="Times New Roman"/>
        </w:rPr>
        <w:t xml:space="preserve"> (2011) 681, </w:t>
      </w:r>
      <w:r w:rsidR="000F405D">
        <w:rPr>
          <w:rFonts w:ascii="Times New Roman" w:hAnsi="Times New Roman" w:cs="Times New Roman"/>
        </w:rPr>
        <w:t xml:space="preserve">at </w:t>
      </w:r>
      <w:r w:rsidRPr="00600DF7">
        <w:rPr>
          <w:rFonts w:ascii="Times New Roman" w:hAnsi="Times New Roman" w:cs="Times New Roman"/>
        </w:rPr>
        <w:t>689.</w:t>
      </w:r>
    </w:p>
  </w:footnote>
  <w:footnote w:id="12">
    <w:p w14:paraId="16CC760A" w14:textId="69FE82C7"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Chan, ‘The Dominance of the International Court of Justice in the Creation of Customary International Law’ (2016) 6 </w:t>
      </w:r>
      <w:r w:rsidRPr="00600DF7">
        <w:rPr>
          <w:rFonts w:ascii="Times New Roman" w:hAnsi="Times New Roman" w:cs="Times New Roman"/>
          <w:i/>
          <w:iCs/>
        </w:rPr>
        <w:t>Southampton Student Law Review</w:t>
      </w:r>
      <w:r w:rsidRPr="00600DF7">
        <w:rPr>
          <w:rFonts w:ascii="Times New Roman" w:hAnsi="Times New Roman" w:cs="Times New Roman"/>
        </w:rPr>
        <w:t xml:space="preserve"> 44.</w:t>
      </w:r>
    </w:p>
  </w:footnote>
  <w:footnote w:id="13">
    <w:p w14:paraId="2B857AA1" w14:textId="3564C792"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Roberts, ‘Traditional and Modern Custom’ 9 </w:t>
      </w:r>
      <w:r w:rsidRPr="00600DF7">
        <w:rPr>
          <w:rFonts w:ascii="Times New Roman" w:hAnsi="Times New Roman" w:cs="Times New Roman"/>
          <w:i/>
          <w:iCs/>
        </w:rPr>
        <w:t xml:space="preserve">American Journal of International Law (AJIL) </w:t>
      </w:r>
      <w:r w:rsidRPr="00600DF7">
        <w:rPr>
          <w:rFonts w:ascii="Times New Roman" w:hAnsi="Times New Roman" w:cs="Times New Roman"/>
        </w:rPr>
        <w:t>(2001) 757.</w:t>
      </w:r>
    </w:p>
  </w:footnote>
  <w:footnote w:id="14">
    <w:p w14:paraId="12073724" w14:textId="57AED511"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proofErr w:type="spellStart"/>
      <w:r w:rsidRPr="00600DF7">
        <w:rPr>
          <w:rFonts w:ascii="Times New Roman" w:hAnsi="Times New Roman" w:cs="Times New Roman"/>
        </w:rPr>
        <w:t>Kirgis</w:t>
      </w:r>
      <w:proofErr w:type="spellEnd"/>
      <w:r w:rsidRPr="00600DF7">
        <w:rPr>
          <w:rFonts w:ascii="Times New Roman" w:hAnsi="Times New Roman" w:cs="Times New Roman"/>
        </w:rPr>
        <w:t xml:space="preserve">, ‘Custom on a Sliding Scale’ 81(1) </w:t>
      </w:r>
      <w:r w:rsidRPr="00600DF7">
        <w:rPr>
          <w:rFonts w:ascii="Times New Roman" w:hAnsi="Times New Roman" w:cs="Times New Roman"/>
          <w:i/>
          <w:iCs/>
        </w:rPr>
        <w:t>AJIL</w:t>
      </w:r>
      <w:r w:rsidRPr="00600DF7">
        <w:rPr>
          <w:rFonts w:ascii="Times New Roman" w:hAnsi="Times New Roman" w:cs="Times New Roman"/>
        </w:rPr>
        <w:t xml:space="preserve"> (1987) 146.</w:t>
      </w:r>
    </w:p>
  </w:footnote>
  <w:footnote w:id="15">
    <w:p w14:paraId="3CD92112" w14:textId="6C38DCEC"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International Law Association (ILA), </w:t>
      </w:r>
      <w:r w:rsidRPr="00C81A70">
        <w:rPr>
          <w:rFonts w:ascii="Times New Roman" w:hAnsi="Times New Roman" w:cs="Times New Roman"/>
          <w:i/>
          <w:iCs/>
        </w:rPr>
        <w:t>Statement of Principles Applicable to the Formation of Customary International Law</w:t>
      </w:r>
      <w:r w:rsidRPr="00600DF7">
        <w:rPr>
          <w:rFonts w:ascii="Times New Roman" w:hAnsi="Times New Roman" w:cs="Times New Roman"/>
        </w:rPr>
        <w:t xml:space="preserve"> (2000).</w:t>
      </w:r>
    </w:p>
  </w:footnote>
  <w:footnote w:id="16">
    <w:p w14:paraId="70D6754B" w14:textId="26A06551"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Goldsmith and Posner, </w:t>
      </w:r>
      <w:r w:rsidR="0090627A">
        <w:rPr>
          <w:rFonts w:ascii="Times New Roman" w:hAnsi="Times New Roman" w:cs="Times New Roman"/>
        </w:rPr>
        <w:t>‘</w:t>
      </w:r>
      <w:r w:rsidRPr="00600DF7">
        <w:rPr>
          <w:rFonts w:ascii="Times New Roman" w:hAnsi="Times New Roman" w:cs="Times New Roman"/>
        </w:rPr>
        <w:t>A Theory of Customary International Law</w:t>
      </w:r>
      <w:r w:rsidR="0090627A">
        <w:rPr>
          <w:rFonts w:ascii="Times New Roman" w:hAnsi="Times New Roman" w:cs="Times New Roman"/>
        </w:rPr>
        <w:t>’</w:t>
      </w:r>
      <w:r w:rsidRPr="00600DF7">
        <w:rPr>
          <w:rFonts w:ascii="Times New Roman" w:hAnsi="Times New Roman" w:cs="Times New Roman"/>
        </w:rPr>
        <w:t xml:space="preserve"> 66 </w:t>
      </w:r>
      <w:r w:rsidRPr="00600DF7">
        <w:rPr>
          <w:rFonts w:ascii="Times New Roman" w:hAnsi="Times New Roman" w:cs="Times New Roman"/>
          <w:i/>
          <w:iCs/>
        </w:rPr>
        <w:t>University of Chicago Law Review</w:t>
      </w:r>
      <w:r w:rsidRPr="00600DF7">
        <w:rPr>
          <w:rFonts w:ascii="Times New Roman" w:hAnsi="Times New Roman" w:cs="Times New Roman"/>
        </w:rPr>
        <w:t xml:space="preserve"> </w:t>
      </w:r>
      <w:r w:rsidR="0090627A" w:rsidRPr="00600DF7">
        <w:rPr>
          <w:rFonts w:ascii="Times New Roman" w:hAnsi="Times New Roman" w:cs="Times New Roman"/>
        </w:rPr>
        <w:t xml:space="preserve">(1999) </w:t>
      </w:r>
      <w:r w:rsidRPr="00600DF7">
        <w:rPr>
          <w:rFonts w:ascii="Times New Roman" w:hAnsi="Times New Roman" w:cs="Times New Roman"/>
        </w:rPr>
        <w:t>1113</w:t>
      </w:r>
      <w:r w:rsidR="00C8376A" w:rsidRPr="00600DF7">
        <w:rPr>
          <w:rFonts w:ascii="Times New Roman" w:hAnsi="Times New Roman" w:cs="Times New Roman"/>
        </w:rPr>
        <w:t>. See also</w:t>
      </w:r>
      <w:r w:rsidRPr="00600DF7">
        <w:rPr>
          <w:rFonts w:ascii="Times New Roman" w:hAnsi="Times New Roman" w:cs="Times New Roman"/>
        </w:rPr>
        <w:t xml:space="preserve"> </w:t>
      </w:r>
      <w:proofErr w:type="spellStart"/>
      <w:r w:rsidRPr="00600DF7">
        <w:rPr>
          <w:rFonts w:ascii="Times New Roman" w:hAnsi="Times New Roman" w:cs="Times New Roman"/>
        </w:rPr>
        <w:t>Chinen</w:t>
      </w:r>
      <w:proofErr w:type="spellEnd"/>
      <w:r w:rsidRPr="00600DF7">
        <w:rPr>
          <w:rFonts w:ascii="Times New Roman" w:hAnsi="Times New Roman" w:cs="Times New Roman"/>
        </w:rPr>
        <w:t xml:space="preserve">, </w:t>
      </w:r>
      <w:r w:rsidR="0090627A">
        <w:rPr>
          <w:rFonts w:ascii="Times New Roman" w:hAnsi="Times New Roman" w:cs="Times New Roman"/>
        </w:rPr>
        <w:t>‘</w:t>
      </w:r>
      <w:r w:rsidRPr="00600DF7">
        <w:rPr>
          <w:rFonts w:ascii="Times New Roman" w:hAnsi="Times New Roman" w:cs="Times New Roman"/>
        </w:rPr>
        <w:t>Game Theory and Customary International Law: A Response to Professors Goldsmith and Posner</w:t>
      </w:r>
      <w:proofErr w:type="gramStart"/>
      <w:r w:rsidR="0090627A">
        <w:rPr>
          <w:rFonts w:ascii="Times New Roman" w:hAnsi="Times New Roman" w:cs="Times New Roman"/>
        </w:rPr>
        <w:t xml:space="preserve">’ </w:t>
      </w:r>
      <w:r w:rsidRPr="00600DF7">
        <w:rPr>
          <w:rFonts w:ascii="Times New Roman" w:hAnsi="Times New Roman" w:cs="Times New Roman"/>
        </w:rPr>
        <w:t xml:space="preserve"> 23</w:t>
      </w:r>
      <w:proofErr w:type="gramEnd"/>
      <w:r w:rsidRPr="00600DF7">
        <w:rPr>
          <w:rFonts w:ascii="Times New Roman" w:hAnsi="Times New Roman" w:cs="Times New Roman"/>
        </w:rPr>
        <w:t xml:space="preserve"> </w:t>
      </w:r>
      <w:r w:rsidRPr="00600DF7">
        <w:rPr>
          <w:rFonts w:ascii="Times New Roman" w:hAnsi="Times New Roman" w:cs="Times New Roman"/>
          <w:i/>
          <w:iCs/>
        </w:rPr>
        <w:t>Michigan Journal of International Law</w:t>
      </w:r>
      <w:r w:rsidRPr="00600DF7">
        <w:rPr>
          <w:rFonts w:ascii="Times New Roman" w:hAnsi="Times New Roman" w:cs="Times New Roman"/>
        </w:rPr>
        <w:t xml:space="preserve"> (</w:t>
      </w:r>
      <w:r w:rsidRPr="00600DF7">
        <w:rPr>
          <w:rFonts w:ascii="Times New Roman" w:hAnsi="Times New Roman" w:cs="Times New Roman"/>
          <w:i/>
          <w:iCs/>
        </w:rPr>
        <w:t>MJIL</w:t>
      </w:r>
      <w:r w:rsidRPr="00600DF7">
        <w:rPr>
          <w:rFonts w:ascii="Times New Roman" w:hAnsi="Times New Roman" w:cs="Times New Roman"/>
        </w:rPr>
        <w:t xml:space="preserve">) </w:t>
      </w:r>
      <w:r w:rsidR="0090627A" w:rsidRPr="00600DF7">
        <w:rPr>
          <w:rFonts w:ascii="Times New Roman" w:hAnsi="Times New Roman" w:cs="Times New Roman"/>
        </w:rPr>
        <w:t>(2001)</w:t>
      </w:r>
      <w:r w:rsidRPr="00600DF7">
        <w:rPr>
          <w:rFonts w:ascii="Times New Roman" w:hAnsi="Times New Roman" w:cs="Times New Roman"/>
        </w:rPr>
        <w:t>143.</w:t>
      </w:r>
    </w:p>
  </w:footnote>
  <w:footnote w:id="17">
    <w:p w14:paraId="6E5EC291" w14:textId="725BA977"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Guzman, 'Saving Customary International Law' 27 </w:t>
      </w:r>
      <w:r w:rsidRPr="00600DF7">
        <w:rPr>
          <w:rFonts w:ascii="Times New Roman" w:hAnsi="Times New Roman" w:cs="Times New Roman"/>
          <w:i/>
          <w:iCs/>
        </w:rPr>
        <w:t>MJIL</w:t>
      </w:r>
      <w:r w:rsidRPr="00600DF7">
        <w:rPr>
          <w:rFonts w:ascii="Times New Roman" w:hAnsi="Times New Roman" w:cs="Times New Roman"/>
        </w:rPr>
        <w:t xml:space="preserve"> </w:t>
      </w:r>
      <w:r w:rsidR="0090627A" w:rsidRPr="00600DF7">
        <w:rPr>
          <w:rFonts w:ascii="Times New Roman" w:hAnsi="Times New Roman" w:cs="Times New Roman"/>
        </w:rPr>
        <w:t xml:space="preserve">(2005) </w:t>
      </w:r>
      <w:r w:rsidRPr="00600DF7">
        <w:rPr>
          <w:rFonts w:ascii="Times New Roman" w:hAnsi="Times New Roman" w:cs="Times New Roman"/>
        </w:rPr>
        <w:t>115.</w:t>
      </w:r>
    </w:p>
  </w:footnote>
  <w:footnote w:id="18">
    <w:p w14:paraId="02E36725" w14:textId="311A75B2" w:rsidR="00E56E7A" w:rsidRPr="00600DF7" w:rsidRDefault="00E56E7A"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Wood, ‘Concluding Observations’, 19(1) </w:t>
      </w:r>
      <w:r w:rsidRPr="00600DF7">
        <w:rPr>
          <w:rFonts w:ascii="Times New Roman" w:hAnsi="Times New Roman" w:cs="Times New Roman"/>
          <w:i/>
          <w:iCs/>
        </w:rPr>
        <w:t>International Community Law Review</w:t>
      </w:r>
      <w:r w:rsidRPr="00600DF7">
        <w:rPr>
          <w:rFonts w:ascii="Times New Roman" w:hAnsi="Times New Roman" w:cs="Times New Roman"/>
        </w:rPr>
        <w:t xml:space="preserve"> (2017) 156, 157. General Assembly resolution GA Res</w:t>
      </w:r>
      <w:r w:rsidR="0090627A">
        <w:rPr>
          <w:rFonts w:ascii="Times New Roman" w:hAnsi="Times New Roman" w:cs="Times New Roman"/>
        </w:rPr>
        <w:t>.</w:t>
      </w:r>
      <w:r w:rsidRPr="00600DF7">
        <w:rPr>
          <w:rFonts w:ascii="Times New Roman" w:hAnsi="Times New Roman" w:cs="Times New Roman"/>
        </w:rPr>
        <w:t xml:space="preserve"> 73/203</w:t>
      </w:r>
      <w:r w:rsidR="0090627A">
        <w:rPr>
          <w:rFonts w:ascii="Times New Roman" w:hAnsi="Times New Roman" w:cs="Times New Roman"/>
        </w:rPr>
        <w:t>,</w:t>
      </w:r>
      <w:r w:rsidRPr="00600DF7">
        <w:rPr>
          <w:rFonts w:ascii="Times New Roman" w:hAnsi="Times New Roman" w:cs="Times New Roman"/>
        </w:rPr>
        <w:t xml:space="preserve"> 20 December 2018, welcoming and taking note of the ILC’s conclusions on identification of customary international law, which reaffirmed the two-element approach, was adopted by consensus.</w:t>
      </w:r>
    </w:p>
  </w:footnote>
  <w:footnote w:id="19">
    <w:p w14:paraId="4C256E2A" w14:textId="1B215700" w:rsidR="00A90273" w:rsidRPr="00600DF7" w:rsidRDefault="00A90273"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Immunities</w:t>
      </w:r>
      <w:r w:rsidRPr="00600DF7">
        <w:rPr>
          <w:rFonts w:ascii="Times New Roman" w:hAnsi="Times New Roman" w:cs="Times New Roman"/>
        </w:rPr>
        <w:t xml:space="preserve">, </w:t>
      </w:r>
      <w:r w:rsidRPr="00600DF7">
        <w:rPr>
          <w:rFonts w:ascii="Times New Roman" w:hAnsi="Times New Roman" w:cs="Times New Roman"/>
          <w:i/>
          <w:iCs/>
        </w:rPr>
        <w:t>supra</w:t>
      </w:r>
      <w:r w:rsidRPr="00600DF7">
        <w:rPr>
          <w:rFonts w:ascii="Times New Roman" w:hAnsi="Times New Roman" w:cs="Times New Roman"/>
        </w:rPr>
        <w:t xml:space="preserve"> note 7, </w:t>
      </w:r>
      <w:r w:rsidR="0090627A">
        <w:rPr>
          <w:rFonts w:ascii="Times New Roman" w:hAnsi="Times New Roman" w:cs="Times New Roman"/>
        </w:rPr>
        <w:t xml:space="preserve">at </w:t>
      </w:r>
      <w:r w:rsidRPr="00600DF7">
        <w:rPr>
          <w:rFonts w:ascii="Times New Roman" w:hAnsi="Times New Roman" w:cs="Times New Roman"/>
        </w:rPr>
        <w:t xml:space="preserve">para. 55; </w:t>
      </w:r>
      <w:proofErr w:type="spellStart"/>
      <w:r w:rsidRPr="00600DF7">
        <w:rPr>
          <w:rFonts w:ascii="Times New Roman" w:hAnsi="Times New Roman" w:cs="Times New Roman"/>
        </w:rPr>
        <w:t>Tomka</w:t>
      </w:r>
      <w:proofErr w:type="spellEnd"/>
      <w:r w:rsidRPr="00600DF7">
        <w:rPr>
          <w:rFonts w:ascii="Times New Roman" w:hAnsi="Times New Roman" w:cs="Times New Roman"/>
        </w:rPr>
        <w:t xml:space="preserve">, ‘Custom and the International Court of Justice’ 12 </w:t>
      </w:r>
      <w:r w:rsidRPr="00600DF7">
        <w:rPr>
          <w:rFonts w:ascii="Times New Roman" w:hAnsi="Times New Roman" w:cs="Times New Roman"/>
          <w:i/>
          <w:iCs/>
        </w:rPr>
        <w:t>LPICT</w:t>
      </w:r>
      <w:r w:rsidRPr="00600DF7">
        <w:rPr>
          <w:rFonts w:ascii="Times New Roman" w:hAnsi="Times New Roman" w:cs="Times New Roman"/>
        </w:rPr>
        <w:t xml:space="preserve"> (2013) 195, </w:t>
      </w:r>
      <w:r w:rsidR="00F95A09">
        <w:rPr>
          <w:rFonts w:ascii="Times New Roman" w:hAnsi="Times New Roman" w:cs="Times New Roman"/>
        </w:rPr>
        <w:t xml:space="preserve">at </w:t>
      </w:r>
      <w:r w:rsidRPr="00600DF7">
        <w:rPr>
          <w:rFonts w:ascii="Times New Roman" w:hAnsi="Times New Roman" w:cs="Times New Roman"/>
        </w:rPr>
        <w:t>197.</w:t>
      </w:r>
    </w:p>
  </w:footnote>
  <w:footnote w:id="20">
    <w:p w14:paraId="2314CB02" w14:textId="5F21EC61" w:rsidR="00F100EB" w:rsidRPr="00600DF7" w:rsidRDefault="00F100EB" w:rsidP="00600DF7">
      <w:pPr>
        <w:jc w:val="both"/>
        <w:rPr>
          <w:rFonts w:ascii="Times New Roman" w:hAnsi="Times New Roman" w:cs="Times New Roman"/>
          <w:sz w:val="20"/>
          <w:szCs w:val="20"/>
        </w:rPr>
      </w:pPr>
      <w:r w:rsidRPr="00600DF7">
        <w:rPr>
          <w:rStyle w:val="FootnoteReference"/>
          <w:rFonts w:ascii="Times New Roman" w:hAnsi="Times New Roman" w:cs="Times New Roman"/>
          <w:sz w:val="20"/>
          <w:szCs w:val="20"/>
        </w:rPr>
        <w:footnoteRef/>
      </w:r>
      <w:r w:rsidRPr="00600DF7">
        <w:rPr>
          <w:rFonts w:ascii="Times New Roman" w:hAnsi="Times New Roman" w:cs="Times New Roman"/>
          <w:sz w:val="20"/>
          <w:szCs w:val="20"/>
        </w:rPr>
        <w:t xml:space="preserve"> ILC, Second report on formation and evidence of customary international law by Michael Wood, Special Rapporteur, A/CN.4/672*, 22 May 2014, </w:t>
      </w:r>
      <w:r w:rsidR="00F95A09">
        <w:rPr>
          <w:rFonts w:ascii="Times New Roman" w:hAnsi="Times New Roman" w:cs="Times New Roman"/>
          <w:sz w:val="20"/>
          <w:szCs w:val="20"/>
        </w:rPr>
        <w:t xml:space="preserve">at </w:t>
      </w:r>
      <w:r w:rsidRPr="00600DF7">
        <w:rPr>
          <w:rFonts w:ascii="Times New Roman" w:hAnsi="Times New Roman" w:cs="Times New Roman"/>
          <w:sz w:val="20"/>
          <w:szCs w:val="20"/>
        </w:rPr>
        <w:t xml:space="preserve">para. 28. For example, </w:t>
      </w:r>
      <w:r w:rsidRPr="00600DF7">
        <w:rPr>
          <w:rFonts w:ascii="Times New Roman" w:hAnsi="Times New Roman" w:cs="Times New Roman"/>
          <w:i/>
          <w:iCs/>
          <w:sz w:val="20"/>
          <w:szCs w:val="20"/>
        </w:rPr>
        <w:t>Immunities</w:t>
      </w:r>
      <w:r w:rsidRPr="00600DF7">
        <w:rPr>
          <w:rFonts w:ascii="Times New Roman" w:hAnsi="Times New Roman" w:cs="Times New Roman"/>
          <w:sz w:val="20"/>
          <w:szCs w:val="20"/>
        </w:rPr>
        <w:t xml:space="preserve">, </w:t>
      </w:r>
      <w:r w:rsidRPr="00600DF7">
        <w:rPr>
          <w:rFonts w:ascii="Times New Roman" w:hAnsi="Times New Roman" w:cs="Times New Roman"/>
          <w:i/>
          <w:iCs/>
          <w:sz w:val="20"/>
          <w:szCs w:val="20"/>
        </w:rPr>
        <w:t>supra</w:t>
      </w:r>
      <w:r w:rsidRPr="00600DF7">
        <w:rPr>
          <w:rFonts w:ascii="Times New Roman" w:hAnsi="Times New Roman" w:cs="Times New Roman"/>
          <w:sz w:val="20"/>
          <w:szCs w:val="20"/>
        </w:rPr>
        <w:t xml:space="preserve"> note 5, </w:t>
      </w:r>
      <w:r w:rsidR="00F95A09">
        <w:rPr>
          <w:rFonts w:ascii="Times New Roman" w:hAnsi="Times New Roman" w:cs="Times New Roman"/>
          <w:sz w:val="20"/>
          <w:szCs w:val="20"/>
        </w:rPr>
        <w:t xml:space="preserve">at </w:t>
      </w:r>
      <w:r w:rsidRPr="00600DF7">
        <w:rPr>
          <w:rFonts w:ascii="Times New Roman" w:hAnsi="Times New Roman" w:cs="Times New Roman"/>
          <w:sz w:val="20"/>
          <w:szCs w:val="20"/>
        </w:rPr>
        <w:t xml:space="preserve">para. 55; P. </w:t>
      </w:r>
      <w:proofErr w:type="spellStart"/>
      <w:r w:rsidRPr="00600DF7">
        <w:rPr>
          <w:rFonts w:ascii="Times New Roman" w:hAnsi="Times New Roman" w:cs="Times New Roman"/>
          <w:sz w:val="20"/>
          <w:szCs w:val="20"/>
        </w:rPr>
        <w:t>Dumberry</w:t>
      </w:r>
      <w:proofErr w:type="spellEnd"/>
      <w:r w:rsidRPr="00600DF7">
        <w:rPr>
          <w:rFonts w:ascii="Times New Roman" w:hAnsi="Times New Roman" w:cs="Times New Roman"/>
          <w:sz w:val="20"/>
          <w:szCs w:val="20"/>
        </w:rPr>
        <w:t xml:space="preserve">, </w:t>
      </w:r>
      <w:r w:rsidRPr="00600DF7">
        <w:rPr>
          <w:rFonts w:ascii="Times New Roman" w:hAnsi="Times New Roman" w:cs="Times New Roman"/>
          <w:i/>
          <w:iCs/>
          <w:sz w:val="20"/>
          <w:szCs w:val="20"/>
        </w:rPr>
        <w:t>The formation and identification of rules of customary international law in international investment law</w:t>
      </w:r>
      <w:r w:rsidRPr="00600DF7">
        <w:rPr>
          <w:rFonts w:ascii="Times New Roman" w:hAnsi="Times New Roman" w:cs="Times New Roman"/>
          <w:sz w:val="20"/>
          <w:szCs w:val="20"/>
        </w:rPr>
        <w:t xml:space="preserve"> (2016), </w:t>
      </w:r>
      <w:r w:rsidR="00F95A09">
        <w:rPr>
          <w:rFonts w:ascii="Times New Roman" w:hAnsi="Times New Roman" w:cs="Times New Roman"/>
          <w:sz w:val="20"/>
          <w:szCs w:val="20"/>
        </w:rPr>
        <w:t xml:space="preserve">at </w:t>
      </w:r>
      <w:r w:rsidRPr="00600DF7">
        <w:rPr>
          <w:rFonts w:ascii="Times New Roman" w:hAnsi="Times New Roman" w:cs="Times New Roman"/>
          <w:sz w:val="20"/>
          <w:szCs w:val="20"/>
        </w:rPr>
        <w:t>423-</w:t>
      </w:r>
      <w:r w:rsidR="00F95A09">
        <w:rPr>
          <w:rFonts w:ascii="Times New Roman" w:hAnsi="Times New Roman" w:cs="Times New Roman"/>
          <w:sz w:val="20"/>
          <w:szCs w:val="20"/>
        </w:rPr>
        <w:t>42</w:t>
      </w:r>
      <w:r w:rsidRPr="00600DF7">
        <w:rPr>
          <w:rFonts w:ascii="Times New Roman" w:hAnsi="Times New Roman" w:cs="Times New Roman"/>
          <w:sz w:val="20"/>
          <w:szCs w:val="20"/>
        </w:rPr>
        <w:t xml:space="preserve">4. cf. Kolb ‘Selected problems in the theory of customary international law’ 50(2) </w:t>
      </w:r>
      <w:r w:rsidRPr="00600DF7">
        <w:rPr>
          <w:rFonts w:ascii="Times New Roman" w:hAnsi="Times New Roman" w:cs="Times New Roman"/>
          <w:i/>
          <w:iCs/>
          <w:sz w:val="20"/>
          <w:szCs w:val="20"/>
        </w:rPr>
        <w:t>Netherlands International Law Review</w:t>
      </w:r>
      <w:r w:rsidRPr="00600DF7">
        <w:rPr>
          <w:rFonts w:ascii="Times New Roman" w:hAnsi="Times New Roman" w:cs="Times New Roman"/>
          <w:sz w:val="20"/>
          <w:szCs w:val="20"/>
        </w:rPr>
        <w:t xml:space="preserve"> (2003)</w:t>
      </w:r>
      <w:r w:rsidR="00F95A09">
        <w:rPr>
          <w:rFonts w:ascii="Times New Roman" w:hAnsi="Times New Roman" w:cs="Times New Roman"/>
          <w:sz w:val="20"/>
          <w:szCs w:val="20"/>
        </w:rPr>
        <w:t xml:space="preserve"> 119</w:t>
      </w:r>
      <w:r w:rsidRPr="00600DF7">
        <w:rPr>
          <w:rFonts w:ascii="Times New Roman" w:hAnsi="Times New Roman" w:cs="Times New Roman"/>
          <w:sz w:val="20"/>
          <w:szCs w:val="20"/>
        </w:rPr>
        <w:t xml:space="preserve">, </w:t>
      </w:r>
      <w:r w:rsidR="00F95A09">
        <w:rPr>
          <w:rFonts w:ascii="Times New Roman" w:hAnsi="Times New Roman" w:cs="Times New Roman"/>
          <w:sz w:val="20"/>
          <w:szCs w:val="20"/>
        </w:rPr>
        <w:t xml:space="preserve">at </w:t>
      </w:r>
      <w:r w:rsidRPr="00600DF7">
        <w:rPr>
          <w:rFonts w:ascii="Times New Roman" w:hAnsi="Times New Roman" w:cs="Times New Roman"/>
          <w:sz w:val="20"/>
          <w:szCs w:val="20"/>
        </w:rPr>
        <w:t>122.</w:t>
      </w:r>
    </w:p>
  </w:footnote>
  <w:footnote w:id="21">
    <w:p w14:paraId="16F8C7BC" w14:textId="5B39E455"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Tams, </w:t>
      </w:r>
      <w:r w:rsidRPr="00600DF7">
        <w:rPr>
          <w:rFonts w:ascii="Times New Roman" w:hAnsi="Times New Roman" w:cs="Times New Roman"/>
          <w:i/>
          <w:iCs/>
        </w:rPr>
        <w:t>supra</w:t>
      </w:r>
      <w:r w:rsidRPr="00600DF7">
        <w:rPr>
          <w:rFonts w:ascii="Times New Roman" w:hAnsi="Times New Roman" w:cs="Times New Roman"/>
        </w:rPr>
        <w:t xml:space="preserve"> note </w:t>
      </w:r>
      <w:r w:rsidR="00CA53DB" w:rsidRPr="00600DF7">
        <w:rPr>
          <w:rFonts w:ascii="Times New Roman" w:hAnsi="Times New Roman" w:cs="Times New Roman"/>
        </w:rPr>
        <w:t>6</w:t>
      </w:r>
      <w:r w:rsidRPr="00600DF7">
        <w:rPr>
          <w:rFonts w:ascii="Times New Roman" w:hAnsi="Times New Roman" w:cs="Times New Roman"/>
        </w:rPr>
        <w:t xml:space="preserve">, </w:t>
      </w:r>
      <w:r w:rsidR="00302620">
        <w:rPr>
          <w:rFonts w:ascii="Times New Roman" w:hAnsi="Times New Roman" w:cs="Times New Roman"/>
        </w:rPr>
        <w:t xml:space="preserve">at </w:t>
      </w:r>
      <w:r w:rsidRPr="00600DF7">
        <w:rPr>
          <w:rFonts w:ascii="Times New Roman" w:hAnsi="Times New Roman" w:cs="Times New Roman"/>
        </w:rPr>
        <w:t>67.</w:t>
      </w:r>
    </w:p>
  </w:footnote>
  <w:footnote w:id="22">
    <w:p w14:paraId="7AE29162" w14:textId="235D42B1"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proofErr w:type="spellStart"/>
      <w:r w:rsidRPr="00600DF7">
        <w:rPr>
          <w:rFonts w:ascii="Times New Roman" w:hAnsi="Times New Roman" w:cs="Times New Roman"/>
        </w:rPr>
        <w:t>Meron</w:t>
      </w:r>
      <w:proofErr w:type="spellEnd"/>
      <w:r w:rsidRPr="00600DF7">
        <w:rPr>
          <w:rFonts w:ascii="Times New Roman" w:hAnsi="Times New Roman" w:cs="Times New Roman"/>
        </w:rPr>
        <w:t xml:space="preserve">, </w:t>
      </w:r>
      <w:r w:rsidRPr="00600DF7">
        <w:rPr>
          <w:rFonts w:ascii="Times New Roman" w:hAnsi="Times New Roman" w:cs="Times New Roman"/>
          <w:i/>
          <w:iCs/>
        </w:rPr>
        <w:t>supra</w:t>
      </w:r>
      <w:r w:rsidRPr="00600DF7">
        <w:rPr>
          <w:rFonts w:ascii="Times New Roman" w:hAnsi="Times New Roman" w:cs="Times New Roman"/>
        </w:rPr>
        <w:t xml:space="preserve"> note </w:t>
      </w:r>
      <w:r w:rsidR="00CA53DB" w:rsidRPr="00600DF7">
        <w:rPr>
          <w:rFonts w:ascii="Times New Roman" w:hAnsi="Times New Roman" w:cs="Times New Roman"/>
        </w:rPr>
        <w:t>8</w:t>
      </w:r>
      <w:r w:rsidRPr="00600DF7">
        <w:rPr>
          <w:rFonts w:ascii="Times New Roman" w:hAnsi="Times New Roman" w:cs="Times New Roman"/>
        </w:rPr>
        <w:t xml:space="preserve">, </w:t>
      </w:r>
      <w:r w:rsidR="00302620">
        <w:rPr>
          <w:rFonts w:ascii="Times New Roman" w:hAnsi="Times New Roman" w:cs="Times New Roman"/>
        </w:rPr>
        <w:t xml:space="preserve">at </w:t>
      </w:r>
      <w:r w:rsidRPr="00600DF7">
        <w:rPr>
          <w:rFonts w:ascii="Times New Roman" w:hAnsi="Times New Roman" w:cs="Times New Roman"/>
        </w:rPr>
        <w:t>31-</w:t>
      </w:r>
      <w:r w:rsidR="00302620">
        <w:rPr>
          <w:rFonts w:ascii="Times New Roman" w:hAnsi="Times New Roman" w:cs="Times New Roman"/>
        </w:rPr>
        <w:t>3</w:t>
      </w:r>
      <w:r w:rsidRPr="00600DF7">
        <w:rPr>
          <w:rFonts w:ascii="Times New Roman" w:hAnsi="Times New Roman" w:cs="Times New Roman"/>
        </w:rPr>
        <w:t>2.</w:t>
      </w:r>
    </w:p>
  </w:footnote>
  <w:footnote w:id="23">
    <w:p w14:paraId="31AD63B7" w14:textId="6EB2C8CD"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Tams, </w:t>
      </w:r>
      <w:r w:rsidRPr="00600DF7">
        <w:rPr>
          <w:rFonts w:ascii="Times New Roman" w:hAnsi="Times New Roman" w:cs="Times New Roman"/>
          <w:i/>
          <w:iCs/>
        </w:rPr>
        <w:t>supra</w:t>
      </w:r>
      <w:r w:rsidRPr="00600DF7">
        <w:rPr>
          <w:rFonts w:ascii="Times New Roman" w:hAnsi="Times New Roman" w:cs="Times New Roman"/>
        </w:rPr>
        <w:t xml:space="preserve"> note </w:t>
      </w:r>
      <w:r w:rsidR="00CA53DB" w:rsidRPr="00600DF7">
        <w:rPr>
          <w:rFonts w:ascii="Times New Roman" w:hAnsi="Times New Roman" w:cs="Times New Roman"/>
        </w:rPr>
        <w:t>6</w:t>
      </w:r>
      <w:r w:rsidRPr="00600DF7">
        <w:rPr>
          <w:rFonts w:ascii="Times New Roman" w:hAnsi="Times New Roman" w:cs="Times New Roman"/>
        </w:rPr>
        <w:t xml:space="preserve">, </w:t>
      </w:r>
      <w:r w:rsidR="00302620">
        <w:rPr>
          <w:rFonts w:ascii="Times New Roman" w:hAnsi="Times New Roman" w:cs="Times New Roman"/>
        </w:rPr>
        <w:t xml:space="preserve">at </w:t>
      </w:r>
      <w:r w:rsidRPr="00600DF7">
        <w:rPr>
          <w:rFonts w:ascii="Times New Roman" w:hAnsi="Times New Roman" w:cs="Times New Roman"/>
        </w:rPr>
        <w:t>73-</w:t>
      </w:r>
      <w:r w:rsidR="00302620">
        <w:rPr>
          <w:rFonts w:ascii="Times New Roman" w:hAnsi="Times New Roman" w:cs="Times New Roman"/>
        </w:rPr>
        <w:t>7</w:t>
      </w:r>
      <w:r w:rsidRPr="00600DF7">
        <w:rPr>
          <w:rFonts w:ascii="Times New Roman" w:hAnsi="Times New Roman" w:cs="Times New Roman"/>
        </w:rPr>
        <w:t>5</w:t>
      </w:r>
      <w:r w:rsidR="004F598C" w:rsidRPr="00600DF7">
        <w:rPr>
          <w:rFonts w:ascii="Times New Roman" w:hAnsi="Times New Roman" w:cs="Times New Roman"/>
        </w:rPr>
        <w:t xml:space="preserve">; </w:t>
      </w:r>
      <w:proofErr w:type="spellStart"/>
      <w:r w:rsidR="004F598C" w:rsidRPr="00600DF7">
        <w:rPr>
          <w:rFonts w:ascii="Times New Roman" w:hAnsi="Times New Roman" w:cs="Times New Roman"/>
        </w:rPr>
        <w:t>Tomka</w:t>
      </w:r>
      <w:proofErr w:type="spellEnd"/>
      <w:r w:rsidR="004F598C" w:rsidRPr="00600DF7">
        <w:rPr>
          <w:rFonts w:ascii="Times New Roman" w:hAnsi="Times New Roman" w:cs="Times New Roman"/>
        </w:rPr>
        <w:t xml:space="preserve">, </w:t>
      </w:r>
      <w:r w:rsidR="004F598C" w:rsidRPr="00600DF7">
        <w:rPr>
          <w:rFonts w:ascii="Times New Roman" w:hAnsi="Times New Roman" w:cs="Times New Roman"/>
          <w:i/>
          <w:iCs/>
        </w:rPr>
        <w:t>supra</w:t>
      </w:r>
      <w:r w:rsidR="004F598C" w:rsidRPr="00600DF7">
        <w:rPr>
          <w:rFonts w:ascii="Times New Roman" w:hAnsi="Times New Roman" w:cs="Times New Roman"/>
        </w:rPr>
        <w:t xml:space="preserve"> note </w:t>
      </w:r>
      <w:r w:rsidR="00437B04" w:rsidRPr="00600DF7">
        <w:rPr>
          <w:rFonts w:ascii="Times New Roman" w:hAnsi="Times New Roman" w:cs="Times New Roman"/>
        </w:rPr>
        <w:t>19</w:t>
      </w:r>
      <w:r w:rsidR="004F598C" w:rsidRPr="00600DF7">
        <w:rPr>
          <w:rFonts w:ascii="Times New Roman" w:hAnsi="Times New Roman" w:cs="Times New Roman"/>
        </w:rPr>
        <w:t xml:space="preserve">, </w:t>
      </w:r>
      <w:r w:rsidR="00302620">
        <w:rPr>
          <w:rFonts w:ascii="Times New Roman" w:hAnsi="Times New Roman" w:cs="Times New Roman"/>
        </w:rPr>
        <w:t xml:space="preserve">at </w:t>
      </w:r>
      <w:r w:rsidR="004F598C" w:rsidRPr="00600DF7">
        <w:rPr>
          <w:rFonts w:ascii="Times New Roman" w:hAnsi="Times New Roman" w:cs="Times New Roman"/>
        </w:rPr>
        <w:t>196-</w:t>
      </w:r>
      <w:r w:rsidR="00302620">
        <w:rPr>
          <w:rFonts w:ascii="Times New Roman" w:hAnsi="Times New Roman" w:cs="Times New Roman"/>
        </w:rPr>
        <w:t>19</w:t>
      </w:r>
      <w:r w:rsidR="004F598C" w:rsidRPr="00600DF7">
        <w:rPr>
          <w:rFonts w:ascii="Times New Roman" w:hAnsi="Times New Roman" w:cs="Times New Roman"/>
        </w:rPr>
        <w:t>8.</w:t>
      </w:r>
    </w:p>
  </w:footnote>
  <w:footnote w:id="24">
    <w:p w14:paraId="444E5AD3" w14:textId="6E81E86F"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proofErr w:type="spellStart"/>
      <w:r w:rsidRPr="00600DF7">
        <w:rPr>
          <w:rFonts w:ascii="Times New Roman" w:hAnsi="Times New Roman" w:cs="Times New Roman"/>
        </w:rPr>
        <w:t>Meron</w:t>
      </w:r>
      <w:proofErr w:type="spellEnd"/>
      <w:r w:rsidRPr="00600DF7">
        <w:rPr>
          <w:rFonts w:ascii="Times New Roman" w:hAnsi="Times New Roman" w:cs="Times New Roman"/>
        </w:rPr>
        <w:t xml:space="preserve">, </w:t>
      </w:r>
      <w:r w:rsidRPr="00600DF7">
        <w:rPr>
          <w:rFonts w:ascii="Times New Roman" w:hAnsi="Times New Roman" w:cs="Times New Roman"/>
          <w:i/>
          <w:iCs/>
        </w:rPr>
        <w:t>supra</w:t>
      </w:r>
      <w:r w:rsidRPr="00600DF7">
        <w:rPr>
          <w:rFonts w:ascii="Times New Roman" w:hAnsi="Times New Roman" w:cs="Times New Roman"/>
        </w:rPr>
        <w:t xml:space="preserve"> note </w:t>
      </w:r>
      <w:r w:rsidR="00CA53DB" w:rsidRPr="00600DF7">
        <w:rPr>
          <w:rFonts w:ascii="Times New Roman" w:hAnsi="Times New Roman" w:cs="Times New Roman"/>
        </w:rPr>
        <w:t>8</w:t>
      </w:r>
      <w:r w:rsidRPr="00600DF7">
        <w:rPr>
          <w:rFonts w:ascii="Times New Roman" w:hAnsi="Times New Roman" w:cs="Times New Roman"/>
        </w:rPr>
        <w:t xml:space="preserve">, </w:t>
      </w:r>
      <w:r w:rsidR="00302620">
        <w:rPr>
          <w:rFonts w:ascii="Times New Roman" w:hAnsi="Times New Roman" w:cs="Times New Roman"/>
        </w:rPr>
        <w:t xml:space="preserve">at </w:t>
      </w:r>
      <w:r w:rsidRPr="00600DF7">
        <w:rPr>
          <w:rFonts w:ascii="Times New Roman" w:hAnsi="Times New Roman" w:cs="Times New Roman"/>
        </w:rPr>
        <w:t>31.</w:t>
      </w:r>
    </w:p>
  </w:footnote>
  <w:footnote w:id="25">
    <w:p w14:paraId="60FF58EE" w14:textId="22C4D1B5"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00437B04" w:rsidRPr="00600DF7">
        <w:rPr>
          <w:rFonts w:ascii="Times New Roman" w:hAnsi="Times New Roman" w:cs="Times New Roman"/>
        </w:rPr>
        <w:t xml:space="preserve">ILC, </w:t>
      </w:r>
      <w:r w:rsidR="00600DF7" w:rsidRPr="00600DF7">
        <w:rPr>
          <w:rFonts w:ascii="Times New Roman" w:hAnsi="Times New Roman" w:cs="Times New Roman"/>
        </w:rPr>
        <w:t>C</w:t>
      </w:r>
      <w:r w:rsidR="00437B04" w:rsidRPr="00600DF7">
        <w:rPr>
          <w:rFonts w:ascii="Times New Roman" w:hAnsi="Times New Roman" w:cs="Times New Roman"/>
        </w:rPr>
        <w:t>onclusions on identification of customary international law, with commentaries, A/73/10, 2018</w:t>
      </w:r>
      <w:r w:rsidRPr="00600DF7">
        <w:rPr>
          <w:rFonts w:ascii="Times New Roman" w:hAnsi="Times New Roman" w:cs="Times New Roman"/>
        </w:rPr>
        <w:t>, Conclusion 6, Commentary para. 2</w:t>
      </w:r>
      <w:r w:rsidR="00897C03" w:rsidRPr="00600DF7">
        <w:rPr>
          <w:rFonts w:ascii="Times New Roman" w:hAnsi="Times New Roman" w:cs="Times New Roman"/>
        </w:rPr>
        <w:t xml:space="preserve">; M.E. </w:t>
      </w:r>
      <w:proofErr w:type="spellStart"/>
      <w:r w:rsidR="00897C03" w:rsidRPr="00600DF7">
        <w:rPr>
          <w:rFonts w:ascii="Times New Roman" w:hAnsi="Times New Roman" w:cs="Times New Roman"/>
        </w:rPr>
        <w:t>Villiger</w:t>
      </w:r>
      <w:proofErr w:type="spellEnd"/>
      <w:r w:rsidR="00897C03" w:rsidRPr="00600DF7">
        <w:rPr>
          <w:rFonts w:ascii="Times New Roman" w:hAnsi="Times New Roman" w:cs="Times New Roman"/>
        </w:rPr>
        <w:t xml:space="preserve">, </w:t>
      </w:r>
      <w:r w:rsidR="00897C03" w:rsidRPr="00600DF7">
        <w:rPr>
          <w:rFonts w:ascii="Times New Roman" w:hAnsi="Times New Roman" w:cs="Times New Roman"/>
          <w:i/>
          <w:iCs/>
        </w:rPr>
        <w:t>Commentary on the 1969 Vienna Convention on the Law of Treaties</w:t>
      </w:r>
      <w:r w:rsidR="00897C03" w:rsidRPr="00600DF7">
        <w:rPr>
          <w:rFonts w:ascii="Times New Roman" w:hAnsi="Times New Roman" w:cs="Times New Roman"/>
        </w:rPr>
        <w:t xml:space="preserve"> (2009), </w:t>
      </w:r>
      <w:r w:rsidR="00630B03">
        <w:rPr>
          <w:rFonts w:ascii="Times New Roman" w:hAnsi="Times New Roman" w:cs="Times New Roman"/>
        </w:rPr>
        <w:t xml:space="preserve">at </w:t>
      </w:r>
      <w:r w:rsidR="00897C03" w:rsidRPr="00600DF7">
        <w:rPr>
          <w:rFonts w:ascii="Times New Roman" w:hAnsi="Times New Roman" w:cs="Times New Roman"/>
        </w:rPr>
        <w:t>5-6</w:t>
      </w:r>
      <w:r w:rsidRPr="00600DF7">
        <w:rPr>
          <w:rFonts w:ascii="Times New Roman" w:hAnsi="Times New Roman" w:cs="Times New Roman"/>
        </w:rPr>
        <w:t>.</w:t>
      </w:r>
    </w:p>
  </w:footnote>
  <w:footnote w:id="26">
    <w:p w14:paraId="41C713EF" w14:textId="45CC84F9"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See </w:t>
      </w:r>
      <w:proofErr w:type="spellStart"/>
      <w:r w:rsidRPr="00600DF7">
        <w:rPr>
          <w:rFonts w:ascii="Times New Roman" w:hAnsi="Times New Roman" w:cs="Times New Roman"/>
        </w:rPr>
        <w:t>Methymaki</w:t>
      </w:r>
      <w:proofErr w:type="spellEnd"/>
      <w:r w:rsidRPr="00600DF7">
        <w:rPr>
          <w:rFonts w:ascii="Times New Roman" w:hAnsi="Times New Roman" w:cs="Times New Roman"/>
        </w:rPr>
        <w:t xml:space="preserve"> and </w:t>
      </w:r>
      <w:proofErr w:type="spellStart"/>
      <w:r w:rsidRPr="00600DF7">
        <w:rPr>
          <w:rFonts w:ascii="Times New Roman" w:hAnsi="Times New Roman" w:cs="Times New Roman"/>
        </w:rPr>
        <w:t>Tzanakopoulos</w:t>
      </w:r>
      <w:proofErr w:type="spellEnd"/>
      <w:r w:rsidRPr="00600DF7">
        <w:rPr>
          <w:rFonts w:ascii="Times New Roman" w:hAnsi="Times New Roman" w:cs="Times New Roman"/>
        </w:rPr>
        <w:t xml:space="preserve">, ‘Freedom with their Exception’ in F. </w:t>
      </w:r>
      <w:proofErr w:type="spellStart"/>
      <w:r w:rsidRPr="00600DF7">
        <w:rPr>
          <w:rFonts w:ascii="Times New Roman" w:hAnsi="Times New Roman" w:cs="Times New Roman"/>
        </w:rPr>
        <w:t>Paddeu</w:t>
      </w:r>
      <w:proofErr w:type="spellEnd"/>
      <w:r w:rsidRPr="00600DF7">
        <w:rPr>
          <w:rFonts w:ascii="Times New Roman" w:hAnsi="Times New Roman" w:cs="Times New Roman"/>
        </w:rPr>
        <w:t xml:space="preserve"> and L. Bartels, </w:t>
      </w:r>
      <w:r w:rsidRPr="00600DF7">
        <w:rPr>
          <w:rFonts w:ascii="Times New Roman" w:hAnsi="Times New Roman" w:cs="Times New Roman"/>
          <w:i/>
          <w:iCs/>
        </w:rPr>
        <w:t>Exceptions in International Law</w:t>
      </w:r>
      <w:r w:rsidRPr="00600DF7">
        <w:rPr>
          <w:rFonts w:ascii="Times New Roman" w:hAnsi="Times New Roman" w:cs="Times New Roman"/>
        </w:rPr>
        <w:t xml:space="preserve"> (2020)</w:t>
      </w:r>
      <w:r w:rsidR="00630B03">
        <w:rPr>
          <w:rFonts w:ascii="Times New Roman" w:hAnsi="Times New Roman" w:cs="Times New Roman"/>
        </w:rPr>
        <w:t xml:space="preserve"> 225</w:t>
      </w:r>
      <w:r w:rsidRPr="00600DF7">
        <w:rPr>
          <w:rFonts w:ascii="Times New Roman" w:hAnsi="Times New Roman" w:cs="Times New Roman"/>
        </w:rPr>
        <w:t xml:space="preserve">, </w:t>
      </w:r>
      <w:r w:rsidR="00630B03">
        <w:rPr>
          <w:rFonts w:ascii="Times New Roman" w:hAnsi="Times New Roman" w:cs="Times New Roman"/>
        </w:rPr>
        <w:t xml:space="preserve">at </w:t>
      </w:r>
      <w:r w:rsidRPr="00600DF7">
        <w:rPr>
          <w:rFonts w:ascii="Times New Roman" w:hAnsi="Times New Roman" w:cs="Times New Roman"/>
        </w:rPr>
        <w:t>236-</w:t>
      </w:r>
      <w:r w:rsidR="00B80374">
        <w:rPr>
          <w:rFonts w:ascii="Times New Roman" w:hAnsi="Times New Roman" w:cs="Times New Roman"/>
        </w:rPr>
        <w:t>23</w:t>
      </w:r>
      <w:r w:rsidRPr="00600DF7">
        <w:rPr>
          <w:rFonts w:ascii="Times New Roman" w:hAnsi="Times New Roman" w:cs="Times New Roman"/>
        </w:rPr>
        <w:t>7, 240.</w:t>
      </w:r>
    </w:p>
  </w:footnote>
  <w:footnote w:id="27">
    <w:p w14:paraId="7B44C0BF" w14:textId="5386CDE8"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proofErr w:type="spellStart"/>
      <w:r w:rsidR="008E38EC">
        <w:rPr>
          <w:rFonts w:ascii="Times New Roman" w:hAnsi="Times New Roman" w:cs="Times New Roman"/>
        </w:rPr>
        <w:t>Chasapis</w:t>
      </w:r>
      <w:proofErr w:type="spellEnd"/>
      <w:r w:rsidR="008E38EC">
        <w:rPr>
          <w:rFonts w:ascii="Times New Roman" w:hAnsi="Times New Roman" w:cs="Times New Roman"/>
        </w:rPr>
        <w:t xml:space="preserve"> </w:t>
      </w:r>
      <w:proofErr w:type="spellStart"/>
      <w:r w:rsidRPr="00600DF7">
        <w:rPr>
          <w:rFonts w:ascii="Times New Roman" w:hAnsi="Times New Roman" w:cs="Times New Roman"/>
        </w:rPr>
        <w:t>Tassinis</w:t>
      </w:r>
      <w:proofErr w:type="spellEnd"/>
      <w:r w:rsidRPr="00600DF7">
        <w:rPr>
          <w:rFonts w:ascii="Times New Roman" w:hAnsi="Times New Roman" w:cs="Times New Roman"/>
        </w:rPr>
        <w:t xml:space="preserve"> ‘Customary International Law: Interpretation from Beginning to End’ 31(1) </w:t>
      </w:r>
      <w:r w:rsidRPr="00600DF7">
        <w:rPr>
          <w:rFonts w:ascii="Times New Roman" w:hAnsi="Times New Roman" w:cs="Times New Roman"/>
          <w:i/>
          <w:iCs/>
        </w:rPr>
        <w:t>EJIL</w:t>
      </w:r>
      <w:r w:rsidRPr="00600DF7">
        <w:rPr>
          <w:rFonts w:ascii="Times New Roman" w:hAnsi="Times New Roman" w:cs="Times New Roman"/>
        </w:rPr>
        <w:t xml:space="preserve"> (2020) 235, </w:t>
      </w:r>
      <w:r w:rsidR="00D73DB1">
        <w:rPr>
          <w:rFonts w:ascii="Times New Roman" w:hAnsi="Times New Roman" w:cs="Times New Roman"/>
        </w:rPr>
        <w:t xml:space="preserve">at </w:t>
      </w:r>
      <w:r w:rsidRPr="00600DF7">
        <w:rPr>
          <w:rFonts w:ascii="Times New Roman" w:hAnsi="Times New Roman" w:cs="Times New Roman"/>
        </w:rPr>
        <w:t>256.</w:t>
      </w:r>
    </w:p>
  </w:footnote>
  <w:footnote w:id="28">
    <w:p w14:paraId="5744A768" w14:textId="6D8D23FC"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proofErr w:type="spellStart"/>
      <w:r w:rsidRPr="00600DF7">
        <w:rPr>
          <w:rFonts w:ascii="Times New Roman" w:hAnsi="Times New Roman" w:cs="Times New Roman"/>
          <w:i/>
          <w:iCs/>
        </w:rPr>
        <w:t>Chagos</w:t>
      </w:r>
      <w:proofErr w:type="spellEnd"/>
      <w:r w:rsidRPr="00600DF7">
        <w:rPr>
          <w:rFonts w:ascii="Times New Roman" w:hAnsi="Times New Roman" w:cs="Times New Roman"/>
          <w:i/>
          <w:iCs/>
        </w:rPr>
        <w:t xml:space="preserve"> Archipelago</w:t>
      </w:r>
      <w:r w:rsidRPr="00600DF7">
        <w:rPr>
          <w:rFonts w:ascii="Times New Roman" w:hAnsi="Times New Roman" w:cs="Times New Roman"/>
        </w:rPr>
        <w:t xml:space="preserve">, </w:t>
      </w:r>
      <w:r w:rsidRPr="00600DF7">
        <w:rPr>
          <w:rFonts w:ascii="Times New Roman" w:hAnsi="Times New Roman" w:cs="Times New Roman"/>
          <w:i/>
          <w:iCs/>
        </w:rPr>
        <w:t>supra</w:t>
      </w:r>
      <w:r w:rsidRPr="00600DF7">
        <w:rPr>
          <w:rFonts w:ascii="Times New Roman" w:hAnsi="Times New Roman" w:cs="Times New Roman"/>
        </w:rPr>
        <w:t xml:space="preserve"> note </w:t>
      </w:r>
      <w:r w:rsidR="002F6B41" w:rsidRPr="00600DF7">
        <w:rPr>
          <w:rFonts w:ascii="Times New Roman" w:hAnsi="Times New Roman" w:cs="Times New Roman"/>
        </w:rPr>
        <w:t>7</w:t>
      </w:r>
      <w:r w:rsidRPr="00600DF7">
        <w:rPr>
          <w:rFonts w:ascii="Times New Roman" w:hAnsi="Times New Roman" w:cs="Times New Roman"/>
        </w:rPr>
        <w:t xml:space="preserve">, </w:t>
      </w:r>
      <w:r w:rsidR="00D73DB1">
        <w:rPr>
          <w:rFonts w:ascii="Times New Roman" w:hAnsi="Times New Roman" w:cs="Times New Roman"/>
        </w:rPr>
        <w:t xml:space="preserve">at </w:t>
      </w:r>
      <w:r w:rsidRPr="00600DF7">
        <w:rPr>
          <w:rFonts w:ascii="Times New Roman" w:hAnsi="Times New Roman" w:cs="Times New Roman"/>
        </w:rPr>
        <w:t>paras</w:t>
      </w:r>
      <w:r w:rsidR="00D73DB1">
        <w:rPr>
          <w:rFonts w:ascii="Times New Roman" w:hAnsi="Times New Roman" w:cs="Times New Roman"/>
        </w:rPr>
        <w:t>.</w:t>
      </w:r>
      <w:r w:rsidRPr="00600DF7">
        <w:rPr>
          <w:rFonts w:ascii="Times New Roman" w:hAnsi="Times New Roman" w:cs="Times New Roman"/>
        </w:rPr>
        <w:t xml:space="preserve"> 159-</w:t>
      </w:r>
      <w:r w:rsidR="00D73DB1">
        <w:rPr>
          <w:rFonts w:ascii="Times New Roman" w:hAnsi="Times New Roman" w:cs="Times New Roman"/>
        </w:rPr>
        <w:t>1</w:t>
      </w:r>
      <w:r w:rsidRPr="00600DF7">
        <w:rPr>
          <w:rFonts w:ascii="Times New Roman" w:hAnsi="Times New Roman" w:cs="Times New Roman"/>
        </w:rPr>
        <w:t xml:space="preserve">60; see also </w:t>
      </w:r>
      <w:proofErr w:type="spellStart"/>
      <w:r w:rsidR="002D46CC">
        <w:rPr>
          <w:rFonts w:ascii="Times New Roman" w:hAnsi="Times New Roman" w:cs="Times New Roman"/>
        </w:rPr>
        <w:t>Chasapis</w:t>
      </w:r>
      <w:proofErr w:type="spellEnd"/>
      <w:r w:rsidR="002D46CC" w:rsidRPr="00600DF7">
        <w:rPr>
          <w:rFonts w:ascii="Times New Roman" w:hAnsi="Times New Roman" w:cs="Times New Roman"/>
        </w:rPr>
        <w:t xml:space="preserve"> </w:t>
      </w:r>
      <w:proofErr w:type="spellStart"/>
      <w:r w:rsidRPr="00600DF7">
        <w:rPr>
          <w:rFonts w:ascii="Times New Roman" w:hAnsi="Times New Roman" w:cs="Times New Roman"/>
        </w:rPr>
        <w:t>Tassinis</w:t>
      </w:r>
      <w:proofErr w:type="spellEnd"/>
      <w:r w:rsidRPr="00600DF7">
        <w:rPr>
          <w:rFonts w:ascii="Times New Roman" w:hAnsi="Times New Roman" w:cs="Times New Roman"/>
        </w:rPr>
        <w:t xml:space="preserve">, </w:t>
      </w:r>
      <w:r w:rsidRPr="00600DF7">
        <w:rPr>
          <w:rFonts w:ascii="Times New Roman" w:hAnsi="Times New Roman" w:cs="Times New Roman"/>
          <w:i/>
          <w:iCs/>
        </w:rPr>
        <w:t>supra</w:t>
      </w:r>
      <w:r w:rsidRPr="00600DF7">
        <w:rPr>
          <w:rFonts w:ascii="Times New Roman" w:hAnsi="Times New Roman" w:cs="Times New Roman"/>
        </w:rPr>
        <w:t xml:space="preserve"> note 3</w:t>
      </w:r>
      <w:r w:rsidR="002F6B41" w:rsidRPr="00600DF7">
        <w:rPr>
          <w:rFonts w:ascii="Times New Roman" w:hAnsi="Times New Roman" w:cs="Times New Roman"/>
        </w:rPr>
        <w:t>1</w:t>
      </w:r>
      <w:r w:rsidRPr="00600DF7">
        <w:rPr>
          <w:rFonts w:ascii="Times New Roman" w:hAnsi="Times New Roman" w:cs="Times New Roman"/>
        </w:rPr>
        <w:t xml:space="preserve">, </w:t>
      </w:r>
      <w:r w:rsidR="00D73DB1">
        <w:rPr>
          <w:rFonts w:ascii="Times New Roman" w:hAnsi="Times New Roman" w:cs="Times New Roman"/>
        </w:rPr>
        <w:t xml:space="preserve">at </w:t>
      </w:r>
      <w:r w:rsidRPr="00600DF7">
        <w:rPr>
          <w:rFonts w:ascii="Times New Roman" w:hAnsi="Times New Roman" w:cs="Times New Roman"/>
        </w:rPr>
        <w:t>262-</w:t>
      </w:r>
      <w:r w:rsidR="00D73DB1">
        <w:rPr>
          <w:rFonts w:ascii="Times New Roman" w:hAnsi="Times New Roman" w:cs="Times New Roman"/>
        </w:rPr>
        <w:t>26</w:t>
      </w:r>
      <w:r w:rsidRPr="00600DF7">
        <w:rPr>
          <w:rFonts w:ascii="Times New Roman" w:hAnsi="Times New Roman" w:cs="Times New Roman"/>
        </w:rPr>
        <w:t>3.</w:t>
      </w:r>
    </w:p>
  </w:footnote>
  <w:footnote w:id="29">
    <w:p w14:paraId="3A559C0E" w14:textId="5A1CFD44"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Kolb, </w:t>
      </w:r>
      <w:r w:rsidRPr="00600DF7">
        <w:rPr>
          <w:rFonts w:ascii="Times New Roman" w:hAnsi="Times New Roman" w:cs="Times New Roman"/>
          <w:i/>
          <w:iCs/>
        </w:rPr>
        <w:t>supra</w:t>
      </w:r>
      <w:r w:rsidRPr="00600DF7">
        <w:rPr>
          <w:rFonts w:ascii="Times New Roman" w:hAnsi="Times New Roman" w:cs="Times New Roman"/>
        </w:rPr>
        <w:t xml:space="preserve"> note </w:t>
      </w:r>
      <w:r w:rsidR="002F6B41" w:rsidRPr="00600DF7">
        <w:rPr>
          <w:rFonts w:ascii="Times New Roman" w:hAnsi="Times New Roman" w:cs="Times New Roman"/>
        </w:rPr>
        <w:t>20</w:t>
      </w:r>
      <w:r w:rsidRPr="00600DF7">
        <w:rPr>
          <w:rFonts w:ascii="Times New Roman" w:hAnsi="Times New Roman" w:cs="Times New Roman"/>
        </w:rPr>
        <w:t xml:space="preserve">, </w:t>
      </w:r>
      <w:r w:rsidR="00D73DB1">
        <w:rPr>
          <w:rFonts w:ascii="Times New Roman" w:hAnsi="Times New Roman" w:cs="Times New Roman"/>
        </w:rPr>
        <w:t xml:space="preserve">at </w:t>
      </w:r>
      <w:r w:rsidRPr="00600DF7">
        <w:rPr>
          <w:rFonts w:ascii="Times New Roman" w:hAnsi="Times New Roman" w:cs="Times New Roman"/>
        </w:rPr>
        <w:t>131.</w:t>
      </w:r>
    </w:p>
  </w:footnote>
  <w:footnote w:id="30">
    <w:p w14:paraId="7FD717C5" w14:textId="445AE197"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proofErr w:type="spellStart"/>
      <w:r w:rsidRPr="00600DF7">
        <w:rPr>
          <w:rFonts w:ascii="Times New Roman" w:hAnsi="Times New Roman" w:cs="Times New Roman"/>
          <w:i/>
          <w:iCs/>
        </w:rPr>
        <w:t>Chagos</w:t>
      </w:r>
      <w:proofErr w:type="spellEnd"/>
      <w:r w:rsidRPr="00600DF7">
        <w:rPr>
          <w:rFonts w:ascii="Times New Roman" w:hAnsi="Times New Roman" w:cs="Times New Roman"/>
          <w:i/>
          <w:iCs/>
        </w:rPr>
        <w:t xml:space="preserve"> Archipelago</w:t>
      </w:r>
      <w:r w:rsidRPr="00600DF7">
        <w:rPr>
          <w:rFonts w:ascii="Times New Roman" w:hAnsi="Times New Roman" w:cs="Times New Roman"/>
        </w:rPr>
        <w:t xml:space="preserve">, </w:t>
      </w:r>
      <w:r w:rsidRPr="00600DF7">
        <w:rPr>
          <w:rFonts w:ascii="Times New Roman" w:hAnsi="Times New Roman" w:cs="Times New Roman"/>
          <w:i/>
          <w:iCs/>
        </w:rPr>
        <w:t>supra</w:t>
      </w:r>
      <w:r w:rsidRPr="00600DF7">
        <w:rPr>
          <w:rFonts w:ascii="Times New Roman" w:hAnsi="Times New Roman" w:cs="Times New Roman"/>
        </w:rPr>
        <w:t xml:space="preserve"> note </w:t>
      </w:r>
      <w:r w:rsidR="002F6B41" w:rsidRPr="00600DF7">
        <w:rPr>
          <w:rFonts w:ascii="Times New Roman" w:hAnsi="Times New Roman" w:cs="Times New Roman"/>
        </w:rPr>
        <w:t>7</w:t>
      </w:r>
      <w:r w:rsidRPr="00600DF7">
        <w:rPr>
          <w:rFonts w:ascii="Times New Roman" w:hAnsi="Times New Roman" w:cs="Times New Roman"/>
        </w:rPr>
        <w:t xml:space="preserve">, </w:t>
      </w:r>
      <w:r w:rsidR="00D73DB1">
        <w:rPr>
          <w:rFonts w:ascii="Times New Roman" w:hAnsi="Times New Roman" w:cs="Times New Roman"/>
        </w:rPr>
        <w:t xml:space="preserve">at </w:t>
      </w:r>
      <w:r w:rsidRPr="00600DF7">
        <w:rPr>
          <w:rFonts w:ascii="Times New Roman" w:hAnsi="Times New Roman" w:cs="Times New Roman"/>
        </w:rPr>
        <w:t>para. 160.</w:t>
      </w:r>
    </w:p>
  </w:footnote>
  <w:footnote w:id="31">
    <w:p w14:paraId="79B7DC58" w14:textId="29C4DC9F"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This is not the result of any formal rules as to allocation of burdens before the ICJ. Rather, if a dispute is characterized as turning on the existence of a particular customary rule, it is the party that wishes to rely on that rule that will need to demonstrate convincingly that evidence sufficient to identify it exists, see </w:t>
      </w:r>
      <w:proofErr w:type="spellStart"/>
      <w:r w:rsidRPr="00600DF7">
        <w:rPr>
          <w:rFonts w:ascii="Times New Roman" w:hAnsi="Times New Roman" w:cs="Times New Roman"/>
        </w:rPr>
        <w:t>Methymaki</w:t>
      </w:r>
      <w:proofErr w:type="spellEnd"/>
      <w:r w:rsidRPr="00600DF7">
        <w:rPr>
          <w:rFonts w:ascii="Times New Roman" w:hAnsi="Times New Roman" w:cs="Times New Roman"/>
        </w:rPr>
        <w:t xml:space="preserve"> and </w:t>
      </w:r>
      <w:proofErr w:type="spellStart"/>
      <w:r w:rsidRPr="00600DF7">
        <w:rPr>
          <w:rFonts w:ascii="Times New Roman" w:hAnsi="Times New Roman" w:cs="Times New Roman"/>
        </w:rPr>
        <w:t>Tzanakopoulos</w:t>
      </w:r>
      <w:proofErr w:type="spellEnd"/>
      <w:r w:rsidRPr="00600DF7">
        <w:rPr>
          <w:rFonts w:ascii="Times New Roman" w:hAnsi="Times New Roman" w:cs="Times New Roman"/>
        </w:rPr>
        <w:t xml:space="preserve">, </w:t>
      </w:r>
      <w:r w:rsidRPr="00600DF7">
        <w:rPr>
          <w:rFonts w:ascii="Times New Roman" w:hAnsi="Times New Roman" w:cs="Times New Roman"/>
          <w:i/>
          <w:iCs/>
        </w:rPr>
        <w:t>supra</w:t>
      </w:r>
      <w:r w:rsidRPr="00600DF7">
        <w:rPr>
          <w:rFonts w:ascii="Times New Roman" w:hAnsi="Times New Roman" w:cs="Times New Roman"/>
        </w:rPr>
        <w:t xml:space="preserve"> note </w:t>
      </w:r>
      <w:r w:rsidR="00600DF7" w:rsidRPr="00600DF7">
        <w:rPr>
          <w:rFonts w:ascii="Times New Roman" w:hAnsi="Times New Roman" w:cs="Times New Roman"/>
        </w:rPr>
        <w:t>26</w:t>
      </w:r>
      <w:r w:rsidRPr="00600DF7">
        <w:rPr>
          <w:rFonts w:ascii="Times New Roman" w:hAnsi="Times New Roman" w:cs="Times New Roman"/>
        </w:rPr>
        <w:t xml:space="preserve">, </w:t>
      </w:r>
      <w:r w:rsidR="00D73DB1">
        <w:rPr>
          <w:rFonts w:ascii="Times New Roman" w:hAnsi="Times New Roman" w:cs="Times New Roman"/>
        </w:rPr>
        <w:t xml:space="preserve">at </w:t>
      </w:r>
      <w:r w:rsidRPr="00600DF7">
        <w:rPr>
          <w:rFonts w:ascii="Times New Roman" w:hAnsi="Times New Roman" w:cs="Times New Roman"/>
        </w:rPr>
        <w:t xml:space="preserve">239. </w:t>
      </w:r>
    </w:p>
  </w:footnote>
  <w:footnote w:id="32">
    <w:p w14:paraId="02C768D0" w14:textId="71015785" w:rsidR="00355720" w:rsidRPr="00600DF7" w:rsidRDefault="00F24AD0"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008E7F02" w:rsidRPr="00600DF7">
        <w:rPr>
          <w:rFonts w:ascii="Times New Roman" w:hAnsi="Times New Roman" w:cs="Times New Roman"/>
          <w:i/>
          <w:iCs/>
        </w:rPr>
        <w:t>Immunities</w:t>
      </w:r>
      <w:r w:rsidR="008E7F02" w:rsidRPr="00600DF7">
        <w:rPr>
          <w:rFonts w:ascii="Times New Roman" w:hAnsi="Times New Roman" w:cs="Times New Roman"/>
        </w:rPr>
        <w:t xml:space="preserve">, </w:t>
      </w:r>
      <w:r w:rsidR="008E7F02" w:rsidRPr="00600DF7">
        <w:rPr>
          <w:rFonts w:ascii="Times New Roman" w:hAnsi="Times New Roman" w:cs="Times New Roman"/>
          <w:i/>
          <w:iCs/>
        </w:rPr>
        <w:t>supra</w:t>
      </w:r>
      <w:r w:rsidR="008E7F02" w:rsidRPr="00600DF7">
        <w:rPr>
          <w:rFonts w:ascii="Times New Roman" w:hAnsi="Times New Roman" w:cs="Times New Roman"/>
        </w:rPr>
        <w:t xml:space="preserve"> note 7, </w:t>
      </w:r>
      <w:r w:rsidR="00D73DB1">
        <w:rPr>
          <w:rFonts w:ascii="Times New Roman" w:hAnsi="Times New Roman" w:cs="Times New Roman"/>
        </w:rPr>
        <w:t xml:space="preserve">at </w:t>
      </w:r>
      <w:r w:rsidR="008E7F02" w:rsidRPr="00600DF7">
        <w:rPr>
          <w:rFonts w:ascii="Times New Roman" w:hAnsi="Times New Roman" w:cs="Times New Roman"/>
        </w:rPr>
        <w:t>para</w:t>
      </w:r>
      <w:r w:rsidR="00D73DB1">
        <w:rPr>
          <w:rFonts w:ascii="Times New Roman" w:hAnsi="Times New Roman" w:cs="Times New Roman"/>
        </w:rPr>
        <w:t>.</w:t>
      </w:r>
      <w:r w:rsidR="008E7F02" w:rsidRPr="00600DF7">
        <w:rPr>
          <w:rFonts w:ascii="Times New Roman" w:hAnsi="Times New Roman" w:cs="Times New Roman"/>
        </w:rPr>
        <w:t xml:space="preserve"> 61</w:t>
      </w:r>
      <w:r w:rsidR="00893B6B" w:rsidRPr="00600DF7">
        <w:rPr>
          <w:rFonts w:ascii="Times New Roman" w:hAnsi="Times New Roman" w:cs="Times New Roman"/>
        </w:rPr>
        <w:t>.</w:t>
      </w:r>
    </w:p>
  </w:footnote>
  <w:footnote w:id="33">
    <w:p w14:paraId="4598FCC1" w14:textId="4F85689C" w:rsidR="00772FC2" w:rsidRPr="00600DF7" w:rsidRDefault="00772FC2"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Arrest Warrant of 1 April 2000 (Democratic Republic of the Congo v Belgium)</w:t>
      </w:r>
      <w:r w:rsidRPr="00600DF7">
        <w:rPr>
          <w:rFonts w:ascii="Times New Roman" w:hAnsi="Times New Roman" w:cs="Times New Roman"/>
        </w:rPr>
        <w:t xml:space="preserve">, Merits, 14 February 2002, ICJ Reports (2002) 3, </w:t>
      </w:r>
      <w:r w:rsidR="00D73DB1">
        <w:rPr>
          <w:rFonts w:ascii="Times New Roman" w:hAnsi="Times New Roman" w:cs="Times New Roman"/>
        </w:rPr>
        <w:t xml:space="preserve">at </w:t>
      </w:r>
      <w:r w:rsidRPr="00600DF7">
        <w:rPr>
          <w:rFonts w:ascii="Times New Roman" w:hAnsi="Times New Roman" w:cs="Times New Roman"/>
        </w:rPr>
        <w:t>paras. 49, 56.</w:t>
      </w:r>
    </w:p>
  </w:footnote>
  <w:footnote w:id="34">
    <w:p w14:paraId="1D8D1EDF" w14:textId="7874C53F"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See the criticism of Judge Van den </w:t>
      </w:r>
      <w:proofErr w:type="spellStart"/>
      <w:r w:rsidRPr="00600DF7">
        <w:rPr>
          <w:rFonts w:ascii="Times New Roman" w:hAnsi="Times New Roman" w:cs="Times New Roman"/>
        </w:rPr>
        <w:t>Wyngaert</w:t>
      </w:r>
      <w:proofErr w:type="spellEnd"/>
      <w:r w:rsidRPr="00600DF7">
        <w:rPr>
          <w:rFonts w:ascii="Times New Roman" w:hAnsi="Times New Roman" w:cs="Times New Roman"/>
        </w:rPr>
        <w:t xml:space="preserve">, </w:t>
      </w:r>
      <w:r w:rsidR="00F24AD0" w:rsidRPr="00600DF7">
        <w:rPr>
          <w:rFonts w:ascii="Times New Roman" w:hAnsi="Times New Roman" w:cs="Times New Roman"/>
          <w:i/>
          <w:iCs/>
        </w:rPr>
        <w:t>ibid.</w:t>
      </w:r>
      <w:r w:rsidRPr="00600DF7">
        <w:rPr>
          <w:rFonts w:ascii="Times New Roman" w:hAnsi="Times New Roman" w:cs="Times New Roman"/>
        </w:rPr>
        <w:t xml:space="preserve">, Dissenting Opinion of Judge Van den </w:t>
      </w:r>
      <w:proofErr w:type="spellStart"/>
      <w:r w:rsidRPr="00600DF7">
        <w:rPr>
          <w:rFonts w:ascii="Times New Roman" w:hAnsi="Times New Roman" w:cs="Times New Roman"/>
        </w:rPr>
        <w:t>Wyngaert</w:t>
      </w:r>
      <w:proofErr w:type="spellEnd"/>
      <w:r w:rsidRPr="00600DF7">
        <w:rPr>
          <w:rFonts w:ascii="Times New Roman" w:hAnsi="Times New Roman" w:cs="Times New Roman"/>
        </w:rPr>
        <w:t xml:space="preserve">, </w:t>
      </w:r>
      <w:r w:rsidR="00D73DB1">
        <w:rPr>
          <w:rFonts w:ascii="Times New Roman" w:hAnsi="Times New Roman" w:cs="Times New Roman"/>
        </w:rPr>
        <w:t xml:space="preserve">at </w:t>
      </w:r>
      <w:r w:rsidRPr="00600DF7">
        <w:rPr>
          <w:rFonts w:ascii="Times New Roman" w:hAnsi="Times New Roman" w:cs="Times New Roman"/>
        </w:rPr>
        <w:t>paras</w:t>
      </w:r>
      <w:r w:rsidR="00D73DB1">
        <w:rPr>
          <w:rFonts w:ascii="Times New Roman" w:hAnsi="Times New Roman" w:cs="Times New Roman"/>
        </w:rPr>
        <w:t>.</w:t>
      </w:r>
      <w:r w:rsidRPr="00600DF7">
        <w:rPr>
          <w:rFonts w:ascii="Times New Roman" w:hAnsi="Times New Roman" w:cs="Times New Roman"/>
        </w:rPr>
        <w:t xml:space="preserve"> 11-23. Cf. Alvarez-</w:t>
      </w:r>
      <w:proofErr w:type="spellStart"/>
      <w:r w:rsidRPr="00600DF7">
        <w:rPr>
          <w:rFonts w:ascii="Times New Roman" w:hAnsi="Times New Roman" w:cs="Times New Roman"/>
        </w:rPr>
        <w:t>Jímenez</w:t>
      </w:r>
      <w:proofErr w:type="spellEnd"/>
      <w:r w:rsidRPr="00600DF7">
        <w:rPr>
          <w:rFonts w:ascii="Times New Roman" w:hAnsi="Times New Roman" w:cs="Times New Roman"/>
        </w:rPr>
        <w:t>,</w:t>
      </w:r>
      <w:r w:rsidRPr="00600DF7">
        <w:rPr>
          <w:rFonts w:ascii="Times New Roman" w:hAnsi="Times New Roman" w:cs="Times New Roman"/>
          <w:i/>
          <w:iCs/>
        </w:rPr>
        <w:t xml:space="preserve"> supra</w:t>
      </w:r>
      <w:r w:rsidRPr="00600DF7">
        <w:rPr>
          <w:rFonts w:ascii="Times New Roman" w:hAnsi="Times New Roman" w:cs="Times New Roman"/>
        </w:rPr>
        <w:t xml:space="preserve"> note </w:t>
      </w:r>
      <w:r w:rsidR="0034508D" w:rsidRPr="00600DF7">
        <w:rPr>
          <w:rFonts w:ascii="Times New Roman" w:hAnsi="Times New Roman" w:cs="Times New Roman"/>
        </w:rPr>
        <w:t>11</w:t>
      </w:r>
      <w:r w:rsidRPr="00600DF7">
        <w:rPr>
          <w:rFonts w:ascii="Times New Roman" w:hAnsi="Times New Roman" w:cs="Times New Roman"/>
        </w:rPr>
        <w:t xml:space="preserve">, </w:t>
      </w:r>
      <w:r w:rsidR="00D73DB1">
        <w:rPr>
          <w:rFonts w:ascii="Times New Roman" w:hAnsi="Times New Roman" w:cs="Times New Roman"/>
        </w:rPr>
        <w:t xml:space="preserve">at </w:t>
      </w:r>
      <w:r w:rsidRPr="00600DF7">
        <w:rPr>
          <w:rFonts w:ascii="Times New Roman" w:hAnsi="Times New Roman" w:cs="Times New Roman"/>
        </w:rPr>
        <w:t xml:space="preserve">694. </w:t>
      </w:r>
    </w:p>
  </w:footnote>
  <w:footnote w:id="35">
    <w:p w14:paraId="49E61113" w14:textId="13DD498C" w:rsidR="00F100EB" w:rsidRPr="00C81A70" w:rsidRDefault="00F100EB" w:rsidP="00600DF7">
      <w:pPr>
        <w:pStyle w:val="FootnoteText"/>
        <w:jc w:val="both"/>
        <w:rPr>
          <w:rFonts w:ascii="Times New Roman" w:hAnsi="Times New Roman" w:cs="Times New Roman"/>
          <w:lang w:val="fr-FR"/>
        </w:rPr>
      </w:pPr>
      <w:r w:rsidRPr="00600DF7">
        <w:rPr>
          <w:rStyle w:val="FootnoteReference"/>
          <w:rFonts w:ascii="Times New Roman" w:hAnsi="Times New Roman" w:cs="Times New Roman"/>
        </w:rPr>
        <w:footnoteRef/>
      </w:r>
      <w:r w:rsidRPr="00C81A70">
        <w:rPr>
          <w:rFonts w:ascii="Times New Roman" w:hAnsi="Times New Roman" w:cs="Times New Roman"/>
          <w:lang w:val="fr-FR"/>
        </w:rPr>
        <w:t xml:space="preserve"> </w:t>
      </w:r>
      <w:proofErr w:type="spellStart"/>
      <w:r w:rsidRPr="00C81A70">
        <w:rPr>
          <w:rFonts w:ascii="Times New Roman" w:hAnsi="Times New Roman" w:cs="Times New Roman"/>
          <w:lang w:val="fr-FR"/>
        </w:rPr>
        <w:t>Akehurst</w:t>
      </w:r>
      <w:proofErr w:type="spellEnd"/>
      <w:r w:rsidRPr="00C81A70">
        <w:rPr>
          <w:rFonts w:ascii="Times New Roman" w:hAnsi="Times New Roman" w:cs="Times New Roman"/>
          <w:lang w:val="fr-FR"/>
        </w:rPr>
        <w:t xml:space="preserve">, </w:t>
      </w:r>
      <w:r w:rsidRPr="00C81A70">
        <w:rPr>
          <w:rFonts w:ascii="Times New Roman" w:hAnsi="Times New Roman" w:cs="Times New Roman"/>
          <w:i/>
          <w:iCs/>
          <w:lang w:val="fr-FR"/>
        </w:rPr>
        <w:t>supra</w:t>
      </w:r>
      <w:r w:rsidRPr="00C81A70">
        <w:rPr>
          <w:rFonts w:ascii="Times New Roman" w:hAnsi="Times New Roman" w:cs="Times New Roman"/>
          <w:lang w:val="fr-FR"/>
        </w:rPr>
        <w:t xml:space="preserve"> note </w:t>
      </w:r>
      <w:r w:rsidR="0034508D" w:rsidRPr="00C81A70">
        <w:rPr>
          <w:rFonts w:ascii="Times New Roman" w:hAnsi="Times New Roman" w:cs="Times New Roman"/>
          <w:lang w:val="fr-FR"/>
        </w:rPr>
        <w:t>9</w:t>
      </w:r>
      <w:r w:rsidRPr="00C81A70">
        <w:rPr>
          <w:rFonts w:ascii="Times New Roman" w:hAnsi="Times New Roman" w:cs="Times New Roman"/>
          <w:lang w:val="fr-FR"/>
        </w:rPr>
        <w:t xml:space="preserve">, </w:t>
      </w:r>
      <w:r w:rsidR="00AB74B0" w:rsidRPr="00C81A70">
        <w:rPr>
          <w:rFonts w:ascii="Times New Roman" w:hAnsi="Times New Roman" w:cs="Times New Roman"/>
          <w:lang w:val="fr-FR"/>
        </w:rPr>
        <w:t xml:space="preserve">at </w:t>
      </w:r>
      <w:proofErr w:type="gramStart"/>
      <w:r w:rsidRPr="00C81A70">
        <w:rPr>
          <w:rFonts w:ascii="Times New Roman" w:hAnsi="Times New Roman" w:cs="Times New Roman"/>
          <w:lang w:val="fr-FR"/>
        </w:rPr>
        <w:t>13;</w:t>
      </w:r>
      <w:proofErr w:type="gramEnd"/>
      <w:r w:rsidRPr="00C81A70">
        <w:rPr>
          <w:rFonts w:ascii="Times New Roman" w:hAnsi="Times New Roman" w:cs="Times New Roman"/>
          <w:lang w:val="fr-FR"/>
        </w:rPr>
        <w:t xml:space="preserve"> </w:t>
      </w:r>
      <w:proofErr w:type="spellStart"/>
      <w:r w:rsidRPr="00C81A70">
        <w:rPr>
          <w:rFonts w:ascii="Times New Roman" w:hAnsi="Times New Roman" w:cs="Times New Roman"/>
          <w:lang w:val="fr-FR"/>
        </w:rPr>
        <w:t>Kolb</w:t>
      </w:r>
      <w:proofErr w:type="spellEnd"/>
      <w:r w:rsidRPr="00C81A70">
        <w:rPr>
          <w:rFonts w:ascii="Times New Roman" w:hAnsi="Times New Roman" w:cs="Times New Roman"/>
          <w:lang w:val="fr-FR"/>
        </w:rPr>
        <w:t xml:space="preserve">, </w:t>
      </w:r>
      <w:r w:rsidRPr="00C81A70">
        <w:rPr>
          <w:rFonts w:ascii="Times New Roman" w:hAnsi="Times New Roman" w:cs="Times New Roman"/>
          <w:i/>
          <w:iCs/>
          <w:lang w:val="fr-FR"/>
        </w:rPr>
        <w:t>supra</w:t>
      </w:r>
      <w:r w:rsidRPr="00C81A70">
        <w:rPr>
          <w:rFonts w:ascii="Times New Roman" w:hAnsi="Times New Roman" w:cs="Times New Roman"/>
          <w:lang w:val="fr-FR"/>
        </w:rPr>
        <w:t xml:space="preserve"> note </w:t>
      </w:r>
      <w:r w:rsidR="0034508D" w:rsidRPr="00C81A70">
        <w:rPr>
          <w:rFonts w:ascii="Times New Roman" w:hAnsi="Times New Roman" w:cs="Times New Roman"/>
          <w:lang w:val="fr-FR"/>
        </w:rPr>
        <w:t>20</w:t>
      </w:r>
      <w:r w:rsidRPr="00C81A70">
        <w:rPr>
          <w:rFonts w:ascii="Times New Roman" w:hAnsi="Times New Roman" w:cs="Times New Roman"/>
          <w:lang w:val="fr-FR"/>
        </w:rPr>
        <w:t xml:space="preserve">, </w:t>
      </w:r>
      <w:r w:rsidR="00AB74B0" w:rsidRPr="00C81A70">
        <w:rPr>
          <w:rFonts w:ascii="Times New Roman" w:hAnsi="Times New Roman" w:cs="Times New Roman"/>
          <w:lang w:val="fr-FR"/>
        </w:rPr>
        <w:t xml:space="preserve">at </w:t>
      </w:r>
      <w:r w:rsidRPr="00C81A70">
        <w:rPr>
          <w:rFonts w:ascii="Times New Roman" w:hAnsi="Times New Roman" w:cs="Times New Roman"/>
          <w:lang w:val="fr-FR"/>
        </w:rPr>
        <w:t>133</w:t>
      </w:r>
      <w:r w:rsidR="00EC3EF9" w:rsidRPr="00C81A70">
        <w:rPr>
          <w:rFonts w:ascii="Times New Roman" w:hAnsi="Times New Roman" w:cs="Times New Roman"/>
          <w:lang w:val="fr-FR"/>
        </w:rPr>
        <w:t xml:space="preserve">; </w:t>
      </w:r>
      <w:r w:rsidR="00EC3EF9" w:rsidRPr="003044B3">
        <w:rPr>
          <w:rFonts w:ascii="Times New Roman" w:hAnsi="Times New Roman" w:cs="Times New Roman"/>
          <w:lang w:val="fr-FR"/>
        </w:rPr>
        <w:t xml:space="preserve">Pellet, ‘Le droit international à la lumière de la pratique: l’introuvable théorie de la réalité’, 414 </w:t>
      </w:r>
      <w:r w:rsidR="00EC3EF9" w:rsidRPr="00C81A70">
        <w:rPr>
          <w:rFonts w:ascii="Times New Roman" w:hAnsi="Times New Roman" w:cs="Times New Roman"/>
          <w:i/>
          <w:iCs/>
          <w:lang w:val="fr-FR"/>
        </w:rPr>
        <w:t>Recueil des cours</w:t>
      </w:r>
      <w:r w:rsidR="00EC3EF9">
        <w:rPr>
          <w:rFonts w:ascii="Times New Roman" w:hAnsi="Times New Roman" w:cs="Times New Roman"/>
          <w:lang w:val="fr-FR"/>
        </w:rPr>
        <w:t xml:space="preserve"> </w:t>
      </w:r>
      <w:r w:rsidR="00EC3EF9" w:rsidRPr="003044B3">
        <w:rPr>
          <w:rFonts w:ascii="Times New Roman" w:hAnsi="Times New Roman" w:cs="Times New Roman"/>
          <w:lang w:val="fr-FR"/>
        </w:rPr>
        <w:t xml:space="preserve">(2021) </w:t>
      </w:r>
      <w:r w:rsidR="00EC3EF9">
        <w:rPr>
          <w:rFonts w:ascii="Times New Roman" w:hAnsi="Times New Roman" w:cs="Times New Roman"/>
          <w:lang w:val="fr-FR"/>
        </w:rPr>
        <w:t xml:space="preserve">9, </w:t>
      </w:r>
      <w:r w:rsidR="00EC3EF9">
        <w:rPr>
          <w:rFonts w:ascii="Times New Roman" w:hAnsi="Times New Roman" w:cs="Times New Roman"/>
          <w:lang w:val="fr-FR"/>
        </w:rPr>
        <w:t xml:space="preserve">at </w:t>
      </w:r>
      <w:r w:rsidR="00EC3EF9">
        <w:rPr>
          <w:rFonts w:ascii="Times New Roman" w:hAnsi="Times New Roman" w:cs="Times New Roman"/>
          <w:lang w:val="fr-FR"/>
        </w:rPr>
        <w:t>349</w:t>
      </w:r>
      <w:r w:rsidRPr="00C81A70">
        <w:rPr>
          <w:rFonts w:ascii="Times New Roman" w:hAnsi="Times New Roman" w:cs="Times New Roman"/>
          <w:lang w:val="fr-FR"/>
        </w:rPr>
        <w:t>.</w:t>
      </w:r>
    </w:p>
  </w:footnote>
  <w:footnote w:id="36">
    <w:p w14:paraId="1A29EB5C" w14:textId="458CA56E"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See, </w:t>
      </w:r>
      <w:proofErr w:type="gramStart"/>
      <w:r w:rsidRPr="00600DF7">
        <w:rPr>
          <w:rFonts w:ascii="Times New Roman" w:hAnsi="Times New Roman" w:cs="Times New Roman"/>
        </w:rPr>
        <w:t>e.g.</w:t>
      </w:r>
      <w:proofErr w:type="gramEnd"/>
      <w:r w:rsidRPr="00600DF7">
        <w:rPr>
          <w:rFonts w:ascii="Times New Roman" w:hAnsi="Times New Roman" w:cs="Times New Roman"/>
        </w:rPr>
        <w:t xml:space="preserve"> </w:t>
      </w:r>
      <w:proofErr w:type="spellStart"/>
      <w:r w:rsidRPr="00600DF7">
        <w:rPr>
          <w:rFonts w:ascii="Times New Roman" w:hAnsi="Times New Roman" w:cs="Times New Roman"/>
          <w:i/>
          <w:iCs/>
        </w:rPr>
        <w:t>Ahmadou</w:t>
      </w:r>
      <w:proofErr w:type="spellEnd"/>
      <w:r w:rsidRPr="00600DF7">
        <w:rPr>
          <w:rFonts w:ascii="Times New Roman" w:hAnsi="Times New Roman" w:cs="Times New Roman"/>
          <w:i/>
          <w:iCs/>
        </w:rPr>
        <w:t xml:space="preserve"> </w:t>
      </w:r>
      <w:proofErr w:type="spellStart"/>
      <w:r w:rsidRPr="00600DF7">
        <w:rPr>
          <w:rFonts w:ascii="Times New Roman" w:hAnsi="Times New Roman" w:cs="Times New Roman"/>
          <w:i/>
          <w:iCs/>
        </w:rPr>
        <w:t>Sadio</w:t>
      </w:r>
      <w:proofErr w:type="spellEnd"/>
      <w:r w:rsidRPr="00600DF7">
        <w:rPr>
          <w:rFonts w:ascii="Times New Roman" w:hAnsi="Times New Roman" w:cs="Times New Roman"/>
          <w:i/>
          <w:iCs/>
        </w:rPr>
        <w:t xml:space="preserve"> Diallo</w:t>
      </w:r>
      <w:r w:rsidRPr="00600DF7">
        <w:rPr>
          <w:rFonts w:ascii="Times New Roman" w:hAnsi="Times New Roman" w:cs="Times New Roman"/>
        </w:rPr>
        <w:t xml:space="preserve"> </w:t>
      </w:r>
      <w:r w:rsidRPr="00600DF7">
        <w:rPr>
          <w:rFonts w:ascii="Times New Roman" w:hAnsi="Times New Roman" w:cs="Times New Roman"/>
          <w:i/>
          <w:iCs/>
        </w:rPr>
        <w:t>(Republic of Guinea v Democratic Republic of the Congo)</w:t>
      </w:r>
      <w:r w:rsidRPr="00600DF7">
        <w:rPr>
          <w:rFonts w:ascii="Times New Roman" w:hAnsi="Times New Roman" w:cs="Times New Roman"/>
        </w:rPr>
        <w:t xml:space="preserve">, Preliminary Objections, 24 May 2007, ICJ Reports (2007) 582, </w:t>
      </w:r>
      <w:r w:rsidR="00AB74B0">
        <w:rPr>
          <w:rFonts w:ascii="Times New Roman" w:hAnsi="Times New Roman" w:cs="Times New Roman"/>
        </w:rPr>
        <w:t xml:space="preserve">at </w:t>
      </w:r>
      <w:r w:rsidRPr="00600DF7">
        <w:rPr>
          <w:rFonts w:ascii="Times New Roman" w:hAnsi="Times New Roman" w:cs="Times New Roman"/>
        </w:rPr>
        <w:t>paras. 87-</w:t>
      </w:r>
      <w:r w:rsidR="00E62878">
        <w:rPr>
          <w:rFonts w:ascii="Times New Roman" w:hAnsi="Times New Roman" w:cs="Times New Roman"/>
        </w:rPr>
        <w:t>8</w:t>
      </w:r>
      <w:r w:rsidRPr="00600DF7">
        <w:rPr>
          <w:rFonts w:ascii="Times New Roman" w:hAnsi="Times New Roman" w:cs="Times New Roman"/>
        </w:rPr>
        <w:t>9.</w:t>
      </w:r>
    </w:p>
  </w:footnote>
  <w:footnote w:id="37">
    <w:p w14:paraId="77FE68B3" w14:textId="70392C92" w:rsidR="00217468" w:rsidRPr="00600DF7" w:rsidRDefault="00217468"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14404E">
        <w:rPr>
          <w:rFonts w:ascii="Times New Roman" w:hAnsi="Times New Roman" w:cs="Times New Roman"/>
        </w:rPr>
        <w:t xml:space="preserve"> </w:t>
      </w:r>
      <w:r w:rsidR="00600DF7" w:rsidRPr="0014404E">
        <w:rPr>
          <w:rFonts w:ascii="Times New Roman" w:hAnsi="Times New Roman" w:cs="Times New Roman"/>
        </w:rPr>
        <w:t xml:space="preserve">ILC Conclusions, </w:t>
      </w:r>
      <w:r w:rsidR="00600DF7" w:rsidRPr="0014404E">
        <w:rPr>
          <w:rFonts w:ascii="Times New Roman" w:hAnsi="Times New Roman" w:cs="Times New Roman"/>
          <w:i/>
          <w:iCs/>
        </w:rPr>
        <w:t>supra</w:t>
      </w:r>
      <w:r w:rsidR="00600DF7" w:rsidRPr="0014404E">
        <w:rPr>
          <w:rFonts w:ascii="Times New Roman" w:hAnsi="Times New Roman" w:cs="Times New Roman"/>
        </w:rPr>
        <w:t xml:space="preserve"> note 25</w:t>
      </w:r>
      <w:r w:rsidRPr="0014404E">
        <w:rPr>
          <w:rFonts w:ascii="Times New Roman" w:hAnsi="Times New Roman" w:cs="Times New Roman"/>
        </w:rPr>
        <w:t xml:space="preserve">, Conclusion 3. </w:t>
      </w:r>
      <w:r w:rsidRPr="00600DF7">
        <w:rPr>
          <w:rFonts w:ascii="Times New Roman" w:hAnsi="Times New Roman" w:cs="Times New Roman"/>
        </w:rPr>
        <w:t>From paragraph 5 of the commentary to that conclusion it seems that ‘particular circumstances’ is intended to refer to the factual circumstances in which the practice occurred, for example: ‘Statements made casually, or in the heat of the moment, will usually carry less weight than those that are carefully considered; those</w:t>
      </w:r>
      <w:r w:rsidR="00107CC0" w:rsidRPr="00600DF7">
        <w:rPr>
          <w:rFonts w:ascii="Times New Roman" w:hAnsi="Times New Roman" w:cs="Times New Roman"/>
        </w:rPr>
        <w:t xml:space="preserve"> </w:t>
      </w:r>
      <w:r w:rsidRPr="00600DF7">
        <w:rPr>
          <w:rFonts w:ascii="Times New Roman" w:hAnsi="Times New Roman" w:cs="Times New Roman"/>
        </w:rPr>
        <w:t>made by junior officials may carry less weight than those voiced by senior members of the Government.’</w:t>
      </w:r>
    </w:p>
  </w:footnote>
  <w:footnote w:id="38">
    <w:p w14:paraId="76039741" w14:textId="23877E2D" w:rsidR="00217468" w:rsidRPr="00600DF7" w:rsidRDefault="00217468"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Ibid</w:t>
      </w:r>
      <w:r w:rsidRPr="00600DF7">
        <w:rPr>
          <w:rFonts w:ascii="Times New Roman" w:hAnsi="Times New Roman" w:cs="Times New Roman"/>
        </w:rPr>
        <w:t xml:space="preserve">., Conclusion 3, commentary para. 4; </w:t>
      </w:r>
      <w:proofErr w:type="gramStart"/>
      <w:r w:rsidRPr="00600DF7">
        <w:rPr>
          <w:rFonts w:ascii="Times New Roman" w:hAnsi="Times New Roman" w:cs="Times New Roman"/>
        </w:rPr>
        <w:t>also</w:t>
      </w:r>
      <w:proofErr w:type="gramEnd"/>
      <w:r w:rsidRPr="00600DF7">
        <w:rPr>
          <w:rFonts w:ascii="Times New Roman" w:hAnsi="Times New Roman" w:cs="Times New Roman"/>
        </w:rPr>
        <w:t xml:space="preserve"> </w:t>
      </w:r>
      <w:proofErr w:type="spellStart"/>
      <w:r w:rsidRPr="00600DF7">
        <w:rPr>
          <w:rFonts w:ascii="Times New Roman" w:hAnsi="Times New Roman" w:cs="Times New Roman"/>
        </w:rPr>
        <w:t>Talmon</w:t>
      </w:r>
      <w:proofErr w:type="spellEnd"/>
      <w:r w:rsidRPr="00600DF7">
        <w:rPr>
          <w:rFonts w:ascii="Times New Roman" w:hAnsi="Times New Roman" w:cs="Times New Roman"/>
        </w:rPr>
        <w:t xml:space="preserve">, </w:t>
      </w:r>
      <w:r w:rsidRPr="00600DF7">
        <w:rPr>
          <w:rFonts w:ascii="Times New Roman" w:hAnsi="Times New Roman" w:cs="Times New Roman"/>
          <w:i/>
          <w:iCs/>
        </w:rPr>
        <w:t>supra</w:t>
      </w:r>
      <w:r w:rsidRPr="00600DF7">
        <w:rPr>
          <w:rFonts w:ascii="Times New Roman" w:hAnsi="Times New Roman" w:cs="Times New Roman"/>
        </w:rPr>
        <w:t xml:space="preserve"> note 8, </w:t>
      </w:r>
      <w:r w:rsidR="00E62878">
        <w:rPr>
          <w:rFonts w:ascii="Times New Roman" w:hAnsi="Times New Roman" w:cs="Times New Roman"/>
        </w:rPr>
        <w:t xml:space="preserve">at </w:t>
      </w:r>
      <w:r w:rsidRPr="00600DF7">
        <w:rPr>
          <w:rFonts w:ascii="Times New Roman" w:hAnsi="Times New Roman" w:cs="Times New Roman"/>
        </w:rPr>
        <w:t xml:space="preserve">422; </w:t>
      </w:r>
      <w:proofErr w:type="spellStart"/>
      <w:r w:rsidRPr="00600DF7">
        <w:rPr>
          <w:rFonts w:ascii="Times New Roman" w:hAnsi="Times New Roman" w:cs="Times New Roman"/>
        </w:rPr>
        <w:t>Meron</w:t>
      </w:r>
      <w:proofErr w:type="spellEnd"/>
      <w:r w:rsidRPr="00600DF7">
        <w:rPr>
          <w:rFonts w:ascii="Times New Roman" w:hAnsi="Times New Roman" w:cs="Times New Roman"/>
        </w:rPr>
        <w:t xml:space="preserve">, </w:t>
      </w:r>
      <w:r w:rsidRPr="00600DF7">
        <w:rPr>
          <w:rFonts w:ascii="Times New Roman" w:hAnsi="Times New Roman" w:cs="Times New Roman"/>
          <w:i/>
          <w:iCs/>
        </w:rPr>
        <w:t>supra</w:t>
      </w:r>
      <w:r w:rsidRPr="00600DF7">
        <w:rPr>
          <w:rFonts w:ascii="Times New Roman" w:hAnsi="Times New Roman" w:cs="Times New Roman"/>
        </w:rPr>
        <w:t xml:space="preserve"> note 8, </w:t>
      </w:r>
      <w:r w:rsidR="00E62878">
        <w:rPr>
          <w:rFonts w:ascii="Times New Roman" w:hAnsi="Times New Roman" w:cs="Times New Roman"/>
        </w:rPr>
        <w:t xml:space="preserve">at </w:t>
      </w:r>
      <w:r w:rsidRPr="00600DF7">
        <w:rPr>
          <w:rFonts w:ascii="Times New Roman" w:hAnsi="Times New Roman" w:cs="Times New Roman"/>
        </w:rPr>
        <w:t xml:space="preserve">32. Supportive practice of omissions should be distinguished from silent acquiescence of states in the conduct of others, which is relevant rather to the </w:t>
      </w:r>
      <w:r w:rsidRPr="00600DF7">
        <w:rPr>
          <w:rFonts w:ascii="Times New Roman" w:hAnsi="Times New Roman" w:cs="Times New Roman"/>
          <w:i/>
          <w:iCs/>
        </w:rPr>
        <w:t>opinio juris</w:t>
      </w:r>
      <w:r w:rsidRPr="00600DF7">
        <w:rPr>
          <w:rFonts w:ascii="Times New Roman" w:hAnsi="Times New Roman" w:cs="Times New Roman"/>
        </w:rPr>
        <w:t xml:space="preserve"> element, see section 4 below; cf. Wood’s Second Report, </w:t>
      </w:r>
      <w:r w:rsidRPr="00600DF7">
        <w:rPr>
          <w:rFonts w:ascii="Times New Roman" w:hAnsi="Times New Roman" w:cs="Times New Roman"/>
          <w:i/>
          <w:iCs/>
        </w:rPr>
        <w:t>supra</w:t>
      </w:r>
      <w:r w:rsidRPr="00600DF7">
        <w:rPr>
          <w:rFonts w:ascii="Times New Roman" w:hAnsi="Times New Roman" w:cs="Times New Roman"/>
        </w:rPr>
        <w:t xml:space="preserve"> note 20, </w:t>
      </w:r>
      <w:r w:rsidR="00E62878">
        <w:rPr>
          <w:rFonts w:ascii="Times New Roman" w:hAnsi="Times New Roman" w:cs="Times New Roman"/>
        </w:rPr>
        <w:t xml:space="preserve">at </w:t>
      </w:r>
      <w:r w:rsidRPr="00600DF7">
        <w:rPr>
          <w:rFonts w:ascii="Times New Roman" w:hAnsi="Times New Roman" w:cs="Times New Roman"/>
        </w:rPr>
        <w:t>para. 42.</w:t>
      </w:r>
    </w:p>
  </w:footnote>
  <w:footnote w:id="39">
    <w:p w14:paraId="08AE938C" w14:textId="1F3750CD" w:rsidR="00496678" w:rsidRPr="00600DF7" w:rsidRDefault="00496678"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ILC Conclusions, </w:t>
      </w:r>
      <w:r w:rsidRPr="00600DF7">
        <w:rPr>
          <w:rFonts w:ascii="Times New Roman" w:hAnsi="Times New Roman" w:cs="Times New Roman"/>
          <w:i/>
          <w:iCs/>
        </w:rPr>
        <w:t>supra</w:t>
      </w:r>
      <w:r w:rsidRPr="00600DF7">
        <w:rPr>
          <w:rFonts w:ascii="Times New Roman" w:hAnsi="Times New Roman" w:cs="Times New Roman"/>
        </w:rPr>
        <w:t xml:space="preserve"> note </w:t>
      </w:r>
      <w:r w:rsidR="0034508D" w:rsidRPr="00600DF7">
        <w:rPr>
          <w:rFonts w:ascii="Times New Roman" w:hAnsi="Times New Roman" w:cs="Times New Roman"/>
        </w:rPr>
        <w:t>2</w:t>
      </w:r>
      <w:r w:rsidR="00600DF7">
        <w:rPr>
          <w:rFonts w:ascii="Times New Roman" w:hAnsi="Times New Roman" w:cs="Times New Roman"/>
        </w:rPr>
        <w:t>5</w:t>
      </w:r>
      <w:r w:rsidRPr="00600DF7">
        <w:rPr>
          <w:rFonts w:ascii="Times New Roman" w:hAnsi="Times New Roman" w:cs="Times New Roman"/>
        </w:rPr>
        <w:t xml:space="preserve">, Conclusion 3(2), </w:t>
      </w:r>
      <w:r w:rsidR="00600DF7">
        <w:rPr>
          <w:rFonts w:ascii="Times New Roman" w:hAnsi="Times New Roman" w:cs="Times New Roman"/>
        </w:rPr>
        <w:t>c</w:t>
      </w:r>
      <w:r w:rsidRPr="00600DF7">
        <w:rPr>
          <w:rFonts w:ascii="Times New Roman" w:hAnsi="Times New Roman" w:cs="Times New Roman"/>
        </w:rPr>
        <w:t>ommentary para. 8.</w:t>
      </w:r>
    </w:p>
  </w:footnote>
  <w:footnote w:id="40">
    <w:p w14:paraId="59952CAC" w14:textId="10B12526" w:rsidR="001E05DA" w:rsidRPr="00C81A70" w:rsidRDefault="001E05DA" w:rsidP="00C81A70">
      <w:pPr>
        <w:pStyle w:val="FootnoteText"/>
        <w:jc w:val="both"/>
        <w:rPr>
          <w:rFonts w:ascii="Times New Roman" w:hAnsi="Times New Roman" w:cs="Times New Roman"/>
        </w:rPr>
      </w:pPr>
      <w:r w:rsidRPr="00C81A70">
        <w:rPr>
          <w:rStyle w:val="FootnoteReference"/>
          <w:rFonts w:ascii="Times New Roman" w:hAnsi="Times New Roman" w:cs="Times New Roman"/>
        </w:rPr>
        <w:footnoteRef/>
      </w:r>
      <w:r w:rsidRPr="00C81A70">
        <w:rPr>
          <w:rFonts w:ascii="Times New Roman" w:hAnsi="Times New Roman" w:cs="Times New Roman"/>
          <w:lang w:val="fr-FR"/>
        </w:rPr>
        <w:t xml:space="preserve"> </w:t>
      </w:r>
      <w:proofErr w:type="spellStart"/>
      <w:r w:rsidRPr="00C81A70">
        <w:rPr>
          <w:rFonts w:ascii="Times New Roman" w:hAnsi="Times New Roman" w:cs="Times New Roman"/>
          <w:lang w:val="fr-FR"/>
        </w:rPr>
        <w:t>See</w:t>
      </w:r>
      <w:proofErr w:type="spellEnd"/>
      <w:r w:rsidRPr="00C81A70">
        <w:rPr>
          <w:rFonts w:ascii="Times New Roman" w:hAnsi="Times New Roman" w:cs="Times New Roman"/>
          <w:lang w:val="fr-FR"/>
        </w:rPr>
        <w:t xml:space="preserve"> </w:t>
      </w:r>
      <w:proofErr w:type="spellStart"/>
      <w:r w:rsidRPr="00C81A70">
        <w:rPr>
          <w:rFonts w:ascii="Times New Roman" w:hAnsi="Times New Roman" w:cs="Times New Roman"/>
          <w:lang w:val="fr-FR"/>
        </w:rPr>
        <w:t>Buzzini</w:t>
      </w:r>
      <w:proofErr w:type="spellEnd"/>
      <w:r w:rsidRPr="00C81A70">
        <w:rPr>
          <w:rFonts w:ascii="Times New Roman" w:hAnsi="Times New Roman" w:cs="Times New Roman"/>
          <w:lang w:val="fr-FR"/>
        </w:rPr>
        <w:t xml:space="preserve">, ‘Les comportements passifs des états et leur incidence sur la réglementation de l’emploi de la force en droit international </w:t>
      </w:r>
      <w:proofErr w:type="spellStart"/>
      <w:r w:rsidRPr="00C81A70">
        <w:rPr>
          <w:rFonts w:ascii="Times New Roman" w:hAnsi="Times New Roman" w:cs="Times New Roman"/>
          <w:lang w:val="fr-FR"/>
        </w:rPr>
        <w:t>general</w:t>
      </w:r>
      <w:proofErr w:type="spellEnd"/>
      <w:r w:rsidRPr="00C81A70">
        <w:rPr>
          <w:rFonts w:ascii="Times New Roman" w:hAnsi="Times New Roman" w:cs="Times New Roman"/>
          <w:lang w:val="fr-FR"/>
        </w:rPr>
        <w:t>’ in E</w:t>
      </w:r>
      <w:r>
        <w:rPr>
          <w:rFonts w:ascii="Times New Roman" w:hAnsi="Times New Roman" w:cs="Times New Roman"/>
          <w:lang w:val="fr-FR"/>
        </w:rPr>
        <w:t>.</w:t>
      </w:r>
      <w:r w:rsidRPr="00C81A70">
        <w:rPr>
          <w:rFonts w:ascii="Times New Roman" w:hAnsi="Times New Roman" w:cs="Times New Roman"/>
          <w:lang w:val="fr-FR"/>
        </w:rPr>
        <w:t xml:space="preserve"> </w:t>
      </w:r>
      <w:proofErr w:type="spellStart"/>
      <w:r w:rsidRPr="00C81A70">
        <w:rPr>
          <w:rFonts w:ascii="Times New Roman" w:hAnsi="Times New Roman" w:cs="Times New Roman"/>
          <w:lang w:val="fr-FR"/>
        </w:rPr>
        <w:t>Cannizzarro</w:t>
      </w:r>
      <w:proofErr w:type="spellEnd"/>
      <w:r w:rsidRPr="00C81A70">
        <w:rPr>
          <w:rFonts w:ascii="Times New Roman" w:hAnsi="Times New Roman" w:cs="Times New Roman"/>
          <w:lang w:val="fr-FR"/>
        </w:rPr>
        <w:t xml:space="preserve"> and P</w:t>
      </w:r>
      <w:r>
        <w:rPr>
          <w:rFonts w:ascii="Times New Roman" w:hAnsi="Times New Roman" w:cs="Times New Roman"/>
          <w:lang w:val="fr-FR"/>
        </w:rPr>
        <w:t>.</w:t>
      </w:r>
      <w:r w:rsidRPr="00C81A70">
        <w:rPr>
          <w:rFonts w:ascii="Times New Roman" w:hAnsi="Times New Roman" w:cs="Times New Roman"/>
          <w:lang w:val="fr-FR"/>
        </w:rPr>
        <w:t xml:space="preserve"> </w:t>
      </w:r>
      <w:proofErr w:type="spellStart"/>
      <w:r w:rsidRPr="00C81A70">
        <w:rPr>
          <w:rFonts w:ascii="Times New Roman" w:hAnsi="Times New Roman" w:cs="Times New Roman"/>
          <w:lang w:val="fr-FR"/>
        </w:rPr>
        <w:t>Palchetti</w:t>
      </w:r>
      <w:proofErr w:type="spellEnd"/>
      <w:r w:rsidRPr="00C81A70">
        <w:rPr>
          <w:rFonts w:ascii="Times New Roman" w:hAnsi="Times New Roman" w:cs="Times New Roman"/>
          <w:lang w:val="fr-FR"/>
        </w:rPr>
        <w:t xml:space="preserve"> (</w:t>
      </w:r>
      <w:proofErr w:type="spellStart"/>
      <w:r w:rsidRPr="00C81A70">
        <w:rPr>
          <w:rFonts w:ascii="Times New Roman" w:hAnsi="Times New Roman" w:cs="Times New Roman"/>
          <w:lang w:val="fr-FR"/>
        </w:rPr>
        <w:t>eds</w:t>
      </w:r>
      <w:proofErr w:type="spellEnd"/>
      <w:r>
        <w:rPr>
          <w:rFonts w:ascii="Times New Roman" w:hAnsi="Times New Roman" w:cs="Times New Roman"/>
          <w:lang w:val="fr-FR"/>
        </w:rPr>
        <w:t>.</w:t>
      </w:r>
      <w:r w:rsidRPr="00C81A70">
        <w:rPr>
          <w:rFonts w:ascii="Times New Roman" w:hAnsi="Times New Roman" w:cs="Times New Roman"/>
          <w:lang w:val="fr-FR"/>
        </w:rPr>
        <w:t xml:space="preserve">) </w:t>
      </w:r>
      <w:r w:rsidRPr="00C81A70">
        <w:rPr>
          <w:rFonts w:ascii="Times New Roman" w:hAnsi="Times New Roman" w:cs="Times New Roman"/>
          <w:i/>
          <w:iCs/>
        </w:rPr>
        <w:t>Customary International Law on the Use of Force: a methodological approach</w:t>
      </w:r>
      <w:r w:rsidRPr="00C81A70">
        <w:rPr>
          <w:rFonts w:ascii="Times New Roman" w:hAnsi="Times New Roman" w:cs="Times New Roman"/>
        </w:rPr>
        <w:t xml:space="preserve"> (2005) 79, </w:t>
      </w:r>
      <w:r w:rsidR="005207E0" w:rsidRPr="00C81A70">
        <w:rPr>
          <w:rFonts w:ascii="Times New Roman" w:hAnsi="Times New Roman" w:cs="Times New Roman"/>
        </w:rPr>
        <w:t xml:space="preserve">at </w:t>
      </w:r>
      <w:r w:rsidRPr="00C81A70">
        <w:rPr>
          <w:rFonts w:ascii="Times New Roman" w:hAnsi="Times New Roman" w:cs="Times New Roman"/>
        </w:rPr>
        <w:t>82</w:t>
      </w:r>
      <w:r w:rsidRPr="00C81A70">
        <w:rPr>
          <w:rFonts w:ascii="Times New Roman" w:hAnsi="Times New Roman" w:cs="Times New Roman"/>
        </w:rPr>
        <w:t>.</w:t>
      </w:r>
    </w:p>
  </w:footnote>
  <w:footnote w:id="41">
    <w:p w14:paraId="77682A25" w14:textId="2C8797E6" w:rsidR="00217468" w:rsidRPr="00600DF7" w:rsidRDefault="00217468" w:rsidP="00563F6C">
      <w:pPr>
        <w:pStyle w:val="FootnoteText"/>
        <w:jc w:val="both"/>
        <w:rPr>
          <w:rFonts w:ascii="Times New Roman" w:hAnsi="Times New Roman" w:cs="Times New Roman"/>
        </w:rPr>
      </w:pPr>
      <w:r w:rsidRPr="00563F6C">
        <w:rPr>
          <w:rStyle w:val="FootnoteReference"/>
          <w:rFonts w:ascii="Times New Roman" w:hAnsi="Times New Roman" w:cs="Times New Roman"/>
        </w:rPr>
        <w:footnoteRef/>
      </w:r>
      <w:r w:rsidRPr="00563F6C">
        <w:rPr>
          <w:rFonts w:ascii="Times New Roman" w:hAnsi="Times New Roman" w:cs="Times New Roman"/>
        </w:rPr>
        <w:t xml:space="preserve"> Mendelson, ‘The formation of customary international law’ 272 </w:t>
      </w:r>
      <w:proofErr w:type="spellStart"/>
      <w:r w:rsidRPr="00563F6C">
        <w:rPr>
          <w:rFonts w:ascii="Times New Roman" w:hAnsi="Times New Roman" w:cs="Times New Roman"/>
          <w:i/>
          <w:iCs/>
        </w:rPr>
        <w:t>Receuil</w:t>
      </w:r>
      <w:proofErr w:type="spellEnd"/>
      <w:r w:rsidRPr="00563F6C">
        <w:rPr>
          <w:rFonts w:ascii="Times New Roman" w:hAnsi="Times New Roman" w:cs="Times New Roman"/>
          <w:i/>
          <w:iCs/>
        </w:rPr>
        <w:t xml:space="preserve"> des </w:t>
      </w:r>
      <w:proofErr w:type="spellStart"/>
      <w:r w:rsidRPr="00563F6C">
        <w:rPr>
          <w:rFonts w:ascii="Times New Roman" w:hAnsi="Times New Roman" w:cs="Times New Roman"/>
          <w:i/>
          <w:iCs/>
        </w:rPr>
        <w:t>Cours</w:t>
      </w:r>
      <w:proofErr w:type="spellEnd"/>
      <w:r w:rsidRPr="00563F6C">
        <w:rPr>
          <w:rFonts w:ascii="Times New Roman" w:hAnsi="Times New Roman" w:cs="Times New Roman"/>
        </w:rPr>
        <w:t xml:space="preserve"> (1998) 188, </w:t>
      </w:r>
      <w:r w:rsidR="005207E0">
        <w:rPr>
          <w:rFonts w:ascii="Times New Roman" w:hAnsi="Times New Roman" w:cs="Times New Roman"/>
        </w:rPr>
        <w:t xml:space="preserve">at </w:t>
      </w:r>
      <w:r w:rsidRPr="00563F6C">
        <w:rPr>
          <w:rFonts w:ascii="Times New Roman" w:hAnsi="Times New Roman" w:cs="Times New Roman"/>
        </w:rPr>
        <w:t xml:space="preserve">273. Mendelson sees the role of </w:t>
      </w:r>
      <w:r w:rsidRPr="003229F7">
        <w:rPr>
          <w:rFonts w:ascii="Times New Roman" w:hAnsi="Times New Roman" w:cs="Times New Roman"/>
          <w:i/>
          <w:iCs/>
        </w:rPr>
        <w:t>opinio juris</w:t>
      </w:r>
      <w:r w:rsidRPr="003229F7">
        <w:rPr>
          <w:rFonts w:ascii="Times New Roman" w:hAnsi="Times New Roman" w:cs="Times New Roman"/>
        </w:rPr>
        <w:t xml:space="preserve"> in such cases as negative: its absence can explain why certain practice should not count as practice for custom</w:t>
      </w:r>
      <w:r w:rsidRPr="00600DF7">
        <w:rPr>
          <w:rFonts w:ascii="Times New Roman" w:hAnsi="Times New Roman" w:cs="Times New Roman"/>
        </w:rPr>
        <w:t xml:space="preserve"> because it is motivated by comity etc. He also goes further in concluding that, where the practice is not ambiguous, the subjective element does not need to be present, </w:t>
      </w:r>
      <w:r w:rsidRPr="00600DF7">
        <w:rPr>
          <w:rFonts w:ascii="Times New Roman" w:hAnsi="Times New Roman" w:cs="Times New Roman"/>
          <w:i/>
          <w:iCs/>
        </w:rPr>
        <w:t>ibid.</w:t>
      </w:r>
      <w:r w:rsidRPr="00600DF7">
        <w:rPr>
          <w:rFonts w:ascii="Times New Roman" w:hAnsi="Times New Roman" w:cs="Times New Roman"/>
        </w:rPr>
        <w:t xml:space="preserve">, </w:t>
      </w:r>
      <w:r w:rsidR="005207E0">
        <w:rPr>
          <w:rFonts w:ascii="Times New Roman" w:hAnsi="Times New Roman" w:cs="Times New Roman"/>
        </w:rPr>
        <w:t xml:space="preserve">at </w:t>
      </w:r>
      <w:r w:rsidRPr="00600DF7">
        <w:rPr>
          <w:rFonts w:ascii="Times New Roman" w:hAnsi="Times New Roman" w:cs="Times New Roman"/>
        </w:rPr>
        <w:t>292. Neither view is adopted here.</w:t>
      </w:r>
    </w:p>
  </w:footnote>
  <w:footnote w:id="42">
    <w:p w14:paraId="556AB692" w14:textId="3FBC485B" w:rsidR="00053151" w:rsidRPr="00600DF7" w:rsidRDefault="00053151"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Interpretation of the Agreement of 25 March 1951 between the WHO and Egypt</w:t>
      </w:r>
      <w:r w:rsidRPr="00600DF7">
        <w:rPr>
          <w:rFonts w:ascii="Times New Roman" w:hAnsi="Times New Roman" w:cs="Times New Roman"/>
        </w:rPr>
        <w:t xml:space="preserve">, Advisory Opinion, 20 December 1980, ICJ Reports (1980) 73, </w:t>
      </w:r>
      <w:r w:rsidR="005207E0">
        <w:rPr>
          <w:rFonts w:ascii="Times New Roman" w:hAnsi="Times New Roman" w:cs="Times New Roman"/>
        </w:rPr>
        <w:t xml:space="preserve">at </w:t>
      </w:r>
      <w:r w:rsidRPr="00600DF7">
        <w:rPr>
          <w:rFonts w:ascii="Times New Roman" w:hAnsi="Times New Roman" w:cs="Times New Roman"/>
        </w:rPr>
        <w:t>para. 10.</w:t>
      </w:r>
    </w:p>
  </w:footnote>
  <w:footnote w:id="43">
    <w:p w14:paraId="1A46AF0B" w14:textId="3376205A" w:rsidR="0012618F" w:rsidRPr="00600DF7" w:rsidRDefault="0012618F"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ILC Conclusions, </w:t>
      </w:r>
      <w:r w:rsidRPr="00600DF7">
        <w:rPr>
          <w:rFonts w:ascii="Times New Roman" w:hAnsi="Times New Roman" w:cs="Times New Roman"/>
          <w:i/>
          <w:iCs/>
        </w:rPr>
        <w:t>supra</w:t>
      </w:r>
      <w:r w:rsidRPr="00600DF7">
        <w:rPr>
          <w:rFonts w:ascii="Times New Roman" w:hAnsi="Times New Roman" w:cs="Times New Roman"/>
        </w:rPr>
        <w:t xml:space="preserve"> note 2</w:t>
      </w:r>
      <w:r w:rsidR="00600DF7">
        <w:rPr>
          <w:rFonts w:ascii="Times New Roman" w:hAnsi="Times New Roman" w:cs="Times New Roman"/>
        </w:rPr>
        <w:t>5</w:t>
      </w:r>
      <w:r w:rsidRPr="00600DF7">
        <w:rPr>
          <w:rFonts w:ascii="Times New Roman" w:hAnsi="Times New Roman" w:cs="Times New Roman"/>
        </w:rPr>
        <w:t xml:space="preserve">, Conclusion 3, </w:t>
      </w:r>
      <w:r w:rsidR="005207E0">
        <w:rPr>
          <w:rFonts w:ascii="Times New Roman" w:hAnsi="Times New Roman" w:cs="Times New Roman"/>
        </w:rPr>
        <w:t>c</w:t>
      </w:r>
      <w:r w:rsidRPr="00600DF7">
        <w:rPr>
          <w:rFonts w:ascii="Times New Roman" w:hAnsi="Times New Roman" w:cs="Times New Roman"/>
        </w:rPr>
        <w:t>ommentary para. 3.</w:t>
      </w:r>
    </w:p>
  </w:footnote>
  <w:footnote w:id="44">
    <w:p w14:paraId="030524B4" w14:textId="14894FB9" w:rsidR="00A324A3" w:rsidRPr="00600DF7" w:rsidRDefault="00A324A3"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To the extent that this inconsistency amounts to a breach of the acting state’s obligations under those underlying international law rules this may </w:t>
      </w:r>
      <w:r w:rsidR="003A3EDC" w:rsidRPr="00600DF7">
        <w:rPr>
          <w:rFonts w:ascii="Times New Roman" w:hAnsi="Times New Roman" w:cs="Times New Roman"/>
        </w:rPr>
        <w:t xml:space="preserve">of course </w:t>
      </w:r>
      <w:r w:rsidRPr="00600DF7">
        <w:rPr>
          <w:rFonts w:ascii="Times New Roman" w:hAnsi="Times New Roman" w:cs="Times New Roman"/>
        </w:rPr>
        <w:t>(subject to the application of any defences etc.) engage the responsibility of the acting state. However, this is not relevant for the discussion here.</w:t>
      </w:r>
    </w:p>
  </w:footnote>
  <w:footnote w:id="45">
    <w:p w14:paraId="2029EB66" w14:textId="55C3F1BD" w:rsidR="001C6DBC" w:rsidRPr="00600DF7" w:rsidRDefault="001C6DBC"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Mendelson, </w:t>
      </w:r>
      <w:r w:rsidR="006C5021" w:rsidRPr="00600DF7">
        <w:rPr>
          <w:rFonts w:ascii="Times New Roman" w:hAnsi="Times New Roman" w:cs="Times New Roman"/>
          <w:i/>
          <w:iCs/>
        </w:rPr>
        <w:t>supra</w:t>
      </w:r>
      <w:r w:rsidR="006C5021" w:rsidRPr="00600DF7">
        <w:rPr>
          <w:rFonts w:ascii="Times New Roman" w:hAnsi="Times New Roman" w:cs="Times New Roman"/>
        </w:rPr>
        <w:t xml:space="preserve"> note </w:t>
      </w:r>
      <w:r w:rsidR="00600DF7">
        <w:rPr>
          <w:rFonts w:ascii="Times New Roman" w:hAnsi="Times New Roman" w:cs="Times New Roman"/>
        </w:rPr>
        <w:t>4</w:t>
      </w:r>
      <w:r w:rsidR="005207E0">
        <w:rPr>
          <w:rFonts w:ascii="Times New Roman" w:hAnsi="Times New Roman" w:cs="Times New Roman"/>
        </w:rPr>
        <w:t>1</w:t>
      </w:r>
      <w:r w:rsidRPr="00600DF7">
        <w:rPr>
          <w:rFonts w:ascii="Times New Roman" w:hAnsi="Times New Roman" w:cs="Times New Roman"/>
        </w:rPr>
        <w:t xml:space="preserve">, </w:t>
      </w:r>
      <w:r w:rsidR="005207E0">
        <w:rPr>
          <w:rFonts w:ascii="Times New Roman" w:hAnsi="Times New Roman" w:cs="Times New Roman"/>
        </w:rPr>
        <w:t xml:space="preserve">at </w:t>
      </w:r>
      <w:r w:rsidRPr="00600DF7">
        <w:rPr>
          <w:rFonts w:ascii="Times New Roman" w:hAnsi="Times New Roman" w:cs="Times New Roman"/>
        </w:rPr>
        <w:t>192.</w:t>
      </w:r>
    </w:p>
  </w:footnote>
  <w:footnote w:id="46">
    <w:p w14:paraId="14C34973" w14:textId="021EA9F7"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005C58F8" w:rsidRPr="00600DF7">
        <w:rPr>
          <w:rFonts w:ascii="Times New Roman" w:hAnsi="Times New Roman" w:cs="Times New Roman"/>
          <w:i/>
          <w:iCs/>
        </w:rPr>
        <w:t>Asylum</w:t>
      </w:r>
      <w:r w:rsidR="005C58F8" w:rsidRPr="00600DF7">
        <w:rPr>
          <w:rFonts w:ascii="Times New Roman" w:hAnsi="Times New Roman" w:cs="Times New Roman"/>
        </w:rPr>
        <w:t xml:space="preserve">, </w:t>
      </w:r>
      <w:r w:rsidR="005C58F8" w:rsidRPr="00600DF7">
        <w:rPr>
          <w:rFonts w:ascii="Times New Roman" w:hAnsi="Times New Roman" w:cs="Times New Roman"/>
          <w:i/>
          <w:iCs/>
        </w:rPr>
        <w:t>supra</w:t>
      </w:r>
      <w:r w:rsidR="005C58F8" w:rsidRPr="00600DF7">
        <w:rPr>
          <w:rFonts w:ascii="Times New Roman" w:hAnsi="Times New Roman" w:cs="Times New Roman"/>
        </w:rPr>
        <w:t xml:space="preserve"> note 1</w:t>
      </w:r>
      <w:r w:rsidRPr="00600DF7">
        <w:rPr>
          <w:rFonts w:ascii="Times New Roman" w:hAnsi="Times New Roman" w:cs="Times New Roman"/>
        </w:rPr>
        <w:t xml:space="preserve">, </w:t>
      </w:r>
      <w:r w:rsidR="005207E0">
        <w:rPr>
          <w:rFonts w:ascii="Times New Roman" w:hAnsi="Times New Roman" w:cs="Times New Roman"/>
        </w:rPr>
        <w:t xml:space="preserve">at </w:t>
      </w:r>
      <w:r w:rsidRPr="00600DF7">
        <w:rPr>
          <w:rFonts w:ascii="Times New Roman" w:hAnsi="Times New Roman" w:cs="Times New Roman"/>
        </w:rPr>
        <w:t>276.</w:t>
      </w:r>
    </w:p>
  </w:footnote>
  <w:footnote w:id="47">
    <w:p w14:paraId="220561EF" w14:textId="27FEE7AE" w:rsidR="00325148" w:rsidRPr="00600DF7" w:rsidRDefault="00325148"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005C58F8" w:rsidRPr="00600DF7">
        <w:rPr>
          <w:rFonts w:ascii="Times New Roman" w:hAnsi="Times New Roman" w:cs="Times New Roman"/>
        </w:rPr>
        <w:t xml:space="preserve"> </w:t>
      </w:r>
      <w:r w:rsidR="005C58F8" w:rsidRPr="00600DF7">
        <w:rPr>
          <w:rFonts w:ascii="Times New Roman" w:hAnsi="Times New Roman" w:cs="Times New Roman"/>
          <w:i/>
          <w:iCs/>
        </w:rPr>
        <w:t>ibid.</w:t>
      </w:r>
      <w:r w:rsidRPr="00600DF7">
        <w:rPr>
          <w:rFonts w:ascii="Times New Roman" w:hAnsi="Times New Roman" w:cs="Times New Roman"/>
        </w:rPr>
        <w:t xml:space="preserve">, </w:t>
      </w:r>
      <w:r w:rsidR="00F8369E">
        <w:rPr>
          <w:rFonts w:ascii="Times New Roman" w:hAnsi="Times New Roman" w:cs="Times New Roman"/>
        </w:rPr>
        <w:t xml:space="preserve">at </w:t>
      </w:r>
      <w:r w:rsidRPr="00600DF7">
        <w:rPr>
          <w:rFonts w:ascii="Times New Roman" w:hAnsi="Times New Roman" w:cs="Times New Roman"/>
        </w:rPr>
        <w:t xml:space="preserve">275. </w:t>
      </w:r>
    </w:p>
  </w:footnote>
  <w:footnote w:id="48">
    <w:p w14:paraId="22E5827E" w14:textId="18E993DA"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ibid</w:t>
      </w:r>
      <w:r w:rsidRPr="00600DF7">
        <w:rPr>
          <w:rFonts w:ascii="Times New Roman" w:hAnsi="Times New Roman" w:cs="Times New Roman"/>
        </w:rPr>
        <w:t xml:space="preserve">., </w:t>
      </w:r>
      <w:r w:rsidR="00F8369E">
        <w:rPr>
          <w:rFonts w:ascii="Times New Roman" w:hAnsi="Times New Roman" w:cs="Times New Roman"/>
        </w:rPr>
        <w:t xml:space="preserve">at </w:t>
      </w:r>
      <w:r w:rsidRPr="00600DF7">
        <w:rPr>
          <w:rFonts w:ascii="Times New Roman" w:hAnsi="Times New Roman" w:cs="Times New Roman"/>
        </w:rPr>
        <w:t>277.</w:t>
      </w:r>
    </w:p>
  </w:footnote>
  <w:footnote w:id="49">
    <w:p w14:paraId="59CBDAB6" w14:textId="77777777"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ibid.</w:t>
      </w:r>
    </w:p>
  </w:footnote>
  <w:footnote w:id="50">
    <w:p w14:paraId="7C926822" w14:textId="505143F7"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 xml:space="preserve">ibid., </w:t>
      </w:r>
      <w:r w:rsidR="00F8369E" w:rsidRPr="00C81A70">
        <w:rPr>
          <w:rFonts w:ascii="Times New Roman" w:hAnsi="Times New Roman" w:cs="Times New Roman"/>
        </w:rPr>
        <w:t xml:space="preserve">at </w:t>
      </w:r>
      <w:r w:rsidRPr="00C81A70">
        <w:rPr>
          <w:rFonts w:ascii="Times New Roman" w:hAnsi="Times New Roman" w:cs="Times New Roman"/>
        </w:rPr>
        <w:t>277-</w:t>
      </w:r>
      <w:r w:rsidR="00F8369E">
        <w:rPr>
          <w:rFonts w:ascii="Times New Roman" w:hAnsi="Times New Roman" w:cs="Times New Roman"/>
        </w:rPr>
        <w:t>27</w:t>
      </w:r>
      <w:r w:rsidRPr="00C81A70">
        <w:rPr>
          <w:rFonts w:ascii="Times New Roman" w:hAnsi="Times New Roman" w:cs="Times New Roman"/>
        </w:rPr>
        <w:t>8</w:t>
      </w:r>
      <w:r w:rsidRPr="00600DF7">
        <w:rPr>
          <w:rFonts w:ascii="Times New Roman" w:hAnsi="Times New Roman" w:cs="Times New Roman"/>
          <w:i/>
          <w:iCs/>
        </w:rPr>
        <w:t>.</w:t>
      </w:r>
    </w:p>
  </w:footnote>
  <w:footnote w:id="51">
    <w:p w14:paraId="435DEC49" w14:textId="68E746C2"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France argued that such a permissive rule would take the form of an express or implicit agreement, rather than a rule of general customary international law, </w:t>
      </w:r>
      <w:r w:rsidR="00D77606" w:rsidRPr="00600DF7">
        <w:rPr>
          <w:rFonts w:ascii="Times New Roman" w:hAnsi="Times New Roman" w:cs="Times New Roman"/>
          <w:i/>
          <w:iCs/>
        </w:rPr>
        <w:t>Lotus</w:t>
      </w:r>
      <w:r w:rsidRPr="00600DF7">
        <w:rPr>
          <w:rFonts w:ascii="Times New Roman" w:hAnsi="Times New Roman" w:cs="Times New Roman"/>
        </w:rPr>
        <w:t>,</w:t>
      </w:r>
      <w:r w:rsidR="00D77606" w:rsidRPr="00600DF7">
        <w:rPr>
          <w:rFonts w:ascii="Times New Roman" w:hAnsi="Times New Roman" w:cs="Times New Roman"/>
        </w:rPr>
        <w:t xml:space="preserve"> </w:t>
      </w:r>
      <w:r w:rsidR="00D77606" w:rsidRPr="00600DF7">
        <w:rPr>
          <w:rFonts w:ascii="Times New Roman" w:hAnsi="Times New Roman" w:cs="Times New Roman"/>
          <w:i/>
          <w:iCs/>
        </w:rPr>
        <w:t>supra</w:t>
      </w:r>
      <w:r w:rsidR="00D77606" w:rsidRPr="00600DF7">
        <w:rPr>
          <w:rFonts w:ascii="Times New Roman" w:hAnsi="Times New Roman" w:cs="Times New Roman"/>
        </w:rPr>
        <w:t xml:space="preserve"> note 1,</w:t>
      </w:r>
      <w:r w:rsidR="00F8369E">
        <w:rPr>
          <w:rFonts w:ascii="Times New Roman" w:hAnsi="Times New Roman" w:cs="Times New Roman"/>
        </w:rPr>
        <w:t xml:space="preserve"> at</w:t>
      </w:r>
      <w:r w:rsidRPr="00600DF7">
        <w:rPr>
          <w:rFonts w:ascii="Times New Roman" w:hAnsi="Times New Roman" w:cs="Times New Roman"/>
        </w:rPr>
        <w:t xml:space="preserve"> 7.</w:t>
      </w:r>
    </w:p>
  </w:footnote>
  <w:footnote w:id="52">
    <w:p w14:paraId="053E7222" w14:textId="4224DF06"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E.g., R. Kolb, </w:t>
      </w:r>
      <w:r w:rsidRPr="00600DF7">
        <w:rPr>
          <w:rFonts w:ascii="Times New Roman" w:hAnsi="Times New Roman" w:cs="Times New Roman"/>
          <w:i/>
          <w:iCs/>
        </w:rPr>
        <w:t>Theory of International Law</w:t>
      </w:r>
      <w:r w:rsidRPr="00600DF7">
        <w:rPr>
          <w:rFonts w:ascii="Times New Roman" w:hAnsi="Times New Roman" w:cs="Times New Roman"/>
        </w:rPr>
        <w:t xml:space="preserve"> (2016), </w:t>
      </w:r>
      <w:r w:rsidR="00F8369E">
        <w:rPr>
          <w:rFonts w:ascii="Times New Roman" w:hAnsi="Times New Roman" w:cs="Times New Roman"/>
        </w:rPr>
        <w:t xml:space="preserve">at </w:t>
      </w:r>
      <w:r w:rsidRPr="00600DF7">
        <w:rPr>
          <w:rFonts w:ascii="Times New Roman" w:hAnsi="Times New Roman" w:cs="Times New Roman"/>
        </w:rPr>
        <w:t xml:space="preserve">224-232; </w:t>
      </w:r>
      <w:r w:rsidRPr="00600DF7">
        <w:rPr>
          <w:rFonts w:ascii="Times New Roman" w:hAnsi="Times New Roman" w:cs="Times New Roman"/>
          <w:i/>
          <w:iCs/>
        </w:rPr>
        <w:t>Accordance with International Law of the Unilateral Declaration of Independence in Respect of Kosovo</w:t>
      </w:r>
      <w:r w:rsidRPr="00600DF7">
        <w:rPr>
          <w:rFonts w:ascii="Times New Roman" w:hAnsi="Times New Roman" w:cs="Times New Roman"/>
        </w:rPr>
        <w:t xml:space="preserve">, Advisory Opinion, 22 July 2010, ICJ Reports (2010) 403, Declaration of Judge </w:t>
      </w:r>
      <w:proofErr w:type="spellStart"/>
      <w:r w:rsidRPr="00600DF7">
        <w:rPr>
          <w:rFonts w:ascii="Times New Roman" w:hAnsi="Times New Roman" w:cs="Times New Roman"/>
        </w:rPr>
        <w:t>Simma</w:t>
      </w:r>
      <w:proofErr w:type="spellEnd"/>
      <w:r w:rsidRPr="00600DF7">
        <w:rPr>
          <w:rFonts w:ascii="Times New Roman" w:hAnsi="Times New Roman" w:cs="Times New Roman"/>
        </w:rPr>
        <w:t xml:space="preserve">, </w:t>
      </w:r>
      <w:r w:rsidR="00F8369E">
        <w:rPr>
          <w:rFonts w:ascii="Times New Roman" w:hAnsi="Times New Roman" w:cs="Times New Roman"/>
        </w:rPr>
        <w:t xml:space="preserve">at </w:t>
      </w:r>
      <w:r w:rsidRPr="00600DF7">
        <w:rPr>
          <w:rFonts w:ascii="Times New Roman" w:hAnsi="Times New Roman" w:cs="Times New Roman"/>
        </w:rPr>
        <w:t>paras. 3, 8.</w:t>
      </w:r>
    </w:p>
  </w:footnote>
  <w:footnote w:id="53">
    <w:p w14:paraId="47AD2C03" w14:textId="20828905"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Lotus</w:t>
      </w:r>
      <w:r w:rsidRPr="00600DF7">
        <w:rPr>
          <w:rFonts w:ascii="Times New Roman" w:hAnsi="Times New Roman" w:cs="Times New Roman"/>
        </w:rPr>
        <w:t xml:space="preserve">, </w:t>
      </w:r>
      <w:r w:rsidRPr="00600DF7">
        <w:rPr>
          <w:rFonts w:ascii="Times New Roman" w:hAnsi="Times New Roman" w:cs="Times New Roman"/>
          <w:i/>
          <w:iCs/>
        </w:rPr>
        <w:t>supra</w:t>
      </w:r>
      <w:r w:rsidRPr="00600DF7">
        <w:rPr>
          <w:rFonts w:ascii="Times New Roman" w:hAnsi="Times New Roman" w:cs="Times New Roman"/>
        </w:rPr>
        <w:t xml:space="preserve"> note </w:t>
      </w:r>
      <w:r w:rsidR="00D77606" w:rsidRPr="00600DF7">
        <w:rPr>
          <w:rFonts w:ascii="Times New Roman" w:hAnsi="Times New Roman" w:cs="Times New Roman"/>
        </w:rPr>
        <w:t>1</w:t>
      </w:r>
      <w:r w:rsidRPr="00600DF7">
        <w:rPr>
          <w:rFonts w:ascii="Times New Roman" w:hAnsi="Times New Roman" w:cs="Times New Roman"/>
        </w:rPr>
        <w:t xml:space="preserve">, </w:t>
      </w:r>
      <w:r w:rsidR="00F8369E">
        <w:rPr>
          <w:rFonts w:ascii="Times New Roman" w:hAnsi="Times New Roman" w:cs="Times New Roman"/>
        </w:rPr>
        <w:t xml:space="preserve">at </w:t>
      </w:r>
      <w:r w:rsidRPr="00600DF7">
        <w:rPr>
          <w:rFonts w:ascii="Times New Roman" w:hAnsi="Times New Roman" w:cs="Times New Roman"/>
        </w:rPr>
        <w:t>18.</w:t>
      </w:r>
    </w:p>
  </w:footnote>
  <w:footnote w:id="54">
    <w:p w14:paraId="0C5BB362" w14:textId="18FF6E81" w:rsidR="00E56DE7" w:rsidRPr="00600DF7" w:rsidRDefault="00E56DE7"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ILA Statement, </w:t>
      </w:r>
      <w:r w:rsidRPr="00600DF7">
        <w:rPr>
          <w:rFonts w:ascii="Times New Roman" w:hAnsi="Times New Roman" w:cs="Times New Roman"/>
          <w:i/>
          <w:iCs/>
        </w:rPr>
        <w:t xml:space="preserve">supra </w:t>
      </w:r>
      <w:r w:rsidRPr="00600DF7">
        <w:rPr>
          <w:rFonts w:ascii="Times New Roman" w:hAnsi="Times New Roman" w:cs="Times New Roman"/>
        </w:rPr>
        <w:t xml:space="preserve">note 15, Section 6, </w:t>
      </w:r>
      <w:r w:rsidR="00600DF7">
        <w:rPr>
          <w:rFonts w:ascii="Times New Roman" w:hAnsi="Times New Roman" w:cs="Times New Roman"/>
        </w:rPr>
        <w:t>c</w:t>
      </w:r>
      <w:r w:rsidRPr="00600DF7">
        <w:rPr>
          <w:rFonts w:ascii="Times New Roman" w:hAnsi="Times New Roman" w:cs="Times New Roman"/>
        </w:rPr>
        <w:t>ommentary.</w:t>
      </w:r>
    </w:p>
  </w:footnote>
  <w:footnote w:id="55">
    <w:p w14:paraId="146685F6" w14:textId="591DBFB8"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Lotus</w:t>
      </w:r>
      <w:r w:rsidRPr="00600DF7">
        <w:rPr>
          <w:rFonts w:ascii="Times New Roman" w:hAnsi="Times New Roman" w:cs="Times New Roman"/>
        </w:rPr>
        <w:t xml:space="preserve">, </w:t>
      </w:r>
      <w:r w:rsidRPr="00600DF7">
        <w:rPr>
          <w:rFonts w:ascii="Times New Roman" w:hAnsi="Times New Roman" w:cs="Times New Roman"/>
          <w:i/>
          <w:iCs/>
        </w:rPr>
        <w:t>supra</w:t>
      </w:r>
      <w:r w:rsidRPr="00600DF7">
        <w:rPr>
          <w:rFonts w:ascii="Times New Roman" w:hAnsi="Times New Roman" w:cs="Times New Roman"/>
        </w:rPr>
        <w:t xml:space="preserve"> note </w:t>
      </w:r>
      <w:r w:rsidR="00A10368" w:rsidRPr="00600DF7">
        <w:rPr>
          <w:rFonts w:ascii="Times New Roman" w:hAnsi="Times New Roman" w:cs="Times New Roman"/>
        </w:rPr>
        <w:t>1</w:t>
      </w:r>
      <w:r w:rsidRPr="00600DF7">
        <w:rPr>
          <w:rFonts w:ascii="Times New Roman" w:hAnsi="Times New Roman" w:cs="Times New Roman"/>
        </w:rPr>
        <w:t xml:space="preserve">, </w:t>
      </w:r>
      <w:r w:rsidR="00DC36DE">
        <w:rPr>
          <w:rFonts w:ascii="Times New Roman" w:hAnsi="Times New Roman" w:cs="Times New Roman"/>
        </w:rPr>
        <w:t xml:space="preserve">at </w:t>
      </w:r>
      <w:r w:rsidRPr="00600DF7">
        <w:rPr>
          <w:rFonts w:ascii="Times New Roman" w:hAnsi="Times New Roman" w:cs="Times New Roman"/>
        </w:rPr>
        <w:t xml:space="preserve">28; ILA Statement, </w:t>
      </w:r>
      <w:r w:rsidRPr="00600DF7">
        <w:rPr>
          <w:rFonts w:ascii="Times New Roman" w:hAnsi="Times New Roman" w:cs="Times New Roman"/>
          <w:i/>
          <w:iCs/>
        </w:rPr>
        <w:t>supra</w:t>
      </w:r>
      <w:r w:rsidRPr="00600DF7">
        <w:rPr>
          <w:rFonts w:ascii="Times New Roman" w:hAnsi="Times New Roman" w:cs="Times New Roman"/>
        </w:rPr>
        <w:t xml:space="preserve"> note 1</w:t>
      </w:r>
      <w:r w:rsidR="00A10368" w:rsidRPr="00600DF7">
        <w:rPr>
          <w:rFonts w:ascii="Times New Roman" w:hAnsi="Times New Roman" w:cs="Times New Roman"/>
        </w:rPr>
        <w:t>5</w:t>
      </w:r>
      <w:r w:rsidRPr="00600DF7">
        <w:rPr>
          <w:rFonts w:ascii="Times New Roman" w:hAnsi="Times New Roman" w:cs="Times New Roman"/>
        </w:rPr>
        <w:t xml:space="preserve">, Section 6, </w:t>
      </w:r>
      <w:r w:rsidR="00600DF7">
        <w:rPr>
          <w:rFonts w:ascii="Times New Roman" w:hAnsi="Times New Roman" w:cs="Times New Roman"/>
        </w:rPr>
        <w:t>c</w:t>
      </w:r>
      <w:r w:rsidRPr="00600DF7">
        <w:rPr>
          <w:rFonts w:ascii="Times New Roman" w:hAnsi="Times New Roman" w:cs="Times New Roman"/>
        </w:rPr>
        <w:t xml:space="preserve">ommentary; Mendelson, </w:t>
      </w:r>
      <w:r w:rsidRPr="00600DF7">
        <w:rPr>
          <w:rFonts w:ascii="Times New Roman" w:hAnsi="Times New Roman" w:cs="Times New Roman"/>
          <w:i/>
          <w:iCs/>
        </w:rPr>
        <w:t>supra</w:t>
      </w:r>
      <w:r w:rsidRPr="00600DF7">
        <w:rPr>
          <w:rFonts w:ascii="Times New Roman" w:hAnsi="Times New Roman" w:cs="Times New Roman"/>
        </w:rPr>
        <w:t xml:space="preserve"> note </w:t>
      </w:r>
      <w:r w:rsidR="00600DF7">
        <w:rPr>
          <w:rFonts w:ascii="Times New Roman" w:hAnsi="Times New Roman" w:cs="Times New Roman"/>
        </w:rPr>
        <w:t>4</w:t>
      </w:r>
      <w:r w:rsidR="00DC36DE">
        <w:rPr>
          <w:rFonts w:ascii="Times New Roman" w:hAnsi="Times New Roman" w:cs="Times New Roman"/>
        </w:rPr>
        <w:t>1</w:t>
      </w:r>
      <w:r w:rsidRPr="00600DF7">
        <w:rPr>
          <w:rFonts w:ascii="Times New Roman" w:hAnsi="Times New Roman" w:cs="Times New Roman"/>
        </w:rPr>
        <w:t xml:space="preserve">, </w:t>
      </w:r>
      <w:r w:rsidR="00DC36DE">
        <w:rPr>
          <w:rFonts w:ascii="Times New Roman" w:hAnsi="Times New Roman" w:cs="Times New Roman"/>
        </w:rPr>
        <w:t xml:space="preserve">at </w:t>
      </w:r>
      <w:r w:rsidRPr="00600DF7">
        <w:rPr>
          <w:rFonts w:ascii="Times New Roman" w:hAnsi="Times New Roman" w:cs="Times New Roman"/>
        </w:rPr>
        <w:t>274.</w:t>
      </w:r>
    </w:p>
  </w:footnote>
  <w:footnote w:id="56">
    <w:p w14:paraId="14B36F20" w14:textId="77777777"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Brierly, ‘The Lotus Case’, 174 </w:t>
      </w:r>
      <w:r w:rsidRPr="00600DF7">
        <w:rPr>
          <w:rFonts w:ascii="Times New Roman" w:hAnsi="Times New Roman" w:cs="Times New Roman"/>
          <w:i/>
          <w:iCs/>
        </w:rPr>
        <w:t>Law Quarterly Review</w:t>
      </w:r>
      <w:r w:rsidRPr="00600DF7">
        <w:rPr>
          <w:rFonts w:ascii="Times New Roman" w:hAnsi="Times New Roman" w:cs="Times New Roman"/>
        </w:rPr>
        <w:t xml:space="preserve"> (1928) 154.</w:t>
      </w:r>
    </w:p>
  </w:footnote>
  <w:footnote w:id="57">
    <w:p w14:paraId="529C87FF" w14:textId="08259A9F"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Kolb, </w:t>
      </w:r>
      <w:r w:rsidRPr="00600DF7">
        <w:rPr>
          <w:rFonts w:ascii="Times New Roman" w:hAnsi="Times New Roman" w:cs="Times New Roman"/>
          <w:i/>
          <w:iCs/>
        </w:rPr>
        <w:t>supra</w:t>
      </w:r>
      <w:r w:rsidRPr="00600DF7">
        <w:rPr>
          <w:rFonts w:ascii="Times New Roman" w:hAnsi="Times New Roman" w:cs="Times New Roman"/>
        </w:rPr>
        <w:t xml:space="preserve"> note </w:t>
      </w:r>
      <w:r w:rsidR="00A10368" w:rsidRPr="00600DF7">
        <w:rPr>
          <w:rFonts w:ascii="Times New Roman" w:hAnsi="Times New Roman" w:cs="Times New Roman"/>
        </w:rPr>
        <w:t>5</w:t>
      </w:r>
      <w:r w:rsidR="00672C53" w:rsidRPr="00600DF7">
        <w:rPr>
          <w:rFonts w:ascii="Times New Roman" w:hAnsi="Times New Roman" w:cs="Times New Roman"/>
        </w:rPr>
        <w:t>1</w:t>
      </w:r>
      <w:r w:rsidRPr="00600DF7">
        <w:rPr>
          <w:rFonts w:ascii="Times New Roman" w:hAnsi="Times New Roman" w:cs="Times New Roman"/>
        </w:rPr>
        <w:t xml:space="preserve">, </w:t>
      </w:r>
      <w:r w:rsidR="00DC36DE">
        <w:rPr>
          <w:rFonts w:ascii="Times New Roman" w:hAnsi="Times New Roman" w:cs="Times New Roman"/>
        </w:rPr>
        <w:t xml:space="preserve">at </w:t>
      </w:r>
      <w:r w:rsidRPr="00600DF7">
        <w:rPr>
          <w:rFonts w:ascii="Times New Roman" w:hAnsi="Times New Roman" w:cs="Times New Roman"/>
        </w:rPr>
        <w:t>232-</w:t>
      </w:r>
      <w:r w:rsidR="00DC36DE">
        <w:rPr>
          <w:rFonts w:ascii="Times New Roman" w:hAnsi="Times New Roman" w:cs="Times New Roman"/>
        </w:rPr>
        <w:t>23</w:t>
      </w:r>
      <w:r w:rsidRPr="00600DF7">
        <w:rPr>
          <w:rFonts w:ascii="Times New Roman" w:hAnsi="Times New Roman" w:cs="Times New Roman"/>
        </w:rPr>
        <w:t xml:space="preserve">3. It has been suggested that beyond prohibited and permitted acts there is also behaviour that is ‘legally neutral’ and unregulated under international law, H. </w:t>
      </w:r>
      <w:proofErr w:type="spellStart"/>
      <w:r w:rsidRPr="00600DF7">
        <w:rPr>
          <w:rFonts w:ascii="Times New Roman" w:hAnsi="Times New Roman" w:cs="Times New Roman"/>
        </w:rPr>
        <w:t>Thirlway</w:t>
      </w:r>
      <w:proofErr w:type="spellEnd"/>
      <w:r w:rsidRPr="00600DF7">
        <w:rPr>
          <w:rFonts w:ascii="Times New Roman" w:hAnsi="Times New Roman" w:cs="Times New Roman"/>
        </w:rPr>
        <w:t xml:space="preserve">, </w:t>
      </w:r>
      <w:r w:rsidRPr="00600DF7">
        <w:rPr>
          <w:rFonts w:ascii="Times New Roman" w:hAnsi="Times New Roman" w:cs="Times New Roman"/>
          <w:i/>
          <w:iCs/>
        </w:rPr>
        <w:t>The Sources of International Law</w:t>
      </w:r>
      <w:r w:rsidRPr="00600DF7">
        <w:rPr>
          <w:rFonts w:ascii="Times New Roman" w:hAnsi="Times New Roman" w:cs="Times New Roman"/>
        </w:rPr>
        <w:t xml:space="preserve"> (2nd ed., 2019), </w:t>
      </w:r>
      <w:r w:rsidR="00DC36DE">
        <w:rPr>
          <w:rFonts w:ascii="Times New Roman" w:hAnsi="Times New Roman" w:cs="Times New Roman"/>
        </w:rPr>
        <w:t xml:space="preserve">at </w:t>
      </w:r>
      <w:r w:rsidRPr="00600DF7">
        <w:rPr>
          <w:rFonts w:ascii="Times New Roman" w:hAnsi="Times New Roman" w:cs="Times New Roman"/>
        </w:rPr>
        <w:t>18. However, this view is not adopted here.</w:t>
      </w:r>
    </w:p>
  </w:footnote>
  <w:footnote w:id="58">
    <w:p w14:paraId="5E0FE859" w14:textId="753377B2" w:rsidR="00F100EB" w:rsidRPr="00600DF7" w:rsidRDefault="00F100EB" w:rsidP="00600DF7">
      <w:pPr>
        <w:pStyle w:val="FootnoteText"/>
        <w:jc w:val="both"/>
        <w:rPr>
          <w:rFonts w:ascii="Times New Roman" w:hAnsi="Times New Roman" w:cs="Times New Roman"/>
          <w:lang w:val="fr-FR"/>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00A10368" w:rsidRPr="00600DF7">
        <w:rPr>
          <w:rFonts w:ascii="Times New Roman" w:hAnsi="Times New Roman" w:cs="Times New Roman"/>
          <w:i/>
          <w:iCs/>
        </w:rPr>
        <w:t>Nuclear Weapons</w:t>
      </w:r>
      <w:r w:rsidRPr="00600DF7">
        <w:rPr>
          <w:rFonts w:ascii="Times New Roman" w:hAnsi="Times New Roman" w:cs="Times New Roman"/>
        </w:rPr>
        <w:t>,</w:t>
      </w:r>
      <w:r w:rsidR="00A10368" w:rsidRPr="00600DF7">
        <w:rPr>
          <w:rFonts w:ascii="Times New Roman" w:hAnsi="Times New Roman" w:cs="Times New Roman"/>
        </w:rPr>
        <w:t xml:space="preserve"> </w:t>
      </w:r>
      <w:r w:rsidR="00A10368" w:rsidRPr="00600DF7">
        <w:rPr>
          <w:rFonts w:ascii="Times New Roman" w:hAnsi="Times New Roman" w:cs="Times New Roman"/>
          <w:i/>
          <w:iCs/>
        </w:rPr>
        <w:t>supra</w:t>
      </w:r>
      <w:r w:rsidR="00A10368" w:rsidRPr="00600DF7">
        <w:rPr>
          <w:rFonts w:ascii="Times New Roman" w:hAnsi="Times New Roman" w:cs="Times New Roman"/>
        </w:rPr>
        <w:t xml:space="preserve"> note 1,</w:t>
      </w:r>
      <w:r w:rsidRPr="00600DF7">
        <w:rPr>
          <w:rFonts w:ascii="Times New Roman" w:hAnsi="Times New Roman" w:cs="Times New Roman"/>
        </w:rPr>
        <w:t xml:space="preserve"> </w:t>
      </w:r>
      <w:r w:rsidR="00DC36DE">
        <w:rPr>
          <w:rFonts w:ascii="Times New Roman" w:hAnsi="Times New Roman" w:cs="Times New Roman"/>
        </w:rPr>
        <w:t xml:space="preserve">at </w:t>
      </w:r>
      <w:r w:rsidRPr="00600DF7">
        <w:rPr>
          <w:rFonts w:ascii="Times New Roman" w:hAnsi="Times New Roman" w:cs="Times New Roman"/>
        </w:rPr>
        <w:t xml:space="preserve">para. </w:t>
      </w:r>
      <w:r w:rsidRPr="00600DF7">
        <w:rPr>
          <w:rFonts w:ascii="Times New Roman" w:hAnsi="Times New Roman" w:cs="Times New Roman"/>
          <w:lang w:val="fr-FR"/>
        </w:rPr>
        <w:t>52.</w:t>
      </w:r>
    </w:p>
  </w:footnote>
  <w:footnote w:id="59">
    <w:p w14:paraId="2A4FA592" w14:textId="6550CA70" w:rsidR="00F100EB" w:rsidRPr="00600DF7" w:rsidRDefault="00F100EB" w:rsidP="00600DF7">
      <w:pPr>
        <w:pStyle w:val="FootnoteText"/>
        <w:jc w:val="both"/>
        <w:rPr>
          <w:rFonts w:ascii="Times New Roman" w:hAnsi="Times New Roman" w:cs="Times New Roman"/>
          <w:lang w:val="fr-FR"/>
        </w:rPr>
      </w:pPr>
      <w:r w:rsidRPr="00600DF7">
        <w:rPr>
          <w:rStyle w:val="FootnoteReference"/>
          <w:rFonts w:ascii="Times New Roman" w:hAnsi="Times New Roman" w:cs="Times New Roman"/>
        </w:rPr>
        <w:footnoteRef/>
      </w:r>
      <w:r w:rsidRPr="00600DF7">
        <w:rPr>
          <w:rFonts w:ascii="Times New Roman" w:hAnsi="Times New Roman" w:cs="Times New Roman"/>
          <w:lang w:val="fr-FR"/>
        </w:rPr>
        <w:t xml:space="preserve"> </w:t>
      </w:r>
      <w:proofErr w:type="spellStart"/>
      <w:r w:rsidRPr="00600DF7">
        <w:rPr>
          <w:rFonts w:ascii="Times New Roman" w:hAnsi="Times New Roman" w:cs="Times New Roman"/>
          <w:lang w:val="fr-FR"/>
        </w:rPr>
        <w:t>Mendelson</w:t>
      </w:r>
      <w:proofErr w:type="spellEnd"/>
      <w:r w:rsidRPr="00600DF7">
        <w:rPr>
          <w:rFonts w:ascii="Times New Roman" w:hAnsi="Times New Roman" w:cs="Times New Roman"/>
          <w:lang w:val="fr-FR"/>
        </w:rPr>
        <w:t xml:space="preserve">, </w:t>
      </w:r>
      <w:r w:rsidRPr="00600DF7">
        <w:rPr>
          <w:rFonts w:ascii="Times New Roman" w:hAnsi="Times New Roman" w:cs="Times New Roman"/>
          <w:i/>
          <w:iCs/>
          <w:lang w:val="fr-FR"/>
        </w:rPr>
        <w:t xml:space="preserve">supra </w:t>
      </w:r>
      <w:r w:rsidRPr="00600DF7">
        <w:rPr>
          <w:rFonts w:ascii="Times New Roman" w:hAnsi="Times New Roman" w:cs="Times New Roman"/>
          <w:lang w:val="fr-FR"/>
        </w:rPr>
        <w:t xml:space="preserve">note </w:t>
      </w:r>
      <w:r w:rsidR="00600DF7">
        <w:rPr>
          <w:rFonts w:ascii="Times New Roman" w:hAnsi="Times New Roman" w:cs="Times New Roman"/>
          <w:lang w:val="fr-FR"/>
        </w:rPr>
        <w:t>4</w:t>
      </w:r>
      <w:r w:rsidR="00DC36DE">
        <w:rPr>
          <w:rFonts w:ascii="Times New Roman" w:hAnsi="Times New Roman" w:cs="Times New Roman"/>
          <w:lang w:val="fr-FR"/>
        </w:rPr>
        <w:t>1</w:t>
      </w:r>
      <w:r w:rsidRPr="00600DF7">
        <w:rPr>
          <w:rFonts w:ascii="Times New Roman" w:hAnsi="Times New Roman" w:cs="Times New Roman"/>
          <w:lang w:val="fr-FR"/>
        </w:rPr>
        <w:t xml:space="preserve">, </w:t>
      </w:r>
      <w:r w:rsidR="00DC36DE">
        <w:rPr>
          <w:rFonts w:ascii="Times New Roman" w:hAnsi="Times New Roman" w:cs="Times New Roman"/>
          <w:lang w:val="fr-FR"/>
        </w:rPr>
        <w:t xml:space="preserve">at </w:t>
      </w:r>
      <w:r w:rsidRPr="00600DF7">
        <w:rPr>
          <w:rFonts w:ascii="Times New Roman" w:hAnsi="Times New Roman" w:cs="Times New Roman"/>
          <w:lang w:val="fr-FR"/>
        </w:rPr>
        <w:t>274.</w:t>
      </w:r>
    </w:p>
  </w:footnote>
  <w:footnote w:id="60">
    <w:p w14:paraId="64568911" w14:textId="3DF865DF" w:rsidR="00F100EB" w:rsidRPr="00600DF7" w:rsidRDefault="00F100EB" w:rsidP="00600DF7">
      <w:pPr>
        <w:pStyle w:val="FootnoteText"/>
        <w:jc w:val="both"/>
        <w:rPr>
          <w:rFonts w:ascii="Times New Roman" w:hAnsi="Times New Roman" w:cs="Times New Roman"/>
          <w:lang w:val="fr-FR"/>
        </w:rPr>
      </w:pPr>
      <w:r w:rsidRPr="00600DF7">
        <w:rPr>
          <w:rStyle w:val="FootnoteReference"/>
          <w:rFonts w:ascii="Times New Roman" w:hAnsi="Times New Roman" w:cs="Times New Roman"/>
        </w:rPr>
        <w:footnoteRef/>
      </w:r>
      <w:r w:rsidRPr="00600DF7">
        <w:rPr>
          <w:rFonts w:ascii="Times New Roman" w:hAnsi="Times New Roman" w:cs="Times New Roman"/>
          <w:lang w:val="fr-FR"/>
        </w:rPr>
        <w:t xml:space="preserve"> </w:t>
      </w:r>
      <w:proofErr w:type="spellStart"/>
      <w:r w:rsidRPr="00600DF7">
        <w:rPr>
          <w:rFonts w:ascii="Times New Roman" w:hAnsi="Times New Roman" w:cs="Times New Roman"/>
          <w:lang w:val="fr-FR"/>
        </w:rPr>
        <w:t>See</w:t>
      </w:r>
      <w:proofErr w:type="spellEnd"/>
      <w:r w:rsidRPr="00600DF7">
        <w:rPr>
          <w:rFonts w:ascii="Times New Roman" w:hAnsi="Times New Roman" w:cs="Times New Roman"/>
          <w:lang w:val="fr-FR"/>
        </w:rPr>
        <w:t xml:space="preserve"> </w:t>
      </w:r>
      <w:proofErr w:type="spellStart"/>
      <w:r w:rsidRPr="00600DF7">
        <w:rPr>
          <w:rFonts w:ascii="Times New Roman" w:hAnsi="Times New Roman" w:cs="Times New Roman"/>
          <w:lang w:val="fr-FR"/>
        </w:rPr>
        <w:t>Haggenmacher</w:t>
      </w:r>
      <w:proofErr w:type="spellEnd"/>
      <w:r w:rsidRPr="00600DF7">
        <w:rPr>
          <w:rFonts w:ascii="Times New Roman" w:hAnsi="Times New Roman" w:cs="Times New Roman"/>
          <w:lang w:val="fr-FR"/>
        </w:rPr>
        <w:t xml:space="preserve">, ‘La Doctrine des deux éléments du droit coutumier dans la pratique de la Cour Internationale de Justice’ </w:t>
      </w:r>
      <w:r w:rsidRPr="00600DF7">
        <w:rPr>
          <w:rFonts w:ascii="Times New Roman" w:hAnsi="Times New Roman" w:cs="Times New Roman"/>
          <w:i/>
          <w:iCs/>
          <w:lang w:val="fr-FR"/>
        </w:rPr>
        <w:t>Revue General de Droit International Public</w:t>
      </w:r>
      <w:r w:rsidRPr="00600DF7">
        <w:rPr>
          <w:rFonts w:ascii="Times New Roman" w:hAnsi="Times New Roman" w:cs="Times New Roman"/>
          <w:lang w:val="fr-FR"/>
        </w:rPr>
        <w:t xml:space="preserve"> (1986) 6, </w:t>
      </w:r>
      <w:r w:rsidR="00DC36DE">
        <w:rPr>
          <w:rFonts w:ascii="Times New Roman" w:hAnsi="Times New Roman" w:cs="Times New Roman"/>
          <w:lang w:val="fr-FR"/>
        </w:rPr>
        <w:t xml:space="preserve">at </w:t>
      </w:r>
      <w:r w:rsidRPr="00600DF7">
        <w:rPr>
          <w:rFonts w:ascii="Times New Roman" w:hAnsi="Times New Roman" w:cs="Times New Roman"/>
          <w:lang w:val="fr-FR"/>
        </w:rPr>
        <w:t>72.</w:t>
      </w:r>
    </w:p>
  </w:footnote>
  <w:footnote w:id="61">
    <w:p w14:paraId="4C8F9EFD" w14:textId="194DC56D"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Nuclear Weapons</w:t>
      </w:r>
      <w:r w:rsidRPr="00600DF7">
        <w:rPr>
          <w:rFonts w:ascii="Times New Roman" w:hAnsi="Times New Roman" w:cs="Times New Roman"/>
        </w:rPr>
        <w:t xml:space="preserve">, </w:t>
      </w:r>
      <w:r w:rsidRPr="00600DF7">
        <w:rPr>
          <w:rFonts w:ascii="Times New Roman" w:hAnsi="Times New Roman" w:cs="Times New Roman"/>
          <w:i/>
          <w:iCs/>
        </w:rPr>
        <w:t xml:space="preserve">supra </w:t>
      </w:r>
      <w:r w:rsidRPr="00600DF7">
        <w:rPr>
          <w:rFonts w:ascii="Times New Roman" w:hAnsi="Times New Roman" w:cs="Times New Roman"/>
        </w:rPr>
        <w:t xml:space="preserve">note </w:t>
      </w:r>
      <w:r w:rsidR="0035556F" w:rsidRPr="00600DF7">
        <w:rPr>
          <w:rFonts w:ascii="Times New Roman" w:hAnsi="Times New Roman" w:cs="Times New Roman"/>
        </w:rPr>
        <w:t>1</w:t>
      </w:r>
      <w:r w:rsidRPr="00600DF7">
        <w:rPr>
          <w:rFonts w:ascii="Times New Roman" w:hAnsi="Times New Roman" w:cs="Times New Roman"/>
        </w:rPr>
        <w:t xml:space="preserve">, </w:t>
      </w:r>
      <w:r w:rsidR="00AE5C65">
        <w:rPr>
          <w:rFonts w:ascii="Times New Roman" w:hAnsi="Times New Roman" w:cs="Times New Roman"/>
        </w:rPr>
        <w:t xml:space="preserve">at </w:t>
      </w:r>
      <w:r w:rsidRPr="00600DF7">
        <w:rPr>
          <w:rFonts w:ascii="Times New Roman" w:hAnsi="Times New Roman" w:cs="Times New Roman"/>
        </w:rPr>
        <w:t>paras. 65-</w:t>
      </w:r>
      <w:r w:rsidR="00AE5C65">
        <w:rPr>
          <w:rFonts w:ascii="Times New Roman" w:hAnsi="Times New Roman" w:cs="Times New Roman"/>
        </w:rPr>
        <w:t>6</w:t>
      </w:r>
      <w:r w:rsidRPr="00600DF7">
        <w:rPr>
          <w:rFonts w:ascii="Times New Roman" w:hAnsi="Times New Roman" w:cs="Times New Roman"/>
        </w:rPr>
        <w:t>6.</w:t>
      </w:r>
    </w:p>
  </w:footnote>
  <w:footnote w:id="62">
    <w:p w14:paraId="3CD33EA8" w14:textId="01AAF44A"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ibid.</w:t>
      </w:r>
      <w:r w:rsidRPr="00600DF7">
        <w:rPr>
          <w:rFonts w:ascii="Times New Roman" w:hAnsi="Times New Roman" w:cs="Times New Roman"/>
        </w:rPr>
        <w:t xml:space="preserve">, </w:t>
      </w:r>
      <w:r w:rsidR="00AE5C65">
        <w:rPr>
          <w:rFonts w:ascii="Times New Roman" w:hAnsi="Times New Roman" w:cs="Times New Roman"/>
        </w:rPr>
        <w:t xml:space="preserve">at </w:t>
      </w:r>
      <w:r w:rsidRPr="00600DF7">
        <w:rPr>
          <w:rFonts w:ascii="Times New Roman" w:hAnsi="Times New Roman" w:cs="Times New Roman"/>
        </w:rPr>
        <w:t>para. 67.</w:t>
      </w:r>
    </w:p>
  </w:footnote>
  <w:footnote w:id="63">
    <w:p w14:paraId="2B65E704" w14:textId="30EC8E7F"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North Sea</w:t>
      </w:r>
      <w:r w:rsidRPr="00600DF7">
        <w:rPr>
          <w:rFonts w:ascii="Times New Roman" w:hAnsi="Times New Roman" w:cs="Times New Roman"/>
        </w:rPr>
        <w:t>,</w:t>
      </w:r>
      <w:r w:rsidR="0035556F" w:rsidRPr="00600DF7">
        <w:rPr>
          <w:rFonts w:ascii="Times New Roman" w:hAnsi="Times New Roman" w:cs="Times New Roman"/>
        </w:rPr>
        <w:t xml:space="preserve"> </w:t>
      </w:r>
      <w:r w:rsidR="0035556F" w:rsidRPr="00600DF7">
        <w:rPr>
          <w:rFonts w:ascii="Times New Roman" w:hAnsi="Times New Roman" w:cs="Times New Roman"/>
          <w:i/>
          <w:iCs/>
        </w:rPr>
        <w:t>supra</w:t>
      </w:r>
      <w:r w:rsidR="0035556F" w:rsidRPr="00600DF7">
        <w:rPr>
          <w:rFonts w:ascii="Times New Roman" w:hAnsi="Times New Roman" w:cs="Times New Roman"/>
        </w:rPr>
        <w:t xml:space="preserve"> note 1,</w:t>
      </w:r>
      <w:r w:rsidRPr="00600DF7">
        <w:rPr>
          <w:rFonts w:ascii="Times New Roman" w:hAnsi="Times New Roman" w:cs="Times New Roman"/>
        </w:rPr>
        <w:t xml:space="preserve"> </w:t>
      </w:r>
      <w:r w:rsidR="00AE5C65">
        <w:rPr>
          <w:rFonts w:ascii="Times New Roman" w:hAnsi="Times New Roman" w:cs="Times New Roman"/>
        </w:rPr>
        <w:t xml:space="preserve">at </w:t>
      </w:r>
      <w:r w:rsidRPr="00600DF7">
        <w:rPr>
          <w:rFonts w:ascii="Times New Roman" w:hAnsi="Times New Roman" w:cs="Times New Roman"/>
        </w:rPr>
        <w:t>para. 78.</w:t>
      </w:r>
    </w:p>
  </w:footnote>
  <w:footnote w:id="64">
    <w:p w14:paraId="7F5C5200" w14:textId="6D6113D2"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ILA Statement, </w:t>
      </w:r>
      <w:r w:rsidRPr="00600DF7">
        <w:rPr>
          <w:rFonts w:ascii="Times New Roman" w:hAnsi="Times New Roman" w:cs="Times New Roman"/>
          <w:i/>
          <w:iCs/>
        </w:rPr>
        <w:t xml:space="preserve">supra </w:t>
      </w:r>
      <w:r w:rsidRPr="00600DF7">
        <w:rPr>
          <w:rFonts w:ascii="Times New Roman" w:hAnsi="Times New Roman" w:cs="Times New Roman"/>
        </w:rPr>
        <w:t>note 1</w:t>
      </w:r>
      <w:r w:rsidR="00B01CF0" w:rsidRPr="00600DF7">
        <w:rPr>
          <w:rFonts w:ascii="Times New Roman" w:hAnsi="Times New Roman" w:cs="Times New Roman"/>
        </w:rPr>
        <w:t>5</w:t>
      </w:r>
      <w:r w:rsidRPr="00600DF7">
        <w:rPr>
          <w:rFonts w:ascii="Times New Roman" w:hAnsi="Times New Roman" w:cs="Times New Roman"/>
        </w:rPr>
        <w:t xml:space="preserve">, Section 6, </w:t>
      </w:r>
      <w:r w:rsidR="00AE5C65">
        <w:rPr>
          <w:rFonts w:ascii="Times New Roman" w:hAnsi="Times New Roman" w:cs="Times New Roman"/>
        </w:rPr>
        <w:t>c</w:t>
      </w:r>
      <w:r w:rsidRPr="00600DF7">
        <w:rPr>
          <w:rFonts w:ascii="Times New Roman" w:hAnsi="Times New Roman" w:cs="Times New Roman"/>
        </w:rPr>
        <w:t xml:space="preserve">ommentary; Mendelson, </w:t>
      </w:r>
      <w:r w:rsidRPr="00600DF7">
        <w:rPr>
          <w:rFonts w:ascii="Times New Roman" w:hAnsi="Times New Roman" w:cs="Times New Roman"/>
          <w:i/>
          <w:iCs/>
        </w:rPr>
        <w:t xml:space="preserve">supra </w:t>
      </w:r>
      <w:r w:rsidRPr="00600DF7">
        <w:rPr>
          <w:rFonts w:ascii="Times New Roman" w:hAnsi="Times New Roman" w:cs="Times New Roman"/>
        </w:rPr>
        <w:t xml:space="preserve">note </w:t>
      </w:r>
      <w:r w:rsidR="00C57A8F">
        <w:rPr>
          <w:rFonts w:ascii="Times New Roman" w:hAnsi="Times New Roman" w:cs="Times New Roman"/>
        </w:rPr>
        <w:t>40</w:t>
      </w:r>
      <w:r w:rsidRPr="00600DF7">
        <w:rPr>
          <w:rFonts w:ascii="Times New Roman" w:hAnsi="Times New Roman" w:cs="Times New Roman"/>
        </w:rPr>
        <w:t xml:space="preserve">, </w:t>
      </w:r>
      <w:r w:rsidR="00AE5C65">
        <w:rPr>
          <w:rFonts w:ascii="Times New Roman" w:hAnsi="Times New Roman" w:cs="Times New Roman"/>
        </w:rPr>
        <w:t xml:space="preserve">at </w:t>
      </w:r>
      <w:r w:rsidRPr="00600DF7">
        <w:rPr>
          <w:rFonts w:ascii="Times New Roman" w:hAnsi="Times New Roman" w:cs="Times New Roman"/>
        </w:rPr>
        <w:t>274-</w:t>
      </w:r>
      <w:r w:rsidR="00AE5C65">
        <w:rPr>
          <w:rFonts w:ascii="Times New Roman" w:hAnsi="Times New Roman" w:cs="Times New Roman"/>
        </w:rPr>
        <w:t>27</w:t>
      </w:r>
      <w:r w:rsidRPr="00600DF7">
        <w:rPr>
          <w:rFonts w:ascii="Times New Roman" w:hAnsi="Times New Roman" w:cs="Times New Roman"/>
        </w:rPr>
        <w:t xml:space="preserve">5; Bos, </w:t>
      </w:r>
      <w:r w:rsidR="00AE5C65">
        <w:rPr>
          <w:rFonts w:ascii="Times New Roman" w:hAnsi="Times New Roman" w:cs="Times New Roman"/>
        </w:rPr>
        <w:t>‘</w:t>
      </w:r>
      <w:r w:rsidRPr="00600DF7">
        <w:rPr>
          <w:rFonts w:ascii="Times New Roman" w:hAnsi="Times New Roman" w:cs="Times New Roman"/>
        </w:rPr>
        <w:t>The Identification of Custom in International Law</w:t>
      </w:r>
      <w:r w:rsidR="00AE5C65">
        <w:rPr>
          <w:rFonts w:ascii="Times New Roman" w:hAnsi="Times New Roman" w:cs="Times New Roman"/>
        </w:rPr>
        <w:t>’</w:t>
      </w:r>
      <w:r w:rsidRPr="00600DF7">
        <w:rPr>
          <w:rFonts w:ascii="Times New Roman" w:hAnsi="Times New Roman" w:cs="Times New Roman"/>
        </w:rPr>
        <w:t xml:space="preserve"> 25 </w:t>
      </w:r>
      <w:r w:rsidRPr="00600DF7">
        <w:rPr>
          <w:rFonts w:ascii="Times New Roman" w:hAnsi="Times New Roman" w:cs="Times New Roman"/>
          <w:i/>
          <w:iCs/>
        </w:rPr>
        <w:t>German Yearbook of International Law</w:t>
      </w:r>
      <w:r w:rsidRPr="00600DF7">
        <w:rPr>
          <w:rFonts w:ascii="Times New Roman" w:hAnsi="Times New Roman" w:cs="Times New Roman"/>
        </w:rPr>
        <w:t xml:space="preserve"> (1982) 9, </w:t>
      </w:r>
      <w:r w:rsidR="00AE5C65">
        <w:rPr>
          <w:rFonts w:ascii="Times New Roman" w:hAnsi="Times New Roman" w:cs="Times New Roman"/>
        </w:rPr>
        <w:t xml:space="preserve">at </w:t>
      </w:r>
      <w:r w:rsidRPr="00600DF7">
        <w:rPr>
          <w:rFonts w:ascii="Times New Roman" w:hAnsi="Times New Roman" w:cs="Times New Roman"/>
        </w:rPr>
        <w:t>33.</w:t>
      </w:r>
    </w:p>
  </w:footnote>
  <w:footnote w:id="65">
    <w:p w14:paraId="22FDFB9C" w14:textId="545F24AC" w:rsidR="00F100EB" w:rsidRPr="0014404E" w:rsidRDefault="00F100EB" w:rsidP="00600DF7">
      <w:pPr>
        <w:pStyle w:val="FootnoteText"/>
        <w:jc w:val="both"/>
        <w:rPr>
          <w:rFonts w:ascii="Times New Roman" w:hAnsi="Times New Roman" w:cs="Times New Roman"/>
          <w:lang w:val="fr-FR"/>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proofErr w:type="gramStart"/>
      <w:r w:rsidRPr="00600DF7">
        <w:rPr>
          <w:rFonts w:ascii="Times New Roman" w:hAnsi="Times New Roman" w:cs="Times New Roman"/>
        </w:rPr>
        <w:t>Also</w:t>
      </w:r>
      <w:proofErr w:type="gramEnd"/>
      <w:r w:rsidRPr="00600DF7">
        <w:rPr>
          <w:rFonts w:ascii="Times New Roman" w:hAnsi="Times New Roman" w:cs="Times New Roman"/>
        </w:rPr>
        <w:t xml:space="preserve"> </w:t>
      </w:r>
      <w:r w:rsidRPr="00600DF7">
        <w:rPr>
          <w:rFonts w:ascii="Times New Roman" w:hAnsi="Times New Roman" w:cs="Times New Roman"/>
          <w:i/>
          <w:iCs/>
        </w:rPr>
        <w:t>Continental Shelf (Libyan Arab Jamahiriya/Malta)</w:t>
      </w:r>
      <w:r w:rsidRPr="00600DF7">
        <w:rPr>
          <w:rFonts w:ascii="Times New Roman" w:hAnsi="Times New Roman" w:cs="Times New Roman"/>
        </w:rPr>
        <w:t xml:space="preserve">, Judgment, 3 June 1985, ICJ Reports (1985) 13, </w:t>
      </w:r>
      <w:r w:rsidR="005B2C50">
        <w:rPr>
          <w:rFonts w:ascii="Times New Roman" w:hAnsi="Times New Roman" w:cs="Times New Roman"/>
        </w:rPr>
        <w:t xml:space="preserve">at </w:t>
      </w:r>
      <w:r w:rsidRPr="00600DF7">
        <w:rPr>
          <w:rFonts w:ascii="Times New Roman" w:hAnsi="Times New Roman" w:cs="Times New Roman"/>
        </w:rPr>
        <w:t xml:space="preserve">para. </w:t>
      </w:r>
      <w:r w:rsidRPr="0014404E">
        <w:rPr>
          <w:rFonts w:ascii="Times New Roman" w:hAnsi="Times New Roman" w:cs="Times New Roman"/>
          <w:lang w:val="fr-FR"/>
        </w:rPr>
        <w:t>44.</w:t>
      </w:r>
    </w:p>
  </w:footnote>
  <w:footnote w:id="66">
    <w:p w14:paraId="39A2D4B5" w14:textId="083D486D" w:rsidR="00F100EB" w:rsidRPr="0014404E" w:rsidRDefault="00F100EB" w:rsidP="00600DF7">
      <w:pPr>
        <w:pStyle w:val="FootnoteText"/>
        <w:jc w:val="both"/>
        <w:rPr>
          <w:rFonts w:ascii="Times New Roman" w:hAnsi="Times New Roman" w:cs="Times New Roman"/>
          <w:lang w:val="fr-FR"/>
        </w:rPr>
      </w:pPr>
      <w:r w:rsidRPr="00600DF7">
        <w:rPr>
          <w:rStyle w:val="FootnoteReference"/>
          <w:rFonts w:ascii="Times New Roman" w:hAnsi="Times New Roman" w:cs="Times New Roman"/>
        </w:rPr>
        <w:footnoteRef/>
      </w:r>
      <w:r w:rsidRPr="0014404E">
        <w:rPr>
          <w:rFonts w:ascii="Times New Roman" w:hAnsi="Times New Roman" w:cs="Times New Roman"/>
          <w:lang w:val="fr-FR"/>
        </w:rPr>
        <w:t xml:space="preserve"> </w:t>
      </w:r>
      <w:r w:rsidR="00B01CF0" w:rsidRPr="0014404E">
        <w:rPr>
          <w:rFonts w:ascii="Times New Roman" w:hAnsi="Times New Roman" w:cs="Times New Roman"/>
          <w:i/>
          <w:iCs/>
          <w:lang w:val="fr-FR"/>
        </w:rPr>
        <w:t>Nicaragua</w:t>
      </w:r>
      <w:r w:rsidRPr="0014404E">
        <w:rPr>
          <w:rFonts w:ascii="Times New Roman" w:hAnsi="Times New Roman" w:cs="Times New Roman"/>
          <w:iCs/>
          <w:lang w:val="fr-FR"/>
        </w:rPr>
        <w:t>,</w:t>
      </w:r>
      <w:r w:rsidR="00B01CF0" w:rsidRPr="0014404E">
        <w:rPr>
          <w:rFonts w:ascii="Times New Roman" w:hAnsi="Times New Roman" w:cs="Times New Roman"/>
          <w:iCs/>
          <w:lang w:val="fr-FR"/>
        </w:rPr>
        <w:t xml:space="preserve"> </w:t>
      </w:r>
      <w:r w:rsidR="00B01CF0" w:rsidRPr="0014404E">
        <w:rPr>
          <w:rFonts w:ascii="Times New Roman" w:hAnsi="Times New Roman" w:cs="Times New Roman"/>
          <w:i/>
          <w:lang w:val="fr-FR"/>
        </w:rPr>
        <w:t>supra</w:t>
      </w:r>
      <w:r w:rsidR="00B01CF0" w:rsidRPr="0014404E">
        <w:rPr>
          <w:rFonts w:ascii="Times New Roman" w:hAnsi="Times New Roman" w:cs="Times New Roman"/>
          <w:iCs/>
          <w:lang w:val="fr-FR"/>
        </w:rPr>
        <w:t xml:space="preserve"> note </w:t>
      </w:r>
      <w:r w:rsidR="00C57A8F" w:rsidRPr="0014404E">
        <w:rPr>
          <w:rFonts w:ascii="Times New Roman" w:hAnsi="Times New Roman" w:cs="Times New Roman"/>
          <w:iCs/>
          <w:lang w:val="fr-FR"/>
        </w:rPr>
        <w:t>3</w:t>
      </w:r>
      <w:r w:rsidR="00B01CF0" w:rsidRPr="0014404E">
        <w:rPr>
          <w:rFonts w:ascii="Times New Roman" w:hAnsi="Times New Roman" w:cs="Times New Roman"/>
          <w:iCs/>
          <w:lang w:val="fr-FR"/>
        </w:rPr>
        <w:t>,</w:t>
      </w:r>
      <w:r w:rsidRPr="0014404E">
        <w:rPr>
          <w:rFonts w:ascii="Times New Roman" w:hAnsi="Times New Roman" w:cs="Times New Roman"/>
          <w:iCs/>
          <w:lang w:val="fr-FR"/>
        </w:rPr>
        <w:t xml:space="preserve"> </w:t>
      </w:r>
      <w:r w:rsidR="005B2C50">
        <w:rPr>
          <w:rFonts w:ascii="Times New Roman" w:hAnsi="Times New Roman" w:cs="Times New Roman"/>
          <w:iCs/>
          <w:lang w:val="fr-FR"/>
        </w:rPr>
        <w:t xml:space="preserve">at </w:t>
      </w:r>
      <w:r w:rsidRPr="0014404E">
        <w:rPr>
          <w:rFonts w:ascii="Times New Roman" w:hAnsi="Times New Roman" w:cs="Times New Roman"/>
          <w:iCs/>
          <w:lang w:val="fr-FR"/>
        </w:rPr>
        <w:t>para. 188.</w:t>
      </w:r>
    </w:p>
  </w:footnote>
  <w:footnote w:id="67">
    <w:p w14:paraId="08D95A77" w14:textId="02197FB4" w:rsidR="00F100EB" w:rsidRPr="0014404E" w:rsidRDefault="00F100EB" w:rsidP="00600DF7">
      <w:pPr>
        <w:pStyle w:val="FootnoteText"/>
        <w:jc w:val="both"/>
        <w:rPr>
          <w:rFonts w:ascii="Times New Roman" w:hAnsi="Times New Roman" w:cs="Times New Roman"/>
          <w:lang w:val="fr-FR"/>
        </w:rPr>
      </w:pPr>
      <w:r w:rsidRPr="00600DF7">
        <w:rPr>
          <w:rStyle w:val="FootnoteReference"/>
          <w:rFonts w:ascii="Times New Roman" w:hAnsi="Times New Roman" w:cs="Times New Roman"/>
        </w:rPr>
        <w:footnoteRef/>
      </w:r>
      <w:r w:rsidRPr="0014404E">
        <w:rPr>
          <w:rFonts w:ascii="Times New Roman" w:hAnsi="Times New Roman" w:cs="Times New Roman"/>
          <w:lang w:val="fr-FR"/>
        </w:rPr>
        <w:t xml:space="preserve"> </w:t>
      </w:r>
      <w:r w:rsidRPr="0014404E">
        <w:rPr>
          <w:rFonts w:ascii="Times New Roman" w:hAnsi="Times New Roman" w:cs="Times New Roman"/>
          <w:i/>
          <w:iCs/>
          <w:lang w:val="fr-FR"/>
        </w:rPr>
        <w:t>ibid.</w:t>
      </w:r>
      <w:r w:rsidRPr="0014404E">
        <w:rPr>
          <w:rFonts w:ascii="Times New Roman" w:hAnsi="Times New Roman" w:cs="Times New Roman"/>
          <w:lang w:val="fr-FR"/>
        </w:rPr>
        <w:t xml:space="preserve">, </w:t>
      </w:r>
      <w:r w:rsidR="005D5448">
        <w:rPr>
          <w:rFonts w:ascii="Times New Roman" w:hAnsi="Times New Roman" w:cs="Times New Roman"/>
          <w:lang w:val="fr-FR"/>
        </w:rPr>
        <w:t xml:space="preserve">at </w:t>
      </w:r>
      <w:r w:rsidRPr="0014404E">
        <w:rPr>
          <w:rFonts w:ascii="Times New Roman" w:hAnsi="Times New Roman" w:cs="Times New Roman"/>
          <w:lang w:val="fr-FR"/>
        </w:rPr>
        <w:t>para. 186.</w:t>
      </w:r>
    </w:p>
  </w:footnote>
  <w:footnote w:id="68">
    <w:p w14:paraId="65562A37" w14:textId="6BB6D564" w:rsidR="00483746" w:rsidRPr="00600DF7" w:rsidRDefault="00483746" w:rsidP="00600DF7">
      <w:pPr>
        <w:pStyle w:val="FootnoteText"/>
        <w:jc w:val="both"/>
        <w:rPr>
          <w:rFonts w:ascii="Times New Roman" w:hAnsi="Times New Roman" w:cs="Times New Roman"/>
          <w:lang w:val="fr-FR"/>
        </w:rPr>
      </w:pPr>
      <w:r w:rsidRPr="00600DF7">
        <w:rPr>
          <w:rStyle w:val="FootnoteReference"/>
          <w:rFonts w:ascii="Times New Roman" w:hAnsi="Times New Roman" w:cs="Times New Roman"/>
        </w:rPr>
        <w:footnoteRef/>
      </w:r>
      <w:r w:rsidRPr="00600DF7">
        <w:rPr>
          <w:rFonts w:ascii="Times New Roman" w:hAnsi="Times New Roman" w:cs="Times New Roman"/>
          <w:lang w:val="fr-FR"/>
        </w:rPr>
        <w:t xml:space="preserve"> GA </w:t>
      </w:r>
      <w:proofErr w:type="spellStart"/>
      <w:r w:rsidRPr="00600DF7">
        <w:rPr>
          <w:rFonts w:ascii="Times New Roman" w:hAnsi="Times New Roman" w:cs="Times New Roman"/>
          <w:lang w:val="fr-FR"/>
        </w:rPr>
        <w:t>Res</w:t>
      </w:r>
      <w:proofErr w:type="spellEnd"/>
      <w:r w:rsidR="005D5448">
        <w:rPr>
          <w:rFonts w:ascii="Times New Roman" w:hAnsi="Times New Roman" w:cs="Times New Roman"/>
          <w:lang w:val="fr-FR"/>
        </w:rPr>
        <w:t>.</w:t>
      </w:r>
      <w:r w:rsidRPr="00600DF7">
        <w:rPr>
          <w:rFonts w:ascii="Times New Roman" w:hAnsi="Times New Roman" w:cs="Times New Roman"/>
          <w:lang w:val="fr-FR"/>
        </w:rPr>
        <w:t xml:space="preserve"> 2625 (XXV), 24 </w:t>
      </w:r>
      <w:proofErr w:type="spellStart"/>
      <w:r w:rsidRPr="00600DF7">
        <w:rPr>
          <w:rFonts w:ascii="Times New Roman" w:hAnsi="Times New Roman" w:cs="Times New Roman"/>
          <w:lang w:val="fr-FR"/>
        </w:rPr>
        <w:t>October</w:t>
      </w:r>
      <w:proofErr w:type="spellEnd"/>
      <w:r w:rsidRPr="00600DF7">
        <w:rPr>
          <w:rFonts w:ascii="Times New Roman" w:hAnsi="Times New Roman" w:cs="Times New Roman"/>
          <w:lang w:val="fr-FR"/>
        </w:rPr>
        <w:t xml:space="preserve"> 1970.</w:t>
      </w:r>
    </w:p>
  </w:footnote>
  <w:footnote w:id="69">
    <w:p w14:paraId="157049FF" w14:textId="3C3FF31D"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14404E">
        <w:rPr>
          <w:rFonts w:ascii="Times New Roman" w:hAnsi="Times New Roman" w:cs="Times New Roman"/>
        </w:rPr>
        <w:t xml:space="preserve"> </w:t>
      </w:r>
      <w:r w:rsidR="00E85E23" w:rsidRPr="00600DF7">
        <w:rPr>
          <w:rFonts w:ascii="Times New Roman" w:hAnsi="Times New Roman" w:cs="Times New Roman"/>
          <w:i/>
          <w:iCs/>
        </w:rPr>
        <w:t>Nicaragua</w:t>
      </w:r>
      <w:r w:rsidR="00E85E23" w:rsidRPr="00600DF7">
        <w:rPr>
          <w:rFonts w:ascii="Times New Roman" w:hAnsi="Times New Roman" w:cs="Times New Roman"/>
          <w:iCs/>
        </w:rPr>
        <w:t xml:space="preserve">, </w:t>
      </w:r>
      <w:r w:rsidR="00E85E23" w:rsidRPr="00600DF7">
        <w:rPr>
          <w:rFonts w:ascii="Times New Roman" w:hAnsi="Times New Roman" w:cs="Times New Roman"/>
          <w:i/>
        </w:rPr>
        <w:t>supra</w:t>
      </w:r>
      <w:r w:rsidR="00E85E23" w:rsidRPr="00600DF7">
        <w:rPr>
          <w:rFonts w:ascii="Times New Roman" w:hAnsi="Times New Roman" w:cs="Times New Roman"/>
          <w:iCs/>
        </w:rPr>
        <w:t xml:space="preserve"> note </w:t>
      </w:r>
      <w:r w:rsidR="00C57A8F">
        <w:rPr>
          <w:rFonts w:ascii="Times New Roman" w:hAnsi="Times New Roman" w:cs="Times New Roman"/>
          <w:iCs/>
        </w:rPr>
        <w:t>3</w:t>
      </w:r>
      <w:r w:rsidRPr="0014404E">
        <w:rPr>
          <w:rFonts w:ascii="Times New Roman" w:hAnsi="Times New Roman" w:cs="Times New Roman"/>
        </w:rPr>
        <w:t xml:space="preserve">, </w:t>
      </w:r>
      <w:r w:rsidR="00E32E19">
        <w:rPr>
          <w:rFonts w:ascii="Times New Roman" w:hAnsi="Times New Roman" w:cs="Times New Roman"/>
        </w:rPr>
        <w:t xml:space="preserve">at </w:t>
      </w:r>
      <w:r w:rsidRPr="0014404E">
        <w:rPr>
          <w:rFonts w:ascii="Times New Roman" w:hAnsi="Times New Roman" w:cs="Times New Roman"/>
        </w:rPr>
        <w:t xml:space="preserve">paras. </w:t>
      </w:r>
      <w:r w:rsidRPr="00600DF7">
        <w:rPr>
          <w:rFonts w:ascii="Times New Roman" w:hAnsi="Times New Roman" w:cs="Times New Roman"/>
        </w:rPr>
        <w:t>188-</w:t>
      </w:r>
      <w:r w:rsidR="00E32E19">
        <w:rPr>
          <w:rFonts w:ascii="Times New Roman" w:hAnsi="Times New Roman" w:cs="Times New Roman"/>
        </w:rPr>
        <w:t>1</w:t>
      </w:r>
      <w:r w:rsidRPr="00600DF7">
        <w:rPr>
          <w:rFonts w:ascii="Times New Roman" w:hAnsi="Times New Roman" w:cs="Times New Roman"/>
        </w:rPr>
        <w:t>90.</w:t>
      </w:r>
    </w:p>
  </w:footnote>
  <w:footnote w:id="70">
    <w:p w14:paraId="0FD3690C" w14:textId="3C166C77"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A.A. D’Amato, </w:t>
      </w:r>
      <w:r w:rsidRPr="00600DF7">
        <w:rPr>
          <w:rFonts w:ascii="Times New Roman" w:hAnsi="Times New Roman" w:cs="Times New Roman"/>
          <w:i/>
          <w:iCs/>
        </w:rPr>
        <w:t xml:space="preserve">The Concept of Custom in International Law </w:t>
      </w:r>
      <w:r w:rsidRPr="00600DF7">
        <w:rPr>
          <w:rFonts w:ascii="Times New Roman" w:hAnsi="Times New Roman" w:cs="Times New Roman"/>
        </w:rPr>
        <w:t xml:space="preserve">(1971), </w:t>
      </w:r>
      <w:r w:rsidR="00E32E19">
        <w:rPr>
          <w:rFonts w:ascii="Times New Roman" w:hAnsi="Times New Roman" w:cs="Times New Roman"/>
        </w:rPr>
        <w:t xml:space="preserve">at </w:t>
      </w:r>
      <w:r w:rsidRPr="00600DF7">
        <w:rPr>
          <w:rFonts w:ascii="Times New Roman" w:hAnsi="Times New Roman" w:cs="Times New Roman"/>
        </w:rPr>
        <w:t>102.</w:t>
      </w:r>
    </w:p>
  </w:footnote>
  <w:footnote w:id="71">
    <w:p w14:paraId="31437225" w14:textId="60255908"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Mendelson, </w:t>
      </w:r>
      <w:r w:rsidRPr="00600DF7">
        <w:rPr>
          <w:rFonts w:ascii="Times New Roman" w:hAnsi="Times New Roman" w:cs="Times New Roman"/>
          <w:i/>
          <w:iCs/>
        </w:rPr>
        <w:t xml:space="preserve">supra </w:t>
      </w:r>
      <w:r w:rsidRPr="00600DF7">
        <w:rPr>
          <w:rFonts w:ascii="Times New Roman" w:hAnsi="Times New Roman" w:cs="Times New Roman"/>
        </w:rPr>
        <w:t xml:space="preserve">note </w:t>
      </w:r>
      <w:r w:rsidR="00C57A8F">
        <w:rPr>
          <w:rFonts w:ascii="Times New Roman" w:hAnsi="Times New Roman" w:cs="Times New Roman"/>
        </w:rPr>
        <w:t>4</w:t>
      </w:r>
      <w:r w:rsidR="00E32E19">
        <w:rPr>
          <w:rFonts w:ascii="Times New Roman" w:hAnsi="Times New Roman" w:cs="Times New Roman"/>
        </w:rPr>
        <w:t>1</w:t>
      </w:r>
      <w:r w:rsidRPr="00600DF7">
        <w:rPr>
          <w:rFonts w:ascii="Times New Roman" w:hAnsi="Times New Roman" w:cs="Times New Roman"/>
        </w:rPr>
        <w:t xml:space="preserve">, </w:t>
      </w:r>
      <w:r w:rsidR="00E32E19">
        <w:rPr>
          <w:rFonts w:ascii="Times New Roman" w:hAnsi="Times New Roman" w:cs="Times New Roman"/>
        </w:rPr>
        <w:t xml:space="preserve">at </w:t>
      </w:r>
      <w:r w:rsidRPr="00600DF7">
        <w:rPr>
          <w:rFonts w:ascii="Times New Roman" w:hAnsi="Times New Roman" w:cs="Times New Roman"/>
        </w:rPr>
        <w:t>275-</w:t>
      </w:r>
      <w:r w:rsidR="00E32E19">
        <w:rPr>
          <w:rFonts w:ascii="Times New Roman" w:hAnsi="Times New Roman" w:cs="Times New Roman"/>
        </w:rPr>
        <w:t>27</w:t>
      </w:r>
      <w:r w:rsidRPr="00600DF7">
        <w:rPr>
          <w:rFonts w:ascii="Times New Roman" w:hAnsi="Times New Roman" w:cs="Times New Roman"/>
        </w:rPr>
        <w:t>7.</w:t>
      </w:r>
    </w:p>
  </w:footnote>
  <w:footnote w:id="72">
    <w:p w14:paraId="61B696A6" w14:textId="01327317"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ILC Conclusions, </w:t>
      </w:r>
      <w:r w:rsidRPr="00600DF7">
        <w:rPr>
          <w:rFonts w:ascii="Times New Roman" w:hAnsi="Times New Roman" w:cs="Times New Roman"/>
          <w:i/>
          <w:iCs/>
        </w:rPr>
        <w:t>supra</w:t>
      </w:r>
      <w:r w:rsidRPr="00600DF7">
        <w:rPr>
          <w:rFonts w:ascii="Times New Roman" w:hAnsi="Times New Roman" w:cs="Times New Roman"/>
        </w:rPr>
        <w:t xml:space="preserve"> note 2</w:t>
      </w:r>
      <w:r w:rsidR="00C57A8F">
        <w:rPr>
          <w:rFonts w:ascii="Times New Roman" w:hAnsi="Times New Roman" w:cs="Times New Roman"/>
        </w:rPr>
        <w:t>5</w:t>
      </w:r>
      <w:r w:rsidRPr="00600DF7">
        <w:rPr>
          <w:rFonts w:ascii="Times New Roman" w:hAnsi="Times New Roman" w:cs="Times New Roman"/>
        </w:rPr>
        <w:t xml:space="preserve">, Conclusion 3, </w:t>
      </w:r>
      <w:r w:rsidR="00E247ED">
        <w:rPr>
          <w:rFonts w:ascii="Times New Roman" w:hAnsi="Times New Roman" w:cs="Times New Roman"/>
        </w:rPr>
        <w:t>c</w:t>
      </w:r>
      <w:r w:rsidRPr="00600DF7">
        <w:rPr>
          <w:rFonts w:ascii="Times New Roman" w:hAnsi="Times New Roman" w:cs="Times New Roman"/>
        </w:rPr>
        <w:t>ommentary para. 9.</w:t>
      </w:r>
    </w:p>
  </w:footnote>
  <w:footnote w:id="73">
    <w:p w14:paraId="66C31C2B" w14:textId="67854E5F" w:rsidR="00A507FB" w:rsidRPr="00600DF7" w:rsidRDefault="00A507F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Nicaragua</w:t>
      </w:r>
      <w:r w:rsidRPr="00600DF7">
        <w:rPr>
          <w:rFonts w:ascii="Times New Roman" w:hAnsi="Times New Roman" w:cs="Times New Roman"/>
          <w:iCs/>
        </w:rPr>
        <w:t xml:space="preserve">, </w:t>
      </w:r>
      <w:r w:rsidRPr="00600DF7">
        <w:rPr>
          <w:rFonts w:ascii="Times New Roman" w:hAnsi="Times New Roman" w:cs="Times New Roman"/>
          <w:i/>
        </w:rPr>
        <w:t>supra</w:t>
      </w:r>
      <w:r w:rsidRPr="00600DF7">
        <w:rPr>
          <w:rFonts w:ascii="Times New Roman" w:hAnsi="Times New Roman" w:cs="Times New Roman"/>
          <w:iCs/>
        </w:rPr>
        <w:t xml:space="preserve"> note </w:t>
      </w:r>
      <w:r w:rsidR="00C57A8F">
        <w:rPr>
          <w:rFonts w:ascii="Times New Roman" w:hAnsi="Times New Roman" w:cs="Times New Roman"/>
          <w:iCs/>
        </w:rPr>
        <w:t>3</w:t>
      </w:r>
      <w:r w:rsidRPr="00600DF7">
        <w:rPr>
          <w:rFonts w:ascii="Times New Roman" w:hAnsi="Times New Roman" w:cs="Times New Roman"/>
          <w:iCs/>
        </w:rPr>
        <w:t xml:space="preserve">, </w:t>
      </w:r>
      <w:r w:rsidR="00E247ED">
        <w:rPr>
          <w:rFonts w:ascii="Times New Roman" w:hAnsi="Times New Roman" w:cs="Times New Roman"/>
          <w:iCs/>
        </w:rPr>
        <w:t xml:space="preserve">at </w:t>
      </w:r>
      <w:r w:rsidRPr="00600DF7">
        <w:rPr>
          <w:rFonts w:ascii="Times New Roman" w:hAnsi="Times New Roman" w:cs="Times New Roman"/>
          <w:iCs/>
        </w:rPr>
        <w:t xml:space="preserve">para. 188; </w:t>
      </w:r>
      <w:r w:rsidR="0011463E" w:rsidRPr="00600DF7">
        <w:rPr>
          <w:rFonts w:ascii="Times New Roman" w:hAnsi="Times New Roman" w:cs="Times New Roman"/>
          <w:iCs/>
        </w:rPr>
        <w:t xml:space="preserve">see also </w:t>
      </w:r>
      <w:proofErr w:type="spellStart"/>
      <w:r w:rsidRPr="00600DF7">
        <w:rPr>
          <w:rFonts w:ascii="Times New Roman" w:hAnsi="Times New Roman" w:cs="Times New Roman"/>
          <w:i/>
          <w:iCs/>
        </w:rPr>
        <w:t>Chagos</w:t>
      </w:r>
      <w:proofErr w:type="spellEnd"/>
      <w:r w:rsidRPr="00600DF7">
        <w:rPr>
          <w:rFonts w:ascii="Times New Roman" w:hAnsi="Times New Roman" w:cs="Times New Roman"/>
          <w:i/>
          <w:iCs/>
        </w:rPr>
        <w:t xml:space="preserve"> Archipelago</w:t>
      </w:r>
      <w:r w:rsidRPr="00600DF7">
        <w:rPr>
          <w:rFonts w:ascii="Times New Roman" w:hAnsi="Times New Roman" w:cs="Times New Roman"/>
        </w:rPr>
        <w:t xml:space="preserve">, </w:t>
      </w:r>
      <w:r w:rsidRPr="00600DF7">
        <w:rPr>
          <w:rFonts w:ascii="Times New Roman" w:hAnsi="Times New Roman" w:cs="Times New Roman"/>
          <w:i/>
          <w:iCs/>
        </w:rPr>
        <w:t>supra</w:t>
      </w:r>
      <w:r w:rsidRPr="00600DF7">
        <w:rPr>
          <w:rFonts w:ascii="Times New Roman" w:hAnsi="Times New Roman" w:cs="Times New Roman"/>
        </w:rPr>
        <w:t xml:space="preserve"> note 7, </w:t>
      </w:r>
      <w:r w:rsidR="00E247ED">
        <w:rPr>
          <w:rFonts w:ascii="Times New Roman" w:hAnsi="Times New Roman" w:cs="Times New Roman"/>
        </w:rPr>
        <w:t xml:space="preserve">at </w:t>
      </w:r>
      <w:r w:rsidRPr="00600DF7">
        <w:rPr>
          <w:rFonts w:ascii="Times New Roman" w:hAnsi="Times New Roman" w:cs="Times New Roman"/>
        </w:rPr>
        <w:t>paras</w:t>
      </w:r>
      <w:r w:rsidR="00E247ED">
        <w:rPr>
          <w:rFonts w:ascii="Times New Roman" w:hAnsi="Times New Roman" w:cs="Times New Roman"/>
        </w:rPr>
        <w:t>.</w:t>
      </w:r>
      <w:r w:rsidRPr="00600DF7">
        <w:rPr>
          <w:rFonts w:ascii="Times New Roman" w:hAnsi="Times New Roman" w:cs="Times New Roman"/>
        </w:rPr>
        <w:t xml:space="preserve"> 151-</w:t>
      </w:r>
      <w:r w:rsidR="00E247ED">
        <w:rPr>
          <w:rFonts w:ascii="Times New Roman" w:hAnsi="Times New Roman" w:cs="Times New Roman"/>
        </w:rPr>
        <w:t>15</w:t>
      </w:r>
      <w:r w:rsidRPr="00600DF7">
        <w:rPr>
          <w:rFonts w:ascii="Times New Roman" w:hAnsi="Times New Roman" w:cs="Times New Roman"/>
        </w:rPr>
        <w:t>5.</w:t>
      </w:r>
    </w:p>
  </w:footnote>
  <w:footnote w:id="74">
    <w:p w14:paraId="741CA8ED" w14:textId="521138CB"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Cf. D’Amato, </w:t>
      </w:r>
      <w:r w:rsidRPr="00600DF7">
        <w:rPr>
          <w:rFonts w:ascii="Times New Roman" w:hAnsi="Times New Roman" w:cs="Times New Roman"/>
          <w:i/>
          <w:iCs/>
        </w:rPr>
        <w:t xml:space="preserve">supra </w:t>
      </w:r>
      <w:r w:rsidRPr="00600DF7">
        <w:rPr>
          <w:rFonts w:ascii="Times New Roman" w:hAnsi="Times New Roman" w:cs="Times New Roman"/>
        </w:rPr>
        <w:t xml:space="preserve">note </w:t>
      </w:r>
      <w:r w:rsidR="00BE4CEE">
        <w:rPr>
          <w:rFonts w:ascii="Times New Roman" w:hAnsi="Times New Roman" w:cs="Times New Roman"/>
        </w:rPr>
        <w:t>70</w:t>
      </w:r>
      <w:r w:rsidRPr="00600DF7">
        <w:rPr>
          <w:rFonts w:ascii="Times New Roman" w:hAnsi="Times New Roman" w:cs="Times New Roman"/>
        </w:rPr>
        <w:t xml:space="preserve">, </w:t>
      </w:r>
      <w:r w:rsidR="00E247ED">
        <w:rPr>
          <w:rFonts w:ascii="Times New Roman" w:hAnsi="Times New Roman" w:cs="Times New Roman"/>
        </w:rPr>
        <w:t xml:space="preserve">at </w:t>
      </w:r>
      <w:r w:rsidRPr="00600DF7">
        <w:rPr>
          <w:rFonts w:ascii="Times New Roman" w:hAnsi="Times New Roman" w:cs="Times New Roman"/>
        </w:rPr>
        <w:t xml:space="preserve">102; </w:t>
      </w:r>
      <w:proofErr w:type="spellStart"/>
      <w:r w:rsidRPr="00600DF7">
        <w:rPr>
          <w:rFonts w:ascii="Times New Roman" w:hAnsi="Times New Roman" w:cs="Times New Roman"/>
        </w:rPr>
        <w:t>Tasioulas</w:t>
      </w:r>
      <w:proofErr w:type="spellEnd"/>
      <w:r w:rsidRPr="00600DF7">
        <w:rPr>
          <w:rFonts w:ascii="Times New Roman" w:hAnsi="Times New Roman" w:cs="Times New Roman"/>
        </w:rPr>
        <w:t xml:space="preserve">, ‘Prosper Weil and the Mask of Classicism’, 114 </w:t>
      </w:r>
      <w:r w:rsidRPr="00600DF7">
        <w:rPr>
          <w:rFonts w:ascii="Times New Roman" w:hAnsi="Times New Roman" w:cs="Times New Roman"/>
          <w:i/>
          <w:iCs/>
        </w:rPr>
        <w:t>AJIL Unbound</w:t>
      </w:r>
      <w:r w:rsidRPr="00600DF7">
        <w:rPr>
          <w:rFonts w:ascii="Times New Roman" w:hAnsi="Times New Roman" w:cs="Times New Roman"/>
        </w:rPr>
        <w:t xml:space="preserve"> (2020) 92, </w:t>
      </w:r>
      <w:r w:rsidR="00BE4CEE">
        <w:rPr>
          <w:rFonts w:ascii="Times New Roman" w:hAnsi="Times New Roman" w:cs="Times New Roman"/>
        </w:rPr>
        <w:t xml:space="preserve">at </w:t>
      </w:r>
      <w:r w:rsidRPr="00600DF7">
        <w:rPr>
          <w:rFonts w:ascii="Times New Roman" w:hAnsi="Times New Roman" w:cs="Times New Roman"/>
        </w:rPr>
        <w:t>95.</w:t>
      </w:r>
    </w:p>
  </w:footnote>
  <w:footnote w:id="75">
    <w:p w14:paraId="2AC780D8" w14:textId="79A11022"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proofErr w:type="spellStart"/>
      <w:r w:rsidRPr="00600DF7">
        <w:rPr>
          <w:rFonts w:ascii="Times New Roman" w:hAnsi="Times New Roman" w:cs="Times New Roman"/>
          <w:i/>
          <w:iCs/>
        </w:rPr>
        <w:t>Right</w:t>
      </w:r>
      <w:proofErr w:type="spellEnd"/>
      <w:r w:rsidRPr="00600DF7">
        <w:rPr>
          <w:rFonts w:ascii="Times New Roman" w:hAnsi="Times New Roman" w:cs="Times New Roman"/>
          <w:i/>
          <w:iCs/>
        </w:rPr>
        <w:t xml:space="preserve"> of Passage</w:t>
      </w:r>
      <w:r w:rsidRPr="00600DF7">
        <w:rPr>
          <w:rFonts w:ascii="Times New Roman" w:hAnsi="Times New Roman" w:cs="Times New Roman"/>
        </w:rPr>
        <w:t>,</w:t>
      </w:r>
      <w:r w:rsidR="00A70AE5" w:rsidRPr="00600DF7">
        <w:rPr>
          <w:rFonts w:ascii="Times New Roman" w:hAnsi="Times New Roman" w:cs="Times New Roman"/>
        </w:rPr>
        <w:t xml:space="preserve"> </w:t>
      </w:r>
      <w:r w:rsidR="00A70AE5" w:rsidRPr="00600DF7">
        <w:rPr>
          <w:rFonts w:ascii="Times New Roman" w:hAnsi="Times New Roman" w:cs="Times New Roman"/>
          <w:i/>
          <w:iCs/>
        </w:rPr>
        <w:t>supra</w:t>
      </w:r>
      <w:r w:rsidR="00A70AE5" w:rsidRPr="00600DF7">
        <w:rPr>
          <w:rFonts w:ascii="Times New Roman" w:hAnsi="Times New Roman" w:cs="Times New Roman"/>
        </w:rPr>
        <w:t xml:space="preserve"> note </w:t>
      </w:r>
      <w:r w:rsidR="00C57A8F">
        <w:rPr>
          <w:rFonts w:ascii="Times New Roman" w:hAnsi="Times New Roman" w:cs="Times New Roman"/>
        </w:rPr>
        <w:t>2</w:t>
      </w:r>
      <w:r w:rsidR="00A70AE5" w:rsidRPr="00600DF7">
        <w:rPr>
          <w:rFonts w:ascii="Times New Roman" w:hAnsi="Times New Roman" w:cs="Times New Roman"/>
        </w:rPr>
        <w:t>,</w:t>
      </w:r>
      <w:r w:rsidRPr="00600DF7">
        <w:rPr>
          <w:rFonts w:ascii="Times New Roman" w:hAnsi="Times New Roman" w:cs="Times New Roman"/>
        </w:rPr>
        <w:t xml:space="preserve"> </w:t>
      </w:r>
      <w:r w:rsidR="00BE4CEE">
        <w:rPr>
          <w:rFonts w:ascii="Times New Roman" w:hAnsi="Times New Roman" w:cs="Times New Roman"/>
        </w:rPr>
        <w:t xml:space="preserve">at </w:t>
      </w:r>
      <w:r w:rsidRPr="00600DF7">
        <w:rPr>
          <w:rFonts w:ascii="Times New Roman" w:hAnsi="Times New Roman" w:cs="Times New Roman"/>
        </w:rPr>
        <w:t>43-</w:t>
      </w:r>
      <w:r w:rsidR="00BE4CEE">
        <w:rPr>
          <w:rFonts w:ascii="Times New Roman" w:hAnsi="Times New Roman" w:cs="Times New Roman"/>
        </w:rPr>
        <w:t>4</w:t>
      </w:r>
      <w:r w:rsidRPr="00600DF7">
        <w:rPr>
          <w:rFonts w:ascii="Times New Roman" w:hAnsi="Times New Roman" w:cs="Times New Roman"/>
        </w:rPr>
        <w:t xml:space="preserve">4. Portugal made an alternative argument based on general customary international </w:t>
      </w:r>
      <w:proofErr w:type="gramStart"/>
      <w:r w:rsidRPr="00600DF7">
        <w:rPr>
          <w:rFonts w:ascii="Times New Roman" w:hAnsi="Times New Roman" w:cs="Times New Roman"/>
        </w:rPr>
        <w:t>law</w:t>
      </w:r>
      <w:proofErr w:type="gramEnd"/>
      <w:r w:rsidRPr="00600DF7">
        <w:rPr>
          <w:rFonts w:ascii="Times New Roman" w:hAnsi="Times New Roman" w:cs="Times New Roman"/>
        </w:rPr>
        <w:t xml:space="preserve"> but the Court did not address this in its judgment.</w:t>
      </w:r>
    </w:p>
  </w:footnote>
  <w:footnote w:id="76">
    <w:p w14:paraId="76521CFA" w14:textId="295AF63B"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ibid.</w:t>
      </w:r>
      <w:r w:rsidRPr="00600DF7">
        <w:rPr>
          <w:rFonts w:ascii="Times New Roman" w:hAnsi="Times New Roman" w:cs="Times New Roman"/>
        </w:rPr>
        <w:t xml:space="preserve">, </w:t>
      </w:r>
      <w:r w:rsidR="00BE4CEE">
        <w:rPr>
          <w:rFonts w:ascii="Times New Roman" w:hAnsi="Times New Roman" w:cs="Times New Roman"/>
        </w:rPr>
        <w:t xml:space="preserve">at </w:t>
      </w:r>
      <w:r w:rsidRPr="00600DF7">
        <w:rPr>
          <w:rFonts w:ascii="Times New Roman" w:hAnsi="Times New Roman" w:cs="Times New Roman"/>
        </w:rPr>
        <w:t>11.</w:t>
      </w:r>
    </w:p>
  </w:footnote>
  <w:footnote w:id="77">
    <w:p w14:paraId="019A2818" w14:textId="1B54FB1B" w:rsidR="00E52459" w:rsidRPr="00600DF7" w:rsidRDefault="00E52459"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ibid.</w:t>
      </w:r>
      <w:r w:rsidRPr="00600DF7">
        <w:rPr>
          <w:rFonts w:ascii="Times New Roman" w:hAnsi="Times New Roman" w:cs="Times New Roman"/>
        </w:rPr>
        <w:t xml:space="preserve">, </w:t>
      </w:r>
      <w:r w:rsidR="00B11C40">
        <w:rPr>
          <w:rFonts w:ascii="Times New Roman" w:hAnsi="Times New Roman" w:cs="Times New Roman"/>
        </w:rPr>
        <w:t xml:space="preserve">at </w:t>
      </w:r>
      <w:r w:rsidRPr="00600DF7">
        <w:rPr>
          <w:rFonts w:ascii="Times New Roman" w:hAnsi="Times New Roman" w:cs="Times New Roman"/>
        </w:rPr>
        <w:t>40.</w:t>
      </w:r>
    </w:p>
  </w:footnote>
  <w:footnote w:id="78">
    <w:p w14:paraId="620E6C53" w14:textId="79BCA064"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Bos, </w:t>
      </w:r>
      <w:r w:rsidRPr="00600DF7">
        <w:rPr>
          <w:rFonts w:ascii="Times New Roman" w:hAnsi="Times New Roman" w:cs="Times New Roman"/>
          <w:i/>
          <w:iCs/>
        </w:rPr>
        <w:t xml:space="preserve">supra </w:t>
      </w:r>
      <w:r w:rsidRPr="00600DF7">
        <w:rPr>
          <w:rFonts w:ascii="Times New Roman" w:hAnsi="Times New Roman" w:cs="Times New Roman"/>
        </w:rPr>
        <w:t>note 6</w:t>
      </w:r>
      <w:r w:rsidR="00B11C40">
        <w:rPr>
          <w:rFonts w:ascii="Times New Roman" w:hAnsi="Times New Roman" w:cs="Times New Roman"/>
        </w:rPr>
        <w:t>4</w:t>
      </w:r>
      <w:r w:rsidRPr="00600DF7">
        <w:rPr>
          <w:rFonts w:ascii="Times New Roman" w:hAnsi="Times New Roman" w:cs="Times New Roman"/>
        </w:rPr>
        <w:t xml:space="preserve">, </w:t>
      </w:r>
      <w:r w:rsidR="00B11C40">
        <w:rPr>
          <w:rFonts w:ascii="Times New Roman" w:hAnsi="Times New Roman" w:cs="Times New Roman"/>
        </w:rPr>
        <w:t xml:space="preserve">at </w:t>
      </w:r>
      <w:r w:rsidRPr="00600DF7">
        <w:rPr>
          <w:rFonts w:ascii="Times New Roman" w:hAnsi="Times New Roman" w:cs="Times New Roman"/>
        </w:rPr>
        <w:t>34-</w:t>
      </w:r>
      <w:r w:rsidR="00B11C40">
        <w:rPr>
          <w:rFonts w:ascii="Times New Roman" w:hAnsi="Times New Roman" w:cs="Times New Roman"/>
        </w:rPr>
        <w:t>3</w:t>
      </w:r>
      <w:r w:rsidRPr="00600DF7">
        <w:rPr>
          <w:rFonts w:ascii="Times New Roman" w:hAnsi="Times New Roman" w:cs="Times New Roman"/>
        </w:rPr>
        <w:t xml:space="preserve">5; cf. Pellet and Müller, who consider that in this case the practice ‘takes the place of’ </w:t>
      </w:r>
      <w:r w:rsidRPr="00600DF7">
        <w:rPr>
          <w:rFonts w:ascii="Times New Roman" w:hAnsi="Times New Roman" w:cs="Times New Roman"/>
          <w:i/>
          <w:iCs/>
        </w:rPr>
        <w:t>opinio juris</w:t>
      </w:r>
      <w:r w:rsidRPr="00600DF7">
        <w:rPr>
          <w:rFonts w:ascii="Times New Roman" w:hAnsi="Times New Roman" w:cs="Times New Roman"/>
        </w:rPr>
        <w:t xml:space="preserve">, ‘Article 38’ in A. Zimmermann et al (eds.), </w:t>
      </w:r>
      <w:r w:rsidRPr="00600DF7">
        <w:rPr>
          <w:rFonts w:ascii="Times New Roman" w:hAnsi="Times New Roman" w:cs="Times New Roman"/>
          <w:i/>
          <w:iCs/>
        </w:rPr>
        <w:t xml:space="preserve">The Statute of the International Court of Justice: A Commentary </w:t>
      </w:r>
      <w:r w:rsidRPr="00600DF7">
        <w:rPr>
          <w:rFonts w:ascii="Times New Roman" w:hAnsi="Times New Roman" w:cs="Times New Roman"/>
        </w:rPr>
        <w:t xml:space="preserve">(3rd ed., 2019) 819, </w:t>
      </w:r>
      <w:r w:rsidR="00B11C40">
        <w:rPr>
          <w:rFonts w:ascii="Times New Roman" w:hAnsi="Times New Roman" w:cs="Times New Roman"/>
        </w:rPr>
        <w:t xml:space="preserve">at </w:t>
      </w:r>
      <w:r w:rsidRPr="00600DF7">
        <w:rPr>
          <w:rFonts w:ascii="Times New Roman" w:hAnsi="Times New Roman" w:cs="Times New Roman"/>
        </w:rPr>
        <w:t>para. 238.</w:t>
      </w:r>
    </w:p>
  </w:footnote>
  <w:footnote w:id="79">
    <w:p w14:paraId="541F8732" w14:textId="4802993E"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North Sea</w:t>
      </w:r>
      <w:r w:rsidRPr="00600DF7">
        <w:rPr>
          <w:rFonts w:ascii="Times New Roman" w:hAnsi="Times New Roman" w:cs="Times New Roman"/>
        </w:rPr>
        <w:t xml:space="preserve">, </w:t>
      </w:r>
      <w:r w:rsidRPr="00600DF7">
        <w:rPr>
          <w:rFonts w:ascii="Times New Roman" w:hAnsi="Times New Roman" w:cs="Times New Roman"/>
          <w:i/>
          <w:iCs/>
        </w:rPr>
        <w:t>supra</w:t>
      </w:r>
      <w:r w:rsidRPr="00600DF7">
        <w:rPr>
          <w:rFonts w:ascii="Times New Roman" w:hAnsi="Times New Roman" w:cs="Times New Roman"/>
        </w:rPr>
        <w:t xml:space="preserve"> note </w:t>
      </w:r>
      <w:r w:rsidR="00A70AE5" w:rsidRPr="00600DF7">
        <w:rPr>
          <w:rFonts w:ascii="Times New Roman" w:hAnsi="Times New Roman" w:cs="Times New Roman"/>
        </w:rPr>
        <w:t>1</w:t>
      </w:r>
      <w:r w:rsidRPr="00600DF7">
        <w:rPr>
          <w:rFonts w:ascii="Times New Roman" w:hAnsi="Times New Roman" w:cs="Times New Roman"/>
        </w:rPr>
        <w:t xml:space="preserve">, </w:t>
      </w:r>
      <w:r w:rsidR="00B11C40">
        <w:rPr>
          <w:rFonts w:ascii="Times New Roman" w:hAnsi="Times New Roman" w:cs="Times New Roman"/>
        </w:rPr>
        <w:t xml:space="preserve">at </w:t>
      </w:r>
      <w:r w:rsidRPr="00600DF7">
        <w:rPr>
          <w:rFonts w:ascii="Times New Roman" w:hAnsi="Times New Roman" w:cs="Times New Roman"/>
        </w:rPr>
        <w:t>para. 76.</w:t>
      </w:r>
    </w:p>
  </w:footnote>
  <w:footnote w:id="80">
    <w:p w14:paraId="4516B52A" w14:textId="73D58805"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r w:rsidRPr="00600DF7">
        <w:rPr>
          <w:rFonts w:ascii="Times New Roman" w:hAnsi="Times New Roman" w:cs="Times New Roman"/>
          <w:i/>
          <w:iCs/>
        </w:rPr>
        <w:t>Navigational and Related Rights</w:t>
      </w:r>
      <w:r w:rsidRPr="00600DF7">
        <w:rPr>
          <w:rFonts w:ascii="Times New Roman" w:hAnsi="Times New Roman" w:cs="Times New Roman"/>
        </w:rPr>
        <w:t xml:space="preserve">, </w:t>
      </w:r>
      <w:r w:rsidR="00A70AE5" w:rsidRPr="00600DF7">
        <w:rPr>
          <w:rFonts w:ascii="Times New Roman" w:hAnsi="Times New Roman" w:cs="Times New Roman"/>
          <w:i/>
          <w:iCs/>
        </w:rPr>
        <w:t>supra</w:t>
      </w:r>
      <w:r w:rsidR="00A70AE5" w:rsidRPr="00600DF7">
        <w:rPr>
          <w:rFonts w:ascii="Times New Roman" w:hAnsi="Times New Roman" w:cs="Times New Roman"/>
        </w:rPr>
        <w:t xml:space="preserve"> note </w:t>
      </w:r>
      <w:r w:rsidR="00C57A8F">
        <w:rPr>
          <w:rFonts w:ascii="Times New Roman" w:hAnsi="Times New Roman" w:cs="Times New Roman"/>
        </w:rPr>
        <w:t>2</w:t>
      </w:r>
      <w:r w:rsidRPr="00600DF7">
        <w:rPr>
          <w:rFonts w:ascii="Times New Roman" w:hAnsi="Times New Roman" w:cs="Times New Roman"/>
        </w:rPr>
        <w:t xml:space="preserve">, </w:t>
      </w:r>
      <w:r w:rsidR="00B11C40">
        <w:rPr>
          <w:rFonts w:ascii="Times New Roman" w:hAnsi="Times New Roman" w:cs="Times New Roman"/>
        </w:rPr>
        <w:t xml:space="preserve">at </w:t>
      </w:r>
      <w:r w:rsidRPr="00600DF7">
        <w:rPr>
          <w:rFonts w:ascii="Times New Roman" w:hAnsi="Times New Roman" w:cs="Times New Roman"/>
        </w:rPr>
        <w:t>para. 141.</w:t>
      </w:r>
    </w:p>
  </w:footnote>
  <w:footnote w:id="81">
    <w:p w14:paraId="1330EBB8" w14:textId="439CB780"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Alvarez-</w:t>
      </w:r>
      <w:proofErr w:type="spellStart"/>
      <w:r w:rsidRPr="00600DF7">
        <w:rPr>
          <w:rFonts w:ascii="Times New Roman" w:hAnsi="Times New Roman" w:cs="Times New Roman"/>
        </w:rPr>
        <w:t>Jímenez</w:t>
      </w:r>
      <w:proofErr w:type="spellEnd"/>
      <w:r w:rsidRPr="00600DF7">
        <w:rPr>
          <w:rFonts w:ascii="Times New Roman" w:hAnsi="Times New Roman" w:cs="Times New Roman"/>
        </w:rPr>
        <w:t xml:space="preserve">, </w:t>
      </w:r>
      <w:r w:rsidRPr="00600DF7">
        <w:rPr>
          <w:rFonts w:ascii="Times New Roman" w:hAnsi="Times New Roman" w:cs="Times New Roman"/>
          <w:i/>
          <w:iCs/>
        </w:rPr>
        <w:t xml:space="preserve">supra </w:t>
      </w:r>
      <w:r w:rsidRPr="00600DF7">
        <w:rPr>
          <w:rFonts w:ascii="Times New Roman" w:hAnsi="Times New Roman" w:cs="Times New Roman"/>
        </w:rPr>
        <w:t xml:space="preserve">note </w:t>
      </w:r>
      <w:r w:rsidR="00A70AE5" w:rsidRPr="00600DF7">
        <w:rPr>
          <w:rFonts w:ascii="Times New Roman" w:hAnsi="Times New Roman" w:cs="Times New Roman"/>
        </w:rPr>
        <w:t>11</w:t>
      </w:r>
      <w:r w:rsidRPr="00600DF7">
        <w:rPr>
          <w:rFonts w:ascii="Times New Roman" w:hAnsi="Times New Roman" w:cs="Times New Roman"/>
        </w:rPr>
        <w:t xml:space="preserve">, </w:t>
      </w:r>
      <w:r w:rsidR="00B11C40">
        <w:rPr>
          <w:rFonts w:ascii="Times New Roman" w:hAnsi="Times New Roman" w:cs="Times New Roman"/>
        </w:rPr>
        <w:t xml:space="preserve">at </w:t>
      </w:r>
      <w:r w:rsidRPr="00600DF7">
        <w:rPr>
          <w:rFonts w:ascii="Times New Roman" w:hAnsi="Times New Roman" w:cs="Times New Roman"/>
        </w:rPr>
        <w:t>703-</w:t>
      </w:r>
      <w:r w:rsidR="00B11C40">
        <w:rPr>
          <w:rFonts w:ascii="Times New Roman" w:hAnsi="Times New Roman" w:cs="Times New Roman"/>
        </w:rPr>
        <w:t>70</w:t>
      </w:r>
      <w:r w:rsidRPr="00600DF7">
        <w:rPr>
          <w:rFonts w:ascii="Times New Roman" w:hAnsi="Times New Roman" w:cs="Times New Roman"/>
        </w:rPr>
        <w:t>4.</w:t>
      </w:r>
    </w:p>
  </w:footnote>
  <w:footnote w:id="82">
    <w:p w14:paraId="094F0B42" w14:textId="795294A1" w:rsidR="00F100EB" w:rsidRPr="00600DF7" w:rsidRDefault="00F100EB"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The ILC Special Rapporteur considers </w:t>
      </w:r>
      <w:r w:rsidRPr="00600DF7">
        <w:rPr>
          <w:rFonts w:ascii="Times New Roman" w:hAnsi="Times New Roman" w:cs="Times New Roman"/>
          <w:i/>
          <w:iCs/>
        </w:rPr>
        <w:t>Right of Passage</w:t>
      </w:r>
      <w:r w:rsidRPr="00600DF7">
        <w:rPr>
          <w:rFonts w:ascii="Times New Roman" w:hAnsi="Times New Roman" w:cs="Times New Roman"/>
        </w:rPr>
        <w:t xml:space="preserve"> to be ‘one of the first cases in which the Court elaborated on the methodology for ascertaining customary international law’, Wood’s Second Report, </w:t>
      </w:r>
      <w:r w:rsidRPr="00600DF7">
        <w:rPr>
          <w:rFonts w:ascii="Times New Roman" w:hAnsi="Times New Roman" w:cs="Times New Roman"/>
          <w:i/>
          <w:iCs/>
        </w:rPr>
        <w:t>supra</w:t>
      </w:r>
      <w:r w:rsidRPr="00600DF7">
        <w:rPr>
          <w:rFonts w:ascii="Times New Roman" w:hAnsi="Times New Roman" w:cs="Times New Roman"/>
        </w:rPr>
        <w:t xml:space="preserve"> note </w:t>
      </w:r>
      <w:r w:rsidR="00A70AE5" w:rsidRPr="00600DF7">
        <w:rPr>
          <w:rFonts w:ascii="Times New Roman" w:hAnsi="Times New Roman" w:cs="Times New Roman"/>
        </w:rPr>
        <w:t>20</w:t>
      </w:r>
      <w:r w:rsidRPr="00600DF7">
        <w:rPr>
          <w:rFonts w:ascii="Times New Roman" w:hAnsi="Times New Roman" w:cs="Times New Roman"/>
        </w:rPr>
        <w:t xml:space="preserve">, </w:t>
      </w:r>
      <w:r w:rsidR="000E7ED8">
        <w:rPr>
          <w:rFonts w:ascii="Times New Roman" w:hAnsi="Times New Roman" w:cs="Times New Roman"/>
        </w:rPr>
        <w:t xml:space="preserve">at </w:t>
      </w:r>
      <w:r w:rsidRPr="00600DF7">
        <w:rPr>
          <w:rFonts w:ascii="Times New Roman" w:hAnsi="Times New Roman" w:cs="Times New Roman"/>
        </w:rPr>
        <w:t>para. 68. The bilateral nature of the rule will of course impact the quantity of practice</w:t>
      </w:r>
      <w:r w:rsidR="00CB46A7" w:rsidRPr="00600DF7">
        <w:rPr>
          <w:rFonts w:ascii="Times New Roman" w:hAnsi="Times New Roman" w:cs="Times New Roman"/>
        </w:rPr>
        <w:t xml:space="preserve"> and </w:t>
      </w:r>
      <w:r w:rsidR="00CB46A7" w:rsidRPr="00600DF7">
        <w:rPr>
          <w:rFonts w:ascii="Times New Roman" w:hAnsi="Times New Roman" w:cs="Times New Roman"/>
          <w:i/>
          <w:iCs/>
        </w:rPr>
        <w:t>opinio juris</w:t>
      </w:r>
      <w:r w:rsidRPr="00600DF7">
        <w:rPr>
          <w:rFonts w:ascii="Times New Roman" w:hAnsi="Times New Roman" w:cs="Times New Roman"/>
        </w:rPr>
        <w:t xml:space="preserve"> required, since only two states are involved.</w:t>
      </w:r>
    </w:p>
  </w:footnote>
  <w:footnote w:id="83">
    <w:p w14:paraId="5F768B33" w14:textId="3290ED17" w:rsidR="00195240" w:rsidRPr="00600DF7" w:rsidRDefault="00195240"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proofErr w:type="spellStart"/>
      <w:r w:rsidRPr="00600DF7">
        <w:rPr>
          <w:rFonts w:ascii="Times New Roman" w:hAnsi="Times New Roman" w:cs="Times New Roman"/>
        </w:rPr>
        <w:t>Akehurst</w:t>
      </w:r>
      <w:proofErr w:type="spellEnd"/>
      <w:r w:rsidRPr="00600DF7">
        <w:rPr>
          <w:rFonts w:ascii="Times New Roman" w:hAnsi="Times New Roman" w:cs="Times New Roman"/>
        </w:rPr>
        <w:t xml:space="preserve">, </w:t>
      </w:r>
      <w:r w:rsidRPr="00600DF7">
        <w:rPr>
          <w:rFonts w:ascii="Times New Roman" w:hAnsi="Times New Roman" w:cs="Times New Roman"/>
          <w:i/>
          <w:iCs/>
        </w:rPr>
        <w:t>supra</w:t>
      </w:r>
      <w:r w:rsidRPr="00600DF7">
        <w:rPr>
          <w:rFonts w:ascii="Times New Roman" w:hAnsi="Times New Roman" w:cs="Times New Roman"/>
        </w:rPr>
        <w:t xml:space="preserve"> note 9, </w:t>
      </w:r>
      <w:r w:rsidR="00AD53C5">
        <w:rPr>
          <w:rFonts w:ascii="Times New Roman" w:hAnsi="Times New Roman" w:cs="Times New Roman"/>
        </w:rPr>
        <w:t xml:space="preserve">at </w:t>
      </w:r>
      <w:r w:rsidRPr="00600DF7">
        <w:rPr>
          <w:rFonts w:ascii="Times New Roman" w:hAnsi="Times New Roman" w:cs="Times New Roman"/>
        </w:rPr>
        <w:t>38.</w:t>
      </w:r>
    </w:p>
  </w:footnote>
  <w:footnote w:id="84">
    <w:p w14:paraId="649F8E84" w14:textId="79AB7DFE" w:rsidR="002C181C" w:rsidRPr="0014404E" w:rsidRDefault="002C181C"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14404E">
        <w:rPr>
          <w:rFonts w:ascii="Times New Roman" w:hAnsi="Times New Roman" w:cs="Times New Roman"/>
        </w:rPr>
        <w:t xml:space="preserve"> ILC Conclusions, </w:t>
      </w:r>
      <w:r w:rsidRPr="0014404E">
        <w:rPr>
          <w:rFonts w:ascii="Times New Roman" w:hAnsi="Times New Roman" w:cs="Times New Roman"/>
          <w:i/>
          <w:iCs/>
        </w:rPr>
        <w:t>supra</w:t>
      </w:r>
      <w:r w:rsidRPr="0014404E">
        <w:rPr>
          <w:rFonts w:ascii="Times New Roman" w:hAnsi="Times New Roman" w:cs="Times New Roman"/>
        </w:rPr>
        <w:t xml:space="preserve"> note 2</w:t>
      </w:r>
      <w:r w:rsidR="00C57A8F" w:rsidRPr="0014404E">
        <w:rPr>
          <w:rFonts w:ascii="Times New Roman" w:hAnsi="Times New Roman" w:cs="Times New Roman"/>
        </w:rPr>
        <w:t>5</w:t>
      </w:r>
      <w:r w:rsidRPr="0014404E">
        <w:rPr>
          <w:rFonts w:ascii="Times New Roman" w:hAnsi="Times New Roman" w:cs="Times New Roman"/>
        </w:rPr>
        <w:t>, Conclusion 10(3).</w:t>
      </w:r>
    </w:p>
  </w:footnote>
  <w:footnote w:id="85">
    <w:p w14:paraId="26FA9F5E" w14:textId="5462205A" w:rsidR="00B37491" w:rsidRPr="00600DF7" w:rsidRDefault="00B37491"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proofErr w:type="spellStart"/>
      <w:r w:rsidRPr="00600DF7">
        <w:rPr>
          <w:rFonts w:ascii="Times New Roman" w:hAnsi="Times New Roman" w:cs="Times New Roman"/>
        </w:rPr>
        <w:t>Kammerhofer</w:t>
      </w:r>
      <w:proofErr w:type="spellEnd"/>
      <w:r w:rsidRPr="00600DF7">
        <w:rPr>
          <w:rFonts w:ascii="Times New Roman" w:hAnsi="Times New Roman" w:cs="Times New Roman"/>
        </w:rPr>
        <w:t xml:space="preserve">, ‘Uncertainty in the Formal Sources of International Law: Customary International Law and Some of Its Problems’ 15(3) </w:t>
      </w:r>
      <w:r w:rsidRPr="00C81A70">
        <w:rPr>
          <w:rFonts w:ascii="Times New Roman" w:hAnsi="Times New Roman" w:cs="Times New Roman"/>
          <w:i/>
          <w:iCs/>
        </w:rPr>
        <w:t>EJIL</w:t>
      </w:r>
      <w:r w:rsidRPr="00600DF7">
        <w:rPr>
          <w:rFonts w:ascii="Times New Roman" w:hAnsi="Times New Roman" w:cs="Times New Roman"/>
        </w:rPr>
        <w:t xml:space="preserve"> </w:t>
      </w:r>
      <w:r w:rsidR="008571E0">
        <w:rPr>
          <w:rFonts w:ascii="Times New Roman" w:hAnsi="Times New Roman" w:cs="Times New Roman"/>
        </w:rPr>
        <w:t xml:space="preserve">(2004) </w:t>
      </w:r>
      <w:r w:rsidRPr="00600DF7">
        <w:rPr>
          <w:rFonts w:ascii="Times New Roman" w:hAnsi="Times New Roman" w:cs="Times New Roman"/>
        </w:rPr>
        <w:t xml:space="preserve">523, </w:t>
      </w:r>
      <w:r w:rsidR="008571E0">
        <w:rPr>
          <w:rFonts w:ascii="Times New Roman" w:hAnsi="Times New Roman" w:cs="Times New Roman"/>
        </w:rPr>
        <w:t xml:space="preserve">at </w:t>
      </w:r>
      <w:r w:rsidRPr="00600DF7">
        <w:rPr>
          <w:rFonts w:ascii="Times New Roman" w:hAnsi="Times New Roman" w:cs="Times New Roman"/>
        </w:rPr>
        <w:t>529.</w:t>
      </w:r>
    </w:p>
  </w:footnote>
  <w:footnote w:id="86">
    <w:p w14:paraId="4142754F" w14:textId="34EFB0E7" w:rsidR="00B37491" w:rsidRPr="00600DF7" w:rsidRDefault="00B37491"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See </w:t>
      </w:r>
      <w:r w:rsidRPr="00600DF7">
        <w:rPr>
          <w:rFonts w:ascii="Times New Roman" w:hAnsi="Times New Roman" w:cs="Times New Roman"/>
          <w:i/>
          <w:iCs/>
        </w:rPr>
        <w:t>Fisheries</w:t>
      </w:r>
      <w:r w:rsidRPr="00600DF7">
        <w:rPr>
          <w:rFonts w:ascii="Times New Roman" w:hAnsi="Times New Roman" w:cs="Times New Roman"/>
        </w:rPr>
        <w:t xml:space="preserve"> </w:t>
      </w:r>
      <w:r w:rsidRPr="00600DF7">
        <w:rPr>
          <w:rFonts w:ascii="Times New Roman" w:hAnsi="Times New Roman" w:cs="Times New Roman"/>
          <w:i/>
          <w:iCs/>
        </w:rPr>
        <w:t>(United Kingdom v. Norway)</w:t>
      </w:r>
      <w:r w:rsidRPr="00600DF7">
        <w:rPr>
          <w:rFonts w:ascii="Times New Roman" w:hAnsi="Times New Roman" w:cs="Times New Roman"/>
        </w:rPr>
        <w:t xml:space="preserve">, Judgment, 18 December 1951, ICJ Reports (1951) 116, </w:t>
      </w:r>
      <w:r w:rsidR="008571E0">
        <w:rPr>
          <w:rFonts w:ascii="Times New Roman" w:hAnsi="Times New Roman" w:cs="Times New Roman"/>
        </w:rPr>
        <w:t xml:space="preserve">at </w:t>
      </w:r>
      <w:r w:rsidRPr="00600DF7">
        <w:rPr>
          <w:rFonts w:ascii="Times New Roman" w:hAnsi="Times New Roman" w:cs="Times New Roman"/>
        </w:rPr>
        <w:t xml:space="preserve">139. </w:t>
      </w:r>
    </w:p>
  </w:footnote>
  <w:footnote w:id="87">
    <w:p w14:paraId="2D9B2194" w14:textId="5B40C1BB" w:rsidR="00B37491" w:rsidRPr="00600DF7" w:rsidRDefault="00B37491"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Wood’s Second Report, </w:t>
      </w:r>
      <w:r w:rsidRPr="00600DF7">
        <w:rPr>
          <w:rFonts w:ascii="Times New Roman" w:hAnsi="Times New Roman" w:cs="Times New Roman"/>
          <w:i/>
          <w:iCs/>
        </w:rPr>
        <w:t>supra</w:t>
      </w:r>
      <w:r w:rsidRPr="00600DF7">
        <w:rPr>
          <w:rFonts w:ascii="Times New Roman" w:hAnsi="Times New Roman" w:cs="Times New Roman"/>
        </w:rPr>
        <w:t xml:space="preserve"> note 20, </w:t>
      </w:r>
      <w:r w:rsidR="008571E0">
        <w:rPr>
          <w:rFonts w:ascii="Times New Roman" w:hAnsi="Times New Roman" w:cs="Times New Roman"/>
        </w:rPr>
        <w:t xml:space="preserve">at </w:t>
      </w:r>
      <w:r w:rsidRPr="00600DF7">
        <w:rPr>
          <w:rFonts w:ascii="Times New Roman" w:hAnsi="Times New Roman" w:cs="Times New Roman"/>
        </w:rPr>
        <w:t>para. 77.</w:t>
      </w:r>
    </w:p>
  </w:footnote>
  <w:footnote w:id="88">
    <w:p w14:paraId="1F1D9CCA" w14:textId="6F7233D1" w:rsidR="004F407A" w:rsidRPr="00600DF7" w:rsidRDefault="004F407A"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Cf. D’Amato, </w:t>
      </w:r>
      <w:r w:rsidRPr="00600DF7">
        <w:rPr>
          <w:rFonts w:ascii="Times New Roman" w:hAnsi="Times New Roman" w:cs="Times New Roman"/>
          <w:i/>
          <w:iCs/>
        </w:rPr>
        <w:t>supra</w:t>
      </w:r>
      <w:r w:rsidRPr="00600DF7">
        <w:rPr>
          <w:rFonts w:ascii="Times New Roman" w:hAnsi="Times New Roman" w:cs="Times New Roman"/>
        </w:rPr>
        <w:t xml:space="preserve"> note </w:t>
      </w:r>
      <w:r w:rsidR="008571E0">
        <w:rPr>
          <w:rFonts w:ascii="Times New Roman" w:hAnsi="Times New Roman" w:cs="Times New Roman"/>
        </w:rPr>
        <w:t>70</w:t>
      </w:r>
      <w:r w:rsidRPr="00600DF7">
        <w:rPr>
          <w:rFonts w:ascii="Times New Roman" w:hAnsi="Times New Roman" w:cs="Times New Roman"/>
        </w:rPr>
        <w:t xml:space="preserve">, </w:t>
      </w:r>
      <w:r w:rsidR="008571E0">
        <w:rPr>
          <w:rFonts w:ascii="Times New Roman" w:hAnsi="Times New Roman" w:cs="Times New Roman"/>
        </w:rPr>
        <w:t xml:space="preserve">at </w:t>
      </w:r>
      <w:r w:rsidRPr="00600DF7">
        <w:rPr>
          <w:rFonts w:ascii="Times New Roman" w:hAnsi="Times New Roman" w:cs="Times New Roman"/>
        </w:rPr>
        <w:t>74-</w:t>
      </w:r>
      <w:r w:rsidR="008571E0">
        <w:rPr>
          <w:rFonts w:ascii="Times New Roman" w:hAnsi="Times New Roman" w:cs="Times New Roman"/>
        </w:rPr>
        <w:t>7</w:t>
      </w:r>
      <w:r w:rsidRPr="00600DF7">
        <w:rPr>
          <w:rFonts w:ascii="Times New Roman" w:hAnsi="Times New Roman" w:cs="Times New Roman"/>
        </w:rPr>
        <w:t>6.</w:t>
      </w:r>
    </w:p>
  </w:footnote>
  <w:footnote w:id="89">
    <w:p w14:paraId="3E49CDEE" w14:textId="0557DA0D" w:rsidR="00887D1C" w:rsidRPr="00600DF7" w:rsidRDefault="00887D1C"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And the absence of such a report may </w:t>
      </w:r>
      <w:r w:rsidR="006E1078">
        <w:rPr>
          <w:rFonts w:ascii="Times New Roman" w:hAnsi="Times New Roman" w:cs="Times New Roman"/>
        </w:rPr>
        <w:t>suggest</w:t>
      </w:r>
      <w:r w:rsidRPr="00600DF7">
        <w:rPr>
          <w:rFonts w:ascii="Times New Roman" w:hAnsi="Times New Roman" w:cs="Times New Roman"/>
        </w:rPr>
        <w:t xml:space="preserve"> the contrary, </w:t>
      </w:r>
      <w:r w:rsidRPr="00600DF7">
        <w:rPr>
          <w:rFonts w:ascii="Times New Roman" w:hAnsi="Times New Roman" w:cs="Times New Roman"/>
          <w:i/>
          <w:iCs/>
        </w:rPr>
        <w:t>Nicaragua</w:t>
      </w:r>
      <w:r w:rsidRPr="00600DF7">
        <w:rPr>
          <w:rFonts w:ascii="Times New Roman" w:hAnsi="Times New Roman" w:cs="Times New Roman"/>
        </w:rPr>
        <w:t xml:space="preserve">, </w:t>
      </w:r>
      <w:r w:rsidR="00C57A8F" w:rsidRPr="00C57A8F">
        <w:rPr>
          <w:rFonts w:ascii="Times New Roman" w:hAnsi="Times New Roman" w:cs="Times New Roman"/>
          <w:i/>
          <w:iCs/>
        </w:rPr>
        <w:t>supra</w:t>
      </w:r>
      <w:r w:rsidR="00C57A8F">
        <w:rPr>
          <w:rFonts w:ascii="Times New Roman" w:hAnsi="Times New Roman" w:cs="Times New Roman"/>
        </w:rPr>
        <w:t xml:space="preserve"> note 3,</w:t>
      </w:r>
      <w:r w:rsidR="00E008D1">
        <w:rPr>
          <w:rFonts w:ascii="Times New Roman" w:hAnsi="Times New Roman" w:cs="Times New Roman"/>
        </w:rPr>
        <w:t xml:space="preserve"> </w:t>
      </w:r>
      <w:r w:rsidR="008571E0">
        <w:rPr>
          <w:rFonts w:ascii="Times New Roman" w:hAnsi="Times New Roman" w:cs="Times New Roman"/>
        </w:rPr>
        <w:t xml:space="preserve">at </w:t>
      </w:r>
      <w:r w:rsidRPr="00600DF7">
        <w:rPr>
          <w:rFonts w:ascii="Times New Roman" w:hAnsi="Times New Roman" w:cs="Times New Roman"/>
        </w:rPr>
        <w:t>para</w:t>
      </w:r>
      <w:r w:rsidR="008571E0">
        <w:rPr>
          <w:rFonts w:ascii="Times New Roman" w:hAnsi="Times New Roman" w:cs="Times New Roman"/>
        </w:rPr>
        <w:t>.</w:t>
      </w:r>
      <w:r w:rsidRPr="00600DF7">
        <w:rPr>
          <w:rFonts w:ascii="Times New Roman" w:hAnsi="Times New Roman" w:cs="Times New Roman"/>
        </w:rPr>
        <w:t xml:space="preserve"> 200</w:t>
      </w:r>
      <w:r w:rsidR="00F16680" w:rsidRPr="00600DF7">
        <w:rPr>
          <w:rFonts w:ascii="Times New Roman" w:hAnsi="Times New Roman" w:cs="Times New Roman"/>
        </w:rPr>
        <w:t>.</w:t>
      </w:r>
    </w:p>
  </w:footnote>
  <w:footnote w:id="90">
    <w:p w14:paraId="4E14C022" w14:textId="0B3AD862" w:rsidR="004F407A" w:rsidRPr="00600DF7" w:rsidRDefault="004F407A"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ILC Conclusions, </w:t>
      </w:r>
      <w:r w:rsidRPr="00600DF7">
        <w:rPr>
          <w:rFonts w:ascii="Times New Roman" w:hAnsi="Times New Roman" w:cs="Times New Roman"/>
          <w:i/>
          <w:iCs/>
        </w:rPr>
        <w:t>supra</w:t>
      </w:r>
      <w:r w:rsidRPr="00600DF7">
        <w:rPr>
          <w:rFonts w:ascii="Times New Roman" w:hAnsi="Times New Roman" w:cs="Times New Roman"/>
        </w:rPr>
        <w:t xml:space="preserve"> note 2</w:t>
      </w:r>
      <w:r w:rsidR="00C57A8F">
        <w:rPr>
          <w:rFonts w:ascii="Times New Roman" w:hAnsi="Times New Roman" w:cs="Times New Roman"/>
        </w:rPr>
        <w:t>5</w:t>
      </w:r>
      <w:r w:rsidRPr="00600DF7">
        <w:rPr>
          <w:rFonts w:ascii="Times New Roman" w:hAnsi="Times New Roman" w:cs="Times New Roman"/>
        </w:rPr>
        <w:t xml:space="preserve">, Conclusion 3(2), </w:t>
      </w:r>
      <w:r w:rsidR="008571E0">
        <w:rPr>
          <w:rFonts w:ascii="Times New Roman" w:hAnsi="Times New Roman" w:cs="Times New Roman"/>
        </w:rPr>
        <w:t>c</w:t>
      </w:r>
      <w:r w:rsidRPr="00600DF7">
        <w:rPr>
          <w:rFonts w:ascii="Times New Roman" w:hAnsi="Times New Roman" w:cs="Times New Roman"/>
        </w:rPr>
        <w:t>ommentary para</w:t>
      </w:r>
      <w:r w:rsidR="008571E0">
        <w:rPr>
          <w:rFonts w:ascii="Times New Roman" w:hAnsi="Times New Roman" w:cs="Times New Roman"/>
        </w:rPr>
        <w:t>.</w:t>
      </w:r>
      <w:r w:rsidRPr="00600DF7">
        <w:rPr>
          <w:rFonts w:ascii="Times New Roman" w:hAnsi="Times New Roman" w:cs="Times New Roman"/>
        </w:rPr>
        <w:t xml:space="preserve"> 8.</w:t>
      </w:r>
    </w:p>
  </w:footnote>
  <w:footnote w:id="91">
    <w:p w14:paraId="0D1BAE86" w14:textId="6B8BDA07" w:rsidR="004F407A" w:rsidRPr="00600DF7" w:rsidRDefault="004F407A"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See Wood’s Second Report, </w:t>
      </w:r>
      <w:r w:rsidRPr="00600DF7">
        <w:rPr>
          <w:rFonts w:ascii="Times New Roman" w:hAnsi="Times New Roman" w:cs="Times New Roman"/>
          <w:i/>
          <w:iCs/>
        </w:rPr>
        <w:t>supra</w:t>
      </w:r>
      <w:r w:rsidRPr="00600DF7">
        <w:rPr>
          <w:rFonts w:ascii="Times New Roman" w:hAnsi="Times New Roman" w:cs="Times New Roman"/>
        </w:rPr>
        <w:t xml:space="preserve"> note 20, </w:t>
      </w:r>
      <w:r w:rsidR="008571E0">
        <w:rPr>
          <w:rFonts w:ascii="Times New Roman" w:hAnsi="Times New Roman" w:cs="Times New Roman"/>
        </w:rPr>
        <w:t xml:space="preserve">at </w:t>
      </w:r>
      <w:r w:rsidRPr="00600DF7">
        <w:rPr>
          <w:rFonts w:ascii="Times New Roman" w:hAnsi="Times New Roman" w:cs="Times New Roman"/>
        </w:rPr>
        <w:t>para</w:t>
      </w:r>
      <w:r w:rsidR="008571E0">
        <w:rPr>
          <w:rFonts w:ascii="Times New Roman" w:hAnsi="Times New Roman" w:cs="Times New Roman"/>
        </w:rPr>
        <w:t>s</w:t>
      </w:r>
      <w:r w:rsidRPr="00600DF7">
        <w:rPr>
          <w:rFonts w:ascii="Times New Roman" w:hAnsi="Times New Roman" w:cs="Times New Roman"/>
        </w:rPr>
        <w:t xml:space="preserve">. 70 and 74: ‘“Acceptance as law” should thus </w:t>
      </w:r>
      <w:r w:rsidRPr="00600DF7">
        <w:rPr>
          <w:rFonts w:ascii="Times New Roman" w:hAnsi="Times New Roman" w:cs="Times New Roman"/>
          <w:i/>
          <w:iCs/>
        </w:rPr>
        <w:t>generally</w:t>
      </w:r>
      <w:r w:rsidRPr="00600DF7">
        <w:rPr>
          <w:rFonts w:ascii="Times New Roman" w:hAnsi="Times New Roman" w:cs="Times New Roman"/>
        </w:rPr>
        <w:t xml:space="preserve"> not be evidenced by the very practice alleged to be prescribed by customary international law’ (emphasis added).</w:t>
      </w:r>
    </w:p>
  </w:footnote>
  <w:footnote w:id="92">
    <w:p w14:paraId="7A02F9CE" w14:textId="4722B08D" w:rsidR="004F407A" w:rsidRPr="00600DF7" w:rsidRDefault="004F407A"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w:t>
      </w:r>
      <w:proofErr w:type="spellStart"/>
      <w:r w:rsidRPr="00600DF7">
        <w:rPr>
          <w:rFonts w:ascii="Times New Roman" w:hAnsi="Times New Roman" w:cs="Times New Roman"/>
        </w:rPr>
        <w:t>Akehurst</w:t>
      </w:r>
      <w:proofErr w:type="spellEnd"/>
      <w:r w:rsidRPr="00600DF7">
        <w:rPr>
          <w:rFonts w:ascii="Times New Roman" w:hAnsi="Times New Roman" w:cs="Times New Roman"/>
        </w:rPr>
        <w:t xml:space="preserve">, </w:t>
      </w:r>
      <w:r w:rsidRPr="00600DF7">
        <w:rPr>
          <w:rFonts w:ascii="Times New Roman" w:hAnsi="Times New Roman" w:cs="Times New Roman"/>
          <w:i/>
          <w:iCs/>
        </w:rPr>
        <w:t xml:space="preserve">supra </w:t>
      </w:r>
      <w:r w:rsidRPr="00600DF7">
        <w:rPr>
          <w:rFonts w:ascii="Times New Roman" w:hAnsi="Times New Roman" w:cs="Times New Roman"/>
        </w:rPr>
        <w:t xml:space="preserve">note 9, </w:t>
      </w:r>
      <w:r w:rsidR="00A06610">
        <w:rPr>
          <w:rFonts w:ascii="Times New Roman" w:hAnsi="Times New Roman" w:cs="Times New Roman"/>
        </w:rPr>
        <w:t xml:space="preserve">at </w:t>
      </w:r>
      <w:r w:rsidRPr="00600DF7">
        <w:rPr>
          <w:rFonts w:ascii="Times New Roman" w:hAnsi="Times New Roman" w:cs="Times New Roman"/>
        </w:rPr>
        <w:t>37-</w:t>
      </w:r>
      <w:r w:rsidR="00A06610">
        <w:rPr>
          <w:rFonts w:ascii="Times New Roman" w:hAnsi="Times New Roman" w:cs="Times New Roman"/>
        </w:rPr>
        <w:t>3</w:t>
      </w:r>
      <w:r w:rsidRPr="00600DF7">
        <w:rPr>
          <w:rFonts w:ascii="Times New Roman" w:hAnsi="Times New Roman" w:cs="Times New Roman"/>
        </w:rPr>
        <w:t>8.</w:t>
      </w:r>
    </w:p>
  </w:footnote>
  <w:footnote w:id="93">
    <w:p w14:paraId="5EDF4416" w14:textId="77777777" w:rsidR="000751C9" w:rsidRPr="00C57A8F" w:rsidRDefault="000751C9" w:rsidP="00600DF7">
      <w:pPr>
        <w:pStyle w:val="FootnoteText"/>
        <w:jc w:val="both"/>
        <w:rPr>
          <w:rFonts w:ascii="Times New Roman" w:hAnsi="Times New Roman" w:cs="Times New Roman"/>
        </w:rPr>
      </w:pPr>
      <w:r w:rsidRPr="00600DF7">
        <w:rPr>
          <w:rStyle w:val="FootnoteReference"/>
          <w:rFonts w:ascii="Times New Roman" w:hAnsi="Times New Roman" w:cs="Times New Roman"/>
        </w:rPr>
        <w:footnoteRef/>
      </w:r>
      <w:r w:rsidRPr="00600DF7">
        <w:rPr>
          <w:rFonts w:ascii="Times New Roman" w:hAnsi="Times New Roman" w:cs="Times New Roman"/>
        </w:rPr>
        <w:t xml:space="preserve"> In practice, this situation is only likely to arise when establishing permissive rules in the context of an underlying prohibition. It is unlikely one would ever have to establish the existence of a customary rule prohibiting X in the </w:t>
      </w:r>
      <w:r w:rsidRPr="00C57A8F">
        <w:rPr>
          <w:rFonts w:ascii="Times New Roman" w:hAnsi="Times New Roman" w:cs="Times New Roman"/>
        </w:rPr>
        <w:t xml:space="preserve">context of underlying international law imposing a duty to do X, or vice versa. </w:t>
      </w:r>
    </w:p>
  </w:footnote>
  <w:footnote w:id="94">
    <w:p w14:paraId="5F365DB4" w14:textId="0DB2540B" w:rsidR="004F407A" w:rsidRPr="00C57A8F" w:rsidRDefault="004F407A" w:rsidP="00600DF7">
      <w:pPr>
        <w:pStyle w:val="FootnoteText"/>
        <w:jc w:val="both"/>
        <w:rPr>
          <w:rFonts w:ascii="Times New Roman" w:hAnsi="Times New Roman" w:cs="Times New Roman"/>
          <w:i/>
          <w:iCs/>
        </w:rPr>
      </w:pPr>
      <w:r w:rsidRPr="00C57A8F">
        <w:rPr>
          <w:rStyle w:val="FootnoteReference"/>
          <w:rFonts w:ascii="Times New Roman" w:hAnsi="Times New Roman" w:cs="Times New Roman"/>
        </w:rPr>
        <w:footnoteRef/>
      </w:r>
      <w:r w:rsidRPr="00C57A8F">
        <w:rPr>
          <w:rFonts w:ascii="Times New Roman" w:hAnsi="Times New Roman" w:cs="Times New Roman"/>
        </w:rPr>
        <w:t xml:space="preserve"> </w:t>
      </w:r>
      <w:r w:rsidRPr="00C57A8F">
        <w:rPr>
          <w:rFonts w:ascii="Times New Roman" w:hAnsi="Times New Roman" w:cs="Times New Roman"/>
          <w:i/>
          <w:iCs/>
        </w:rPr>
        <w:t>Nicaragua</w:t>
      </w:r>
      <w:r w:rsidRPr="00C57A8F">
        <w:rPr>
          <w:rFonts w:ascii="Times New Roman" w:hAnsi="Times New Roman" w:cs="Times New Roman"/>
        </w:rPr>
        <w:t xml:space="preserve">, </w:t>
      </w:r>
      <w:r w:rsidRPr="00C57A8F">
        <w:rPr>
          <w:rFonts w:ascii="Times New Roman" w:hAnsi="Times New Roman" w:cs="Times New Roman"/>
          <w:i/>
          <w:iCs/>
        </w:rPr>
        <w:t xml:space="preserve">supra </w:t>
      </w:r>
      <w:r w:rsidRPr="00C57A8F">
        <w:rPr>
          <w:rFonts w:ascii="Times New Roman" w:hAnsi="Times New Roman" w:cs="Times New Roman"/>
        </w:rPr>
        <w:t xml:space="preserve">note </w:t>
      </w:r>
      <w:r w:rsidR="00C57A8F">
        <w:rPr>
          <w:rFonts w:ascii="Times New Roman" w:hAnsi="Times New Roman" w:cs="Times New Roman"/>
        </w:rPr>
        <w:t>3</w:t>
      </w:r>
      <w:r w:rsidRPr="00C57A8F">
        <w:rPr>
          <w:rFonts w:ascii="Times New Roman" w:hAnsi="Times New Roman" w:cs="Times New Roman"/>
        </w:rPr>
        <w:t xml:space="preserve">, </w:t>
      </w:r>
      <w:r w:rsidR="00A06610">
        <w:rPr>
          <w:rFonts w:ascii="Times New Roman" w:hAnsi="Times New Roman" w:cs="Times New Roman"/>
        </w:rPr>
        <w:t xml:space="preserve">at </w:t>
      </w:r>
      <w:r w:rsidRPr="00C57A8F">
        <w:rPr>
          <w:rFonts w:ascii="Times New Roman" w:hAnsi="Times New Roman" w:cs="Times New Roman"/>
        </w:rPr>
        <w:t>para. 186.</w:t>
      </w:r>
    </w:p>
  </w:footnote>
  <w:footnote w:id="95">
    <w:p w14:paraId="2A79469F" w14:textId="2E243EE2" w:rsidR="004F407A" w:rsidRPr="00C57A8F" w:rsidRDefault="004F407A" w:rsidP="00600DF7">
      <w:pPr>
        <w:pStyle w:val="FootnoteText"/>
        <w:jc w:val="both"/>
        <w:rPr>
          <w:rFonts w:ascii="Times New Roman" w:hAnsi="Times New Roman" w:cs="Times New Roman"/>
        </w:rPr>
      </w:pPr>
      <w:r w:rsidRPr="00C57A8F">
        <w:rPr>
          <w:rStyle w:val="FootnoteReference"/>
          <w:rFonts w:ascii="Times New Roman" w:hAnsi="Times New Roman" w:cs="Times New Roman"/>
        </w:rPr>
        <w:footnoteRef/>
      </w:r>
      <w:r w:rsidRPr="00C57A8F">
        <w:rPr>
          <w:rFonts w:ascii="Times New Roman" w:hAnsi="Times New Roman" w:cs="Times New Roman"/>
        </w:rPr>
        <w:t xml:space="preserve"> </w:t>
      </w:r>
      <w:proofErr w:type="spellStart"/>
      <w:r w:rsidRPr="00C57A8F">
        <w:rPr>
          <w:rFonts w:ascii="Times New Roman" w:hAnsi="Times New Roman" w:cs="Times New Roman"/>
        </w:rPr>
        <w:t>Akehurst</w:t>
      </w:r>
      <w:proofErr w:type="spellEnd"/>
      <w:r w:rsidRPr="00C57A8F">
        <w:rPr>
          <w:rFonts w:ascii="Times New Roman" w:hAnsi="Times New Roman" w:cs="Times New Roman"/>
        </w:rPr>
        <w:t xml:space="preserve">, </w:t>
      </w:r>
      <w:r w:rsidRPr="00C57A8F">
        <w:rPr>
          <w:rFonts w:ascii="Times New Roman" w:hAnsi="Times New Roman" w:cs="Times New Roman"/>
          <w:i/>
          <w:iCs/>
        </w:rPr>
        <w:t xml:space="preserve">supra </w:t>
      </w:r>
      <w:r w:rsidRPr="00C57A8F">
        <w:rPr>
          <w:rFonts w:ascii="Times New Roman" w:hAnsi="Times New Roman" w:cs="Times New Roman"/>
        </w:rPr>
        <w:t xml:space="preserve">note 9, </w:t>
      </w:r>
      <w:r w:rsidR="00A06610">
        <w:rPr>
          <w:rFonts w:ascii="Times New Roman" w:hAnsi="Times New Roman" w:cs="Times New Roman"/>
        </w:rPr>
        <w:t xml:space="preserve">at </w:t>
      </w:r>
      <w:r w:rsidRPr="00C57A8F">
        <w:rPr>
          <w:rFonts w:ascii="Times New Roman" w:hAnsi="Times New Roman" w:cs="Times New Roman"/>
        </w:rPr>
        <w:t>38.</w:t>
      </w:r>
    </w:p>
  </w:footnote>
  <w:footnote w:id="96">
    <w:p w14:paraId="099719F5" w14:textId="48596AF3" w:rsidR="004F407A" w:rsidRPr="000A3AA6" w:rsidRDefault="004F407A" w:rsidP="000A3AA6">
      <w:pPr>
        <w:pStyle w:val="FootnoteText"/>
        <w:jc w:val="both"/>
        <w:rPr>
          <w:rFonts w:ascii="Times New Roman" w:hAnsi="Times New Roman" w:cs="Times New Roman"/>
        </w:rPr>
      </w:pPr>
      <w:r w:rsidRPr="00C57A8F">
        <w:rPr>
          <w:rStyle w:val="FootnoteReference"/>
          <w:rFonts w:ascii="Times New Roman" w:hAnsi="Times New Roman" w:cs="Times New Roman"/>
        </w:rPr>
        <w:footnoteRef/>
      </w:r>
      <w:r w:rsidRPr="00C57A8F">
        <w:rPr>
          <w:rFonts w:ascii="Times New Roman" w:hAnsi="Times New Roman" w:cs="Times New Roman"/>
        </w:rPr>
        <w:t xml:space="preserve"> </w:t>
      </w:r>
      <w:proofErr w:type="gramStart"/>
      <w:r w:rsidRPr="00C57A8F">
        <w:rPr>
          <w:rFonts w:ascii="Times New Roman" w:hAnsi="Times New Roman" w:cs="Times New Roman"/>
        </w:rPr>
        <w:t>E.g.</w:t>
      </w:r>
      <w:proofErr w:type="gramEnd"/>
      <w:r w:rsidRPr="00C57A8F">
        <w:rPr>
          <w:rFonts w:ascii="Times New Roman" w:hAnsi="Times New Roman" w:cs="Times New Roman"/>
        </w:rPr>
        <w:t xml:space="preserve"> in the case of the April 2018 airstrikes against Syria, the US and France provided no legal justification for their actions</w:t>
      </w:r>
      <w:r w:rsidRPr="00600DF7">
        <w:rPr>
          <w:rFonts w:ascii="Times New Roman" w:hAnsi="Times New Roman" w:cs="Times New Roman"/>
        </w:rPr>
        <w:t xml:space="preserve">. No inference of </w:t>
      </w:r>
      <w:r w:rsidRPr="00600DF7">
        <w:rPr>
          <w:rFonts w:ascii="Times New Roman" w:hAnsi="Times New Roman" w:cs="Times New Roman"/>
          <w:i/>
          <w:iCs/>
        </w:rPr>
        <w:t>opinio juris</w:t>
      </w:r>
      <w:r w:rsidRPr="00600DF7">
        <w:rPr>
          <w:rFonts w:ascii="Times New Roman" w:hAnsi="Times New Roman" w:cs="Times New Roman"/>
        </w:rPr>
        <w:t xml:space="preserve"> </w:t>
      </w:r>
      <w:r w:rsidR="00BB123B" w:rsidRPr="00600DF7">
        <w:rPr>
          <w:rFonts w:ascii="Times New Roman" w:hAnsi="Times New Roman" w:cs="Times New Roman"/>
        </w:rPr>
        <w:t xml:space="preserve">on the part of those states </w:t>
      </w:r>
      <w:r w:rsidRPr="00600DF7">
        <w:rPr>
          <w:rFonts w:ascii="Times New Roman" w:hAnsi="Times New Roman" w:cs="Times New Roman"/>
        </w:rPr>
        <w:t xml:space="preserve">should take place in such circumstances, first because one of the actors, the UK, did advance a legal justification (albeit an unconvincing one) by reference to a new </w:t>
      </w:r>
      <w:r w:rsidR="00994D84" w:rsidRPr="00600DF7">
        <w:rPr>
          <w:rFonts w:ascii="Times New Roman" w:hAnsi="Times New Roman" w:cs="Times New Roman"/>
        </w:rPr>
        <w:t xml:space="preserve">permissive </w:t>
      </w:r>
      <w:r w:rsidRPr="00600DF7">
        <w:rPr>
          <w:rFonts w:ascii="Times New Roman" w:hAnsi="Times New Roman" w:cs="Times New Roman"/>
        </w:rPr>
        <w:t>rule of humanitarian intervention</w:t>
      </w:r>
      <w:r w:rsidR="00994D84" w:rsidRPr="00600DF7">
        <w:rPr>
          <w:rFonts w:ascii="Times New Roman" w:hAnsi="Times New Roman" w:cs="Times New Roman"/>
        </w:rPr>
        <w:t xml:space="preserve"> and</w:t>
      </w:r>
      <w:r w:rsidRPr="00600DF7">
        <w:rPr>
          <w:rFonts w:ascii="Times New Roman" w:hAnsi="Times New Roman" w:cs="Times New Roman"/>
        </w:rPr>
        <w:t xml:space="preserve"> the silence of its co-actors suggests they d</w:t>
      </w:r>
      <w:r w:rsidR="00AD399D" w:rsidRPr="00600DF7">
        <w:rPr>
          <w:rFonts w:ascii="Times New Roman" w:hAnsi="Times New Roman" w:cs="Times New Roman"/>
        </w:rPr>
        <w:t>id</w:t>
      </w:r>
      <w:r w:rsidRPr="00600DF7">
        <w:rPr>
          <w:rFonts w:ascii="Times New Roman" w:hAnsi="Times New Roman" w:cs="Times New Roman"/>
        </w:rPr>
        <w:t xml:space="preserve"> not accept their actions as lawful. Second, the nature of the acts - flagrant violations of the prohibition on force - is such that they call for justification; failure to provide one suggests the states may not accept that what they did as lawful. </w:t>
      </w:r>
      <w:r w:rsidR="00AB375C" w:rsidRPr="00600DF7">
        <w:rPr>
          <w:rFonts w:ascii="Times New Roman" w:hAnsi="Times New Roman" w:cs="Times New Roman"/>
        </w:rPr>
        <w:t xml:space="preserve">Similarly, while some </w:t>
      </w:r>
      <w:r w:rsidR="004470FB" w:rsidRPr="00600DF7">
        <w:rPr>
          <w:rFonts w:ascii="Times New Roman" w:hAnsi="Times New Roman" w:cs="Times New Roman"/>
        </w:rPr>
        <w:t xml:space="preserve">other </w:t>
      </w:r>
      <w:r w:rsidR="00AB375C" w:rsidRPr="00600DF7">
        <w:rPr>
          <w:rFonts w:ascii="Times New Roman" w:hAnsi="Times New Roman" w:cs="Times New Roman"/>
        </w:rPr>
        <w:t xml:space="preserve">states reacted by explicitly condemning the strikes as illegal, many more did not. In the </w:t>
      </w:r>
      <w:r w:rsidR="00AB375C" w:rsidRPr="000A3AA6">
        <w:rPr>
          <w:rFonts w:ascii="Times New Roman" w:hAnsi="Times New Roman" w:cs="Times New Roman"/>
        </w:rPr>
        <w:t xml:space="preserve">circumstances, it does not seem correct to infer from this non-reaction that those other states </w:t>
      </w:r>
      <w:r w:rsidR="00355021">
        <w:rPr>
          <w:rFonts w:ascii="Times New Roman" w:hAnsi="Times New Roman" w:cs="Times New Roman"/>
        </w:rPr>
        <w:t xml:space="preserve">were </w:t>
      </w:r>
      <w:r w:rsidR="00AB375C" w:rsidRPr="000A3AA6">
        <w:rPr>
          <w:rFonts w:ascii="Times New Roman" w:hAnsi="Times New Roman" w:cs="Times New Roman"/>
        </w:rPr>
        <w:t>accept</w:t>
      </w:r>
      <w:r w:rsidR="00355021">
        <w:rPr>
          <w:rFonts w:ascii="Times New Roman" w:hAnsi="Times New Roman" w:cs="Times New Roman"/>
        </w:rPr>
        <w:t xml:space="preserve">ing this </w:t>
      </w:r>
      <w:r w:rsidR="00AB375C" w:rsidRPr="000A3AA6">
        <w:rPr>
          <w:rFonts w:ascii="Times New Roman" w:hAnsi="Times New Roman" w:cs="Times New Roman"/>
        </w:rPr>
        <w:t xml:space="preserve">conduct </w:t>
      </w:r>
      <w:r w:rsidR="00355021">
        <w:rPr>
          <w:rFonts w:ascii="Times New Roman" w:hAnsi="Times New Roman" w:cs="Times New Roman"/>
        </w:rPr>
        <w:t xml:space="preserve">by three states </w:t>
      </w:r>
      <w:r w:rsidR="00AB375C" w:rsidRPr="000A3AA6">
        <w:rPr>
          <w:rFonts w:ascii="Times New Roman" w:hAnsi="Times New Roman" w:cs="Times New Roman"/>
        </w:rPr>
        <w:t>contrary to a well-established customary rule</w:t>
      </w:r>
      <w:r w:rsidR="00355021">
        <w:rPr>
          <w:rFonts w:ascii="Times New Roman" w:hAnsi="Times New Roman" w:cs="Times New Roman"/>
        </w:rPr>
        <w:t xml:space="preserve"> as lawful.</w:t>
      </w:r>
    </w:p>
  </w:footnote>
  <w:footnote w:id="97">
    <w:p w14:paraId="04CB7777" w14:textId="74D29409" w:rsidR="004F407A" w:rsidRPr="000A3AA6" w:rsidRDefault="004F407A" w:rsidP="000A3AA6">
      <w:pPr>
        <w:pStyle w:val="FootnoteText"/>
        <w:jc w:val="both"/>
        <w:rPr>
          <w:rFonts w:ascii="Times New Roman" w:hAnsi="Times New Roman" w:cs="Times New Roman"/>
        </w:rPr>
      </w:pPr>
      <w:r w:rsidRPr="000A3AA6">
        <w:rPr>
          <w:rStyle w:val="FootnoteReference"/>
          <w:rFonts w:ascii="Times New Roman" w:hAnsi="Times New Roman" w:cs="Times New Roman"/>
        </w:rPr>
        <w:footnoteRef/>
      </w:r>
      <w:r w:rsidRPr="000A3AA6">
        <w:rPr>
          <w:rFonts w:ascii="Times New Roman" w:hAnsi="Times New Roman" w:cs="Times New Roman"/>
        </w:rPr>
        <w:t xml:space="preserve"> See ILC Conclusions, </w:t>
      </w:r>
      <w:r w:rsidRPr="000A3AA6">
        <w:rPr>
          <w:rFonts w:ascii="Times New Roman" w:hAnsi="Times New Roman" w:cs="Times New Roman"/>
          <w:i/>
          <w:iCs/>
        </w:rPr>
        <w:t>supra</w:t>
      </w:r>
      <w:r w:rsidRPr="000A3AA6">
        <w:rPr>
          <w:rFonts w:ascii="Times New Roman" w:hAnsi="Times New Roman" w:cs="Times New Roman"/>
        </w:rPr>
        <w:t xml:space="preserve"> note 2</w:t>
      </w:r>
      <w:r w:rsidR="00C57A8F" w:rsidRPr="000A3AA6">
        <w:rPr>
          <w:rFonts w:ascii="Times New Roman" w:hAnsi="Times New Roman" w:cs="Times New Roman"/>
        </w:rPr>
        <w:t>5</w:t>
      </w:r>
      <w:r w:rsidRPr="000A3AA6">
        <w:rPr>
          <w:rFonts w:ascii="Times New Roman" w:hAnsi="Times New Roman" w:cs="Times New Roman"/>
        </w:rPr>
        <w:t xml:space="preserve">, Conclusion 3, commentary para. 7; </w:t>
      </w:r>
      <w:proofErr w:type="spellStart"/>
      <w:r w:rsidRPr="000A3AA6">
        <w:rPr>
          <w:rFonts w:ascii="Times New Roman" w:hAnsi="Times New Roman" w:cs="Times New Roman"/>
        </w:rPr>
        <w:t>Akehurst</w:t>
      </w:r>
      <w:proofErr w:type="spellEnd"/>
      <w:r w:rsidRPr="000A3AA6">
        <w:rPr>
          <w:rFonts w:ascii="Times New Roman" w:hAnsi="Times New Roman" w:cs="Times New Roman"/>
        </w:rPr>
        <w:t xml:space="preserve">, </w:t>
      </w:r>
      <w:r w:rsidRPr="000A3AA6">
        <w:rPr>
          <w:rFonts w:ascii="Times New Roman" w:hAnsi="Times New Roman" w:cs="Times New Roman"/>
          <w:i/>
          <w:iCs/>
        </w:rPr>
        <w:t>supra</w:t>
      </w:r>
      <w:r w:rsidRPr="000A3AA6">
        <w:rPr>
          <w:rFonts w:ascii="Times New Roman" w:hAnsi="Times New Roman" w:cs="Times New Roman"/>
        </w:rPr>
        <w:t xml:space="preserve"> note 9, </w:t>
      </w:r>
      <w:r w:rsidR="00A06610">
        <w:rPr>
          <w:rFonts w:ascii="Times New Roman" w:hAnsi="Times New Roman" w:cs="Times New Roman"/>
        </w:rPr>
        <w:t xml:space="preserve">at </w:t>
      </w:r>
      <w:r w:rsidRPr="000A3AA6">
        <w:rPr>
          <w:rFonts w:ascii="Times New Roman" w:hAnsi="Times New Roman" w:cs="Times New Roman"/>
        </w:rPr>
        <w:t>38.</w:t>
      </w:r>
    </w:p>
  </w:footnote>
  <w:footnote w:id="98">
    <w:p w14:paraId="0D18F0E8" w14:textId="14CF7875" w:rsidR="000A3AA6" w:rsidRDefault="000A3AA6" w:rsidP="000A3AA6">
      <w:pPr>
        <w:pStyle w:val="FootnoteText"/>
        <w:jc w:val="both"/>
      </w:pPr>
      <w:r w:rsidRPr="000A3AA6">
        <w:rPr>
          <w:rStyle w:val="FootnoteReference"/>
          <w:rFonts w:ascii="Times New Roman" w:hAnsi="Times New Roman" w:cs="Times New Roman"/>
        </w:rPr>
        <w:footnoteRef/>
      </w:r>
      <w:r w:rsidRPr="000A3AA6">
        <w:rPr>
          <w:rFonts w:ascii="Times New Roman" w:hAnsi="Times New Roman" w:cs="Times New Roman"/>
        </w:rPr>
        <w:t xml:space="preserve"> </w:t>
      </w:r>
      <w:r w:rsidR="00122642">
        <w:rPr>
          <w:rFonts w:ascii="Times New Roman" w:hAnsi="Times New Roman" w:cs="Times New Roman"/>
        </w:rPr>
        <w:t>Although not in the context of identifying customary international law</w:t>
      </w:r>
      <w:r w:rsidRPr="000A3AA6">
        <w:rPr>
          <w:rFonts w:ascii="Times New Roman" w:hAnsi="Times New Roman" w:cs="Times New Roman"/>
        </w:rPr>
        <w:t>,</w:t>
      </w:r>
      <w:r w:rsidR="00122642">
        <w:rPr>
          <w:rFonts w:ascii="Times New Roman" w:hAnsi="Times New Roman" w:cs="Times New Roman"/>
        </w:rPr>
        <w:t xml:space="preserve"> see</w:t>
      </w:r>
      <w:r w:rsidRPr="000A3AA6">
        <w:rPr>
          <w:rFonts w:ascii="Times New Roman" w:hAnsi="Times New Roman" w:cs="Times New Roman"/>
        </w:rPr>
        <w:t xml:space="preserve"> </w:t>
      </w:r>
      <w:r w:rsidRPr="000A3AA6">
        <w:rPr>
          <w:rFonts w:ascii="Times New Roman" w:hAnsi="Times New Roman" w:cs="Times New Roman"/>
          <w:i/>
          <w:iCs/>
        </w:rPr>
        <w:t xml:space="preserve">Case </w:t>
      </w:r>
      <w:proofErr w:type="gramStart"/>
      <w:r w:rsidRPr="000A3AA6">
        <w:rPr>
          <w:rFonts w:ascii="Times New Roman" w:hAnsi="Times New Roman" w:cs="Times New Roman"/>
          <w:i/>
          <w:iCs/>
        </w:rPr>
        <w:t>concerning</w:t>
      </w:r>
      <w:proofErr w:type="gramEnd"/>
      <w:r w:rsidRPr="000A3AA6">
        <w:rPr>
          <w:rFonts w:ascii="Times New Roman" w:hAnsi="Times New Roman" w:cs="Times New Roman"/>
          <w:i/>
          <w:iCs/>
        </w:rPr>
        <w:t xml:space="preserve"> the Temple of Preah </w:t>
      </w:r>
      <w:proofErr w:type="spellStart"/>
      <w:r w:rsidRPr="000A3AA6">
        <w:rPr>
          <w:rFonts w:ascii="Times New Roman" w:hAnsi="Times New Roman" w:cs="Times New Roman"/>
          <w:i/>
          <w:iCs/>
        </w:rPr>
        <w:t>Vihear</w:t>
      </w:r>
      <w:proofErr w:type="spellEnd"/>
      <w:r w:rsidRPr="000A3AA6">
        <w:rPr>
          <w:rFonts w:ascii="Times New Roman" w:hAnsi="Times New Roman" w:cs="Times New Roman"/>
          <w:i/>
          <w:iCs/>
        </w:rPr>
        <w:t xml:space="preserve"> (Cambodia v Thailand)</w:t>
      </w:r>
      <w:r w:rsidRPr="000A3AA6">
        <w:rPr>
          <w:rFonts w:ascii="Times New Roman" w:hAnsi="Times New Roman" w:cs="Times New Roman"/>
        </w:rPr>
        <w:t xml:space="preserve">, Merits, 15 June 1962, ICJ Reports (1962) 6, </w:t>
      </w:r>
      <w:r w:rsidR="00A06610">
        <w:rPr>
          <w:rFonts w:ascii="Times New Roman" w:hAnsi="Times New Roman" w:cs="Times New Roman"/>
        </w:rPr>
        <w:t xml:space="preserve">at </w:t>
      </w:r>
      <w:r w:rsidRPr="000A3AA6">
        <w:rPr>
          <w:rFonts w:ascii="Times New Roman" w:hAnsi="Times New Roman" w:cs="Times New Roman"/>
        </w:rPr>
        <w:t>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C7B"/>
    <w:multiLevelType w:val="hybridMultilevel"/>
    <w:tmpl w:val="EE54AA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44B84"/>
    <w:multiLevelType w:val="hybridMultilevel"/>
    <w:tmpl w:val="EACAEA5C"/>
    <w:lvl w:ilvl="0" w:tplc="718A20FE">
      <w:start w:val="1"/>
      <w:numFmt w:val="upperLetter"/>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A319C"/>
    <w:multiLevelType w:val="hybridMultilevel"/>
    <w:tmpl w:val="A9BC0BCA"/>
    <w:lvl w:ilvl="0" w:tplc="7F601D02">
      <w:start w:val="1"/>
      <w:numFmt w:val="upp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376E"/>
    <w:multiLevelType w:val="hybridMultilevel"/>
    <w:tmpl w:val="8386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15243"/>
    <w:multiLevelType w:val="hybridMultilevel"/>
    <w:tmpl w:val="BD26F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B6F56"/>
    <w:multiLevelType w:val="hybridMultilevel"/>
    <w:tmpl w:val="FCF4E434"/>
    <w:lvl w:ilvl="0" w:tplc="F6E8CB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4476A"/>
    <w:multiLevelType w:val="multilevel"/>
    <w:tmpl w:val="EE54AA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925756"/>
    <w:multiLevelType w:val="hybridMultilevel"/>
    <w:tmpl w:val="CB38BFB2"/>
    <w:lvl w:ilvl="0" w:tplc="E788E07E">
      <w:start w:val="1"/>
      <w:numFmt w:val="decimal"/>
      <w:lvlText w:val="%1."/>
      <w:lvlJc w:val="left"/>
      <w:pPr>
        <w:ind w:left="720" w:hanging="360"/>
      </w:pPr>
      <w:rPr>
        <w:rFonts w:hint="default"/>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297539"/>
    <w:multiLevelType w:val="hybridMultilevel"/>
    <w:tmpl w:val="9D3C978E"/>
    <w:lvl w:ilvl="0" w:tplc="D61C68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25415E"/>
    <w:multiLevelType w:val="hybridMultilevel"/>
    <w:tmpl w:val="D7BA9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CF1ABB"/>
    <w:multiLevelType w:val="hybridMultilevel"/>
    <w:tmpl w:val="55EC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80461"/>
    <w:multiLevelType w:val="hybridMultilevel"/>
    <w:tmpl w:val="04C44032"/>
    <w:lvl w:ilvl="0" w:tplc="5110639C">
      <w:start w:val="1"/>
      <w:numFmt w:val="decimal"/>
      <w:lvlText w:val="%1."/>
      <w:lvlJc w:val="left"/>
      <w:pPr>
        <w:ind w:left="720" w:hanging="360"/>
      </w:pPr>
      <w:rPr>
        <w:rFonts w:hint="default"/>
        <w:b/>
        <w:bCs/>
      </w:rPr>
    </w:lvl>
    <w:lvl w:ilvl="1" w:tplc="5BCC247C">
      <w:start w:val="1"/>
      <w:numFmt w:val="upperLetter"/>
      <w:lvlText w:val="%2."/>
      <w:lvlJc w:val="left"/>
      <w:pPr>
        <w:ind w:left="1440" w:hanging="360"/>
      </w:pPr>
      <w:rPr>
        <w:i w:val="0"/>
        <w:i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5"/>
  </w:num>
  <w:num w:numId="5">
    <w:abstractNumId w:val="11"/>
  </w:num>
  <w:num w:numId="6">
    <w:abstractNumId w:val="8"/>
  </w:num>
  <w:num w:numId="7">
    <w:abstractNumId w:val="10"/>
  </w:num>
  <w:num w:numId="8">
    <w:abstractNumId w:val="0"/>
  </w:num>
  <w:num w:numId="9">
    <w:abstractNumId w:val="6"/>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3D"/>
    <w:rsid w:val="0000136B"/>
    <w:rsid w:val="000015F4"/>
    <w:rsid w:val="000020E9"/>
    <w:rsid w:val="00003613"/>
    <w:rsid w:val="00004AF9"/>
    <w:rsid w:val="000064F2"/>
    <w:rsid w:val="00006794"/>
    <w:rsid w:val="0000719E"/>
    <w:rsid w:val="00010528"/>
    <w:rsid w:val="00011A77"/>
    <w:rsid w:val="000146A1"/>
    <w:rsid w:val="000147F3"/>
    <w:rsid w:val="00015EE9"/>
    <w:rsid w:val="00016363"/>
    <w:rsid w:val="00016441"/>
    <w:rsid w:val="00016452"/>
    <w:rsid w:val="00020CB6"/>
    <w:rsid w:val="00021279"/>
    <w:rsid w:val="00021A79"/>
    <w:rsid w:val="00023669"/>
    <w:rsid w:val="0002382D"/>
    <w:rsid w:val="00023D46"/>
    <w:rsid w:val="000246BC"/>
    <w:rsid w:val="00024FB9"/>
    <w:rsid w:val="0002581A"/>
    <w:rsid w:val="000262A7"/>
    <w:rsid w:val="00026D28"/>
    <w:rsid w:val="00026FB2"/>
    <w:rsid w:val="0003270C"/>
    <w:rsid w:val="0003456C"/>
    <w:rsid w:val="00034622"/>
    <w:rsid w:val="00035AC0"/>
    <w:rsid w:val="00035C92"/>
    <w:rsid w:val="00036064"/>
    <w:rsid w:val="00036175"/>
    <w:rsid w:val="00036CDD"/>
    <w:rsid w:val="0003714E"/>
    <w:rsid w:val="00037549"/>
    <w:rsid w:val="000375D5"/>
    <w:rsid w:val="0004065D"/>
    <w:rsid w:val="00040905"/>
    <w:rsid w:val="00042D8C"/>
    <w:rsid w:val="00042EB3"/>
    <w:rsid w:val="0004310A"/>
    <w:rsid w:val="00043C2C"/>
    <w:rsid w:val="00043F04"/>
    <w:rsid w:val="000442FD"/>
    <w:rsid w:val="0004745C"/>
    <w:rsid w:val="000479B3"/>
    <w:rsid w:val="00051E4C"/>
    <w:rsid w:val="00053151"/>
    <w:rsid w:val="00054D1A"/>
    <w:rsid w:val="00055026"/>
    <w:rsid w:val="00055175"/>
    <w:rsid w:val="00057FB3"/>
    <w:rsid w:val="00063391"/>
    <w:rsid w:val="0006424D"/>
    <w:rsid w:val="0006434A"/>
    <w:rsid w:val="0006443F"/>
    <w:rsid w:val="00064C83"/>
    <w:rsid w:val="0006568F"/>
    <w:rsid w:val="00065B4A"/>
    <w:rsid w:val="00066367"/>
    <w:rsid w:val="0007108B"/>
    <w:rsid w:val="00071583"/>
    <w:rsid w:val="0007321F"/>
    <w:rsid w:val="0007443E"/>
    <w:rsid w:val="00075132"/>
    <w:rsid w:val="000751C9"/>
    <w:rsid w:val="00075864"/>
    <w:rsid w:val="000759D4"/>
    <w:rsid w:val="00077E45"/>
    <w:rsid w:val="00077FA9"/>
    <w:rsid w:val="000810F1"/>
    <w:rsid w:val="00082261"/>
    <w:rsid w:val="00082C2D"/>
    <w:rsid w:val="00083398"/>
    <w:rsid w:val="000873AD"/>
    <w:rsid w:val="000904BA"/>
    <w:rsid w:val="00090F48"/>
    <w:rsid w:val="00092369"/>
    <w:rsid w:val="000929CA"/>
    <w:rsid w:val="00092F35"/>
    <w:rsid w:val="00093483"/>
    <w:rsid w:val="00093845"/>
    <w:rsid w:val="00094F60"/>
    <w:rsid w:val="000953CB"/>
    <w:rsid w:val="000967CE"/>
    <w:rsid w:val="00096F2D"/>
    <w:rsid w:val="0009701A"/>
    <w:rsid w:val="0009759F"/>
    <w:rsid w:val="000A11C3"/>
    <w:rsid w:val="000A29B0"/>
    <w:rsid w:val="000A2C51"/>
    <w:rsid w:val="000A36E6"/>
    <w:rsid w:val="000A38D6"/>
    <w:rsid w:val="000A3AA6"/>
    <w:rsid w:val="000A3AB8"/>
    <w:rsid w:val="000A3B5B"/>
    <w:rsid w:val="000A4E54"/>
    <w:rsid w:val="000A501F"/>
    <w:rsid w:val="000A689A"/>
    <w:rsid w:val="000A7628"/>
    <w:rsid w:val="000B0202"/>
    <w:rsid w:val="000B2249"/>
    <w:rsid w:val="000B3814"/>
    <w:rsid w:val="000B3DC3"/>
    <w:rsid w:val="000B6937"/>
    <w:rsid w:val="000B6F88"/>
    <w:rsid w:val="000B7D7A"/>
    <w:rsid w:val="000C0BD6"/>
    <w:rsid w:val="000C25E9"/>
    <w:rsid w:val="000C2EAF"/>
    <w:rsid w:val="000C6133"/>
    <w:rsid w:val="000D0E6C"/>
    <w:rsid w:val="000D2088"/>
    <w:rsid w:val="000D30AC"/>
    <w:rsid w:val="000D3715"/>
    <w:rsid w:val="000D43B4"/>
    <w:rsid w:val="000D6151"/>
    <w:rsid w:val="000D6F44"/>
    <w:rsid w:val="000D7B56"/>
    <w:rsid w:val="000D7B82"/>
    <w:rsid w:val="000E080A"/>
    <w:rsid w:val="000E1DB3"/>
    <w:rsid w:val="000E1F40"/>
    <w:rsid w:val="000E2044"/>
    <w:rsid w:val="000E27DF"/>
    <w:rsid w:val="000E3B1E"/>
    <w:rsid w:val="000E5285"/>
    <w:rsid w:val="000E6749"/>
    <w:rsid w:val="000E6B3D"/>
    <w:rsid w:val="000E7058"/>
    <w:rsid w:val="000E7ED8"/>
    <w:rsid w:val="000F0D1B"/>
    <w:rsid w:val="000F20D3"/>
    <w:rsid w:val="000F2D74"/>
    <w:rsid w:val="000F2FBF"/>
    <w:rsid w:val="000F37EC"/>
    <w:rsid w:val="000F3AA5"/>
    <w:rsid w:val="000F3E81"/>
    <w:rsid w:val="000F3F0A"/>
    <w:rsid w:val="000F405D"/>
    <w:rsid w:val="000F4EE2"/>
    <w:rsid w:val="000F536A"/>
    <w:rsid w:val="000F55AC"/>
    <w:rsid w:val="000F66D4"/>
    <w:rsid w:val="000F685D"/>
    <w:rsid w:val="000F6FD8"/>
    <w:rsid w:val="000F79BE"/>
    <w:rsid w:val="000F7D97"/>
    <w:rsid w:val="001000E4"/>
    <w:rsid w:val="001020AF"/>
    <w:rsid w:val="001022F6"/>
    <w:rsid w:val="001027BC"/>
    <w:rsid w:val="00103D47"/>
    <w:rsid w:val="00107B01"/>
    <w:rsid w:val="00107CC0"/>
    <w:rsid w:val="00111CCE"/>
    <w:rsid w:val="0011463E"/>
    <w:rsid w:val="0011529D"/>
    <w:rsid w:val="00116A67"/>
    <w:rsid w:val="00117D15"/>
    <w:rsid w:val="00120EFB"/>
    <w:rsid w:val="00121818"/>
    <w:rsid w:val="00122642"/>
    <w:rsid w:val="00124740"/>
    <w:rsid w:val="0012618F"/>
    <w:rsid w:val="001268A8"/>
    <w:rsid w:val="00127F09"/>
    <w:rsid w:val="001302C9"/>
    <w:rsid w:val="00131E57"/>
    <w:rsid w:val="00132534"/>
    <w:rsid w:val="00132F0A"/>
    <w:rsid w:val="00133E60"/>
    <w:rsid w:val="00135771"/>
    <w:rsid w:val="0013626D"/>
    <w:rsid w:val="0013644A"/>
    <w:rsid w:val="00136F21"/>
    <w:rsid w:val="00141CFC"/>
    <w:rsid w:val="00143F45"/>
    <w:rsid w:val="0014404E"/>
    <w:rsid w:val="00144C4D"/>
    <w:rsid w:val="001450C0"/>
    <w:rsid w:val="0014521A"/>
    <w:rsid w:val="0015035B"/>
    <w:rsid w:val="00150F2F"/>
    <w:rsid w:val="0015182E"/>
    <w:rsid w:val="001526E2"/>
    <w:rsid w:val="00155F33"/>
    <w:rsid w:val="00157AC8"/>
    <w:rsid w:val="00160A32"/>
    <w:rsid w:val="001626CC"/>
    <w:rsid w:val="0016399D"/>
    <w:rsid w:val="00163EB9"/>
    <w:rsid w:val="00164D45"/>
    <w:rsid w:val="00164DF7"/>
    <w:rsid w:val="00166E0D"/>
    <w:rsid w:val="0016705D"/>
    <w:rsid w:val="001678B2"/>
    <w:rsid w:val="0017058D"/>
    <w:rsid w:val="00170982"/>
    <w:rsid w:val="00172ABD"/>
    <w:rsid w:val="00174FF8"/>
    <w:rsid w:val="00175C71"/>
    <w:rsid w:val="00175FB1"/>
    <w:rsid w:val="00176DE8"/>
    <w:rsid w:val="0018092F"/>
    <w:rsid w:val="0018188F"/>
    <w:rsid w:val="00181BE4"/>
    <w:rsid w:val="001834EF"/>
    <w:rsid w:val="0018383C"/>
    <w:rsid w:val="00183ABB"/>
    <w:rsid w:val="00184682"/>
    <w:rsid w:val="00184F5A"/>
    <w:rsid w:val="00185C18"/>
    <w:rsid w:val="0018634D"/>
    <w:rsid w:val="00186DEC"/>
    <w:rsid w:val="0018744A"/>
    <w:rsid w:val="00190844"/>
    <w:rsid w:val="00190AC9"/>
    <w:rsid w:val="001918C1"/>
    <w:rsid w:val="0019232C"/>
    <w:rsid w:val="00194306"/>
    <w:rsid w:val="00195014"/>
    <w:rsid w:val="00195240"/>
    <w:rsid w:val="00195E24"/>
    <w:rsid w:val="00196815"/>
    <w:rsid w:val="001A2C79"/>
    <w:rsid w:val="001A52B2"/>
    <w:rsid w:val="001A63FD"/>
    <w:rsid w:val="001A73BC"/>
    <w:rsid w:val="001B0A31"/>
    <w:rsid w:val="001B165F"/>
    <w:rsid w:val="001B2196"/>
    <w:rsid w:val="001B3433"/>
    <w:rsid w:val="001B3C44"/>
    <w:rsid w:val="001B670A"/>
    <w:rsid w:val="001B72FC"/>
    <w:rsid w:val="001B7D63"/>
    <w:rsid w:val="001C38C0"/>
    <w:rsid w:val="001C3DDF"/>
    <w:rsid w:val="001C4492"/>
    <w:rsid w:val="001C6DBC"/>
    <w:rsid w:val="001C7304"/>
    <w:rsid w:val="001D0987"/>
    <w:rsid w:val="001D1E70"/>
    <w:rsid w:val="001D285B"/>
    <w:rsid w:val="001D297D"/>
    <w:rsid w:val="001D3F0C"/>
    <w:rsid w:val="001D4421"/>
    <w:rsid w:val="001E023D"/>
    <w:rsid w:val="001E05DA"/>
    <w:rsid w:val="001E07B3"/>
    <w:rsid w:val="001E1BD6"/>
    <w:rsid w:val="001E1F61"/>
    <w:rsid w:val="001E3AEE"/>
    <w:rsid w:val="001E4A8E"/>
    <w:rsid w:val="001E4C59"/>
    <w:rsid w:val="001E6DC3"/>
    <w:rsid w:val="001E7A51"/>
    <w:rsid w:val="001F1175"/>
    <w:rsid w:val="001F4095"/>
    <w:rsid w:val="001F53F5"/>
    <w:rsid w:val="001F5C76"/>
    <w:rsid w:val="001F636A"/>
    <w:rsid w:val="001F7844"/>
    <w:rsid w:val="00203406"/>
    <w:rsid w:val="0020554B"/>
    <w:rsid w:val="002069FE"/>
    <w:rsid w:val="00206B74"/>
    <w:rsid w:val="00207217"/>
    <w:rsid w:val="00207AF1"/>
    <w:rsid w:val="00207EA2"/>
    <w:rsid w:val="00210E49"/>
    <w:rsid w:val="00211063"/>
    <w:rsid w:val="00211A1D"/>
    <w:rsid w:val="00211A7F"/>
    <w:rsid w:val="00211CAE"/>
    <w:rsid w:val="00212681"/>
    <w:rsid w:val="00212AAE"/>
    <w:rsid w:val="00212D6B"/>
    <w:rsid w:val="002133A0"/>
    <w:rsid w:val="00213499"/>
    <w:rsid w:val="002138FE"/>
    <w:rsid w:val="00214437"/>
    <w:rsid w:val="00215CD1"/>
    <w:rsid w:val="00215E3D"/>
    <w:rsid w:val="00217468"/>
    <w:rsid w:val="00217726"/>
    <w:rsid w:val="002209EC"/>
    <w:rsid w:val="002227D2"/>
    <w:rsid w:val="00222852"/>
    <w:rsid w:val="0022305F"/>
    <w:rsid w:val="0022338A"/>
    <w:rsid w:val="0022375E"/>
    <w:rsid w:val="00223E0C"/>
    <w:rsid w:val="002248D2"/>
    <w:rsid w:val="00224F71"/>
    <w:rsid w:val="00226CF3"/>
    <w:rsid w:val="00227031"/>
    <w:rsid w:val="00230C8C"/>
    <w:rsid w:val="00230E24"/>
    <w:rsid w:val="002310E4"/>
    <w:rsid w:val="00231DBE"/>
    <w:rsid w:val="00234726"/>
    <w:rsid w:val="00236315"/>
    <w:rsid w:val="002367DA"/>
    <w:rsid w:val="00236AF1"/>
    <w:rsid w:val="00236CDB"/>
    <w:rsid w:val="00237ED4"/>
    <w:rsid w:val="00241654"/>
    <w:rsid w:val="00243487"/>
    <w:rsid w:val="00244D45"/>
    <w:rsid w:val="00245D4C"/>
    <w:rsid w:val="0024615E"/>
    <w:rsid w:val="00246999"/>
    <w:rsid w:val="002474D5"/>
    <w:rsid w:val="00247545"/>
    <w:rsid w:val="00247845"/>
    <w:rsid w:val="00250BD4"/>
    <w:rsid w:val="00251A94"/>
    <w:rsid w:val="00252AB8"/>
    <w:rsid w:val="00252F0F"/>
    <w:rsid w:val="00253CBB"/>
    <w:rsid w:val="00253E90"/>
    <w:rsid w:val="00255E71"/>
    <w:rsid w:val="00256FF5"/>
    <w:rsid w:val="00257B97"/>
    <w:rsid w:val="00257F77"/>
    <w:rsid w:val="0026295B"/>
    <w:rsid w:val="00263701"/>
    <w:rsid w:val="00263ECE"/>
    <w:rsid w:val="002646E9"/>
    <w:rsid w:val="002655EC"/>
    <w:rsid w:val="002657EB"/>
    <w:rsid w:val="00265DC2"/>
    <w:rsid w:val="00266EB4"/>
    <w:rsid w:val="00267122"/>
    <w:rsid w:val="002720A3"/>
    <w:rsid w:val="00275074"/>
    <w:rsid w:val="002754B0"/>
    <w:rsid w:val="00275BA4"/>
    <w:rsid w:val="00275DFE"/>
    <w:rsid w:val="00275FA5"/>
    <w:rsid w:val="00276738"/>
    <w:rsid w:val="00277B39"/>
    <w:rsid w:val="00282BC2"/>
    <w:rsid w:val="002832F1"/>
    <w:rsid w:val="00283304"/>
    <w:rsid w:val="002837A3"/>
    <w:rsid w:val="002843F0"/>
    <w:rsid w:val="00285FF8"/>
    <w:rsid w:val="0028695F"/>
    <w:rsid w:val="0028732D"/>
    <w:rsid w:val="00290B9B"/>
    <w:rsid w:val="0029163A"/>
    <w:rsid w:val="00291AE8"/>
    <w:rsid w:val="002959C0"/>
    <w:rsid w:val="002969DD"/>
    <w:rsid w:val="00296B72"/>
    <w:rsid w:val="002971B5"/>
    <w:rsid w:val="002975C1"/>
    <w:rsid w:val="0029782F"/>
    <w:rsid w:val="002A1AFE"/>
    <w:rsid w:val="002A2B94"/>
    <w:rsid w:val="002A2C74"/>
    <w:rsid w:val="002A45CE"/>
    <w:rsid w:val="002A4A67"/>
    <w:rsid w:val="002A660F"/>
    <w:rsid w:val="002A6CB2"/>
    <w:rsid w:val="002A7635"/>
    <w:rsid w:val="002B046F"/>
    <w:rsid w:val="002B0E77"/>
    <w:rsid w:val="002B223A"/>
    <w:rsid w:val="002B3FAE"/>
    <w:rsid w:val="002B401A"/>
    <w:rsid w:val="002B47A1"/>
    <w:rsid w:val="002B5FAF"/>
    <w:rsid w:val="002B60DB"/>
    <w:rsid w:val="002B6DF0"/>
    <w:rsid w:val="002B79B2"/>
    <w:rsid w:val="002C06E0"/>
    <w:rsid w:val="002C0C66"/>
    <w:rsid w:val="002C12A4"/>
    <w:rsid w:val="002C181C"/>
    <w:rsid w:val="002C195C"/>
    <w:rsid w:val="002C5421"/>
    <w:rsid w:val="002C5C82"/>
    <w:rsid w:val="002C6B07"/>
    <w:rsid w:val="002D46CC"/>
    <w:rsid w:val="002D4A95"/>
    <w:rsid w:val="002D5675"/>
    <w:rsid w:val="002D5BF2"/>
    <w:rsid w:val="002D67FF"/>
    <w:rsid w:val="002D7AD7"/>
    <w:rsid w:val="002E000E"/>
    <w:rsid w:val="002E08AF"/>
    <w:rsid w:val="002E0F8F"/>
    <w:rsid w:val="002E1455"/>
    <w:rsid w:val="002E28CA"/>
    <w:rsid w:val="002E2E01"/>
    <w:rsid w:val="002E3152"/>
    <w:rsid w:val="002E3318"/>
    <w:rsid w:val="002E3A34"/>
    <w:rsid w:val="002E3CD9"/>
    <w:rsid w:val="002E3E5A"/>
    <w:rsid w:val="002E4C75"/>
    <w:rsid w:val="002E5C71"/>
    <w:rsid w:val="002E67DC"/>
    <w:rsid w:val="002F0B57"/>
    <w:rsid w:val="002F1905"/>
    <w:rsid w:val="002F2438"/>
    <w:rsid w:val="002F3671"/>
    <w:rsid w:val="002F6B41"/>
    <w:rsid w:val="00300B35"/>
    <w:rsid w:val="00300BD5"/>
    <w:rsid w:val="003016BE"/>
    <w:rsid w:val="00302620"/>
    <w:rsid w:val="00302E15"/>
    <w:rsid w:val="00303258"/>
    <w:rsid w:val="0030331A"/>
    <w:rsid w:val="003033C1"/>
    <w:rsid w:val="003057B1"/>
    <w:rsid w:val="00305E26"/>
    <w:rsid w:val="00306C70"/>
    <w:rsid w:val="0031005D"/>
    <w:rsid w:val="0031059F"/>
    <w:rsid w:val="003114AE"/>
    <w:rsid w:val="003139D8"/>
    <w:rsid w:val="003163A3"/>
    <w:rsid w:val="00316C12"/>
    <w:rsid w:val="00316DE9"/>
    <w:rsid w:val="00317216"/>
    <w:rsid w:val="003173C3"/>
    <w:rsid w:val="003174E3"/>
    <w:rsid w:val="00317D50"/>
    <w:rsid w:val="00317DBC"/>
    <w:rsid w:val="0032124C"/>
    <w:rsid w:val="003214E2"/>
    <w:rsid w:val="00321E47"/>
    <w:rsid w:val="003229F7"/>
    <w:rsid w:val="00323F9C"/>
    <w:rsid w:val="00325148"/>
    <w:rsid w:val="0032525D"/>
    <w:rsid w:val="0032583A"/>
    <w:rsid w:val="003268FE"/>
    <w:rsid w:val="00326F14"/>
    <w:rsid w:val="0033083D"/>
    <w:rsid w:val="003329AA"/>
    <w:rsid w:val="00332BA8"/>
    <w:rsid w:val="0033398F"/>
    <w:rsid w:val="0033456A"/>
    <w:rsid w:val="00334612"/>
    <w:rsid w:val="00335E10"/>
    <w:rsid w:val="00336C99"/>
    <w:rsid w:val="0033766C"/>
    <w:rsid w:val="003402B2"/>
    <w:rsid w:val="00340311"/>
    <w:rsid w:val="00340DBA"/>
    <w:rsid w:val="00342677"/>
    <w:rsid w:val="0034508D"/>
    <w:rsid w:val="003450EE"/>
    <w:rsid w:val="003506E4"/>
    <w:rsid w:val="00350AFC"/>
    <w:rsid w:val="003516EA"/>
    <w:rsid w:val="0035322A"/>
    <w:rsid w:val="0035442D"/>
    <w:rsid w:val="00354BB3"/>
    <w:rsid w:val="00355021"/>
    <w:rsid w:val="0035556F"/>
    <w:rsid w:val="00355720"/>
    <w:rsid w:val="00355B59"/>
    <w:rsid w:val="00357E55"/>
    <w:rsid w:val="00362953"/>
    <w:rsid w:val="00364A4D"/>
    <w:rsid w:val="00365A3B"/>
    <w:rsid w:val="0036661E"/>
    <w:rsid w:val="00370C07"/>
    <w:rsid w:val="00373902"/>
    <w:rsid w:val="00374A19"/>
    <w:rsid w:val="00376178"/>
    <w:rsid w:val="003762B1"/>
    <w:rsid w:val="003775E2"/>
    <w:rsid w:val="003776B5"/>
    <w:rsid w:val="00381B05"/>
    <w:rsid w:val="00381EE4"/>
    <w:rsid w:val="003821B0"/>
    <w:rsid w:val="003821C8"/>
    <w:rsid w:val="00382A01"/>
    <w:rsid w:val="003838EA"/>
    <w:rsid w:val="00384F91"/>
    <w:rsid w:val="003851CE"/>
    <w:rsid w:val="0038755C"/>
    <w:rsid w:val="00392F7E"/>
    <w:rsid w:val="003948DC"/>
    <w:rsid w:val="0039600A"/>
    <w:rsid w:val="003973A8"/>
    <w:rsid w:val="00397787"/>
    <w:rsid w:val="003977C0"/>
    <w:rsid w:val="0039780C"/>
    <w:rsid w:val="003A2CA8"/>
    <w:rsid w:val="003A33F1"/>
    <w:rsid w:val="003A3544"/>
    <w:rsid w:val="003A3EDC"/>
    <w:rsid w:val="003A49F5"/>
    <w:rsid w:val="003A4F67"/>
    <w:rsid w:val="003A5690"/>
    <w:rsid w:val="003A60E6"/>
    <w:rsid w:val="003A727F"/>
    <w:rsid w:val="003A75F6"/>
    <w:rsid w:val="003A7E1B"/>
    <w:rsid w:val="003B1407"/>
    <w:rsid w:val="003B21EB"/>
    <w:rsid w:val="003B2E79"/>
    <w:rsid w:val="003B34CC"/>
    <w:rsid w:val="003B3500"/>
    <w:rsid w:val="003B3F26"/>
    <w:rsid w:val="003B4B48"/>
    <w:rsid w:val="003B620F"/>
    <w:rsid w:val="003B649E"/>
    <w:rsid w:val="003B7CC4"/>
    <w:rsid w:val="003C03AF"/>
    <w:rsid w:val="003C136F"/>
    <w:rsid w:val="003C163A"/>
    <w:rsid w:val="003C18DF"/>
    <w:rsid w:val="003C3353"/>
    <w:rsid w:val="003C35B3"/>
    <w:rsid w:val="003C5A26"/>
    <w:rsid w:val="003C5B68"/>
    <w:rsid w:val="003C6548"/>
    <w:rsid w:val="003C7E0E"/>
    <w:rsid w:val="003D0B10"/>
    <w:rsid w:val="003D0B42"/>
    <w:rsid w:val="003D3534"/>
    <w:rsid w:val="003D3714"/>
    <w:rsid w:val="003D4135"/>
    <w:rsid w:val="003D42DB"/>
    <w:rsid w:val="003D5054"/>
    <w:rsid w:val="003D76AA"/>
    <w:rsid w:val="003D7B3C"/>
    <w:rsid w:val="003E1501"/>
    <w:rsid w:val="003E3B12"/>
    <w:rsid w:val="003E6ED7"/>
    <w:rsid w:val="003F0D59"/>
    <w:rsid w:val="003F168D"/>
    <w:rsid w:val="003F1820"/>
    <w:rsid w:val="003F3FA3"/>
    <w:rsid w:val="003F4E11"/>
    <w:rsid w:val="003F7061"/>
    <w:rsid w:val="003F795C"/>
    <w:rsid w:val="0040263C"/>
    <w:rsid w:val="00404B83"/>
    <w:rsid w:val="004051EE"/>
    <w:rsid w:val="00405601"/>
    <w:rsid w:val="00405D64"/>
    <w:rsid w:val="00406199"/>
    <w:rsid w:val="00406F68"/>
    <w:rsid w:val="00407BD1"/>
    <w:rsid w:val="00412785"/>
    <w:rsid w:val="00413061"/>
    <w:rsid w:val="00413C39"/>
    <w:rsid w:val="0041419F"/>
    <w:rsid w:val="0041551A"/>
    <w:rsid w:val="00415C2B"/>
    <w:rsid w:val="004169EE"/>
    <w:rsid w:val="00417220"/>
    <w:rsid w:val="00417AF9"/>
    <w:rsid w:val="0042114D"/>
    <w:rsid w:val="004218D2"/>
    <w:rsid w:val="00423454"/>
    <w:rsid w:val="00424272"/>
    <w:rsid w:val="00424AC6"/>
    <w:rsid w:val="00424B1F"/>
    <w:rsid w:val="00426C51"/>
    <w:rsid w:val="004272C9"/>
    <w:rsid w:val="004301CF"/>
    <w:rsid w:val="004305E9"/>
    <w:rsid w:val="00430FB8"/>
    <w:rsid w:val="00432060"/>
    <w:rsid w:val="00435C3D"/>
    <w:rsid w:val="00436AD3"/>
    <w:rsid w:val="00437B04"/>
    <w:rsid w:val="00437CF3"/>
    <w:rsid w:val="00440B9B"/>
    <w:rsid w:val="00441C1C"/>
    <w:rsid w:val="00444B66"/>
    <w:rsid w:val="00444F10"/>
    <w:rsid w:val="00444F2D"/>
    <w:rsid w:val="0044699E"/>
    <w:rsid w:val="004470FB"/>
    <w:rsid w:val="004474C8"/>
    <w:rsid w:val="00450314"/>
    <w:rsid w:val="004536C8"/>
    <w:rsid w:val="004559AA"/>
    <w:rsid w:val="004562B1"/>
    <w:rsid w:val="0046032B"/>
    <w:rsid w:val="00460545"/>
    <w:rsid w:val="00460D6D"/>
    <w:rsid w:val="004617AA"/>
    <w:rsid w:val="00461B9C"/>
    <w:rsid w:val="00462A80"/>
    <w:rsid w:val="00462C56"/>
    <w:rsid w:val="00462DAF"/>
    <w:rsid w:val="00464A32"/>
    <w:rsid w:val="00465302"/>
    <w:rsid w:val="00465D65"/>
    <w:rsid w:val="0046792A"/>
    <w:rsid w:val="00467980"/>
    <w:rsid w:val="00470083"/>
    <w:rsid w:val="00471130"/>
    <w:rsid w:val="00471FA8"/>
    <w:rsid w:val="004730D8"/>
    <w:rsid w:val="00473529"/>
    <w:rsid w:val="0047374C"/>
    <w:rsid w:val="0047380B"/>
    <w:rsid w:val="00473DF6"/>
    <w:rsid w:val="00476345"/>
    <w:rsid w:val="0048002D"/>
    <w:rsid w:val="004801A0"/>
    <w:rsid w:val="004807E4"/>
    <w:rsid w:val="004811DF"/>
    <w:rsid w:val="00481794"/>
    <w:rsid w:val="004827BB"/>
    <w:rsid w:val="00483746"/>
    <w:rsid w:val="00484154"/>
    <w:rsid w:val="00485EBD"/>
    <w:rsid w:val="00486096"/>
    <w:rsid w:val="004861EA"/>
    <w:rsid w:val="00486230"/>
    <w:rsid w:val="00486338"/>
    <w:rsid w:val="00487425"/>
    <w:rsid w:val="00487E59"/>
    <w:rsid w:val="00490225"/>
    <w:rsid w:val="00490454"/>
    <w:rsid w:val="0049086B"/>
    <w:rsid w:val="00491F42"/>
    <w:rsid w:val="0049414C"/>
    <w:rsid w:val="00496499"/>
    <w:rsid w:val="00496538"/>
    <w:rsid w:val="00496678"/>
    <w:rsid w:val="00497064"/>
    <w:rsid w:val="004A2440"/>
    <w:rsid w:val="004A2D58"/>
    <w:rsid w:val="004A388F"/>
    <w:rsid w:val="004A7EA8"/>
    <w:rsid w:val="004B01BE"/>
    <w:rsid w:val="004B18A7"/>
    <w:rsid w:val="004B1BD9"/>
    <w:rsid w:val="004B2362"/>
    <w:rsid w:val="004B24A2"/>
    <w:rsid w:val="004B4DA7"/>
    <w:rsid w:val="004B4EC0"/>
    <w:rsid w:val="004B53CB"/>
    <w:rsid w:val="004B67FC"/>
    <w:rsid w:val="004B6B73"/>
    <w:rsid w:val="004B7E2D"/>
    <w:rsid w:val="004C0C34"/>
    <w:rsid w:val="004C1741"/>
    <w:rsid w:val="004C7366"/>
    <w:rsid w:val="004D2775"/>
    <w:rsid w:val="004D378A"/>
    <w:rsid w:val="004D57F8"/>
    <w:rsid w:val="004D5D3F"/>
    <w:rsid w:val="004E3747"/>
    <w:rsid w:val="004E3BFE"/>
    <w:rsid w:val="004E4DE1"/>
    <w:rsid w:val="004E4E44"/>
    <w:rsid w:val="004E52C5"/>
    <w:rsid w:val="004E54A4"/>
    <w:rsid w:val="004E5DCE"/>
    <w:rsid w:val="004E69BE"/>
    <w:rsid w:val="004F2D24"/>
    <w:rsid w:val="004F34EF"/>
    <w:rsid w:val="004F3C19"/>
    <w:rsid w:val="004F407A"/>
    <w:rsid w:val="004F598C"/>
    <w:rsid w:val="004F689D"/>
    <w:rsid w:val="005005BA"/>
    <w:rsid w:val="00501CB8"/>
    <w:rsid w:val="00502051"/>
    <w:rsid w:val="00504448"/>
    <w:rsid w:val="00505EC5"/>
    <w:rsid w:val="00505EE0"/>
    <w:rsid w:val="00506B3A"/>
    <w:rsid w:val="0051107D"/>
    <w:rsid w:val="00511870"/>
    <w:rsid w:val="0051226C"/>
    <w:rsid w:val="0051298E"/>
    <w:rsid w:val="00512B35"/>
    <w:rsid w:val="00512ED4"/>
    <w:rsid w:val="0051362C"/>
    <w:rsid w:val="00513FF0"/>
    <w:rsid w:val="00517A02"/>
    <w:rsid w:val="005207E0"/>
    <w:rsid w:val="00523F61"/>
    <w:rsid w:val="005245F6"/>
    <w:rsid w:val="00524863"/>
    <w:rsid w:val="00524D6A"/>
    <w:rsid w:val="00525F53"/>
    <w:rsid w:val="00526BB1"/>
    <w:rsid w:val="005273D0"/>
    <w:rsid w:val="00530158"/>
    <w:rsid w:val="005303E6"/>
    <w:rsid w:val="00530490"/>
    <w:rsid w:val="0053061B"/>
    <w:rsid w:val="00530B0C"/>
    <w:rsid w:val="00532900"/>
    <w:rsid w:val="005330BB"/>
    <w:rsid w:val="00534A45"/>
    <w:rsid w:val="005353D9"/>
    <w:rsid w:val="005356AC"/>
    <w:rsid w:val="00535B56"/>
    <w:rsid w:val="00535DFD"/>
    <w:rsid w:val="00536B7F"/>
    <w:rsid w:val="005371C7"/>
    <w:rsid w:val="00537F3F"/>
    <w:rsid w:val="00540CF2"/>
    <w:rsid w:val="00542427"/>
    <w:rsid w:val="0054519E"/>
    <w:rsid w:val="0054641C"/>
    <w:rsid w:val="0055122A"/>
    <w:rsid w:val="00551910"/>
    <w:rsid w:val="005523D1"/>
    <w:rsid w:val="00552561"/>
    <w:rsid w:val="00552618"/>
    <w:rsid w:val="005530AF"/>
    <w:rsid w:val="00553D8D"/>
    <w:rsid w:val="00554377"/>
    <w:rsid w:val="0055452D"/>
    <w:rsid w:val="00554FFB"/>
    <w:rsid w:val="005555BC"/>
    <w:rsid w:val="00555B3C"/>
    <w:rsid w:val="005573DA"/>
    <w:rsid w:val="00557D47"/>
    <w:rsid w:val="005603AE"/>
    <w:rsid w:val="00560914"/>
    <w:rsid w:val="00560F1A"/>
    <w:rsid w:val="005628F1"/>
    <w:rsid w:val="00562B37"/>
    <w:rsid w:val="00563F6C"/>
    <w:rsid w:val="00564407"/>
    <w:rsid w:val="00565487"/>
    <w:rsid w:val="005663D9"/>
    <w:rsid w:val="00567950"/>
    <w:rsid w:val="005701C2"/>
    <w:rsid w:val="00570F27"/>
    <w:rsid w:val="005714A3"/>
    <w:rsid w:val="00571A5D"/>
    <w:rsid w:val="00571A9A"/>
    <w:rsid w:val="0057235D"/>
    <w:rsid w:val="005731DF"/>
    <w:rsid w:val="00575026"/>
    <w:rsid w:val="0057564B"/>
    <w:rsid w:val="00576455"/>
    <w:rsid w:val="0057728C"/>
    <w:rsid w:val="00580E3E"/>
    <w:rsid w:val="00583C24"/>
    <w:rsid w:val="00584365"/>
    <w:rsid w:val="005846C0"/>
    <w:rsid w:val="005847EE"/>
    <w:rsid w:val="00584972"/>
    <w:rsid w:val="005855B5"/>
    <w:rsid w:val="0058644C"/>
    <w:rsid w:val="00587960"/>
    <w:rsid w:val="00587B7C"/>
    <w:rsid w:val="00590CDC"/>
    <w:rsid w:val="00590D25"/>
    <w:rsid w:val="00591CF3"/>
    <w:rsid w:val="0059274E"/>
    <w:rsid w:val="005942E5"/>
    <w:rsid w:val="0059509B"/>
    <w:rsid w:val="00595C1A"/>
    <w:rsid w:val="005964C2"/>
    <w:rsid w:val="00597DDF"/>
    <w:rsid w:val="00597EBA"/>
    <w:rsid w:val="005A23D0"/>
    <w:rsid w:val="005A2744"/>
    <w:rsid w:val="005A5E56"/>
    <w:rsid w:val="005A7B1F"/>
    <w:rsid w:val="005A7C5F"/>
    <w:rsid w:val="005B1A76"/>
    <w:rsid w:val="005B23DC"/>
    <w:rsid w:val="005B2C50"/>
    <w:rsid w:val="005B4A5C"/>
    <w:rsid w:val="005B5F1D"/>
    <w:rsid w:val="005B7870"/>
    <w:rsid w:val="005B7A87"/>
    <w:rsid w:val="005C02E6"/>
    <w:rsid w:val="005C10C8"/>
    <w:rsid w:val="005C319A"/>
    <w:rsid w:val="005C390D"/>
    <w:rsid w:val="005C510E"/>
    <w:rsid w:val="005C51B9"/>
    <w:rsid w:val="005C58F8"/>
    <w:rsid w:val="005C6D70"/>
    <w:rsid w:val="005C7220"/>
    <w:rsid w:val="005D2B4C"/>
    <w:rsid w:val="005D340D"/>
    <w:rsid w:val="005D447F"/>
    <w:rsid w:val="005D47EC"/>
    <w:rsid w:val="005D5448"/>
    <w:rsid w:val="005D580B"/>
    <w:rsid w:val="005D5FEB"/>
    <w:rsid w:val="005D6892"/>
    <w:rsid w:val="005D6EDE"/>
    <w:rsid w:val="005D7B72"/>
    <w:rsid w:val="005E2E4C"/>
    <w:rsid w:val="005E54E9"/>
    <w:rsid w:val="005E633A"/>
    <w:rsid w:val="005E781B"/>
    <w:rsid w:val="005F06C6"/>
    <w:rsid w:val="005F0975"/>
    <w:rsid w:val="005F1923"/>
    <w:rsid w:val="005F2C26"/>
    <w:rsid w:val="005F2C8C"/>
    <w:rsid w:val="005F45FD"/>
    <w:rsid w:val="005F4E1D"/>
    <w:rsid w:val="005F5055"/>
    <w:rsid w:val="005F51E8"/>
    <w:rsid w:val="00600A3D"/>
    <w:rsid w:val="00600DF7"/>
    <w:rsid w:val="0060140B"/>
    <w:rsid w:val="0060151D"/>
    <w:rsid w:val="00604970"/>
    <w:rsid w:val="00604BCE"/>
    <w:rsid w:val="006053C2"/>
    <w:rsid w:val="0060779E"/>
    <w:rsid w:val="00607A1B"/>
    <w:rsid w:val="00607E47"/>
    <w:rsid w:val="006126F7"/>
    <w:rsid w:val="0061317E"/>
    <w:rsid w:val="00616642"/>
    <w:rsid w:val="00617286"/>
    <w:rsid w:val="006179F7"/>
    <w:rsid w:val="00620228"/>
    <w:rsid w:val="00620C23"/>
    <w:rsid w:val="00622AFA"/>
    <w:rsid w:val="00622B4C"/>
    <w:rsid w:val="0062367F"/>
    <w:rsid w:val="006243DF"/>
    <w:rsid w:val="00624724"/>
    <w:rsid w:val="00624BAF"/>
    <w:rsid w:val="00625EFA"/>
    <w:rsid w:val="006266CD"/>
    <w:rsid w:val="0063037B"/>
    <w:rsid w:val="00630B03"/>
    <w:rsid w:val="006313D7"/>
    <w:rsid w:val="00631A3E"/>
    <w:rsid w:val="0063388B"/>
    <w:rsid w:val="00634D97"/>
    <w:rsid w:val="00634DEC"/>
    <w:rsid w:val="006355D9"/>
    <w:rsid w:val="00636677"/>
    <w:rsid w:val="006367D1"/>
    <w:rsid w:val="0063755A"/>
    <w:rsid w:val="006376B8"/>
    <w:rsid w:val="006414C3"/>
    <w:rsid w:val="00641D53"/>
    <w:rsid w:val="0064299E"/>
    <w:rsid w:val="006442AA"/>
    <w:rsid w:val="00644685"/>
    <w:rsid w:val="006450B7"/>
    <w:rsid w:val="006451B5"/>
    <w:rsid w:val="0064625F"/>
    <w:rsid w:val="0064715D"/>
    <w:rsid w:val="006477A0"/>
    <w:rsid w:val="006479A9"/>
    <w:rsid w:val="0065023C"/>
    <w:rsid w:val="00650A8C"/>
    <w:rsid w:val="00653D3A"/>
    <w:rsid w:val="00654285"/>
    <w:rsid w:val="00656BBF"/>
    <w:rsid w:val="00660AC4"/>
    <w:rsid w:val="00662838"/>
    <w:rsid w:val="00662F17"/>
    <w:rsid w:val="0066554A"/>
    <w:rsid w:val="00667FAA"/>
    <w:rsid w:val="00670368"/>
    <w:rsid w:val="006707E1"/>
    <w:rsid w:val="00670EF9"/>
    <w:rsid w:val="00670FEA"/>
    <w:rsid w:val="006725EA"/>
    <w:rsid w:val="00672948"/>
    <w:rsid w:val="00672C53"/>
    <w:rsid w:val="006730CE"/>
    <w:rsid w:val="00674714"/>
    <w:rsid w:val="00676CD4"/>
    <w:rsid w:val="00677B01"/>
    <w:rsid w:val="0068092C"/>
    <w:rsid w:val="006809BC"/>
    <w:rsid w:val="00680DB2"/>
    <w:rsid w:val="00680E04"/>
    <w:rsid w:val="00681865"/>
    <w:rsid w:val="00683071"/>
    <w:rsid w:val="00684F3E"/>
    <w:rsid w:val="00685EC5"/>
    <w:rsid w:val="00686683"/>
    <w:rsid w:val="006872A8"/>
    <w:rsid w:val="00692308"/>
    <w:rsid w:val="00692339"/>
    <w:rsid w:val="00693979"/>
    <w:rsid w:val="00693BCF"/>
    <w:rsid w:val="00693D4C"/>
    <w:rsid w:val="00694076"/>
    <w:rsid w:val="006943F6"/>
    <w:rsid w:val="00694BA2"/>
    <w:rsid w:val="00696190"/>
    <w:rsid w:val="006A004C"/>
    <w:rsid w:val="006A00E2"/>
    <w:rsid w:val="006A07CE"/>
    <w:rsid w:val="006A1B0E"/>
    <w:rsid w:val="006A1B49"/>
    <w:rsid w:val="006A3497"/>
    <w:rsid w:val="006A45A6"/>
    <w:rsid w:val="006A51A2"/>
    <w:rsid w:val="006A55FE"/>
    <w:rsid w:val="006A5C28"/>
    <w:rsid w:val="006A6D25"/>
    <w:rsid w:val="006A7CDA"/>
    <w:rsid w:val="006A7E7F"/>
    <w:rsid w:val="006B0968"/>
    <w:rsid w:val="006B2CB1"/>
    <w:rsid w:val="006B41D8"/>
    <w:rsid w:val="006B7B91"/>
    <w:rsid w:val="006C0ACF"/>
    <w:rsid w:val="006C1824"/>
    <w:rsid w:val="006C2AE9"/>
    <w:rsid w:val="006C37C3"/>
    <w:rsid w:val="006C3CAF"/>
    <w:rsid w:val="006C3E3D"/>
    <w:rsid w:val="006C5021"/>
    <w:rsid w:val="006C554D"/>
    <w:rsid w:val="006C7EB8"/>
    <w:rsid w:val="006D057B"/>
    <w:rsid w:val="006D0E4F"/>
    <w:rsid w:val="006D10E2"/>
    <w:rsid w:val="006D22C4"/>
    <w:rsid w:val="006D2FF6"/>
    <w:rsid w:val="006D5427"/>
    <w:rsid w:val="006D6710"/>
    <w:rsid w:val="006D6B2C"/>
    <w:rsid w:val="006D6CD2"/>
    <w:rsid w:val="006E0298"/>
    <w:rsid w:val="006E1078"/>
    <w:rsid w:val="006E368F"/>
    <w:rsid w:val="006E3AFC"/>
    <w:rsid w:val="006E5CA5"/>
    <w:rsid w:val="006E62C0"/>
    <w:rsid w:val="006E7456"/>
    <w:rsid w:val="006E7975"/>
    <w:rsid w:val="006F0024"/>
    <w:rsid w:val="006F2B09"/>
    <w:rsid w:val="006F3168"/>
    <w:rsid w:val="006F3C34"/>
    <w:rsid w:val="006F3C4F"/>
    <w:rsid w:val="006F3DFC"/>
    <w:rsid w:val="006F4EF5"/>
    <w:rsid w:val="006F5871"/>
    <w:rsid w:val="006F5CFA"/>
    <w:rsid w:val="006F77C2"/>
    <w:rsid w:val="00700012"/>
    <w:rsid w:val="0070095A"/>
    <w:rsid w:val="007011FB"/>
    <w:rsid w:val="00701A86"/>
    <w:rsid w:val="00703E25"/>
    <w:rsid w:val="00704AE5"/>
    <w:rsid w:val="00704C37"/>
    <w:rsid w:val="007062E3"/>
    <w:rsid w:val="00706641"/>
    <w:rsid w:val="007077CC"/>
    <w:rsid w:val="00710B3A"/>
    <w:rsid w:val="0071163C"/>
    <w:rsid w:val="00711F8B"/>
    <w:rsid w:val="00713962"/>
    <w:rsid w:val="00714723"/>
    <w:rsid w:val="00715058"/>
    <w:rsid w:val="007155AF"/>
    <w:rsid w:val="00720CD2"/>
    <w:rsid w:val="00722183"/>
    <w:rsid w:val="007225AE"/>
    <w:rsid w:val="00722A51"/>
    <w:rsid w:val="00725F87"/>
    <w:rsid w:val="007310AF"/>
    <w:rsid w:val="007322C0"/>
    <w:rsid w:val="00733CE7"/>
    <w:rsid w:val="007346D2"/>
    <w:rsid w:val="007353FC"/>
    <w:rsid w:val="00735B3D"/>
    <w:rsid w:val="0074003A"/>
    <w:rsid w:val="00740C63"/>
    <w:rsid w:val="007423E8"/>
    <w:rsid w:val="00743ADD"/>
    <w:rsid w:val="00745368"/>
    <w:rsid w:val="00745513"/>
    <w:rsid w:val="0074591A"/>
    <w:rsid w:val="007476F3"/>
    <w:rsid w:val="00750997"/>
    <w:rsid w:val="00750F7E"/>
    <w:rsid w:val="00751AFD"/>
    <w:rsid w:val="00753388"/>
    <w:rsid w:val="00761E24"/>
    <w:rsid w:val="00761FBE"/>
    <w:rsid w:val="00762829"/>
    <w:rsid w:val="00763BE8"/>
    <w:rsid w:val="007640FB"/>
    <w:rsid w:val="00765780"/>
    <w:rsid w:val="00770BFD"/>
    <w:rsid w:val="00771F13"/>
    <w:rsid w:val="0077250D"/>
    <w:rsid w:val="00772787"/>
    <w:rsid w:val="00772F2C"/>
    <w:rsid w:val="00772FC2"/>
    <w:rsid w:val="00773806"/>
    <w:rsid w:val="00775C16"/>
    <w:rsid w:val="007777FF"/>
    <w:rsid w:val="007803D6"/>
    <w:rsid w:val="0078048C"/>
    <w:rsid w:val="00781073"/>
    <w:rsid w:val="00781231"/>
    <w:rsid w:val="007815D6"/>
    <w:rsid w:val="00782813"/>
    <w:rsid w:val="007829A5"/>
    <w:rsid w:val="00784CA7"/>
    <w:rsid w:val="00786525"/>
    <w:rsid w:val="00787232"/>
    <w:rsid w:val="007905F5"/>
    <w:rsid w:val="00790B2A"/>
    <w:rsid w:val="00791C1F"/>
    <w:rsid w:val="007928F4"/>
    <w:rsid w:val="007944CA"/>
    <w:rsid w:val="0079475A"/>
    <w:rsid w:val="00796207"/>
    <w:rsid w:val="007978A2"/>
    <w:rsid w:val="007A309D"/>
    <w:rsid w:val="007A70A2"/>
    <w:rsid w:val="007A775F"/>
    <w:rsid w:val="007A7D1C"/>
    <w:rsid w:val="007B0B1D"/>
    <w:rsid w:val="007B3436"/>
    <w:rsid w:val="007B4674"/>
    <w:rsid w:val="007B5758"/>
    <w:rsid w:val="007B65E0"/>
    <w:rsid w:val="007C042B"/>
    <w:rsid w:val="007C0AD5"/>
    <w:rsid w:val="007C1FAE"/>
    <w:rsid w:val="007C3B88"/>
    <w:rsid w:val="007C49FB"/>
    <w:rsid w:val="007C4C67"/>
    <w:rsid w:val="007C5D49"/>
    <w:rsid w:val="007C683E"/>
    <w:rsid w:val="007C7030"/>
    <w:rsid w:val="007C79A1"/>
    <w:rsid w:val="007C7B04"/>
    <w:rsid w:val="007D0429"/>
    <w:rsid w:val="007D1C88"/>
    <w:rsid w:val="007D202F"/>
    <w:rsid w:val="007D2416"/>
    <w:rsid w:val="007D498C"/>
    <w:rsid w:val="007D4D72"/>
    <w:rsid w:val="007D5F8C"/>
    <w:rsid w:val="007D6ED7"/>
    <w:rsid w:val="007D7F99"/>
    <w:rsid w:val="007E1768"/>
    <w:rsid w:val="007E195D"/>
    <w:rsid w:val="007E2714"/>
    <w:rsid w:val="007E3B7D"/>
    <w:rsid w:val="007E3EAE"/>
    <w:rsid w:val="007E455E"/>
    <w:rsid w:val="007E553F"/>
    <w:rsid w:val="007F0E3A"/>
    <w:rsid w:val="007F31B2"/>
    <w:rsid w:val="007F3890"/>
    <w:rsid w:val="007F3CEC"/>
    <w:rsid w:val="007F4227"/>
    <w:rsid w:val="007F7E4A"/>
    <w:rsid w:val="00800140"/>
    <w:rsid w:val="00803342"/>
    <w:rsid w:val="00803F54"/>
    <w:rsid w:val="00803F73"/>
    <w:rsid w:val="00804B59"/>
    <w:rsid w:val="00804E6F"/>
    <w:rsid w:val="00805FAA"/>
    <w:rsid w:val="00806580"/>
    <w:rsid w:val="00807094"/>
    <w:rsid w:val="00810109"/>
    <w:rsid w:val="0081010C"/>
    <w:rsid w:val="00810A52"/>
    <w:rsid w:val="008110C0"/>
    <w:rsid w:val="008119C4"/>
    <w:rsid w:val="008122DF"/>
    <w:rsid w:val="008125DA"/>
    <w:rsid w:val="00812744"/>
    <w:rsid w:val="00813031"/>
    <w:rsid w:val="00813A16"/>
    <w:rsid w:val="00813CF2"/>
    <w:rsid w:val="008150DE"/>
    <w:rsid w:val="00816A12"/>
    <w:rsid w:val="008176BA"/>
    <w:rsid w:val="00822DE3"/>
    <w:rsid w:val="008244A6"/>
    <w:rsid w:val="00824805"/>
    <w:rsid w:val="00826217"/>
    <w:rsid w:val="00826961"/>
    <w:rsid w:val="00827053"/>
    <w:rsid w:val="00827D71"/>
    <w:rsid w:val="00830F0E"/>
    <w:rsid w:val="0083229F"/>
    <w:rsid w:val="0083477B"/>
    <w:rsid w:val="008347BD"/>
    <w:rsid w:val="008359D1"/>
    <w:rsid w:val="00835C0D"/>
    <w:rsid w:val="00836C07"/>
    <w:rsid w:val="008373A2"/>
    <w:rsid w:val="00840D27"/>
    <w:rsid w:val="00842024"/>
    <w:rsid w:val="00842A14"/>
    <w:rsid w:val="008447D4"/>
    <w:rsid w:val="008448EE"/>
    <w:rsid w:val="00845FE2"/>
    <w:rsid w:val="008463F8"/>
    <w:rsid w:val="0084662F"/>
    <w:rsid w:val="00846BBC"/>
    <w:rsid w:val="00851FF3"/>
    <w:rsid w:val="00852D03"/>
    <w:rsid w:val="0085354E"/>
    <w:rsid w:val="00854307"/>
    <w:rsid w:val="008550E5"/>
    <w:rsid w:val="00855284"/>
    <w:rsid w:val="008571E0"/>
    <w:rsid w:val="00860CE6"/>
    <w:rsid w:val="00861A5F"/>
    <w:rsid w:val="008638C7"/>
    <w:rsid w:val="00863995"/>
    <w:rsid w:val="008643F3"/>
    <w:rsid w:val="00864CF1"/>
    <w:rsid w:val="0086523B"/>
    <w:rsid w:val="008658CF"/>
    <w:rsid w:val="00867AFA"/>
    <w:rsid w:val="008700DE"/>
    <w:rsid w:val="0087167B"/>
    <w:rsid w:val="00871AA9"/>
    <w:rsid w:val="00871D4F"/>
    <w:rsid w:val="00872149"/>
    <w:rsid w:val="0087472A"/>
    <w:rsid w:val="00875029"/>
    <w:rsid w:val="00875815"/>
    <w:rsid w:val="00880643"/>
    <w:rsid w:val="00880F19"/>
    <w:rsid w:val="00881DD6"/>
    <w:rsid w:val="0088226B"/>
    <w:rsid w:val="008839C1"/>
    <w:rsid w:val="00884C1F"/>
    <w:rsid w:val="00885555"/>
    <w:rsid w:val="00885B12"/>
    <w:rsid w:val="00885F98"/>
    <w:rsid w:val="00887D1C"/>
    <w:rsid w:val="00890E7F"/>
    <w:rsid w:val="00892F03"/>
    <w:rsid w:val="00893306"/>
    <w:rsid w:val="00893B6B"/>
    <w:rsid w:val="00894538"/>
    <w:rsid w:val="00894749"/>
    <w:rsid w:val="008951AD"/>
    <w:rsid w:val="00896F36"/>
    <w:rsid w:val="008973C3"/>
    <w:rsid w:val="00897C03"/>
    <w:rsid w:val="008A14A3"/>
    <w:rsid w:val="008A164C"/>
    <w:rsid w:val="008A18F3"/>
    <w:rsid w:val="008A3534"/>
    <w:rsid w:val="008A48D1"/>
    <w:rsid w:val="008A5BF7"/>
    <w:rsid w:val="008A662C"/>
    <w:rsid w:val="008B3C2C"/>
    <w:rsid w:val="008B4A78"/>
    <w:rsid w:val="008B65A5"/>
    <w:rsid w:val="008B672B"/>
    <w:rsid w:val="008B7163"/>
    <w:rsid w:val="008C0E92"/>
    <w:rsid w:val="008C10CB"/>
    <w:rsid w:val="008C1B7E"/>
    <w:rsid w:val="008C537D"/>
    <w:rsid w:val="008C5D82"/>
    <w:rsid w:val="008C68F1"/>
    <w:rsid w:val="008D0347"/>
    <w:rsid w:val="008D0F52"/>
    <w:rsid w:val="008D16EB"/>
    <w:rsid w:val="008D3197"/>
    <w:rsid w:val="008D38F4"/>
    <w:rsid w:val="008D4745"/>
    <w:rsid w:val="008D69D8"/>
    <w:rsid w:val="008D6A34"/>
    <w:rsid w:val="008D7AC7"/>
    <w:rsid w:val="008E117B"/>
    <w:rsid w:val="008E134E"/>
    <w:rsid w:val="008E32D5"/>
    <w:rsid w:val="008E38EC"/>
    <w:rsid w:val="008E3BAD"/>
    <w:rsid w:val="008E3FCC"/>
    <w:rsid w:val="008E4BB3"/>
    <w:rsid w:val="008E4F4D"/>
    <w:rsid w:val="008E4FF8"/>
    <w:rsid w:val="008E59FB"/>
    <w:rsid w:val="008E7F02"/>
    <w:rsid w:val="008F04C1"/>
    <w:rsid w:val="008F1492"/>
    <w:rsid w:val="008F2D84"/>
    <w:rsid w:val="008F3A9E"/>
    <w:rsid w:val="008F423F"/>
    <w:rsid w:val="008F47BD"/>
    <w:rsid w:val="008F6E00"/>
    <w:rsid w:val="008F7CBD"/>
    <w:rsid w:val="008F7EDF"/>
    <w:rsid w:val="00900055"/>
    <w:rsid w:val="009001E2"/>
    <w:rsid w:val="00903BD4"/>
    <w:rsid w:val="00904E47"/>
    <w:rsid w:val="00905233"/>
    <w:rsid w:val="009054A7"/>
    <w:rsid w:val="009061BE"/>
    <w:rsid w:val="0090627A"/>
    <w:rsid w:val="00906538"/>
    <w:rsid w:val="00906E8C"/>
    <w:rsid w:val="009112C7"/>
    <w:rsid w:val="00911500"/>
    <w:rsid w:val="00911513"/>
    <w:rsid w:val="009173FA"/>
    <w:rsid w:val="009178FE"/>
    <w:rsid w:val="00923161"/>
    <w:rsid w:val="0092351F"/>
    <w:rsid w:val="009303A4"/>
    <w:rsid w:val="0093120F"/>
    <w:rsid w:val="0093232F"/>
    <w:rsid w:val="00935D0D"/>
    <w:rsid w:val="009371C1"/>
    <w:rsid w:val="009430FC"/>
    <w:rsid w:val="00943C9F"/>
    <w:rsid w:val="00943DFC"/>
    <w:rsid w:val="009444D2"/>
    <w:rsid w:val="0095080D"/>
    <w:rsid w:val="00953A3E"/>
    <w:rsid w:val="00955AB0"/>
    <w:rsid w:val="00956C5E"/>
    <w:rsid w:val="00956EB1"/>
    <w:rsid w:val="009641C8"/>
    <w:rsid w:val="00964BAD"/>
    <w:rsid w:val="009710CA"/>
    <w:rsid w:val="00973339"/>
    <w:rsid w:val="009755C8"/>
    <w:rsid w:val="009755DD"/>
    <w:rsid w:val="0098081B"/>
    <w:rsid w:val="009848DE"/>
    <w:rsid w:val="00986ED4"/>
    <w:rsid w:val="00987D86"/>
    <w:rsid w:val="00990757"/>
    <w:rsid w:val="0099187E"/>
    <w:rsid w:val="00993E50"/>
    <w:rsid w:val="00994D84"/>
    <w:rsid w:val="00995294"/>
    <w:rsid w:val="0099759E"/>
    <w:rsid w:val="00997D8E"/>
    <w:rsid w:val="009A08DA"/>
    <w:rsid w:val="009A198B"/>
    <w:rsid w:val="009A2329"/>
    <w:rsid w:val="009A24D3"/>
    <w:rsid w:val="009B0BB8"/>
    <w:rsid w:val="009B167D"/>
    <w:rsid w:val="009B25D5"/>
    <w:rsid w:val="009B37E5"/>
    <w:rsid w:val="009B67B6"/>
    <w:rsid w:val="009B7CE7"/>
    <w:rsid w:val="009C0C2D"/>
    <w:rsid w:val="009C1567"/>
    <w:rsid w:val="009C16C0"/>
    <w:rsid w:val="009C2BF8"/>
    <w:rsid w:val="009C46E8"/>
    <w:rsid w:val="009C4910"/>
    <w:rsid w:val="009C58F9"/>
    <w:rsid w:val="009C602D"/>
    <w:rsid w:val="009D0CFF"/>
    <w:rsid w:val="009D0F7D"/>
    <w:rsid w:val="009D16C8"/>
    <w:rsid w:val="009D1D2B"/>
    <w:rsid w:val="009D49F0"/>
    <w:rsid w:val="009D5AC6"/>
    <w:rsid w:val="009D66F3"/>
    <w:rsid w:val="009D7841"/>
    <w:rsid w:val="009E0420"/>
    <w:rsid w:val="009E40DE"/>
    <w:rsid w:val="009F2084"/>
    <w:rsid w:val="009F6B93"/>
    <w:rsid w:val="00A00300"/>
    <w:rsid w:val="00A0114D"/>
    <w:rsid w:val="00A0305D"/>
    <w:rsid w:val="00A054C8"/>
    <w:rsid w:val="00A05981"/>
    <w:rsid w:val="00A05C5B"/>
    <w:rsid w:val="00A063E9"/>
    <w:rsid w:val="00A06610"/>
    <w:rsid w:val="00A06F7E"/>
    <w:rsid w:val="00A10368"/>
    <w:rsid w:val="00A10430"/>
    <w:rsid w:val="00A115F1"/>
    <w:rsid w:val="00A1286E"/>
    <w:rsid w:val="00A149F1"/>
    <w:rsid w:val="00A1547C"/>
    <w:rsid w:val="00A161C7"/>
    <w:rsid w:val="00A1683A"/>
    <w:rsid w:val="00A20054"/>
    <w:rsid w:val="00A206A7"/>
    <w:rsid w:val="00A20C3E"/>
    <w:rsid w:val="00A21E71"/>
    <w:rsid w:val="00A21EB9"/>
    <w:rsid w:val="00A22A8E"/>
    <w:rsid w:val="00A242DD"/>
    <w:rsid w:val="00A261CA"/>
    <w:rsid w:val="00A268FF"/>
    <w:rsid w:val="00A27654"/>
    <w:rsid w:val="00A27F6A"/>
    <w:rsid w:val="00A3226A"/>
    <w:rsid w:val="00A324A3"/>
    <w:rsid w:val="00A34A27"/>
    <w:rsid w:val="00A35873"/>
    <w:rsid w:val="00A3654B"/>
    <w:rsid w:val="00A373D1"/>
    <w:rsid w:val="00A37A92"/>
    <w:rsid w:val="00A37AF2"/>
    <w:rsid w:val="00A40CC3"/>
    <w:rsid w:val="00A41B84"/>
    <w:rsid w:val="00A44088"/>
    <w:rsid w:val="00A46951"/>
    <w:rsid w:val="00A46C15"/>
    <w:rsid w:val="00A47B78"/>
    <w:rsid w:val="00A507FB"/>
    <w:rsid w:val="00A51881"/>
    <w:rsid w:val="00A53C27"/>
    <w:rsid w:val="00A540C5"/>
    <w:rsid w:val="00A542BE"/>
    <w:rsid w:val="00A61847"/>
    <w:rsid w:val="00A622C2"/>
    <w:rsid w:val="00A62FE4"/>
    <w:rsid w:val="00A63B2B"/>
    <w:rsid w:val="00A6484D"/>
    <w:rsid w:val="00A66DCC"/>
    <w:rsid w:val="00A66F61"/>
    <w:rsid w:val="00A7099F"/>
    <w:rsid w:val="00A70AE5"/>
    <w:rsid w:val="00A725A4"/>
    <w:rsid w:val="00A74CC8"/>
    <w:rsid w:val="00A74EA5"/>
    <w:rsid w:val="00A7603D"/>
    <w:rsid w:val="00A77FAF"/>
    <w:rsid w:val="00A80ADE"/>
    <w:rsid w:val="00A81D12"/>
    <w:rsid w:val="00A8245E"/>
    <w:rsid w:val="00A82688"/>
    <w:rsid w:val="00A82D3D"/>
    <w:rsid w:val="00A859EB"/>
    <w:rsid w:val="00A86CAC"/>
    <w:rsid w:val="00A90273"/>
    <w:rsid w:val="00A916BB"/>
    <w:rsid w:val="00A929E9"/>
    <w:rsid w:val="00A94382"/>
    <w:rsid w:val="00A9442D"/>
    <w:rsid w:val="00A948F9"/>
    <w:rsid w:val="00A963CD"/>
    <w:rsid w:val="00A9640C"/>
    <w:rsid w:val="00A969CB"/>
    <w:rsid w:val="00A973FB"/>
    <w:rsid w:val="00A979C3"/>
    <w:rsid w:val="00AA01DC"/>
    <w:rsid w:val="00AA1045"/>
    <w:rsid w:val="00AA2979"/>
    <w:rsid w:val="00AA3D9F"/>
    <w:rsid w:val="00AA4A23"/>
    <w:rsid w:val="00AA5975"/>
    <w:rsid w:val="00AA6C0F"/>
    <w:rsid w:val="00AA7689"/>
    <w:rsid w:val="00AB1585"/>
    <w:rsid w:val="00AB2572"/>
    <w:rsid w:val="00AB375C"/>
    <w:rsid w:val="00AB4D68"/>
    <w:rsid w:val="00AB5269"/>
    <w:rsid w:val="00AB6E46"/>
    <w:rsid w:val="00AB74B0"/>
    <w:rsid w:val="00AB7E97"/>
    <w:rsid w:val="00AC0451"/>
    <w:rsid w:val="00AC0BFA"/>
    <w:rsid w:val="00AC129B"/>
    <w:rsid w:val="00AC3513"/>
    <w:rsid w:val="00AC4F6B"/>
    <w:rsid w:val="00AD0296"/>
    <w:rsid w:val="00AD0C16"/>
    <w:rsid w:val="00AD210A"/>
    <w:rsid w:val="00AD28CC"/>
    <w:rsid w:val="00AD290A"/>
    <w:rsid w:val="00AD3148"/>
    <w:rsid w:val="00AD399D"/>
    <w:rsid w:val="00AD4401"/>
    <w:rsid w:val="00AD47E0"/>
    <w:rsid w:val="00AD48C2"/>
    <w:rsid w:val="00AD4DED"/>
    <w:rsid w:val="00AD53C5"/>
    <w:rsid w:val="00AD549B"/>
    <w:rsid w:val="00AD62A5"/>
    <w:rsid w:val="00AD6FBC"/>
    <w:rsid w:val="00AE1E0A"/>
    <w:rsid w:val="00AE27C1"/>
    <w:rsid w:val="00AE3D9A"/>
    <w:rsid w:val="00AE5028"/>
    <w:rsid w:val="00AE5C65"/>
    <w:rsid w:val="00AE7904"/>
    <w:rsid w:val="00AF00D5"/>
    <w:rsid w:val="00AF08C3"/>
    <w:rsid w:val="00AF3886"/>
    <w:rsid w:val="00AF3DA9"/>
    <w:rsid w:val="00AF7892"/>
    <w:rsid w:val="00B0043F"/>
    <w:rsid w:val="00B01CF0"/>
    <w:rsid w:val="00B03501"/>
    <w:rsid w:val="00B0391F"/>
    <w:rsid w:val="00B05EFA"/>
    <w:rsid w:val="00B06AB5"/>
    <w:rsid w:val="00B0720D"/>
    <w:rsid w:val="00B07659"/>
    <w:rsid w:val="00B1062B"/>
    <w:rsid w:val="00B106C2"/>
    <w:rsid w:val="00B11C40"/>
    <w:rsid w:val="00B1296F"/>
    <w:rsid w:val="00B17119"/>
    <w:rsid w:val="00B20141"/>
    <w:rsid w:val="00B208A3"/>
    <w:rsid w:val="00B210E8"/>
    <w:rsid w:val="00B223F9"/>
    <w:rsid w:val="00B23767"/>
    <w:rsid w:val="00B24214"/>
    <w:rsid w:val="00B24AD0"/>
    <w:rsid w:val="00B253E1"/>
    <w:rsid w:val="00B253F7"/>
    <w:rsid w:val="00B30CD9"/>
    <w:rsid w:val="00B31FF3"/>
    <w:rsid w:val="00B33FE8"/>
    <w:rsid w:val="00B3497B"/>
    <w:rsid w:val="00B3545D"/>
    <w:rsid w:val="00B369C4"/>
    <w:rsid w:val="00B3736A"/>
    <w:rsid w:val="00B37491"/>
    <w:rsid w:val="00B378B7"/>
    <w:rsid w:val="00B379EF"/>
    <w:rsid w:val="00B37E69"/>
    <w:rsid w:val="00B40C85"/>
    <w:rsid w:val="00B431CE"/>
    <w:rsid w:val="00B43E98"/>
    <w:rsid w:val="00B44391"/>
    <w:rsid w:val="00B44772"/>
    <w:rsid w:val="00B452CA"/>
    <w:rsid w:val="00B46123"/>
    <w:rsid w:val="00B461DA"/>
    <w:rsid w:val="00B5057C"/>
    <w:rsid w:val="00B5124A"/>
    <w:rsid w:val="00B51A17"/>
    <w:rsid w:val="00B524CE"/>
    <w:rsid w:val="00B531A5"/>
    <w:rsid w:val="00B535FA"/>
    <w:rsid w:val="00B5569B"/>
    <w:rsid w:val="00B636E1"/>
    <w:rsid w:val="00B65841"/>
    <w:rsid w:val="00B66188"/>
    <w:rsid w:val="00B66388"/>
    <w:rsid w:val="00B66642"/>
    <w:rsid w:val="00B66C84"/>
    <w:rsid w:val="00B7068D"/>
    <w:rsid w:val="00B70C6C"/>
    <w:rsid w:val="00B71DD8"/>
    <w:rsid w:val="00B73E2C"/>
    <w:rsid w:val="00B742A3"/>
    <w:rsid w:val="00B80374"/>
    <w:rsid w:val="00B80A8C"/>
    <w:rsid w:val="00B81893"/>
    <w:rsid w:val="00B830B6"/>
    <w:rsid w:val="00B848A4"/>
    <w:rsid w:val="00B84F4B"/>
    <w:rsid w:val="00B864A4"/>
    <w:rsid w:val="00B86510"/>
    <w:rsid w:val="00B871D9"/>
    <w:rsid w:val="00B87A9D"/>
    <w:rsid w:val="00B901C0"/>
    <w:rsid w:val="00B90C9A"/>
    <w:rsid w:val="00B92EDA"/>
    <w:rsid w:val="00B93135"/>
    <w:rsid w:val="00B9368E"/>
    <w:rsid w:val="00B93B67"/>
    <w:rsid w:val="00B96256"/>
    <w:rsid w:val="00B96987"/>
    <w:rsid w:val="00B97F00"/>
    <w:rsid w:val="00BA22A1"/>
    <w:rsid w:val="00BA54DF"/>
    <w:rsid w:val="00BA6F64"/>
    <w:rsid w:val="00BA7DDA"/>
    <w:rsid w:val="00BB123B"/>
    <w:rsid w:val="00BB1B90"/>
    <w:rsid w:val="00BB28B8"/>
    <w:rsid w:val="00BB647A"/>
    <w:rsid w:val="00BB6EBC"/>
    <w:rsid w:val="00BB7EE1"/>
    <w:rsid w:val="00BC06AC"/>
    <w:rsid w:val="00BC3D62"/>
    <w:rsid w:val="00BC4ACD"/>
    <w:rsid w:val="00BC5397"/>
    <w:rsid w:val="00BC6A1C"/>
    <w:rsid w:val="00BC7AF8"/>
    <w:rsid w:val="00BC7DD5"/>
    <w:rsid w:val="00BD1869"/>
    <w:rsid w:val="00BD3033"/>
    <w:rsid w:val="00BD62CE"/>
    <w:rsid w:val="00BD772C"/>
    <w:rsid w:val="00BD7C1E"/>
    <w:rsid w:val="00BD7E1B"/>
    <w:rsid w:val="00BE077C"/>
    <w:rsid w:val="00BE0B55"/>
    <w:rsid w:val="00BE2382"/>
    <w:rsid w:val="00BE3F0A"/>
    <w:rsid w:val="00BE4A6D"/>
    <w:rsid w:val="00BE4CEE"/>
    <w:rsid w:val="00BE50CB"/>
    <w:rsid w:val="00BF3888"/>
    <w:rsid w:val="00BF3C78"/>
    <w:rsid w:val="00BF3E22"/>
    <w:rsid w:val="00BF3E62"/>
    <w:rsid w:val="00BF48B7"/>
    <w:rsid w:val="00BF55ED"/>
    <w:rsid w:val="00BF56C6"/>
    <w:rsid w:val="00C00B6A"/>
    <w:rsid w:val="00C00E25"/>
    <w:rsid w:val="00C0209B"/>
    <w:rsid w:val="00C02F4A"/>
    <w:rsid w:val="00C03328"/>
    <w:rsid w:val="00C0333E"/>
    <w:rsid w:val="00C03972"/>
    <w:rsid w:val="00C05CED"/>
    <w:rsid w:val="00C0647F"/>
    <w:rsid w:val="00C07AF7"/>
    <w:rsid w:val="00C10A19"/>
    <w:rsid w:val="00C10ACB"/>
    <w:rsid w:val="00C129EC"/>
    <w:rsid w:val="00C16B82"/>
    <w:rsid w:val="00C175C6"/>
    <w:rsid w:val="00C20030"/>
    <w:rsid w:val="00C20602"/>
    <w:rsid w:val="00C21251"/>
    <w:rsid w:val="00C22287"/>
    <w:rsid w:val="00C22501"/>
    <w:rsid w:val="00C24D04"/>
    <w:rsid w:val="00C24D2E"/>
    <w:rsid w:val="00C2621B"/>
    <w:rsid w:val="00C276A5"/>
    <w:rsid w:val="00C31C5B"/>
    <w:rsid w:val="00C31CE4"/>
    <w:rsid w:val="00C3404B"/>
    <w:rsid w:val="00C368A3"/>
    <w:rsid w:val="00C36968"/>
    <w:rsid w:val="00C36C29"/>
    <w:rsid w:val="00C3744B"/>
    <w:rsid w:val="00C37FA7"/>
    <w:rsid w:val="00C37FE3"/>
    <w:rsid w:val="00C436A5"/>
    <w:rsid w:val="00C4557F"/>
    <w:rsid w:val="00C457DA"/>
    <w:rsid w:val="00C46F64"/>
    <w:rsid w:val="00C504B5"/>
    <w:rsid w:val="00C50875"/>
    <w:rsid w:val="00C53E2A"/>
    <w:rsid w:val="00C54AE7"/>
    <w:rsid w:val="00C56424"/>
    <w:rsid w:val="00C5750D"/>
    <w:rsid w:val="00C57A8F"/>
    <w:rsid w:val="00C605F2"/>
    <w:rsid w:val="00C6085F"/>
    <w:rsid w:val="00C624DF"/>
    <w:rsid w:val="00C63F03"/>
    <w:rsid w:val="00C6511C"/>
    <w:rsid w:val="00C677F2"/>
    <w:rsid w:val="00C67AF5"/>
    <w:rsid w:val="00C70103"/>
    <w:rsid w:val="00C706EB"/>
    <w:rsid w:val="00C727E5"/>
    <w:rsid w:val="00C73D43"/>
    <w:rsid w:val="00C73DE1"/>
    <w:rsid w:val="00C74A76"/>
    <w:rsid w:val="00C81843"/>
    <w:rsid w:val="00C81A70"/>
    <w:rsid w:val="00C82EF6"/>
    <w:rsid w:val="00C83486"/>
    <w:rsid w:val="00C8376A"/>
    <w:rsid w:val="00C851B8"/>
    <w:rsid w:val="00C85DEC"/>
    <w:rsid w:val="00C902D2"/>
    <w:rsid w:val="00C9053C"/>
    <w:rsid w:val="00C90991"/>
    <w:rsid w:val="00C91C5C"/>
    <w:rsid w:val="00C92A9C"/>
    <w:rsid w:val="00C94694"/>
    <w:rsid w:val="00C94A68"/>
    <w:rsid w:val="00C95053"/>
    <w:rsid w:val="00C95BA1"/>
    <w:rsid w:val="00C9651B"/>
    <w:rsid w:val="00C97541"/>
    <w:rsid w:val="00CA316A"/>
    <w:rsid w:val="00CA36BA"/>
    <w:rsid w:val="00CA3CEE"/>
    <w:rsid w:val="00CA42C1"/>
    <w:rsid w:val="00CA53DB"/>
    <w:rsid w:val="00CA58CD"/>
    <w:rsid w:val="00CA61A9"/>
    <w:rsid w:val="00CA7D5A"/>
    <w:rsid w:val="00CB1F28"/>
    <w:rsid w:val="00CB1F9C"/>
    <w:rsid w:val="00CB2648"/>
    <w:rsid w:val="00CB3C88"/>
    <w:rsid w:val="00CB3F25"/>
    <w:rsid w:val="00CB46A7"/>
    <w:rsid w:val="00CB4AC8"/>
    <w:rsid w:val="00CB72E8"/>
    <w:rsid w:val="00CC10E5"/>
    <w:rsid w:val="00CC25DA"/>
    <w:rsid w:val="00CC29A2"/>
    <w:rsid w:val="00CC4027"/>
    <w:rsid w:val="00CC40FF"/>
    <w:rsid w:val="00CC6A25"/>
    <w:rsid w:val="00CC75EA"/>
    <w:rsid w:val="00CD22E3"/>
    <w:rsid w:val="00CD2A50"/>
    <w:rsid w:val="00CD361A"/>
    <w:rsid w:val="00CD3D47"/>
    <w:rsid w:val="00CD3F97"/>
    <w:rsid w:val="00CD4685"/>
    <w:rsid w:val="00CD46C7"/>
    <w:rsid w:val="00CD78C3"/>
    <w:rsid w:val="00CD790A"/>
    <w:rsid w:val="00CE0087"/>
    <w:rsid w:val="00CE35F8"/>
    <w:rsid w:val="00CE3AB7"/>
    <w:rsid w:val="00CE3DFE"/>
    <w:rsid w:val="00CE493D"/>
    <w:rsid w:val="00CE6397"/>
    <w:rsid w:val="00CE68CA"/>
    <w:rsid w:val="00CF01F3"/>
    <w:rsid w:val="00CF1034"/>
    <w:rsid w:val="00CF1089"/>
    <w:rsid w:val="00CF599F"/>
    <w:rsid w:val="00CF5DC7"/>
    <w:rsid w:val="00CF605F"/>
    <w:rsid w:val="00CF69E0"/>
    <w:rsid w:val="00D02FF2"/>
    <w:rsid w:val="00D0301B"/>
    <w:rsid w:val="00D03430"/>
    <w:rsid w:val="00D04F43"/>
    <w:rsid w:val="00D059F7"/>
    <w:rsid w:val="00D076BB"/>
    <w:rsid w:val="00D10FBE"/>
    <w:rsid w:val="00D13301"/>
    <w:rsid w:val="00D13E11"/>
    <w:rsid w:val="00D14600"/>
    <w:rsid w:val="00D14A2D"/>
    <w:rsid w:val="00D15E5A"/>
    <w:rsid w:val="00D17599"/>
    <w:rsid w:val="00D20CBC"/>
    <w:rsid w:val="00D20FE2"/>
    <w:rsid w:val="00D211C9"/>
    <w:rsid w:val="00D221EC"/>
    <w:rsid w:val="00D24DE1"/>
    <w:rsid w:val="00D258E7"/>
    <w:rsid w:val="00D264A2"/>
    <w:rsid w:val="00D27896"/>
    <w:rsid w:val="00D30C17"/>
    <w:rsid w:val="00D30C56"/>
    <w:rsid w:val="00D31763"/>
    <w:rsid w:val="00D3266B"/>
    <w:rsid w:val="00D32E9B"/>
    <w:rsid w:val="00D33EC0"/>
    <w:rsid w:val="00D34732"/>
    <w:rsid w:val="00D35449"/>
    <w:rsid w:val="00D35DBC"/>
    <w:rsid w:val="00D400B7"/>
    <w:rsid w:val="00D41D68"/>
    <w:rsid w:val="00D42B81"/>
    <w:rsid w:val="00D4375A"/>
    <w:rsid w:val="00D43A3C"/>
    <w:rsid w:val="00D447DC"/>
    <w:rsid w:val="00D472A3"/>
    <w:rsid w:val="00D47401"/>
    <w:rsid w:val="00D5139D"/>
    <w:rsid w:val="00D540DF"/>
    <w:rsid w:val="00D54521"/>
    <w:rsid w:val="00D54B4B"/>
    <w:rsid w:val="00D55322"/>
    <w:rsid w:val="00D55BC9"/>
    <w:rsid w:val="00D56C75"/>
    <w:rsid w:val="00D60FB5"/>
    <w:rsid w:val="00D61767"/>
    <w:rsid w:val="00D637A0"/>
    <w:rsid w:val="00D63FD1"/>
    <w:rsid w:val="00D64035"/>
    <w:rsid w:val="00D647F7"/>
    <w:rsid w:val="00D64A9B"/>
    <w:rsid w:val="00D65D1F"/>
    <w:rsid w:val="00D67003"/>
    <w:rsid w:val="00D71EC8"/>
    <w:rsid w:val="00D72A93"/>
    <w:rsid w:val="00D73C7D"/>
    <w:rsid w:val="00D73DB1"/>
    <w:rsid w:val="00D74D55"/>
    <w:rsid w:val="00D75DA0"/>
    <w:rsid w:val="00D76769"/>
    <w:rsid w:val="00D770E8"/>
    <w:rsid w:val="00D77606"/>
    <w:rsid w:val="00D777CC"/>
    <w:rsid w:val="00D77D34"/>
    <w:rsid w:val="00D8528A"/>
    <w:rsid w:val="00D8762C"/>
    <w:rsid w:val="00D91F4F"/>
    <w:rsid w:val="00D92BC9"/>
    <w:rsid w:val="00D92F93"/>
    <w:rsid w:val="00D94641"/>
    <w:rsid w:val="00D94702"/>
    <w:rsid w:val="00D958BC"/>
    <w:rsid w:val="00D95E6A"/>
    <w:rsid w:val="00D978F2"/>
    <w:rsid w:val="00DA0C17"/>
    <w:rsid w:val="00DA0CEB"/>
    <w:rsid w:val="00DA11F4"/>
    <w:rsid w:val="00DA200F"/>
    <w:rsid w:val="00DA234F"/>
    <w:rsid w:val="00DA360F"/>
    <w:rsid w:val="00DA4D03"/>
    <w:rsid w:val="00DA5FDB"/>
    <w:rsid w:val="00DA61EA"/>
    <w:rsid w:val="00DA6BF5"/>
    <w:rsid w:val="00DA780C"/>
    <w:rsid w:val="00DB0356"/>
    <w:rsid w:val="00DB1333"/>
    <w:rsid w:val="00DB1AE5"/>
    <w:rsid w:val="00DB2079"/>
    <w:rsid w:val="00DB286C"/>
    <w:rsid w:val="00DB49D5"/>
    <w:rsid w:val="00DB590A"/>
    <w:rsid w:val="00DB615B"/>
    <w:rsid w:val="00DB7B84"/>
    <w:rsid w:val="00DB7FA3"/>
    <w:rsid w:val="00DC0F9D"/>
    <w:rsid w:val="00DC36DE"/>
    <w:rsid w:val="00DC5473"/>
    <w:rsid w:val="00DC5E74"/>
    <w:rsid w:val="00DC6B88"/>
    <w:rsid w:val="00DC7EE1"/>
    <w:rsid w:val="00DD063F"/>
    <w:rsid w:val="00DD19C4"/>
    <w:rsid w:val="00DD30D6"/>
    <w:rsid w:val="00DD40AB"/>
    <w:rsid w:val="00DD6846"/>
    <w:rsid w:val="00DD72A4"/>
    <w:rsid w:val="00DD74B0"/>
    <w:rsid w:val="00DD7536"/>
    <w:rsid w:val="00DE0C6B"/>
    <w:rsid w:val="00DE15B1"/>
    <w:rsid w:val="00DE1D04"/>
    <w:rsid w:val="00DE2683"/>
    <w:rsid w:val="00DE2FC9"/>
    <w:rsid w:val="00DE3A74"/>
    <w:rsid w:val="00DE3BBF"/>
    <w:rsid w:val="00DE5D7B"/>
    <w:rsid w:val="00DE68CA"/>
    <w:rsid w:val="00DE738A"/>
    <w:rsid w:val="00DE7A1A"/>
    <w:rsid w:val="00DF0298"/>
    <w:rsid w:val="00DF06D0"/>
    <w:rsid w:val="00DF2EFA"/>
    <w:rsid w:val="00DF3117"/>
    <w:rsid w:val="00DF3DCB"/>
    <w:rsid w:val="00DF47DD"/>
    <w:rsid w:val="00DF519F"/>
    <w:rsid w:val="00DF5340"/>
    <w:rsid w:val="00DF737F"/>
    <w:rsid w:val="00DF7500"/>
    <w:rsid w:val="00E004B0"/>
    <w:rsid w:val="00E008D1"/>
    <w:rsid w:val="00E01EBC"/>
    <w:rsid w:val="00E04510"/>
    <w:rsid w:val="00E114BC"/>
    <w:rsid w:val="00E137FD"/>
    <w:rsid w:val="00E1483A"/>
    <w:rsid w:val="00E17B2D"/>
    <w:rsid w:val="00E17E86"/>
    <w:rsid w:val="00E247ED"/>
    <w:rsid w:val="00E24A7F"/>
    <w:rsid w:val="00E25FEE"/>
    <w:rsid w:val="00E26561"/>
    <w:rsid w:val="00E30D12"/>
    <w:rsid w:val="00E30FD6"/>
    <w:rsid w:val="00E31BCA"/>
    <w:rsid w:val="00E31DEE"/>
    <w:rsid w:val="00E32E19"/>
    <w:rsid w:val="00E33857"/>
    <w:rsid w:val="00E35D80"/>
    <w:rsid w:val="00E361B8"/>
    <w:rsid w:val="00E36F13"/>
    <w:rsid w:val="00E375EA"/>
    <w:rsid w:val="00E43649"/>
    <w:rsid w:val="00E43666"/>
    <w:rsid w:val="00E469E0"/>
    <w:rsid w:val="00E509A9"/>
    <w:rsid w:val="00E52459"/>
    <w:rsid w:val="00E529FD"/>
    <w:rsid w:val="00E53E04"/>
    <w:rsid w:val="00E554BB"/>
    <w:rsid w:val="00E558CD"/>
    <w:rsid w:val="00E56DE7"/>
    <w:rsid w:val="00E56E7A"/>
    <w:rsid w:val="00E60CEE"/>
    <w:rsid w:val="00E62878"/>
    <w:rsid w:val="00E63203"/>
    <w:rsid w:val="00E636DB"/>
    <w:rsid w:val="00E64A82"/>
    <w:rsid w:val="00E64DD5"/>
    <w:rsid w:val="00E66F06"/>
    <w:rsid w:val="00E676B5"/>
    <w:rsid w:val="00E70BBB"/>
    <w:rsid w:val="00E71EA5"/>
    <w:rsid w:val="00E72526"/>
    <w:rsid w:val="00E73D24"/>
    <w:rsid w:val="00E7553B"/>
    <w:rsid w:val="00E759CB"/>
    <w:rsid w:val="00E76181"/>
    <w:rsid w:val="00E76799"/>
    <w:rsid w:val="00E76B23"/>
    <w:rsid w:val="00E808E2"/>
    <w:rsid w:val="00E81C09"/>
    <w:rsid w:val="00E82233"/>
    <w:rsid w:val="00E8329F"/>
    <w:rsid w:val="00E8391E"/>
    <w:rsid w:val="00E85E23"/>
    <w:rsid w:val="00E90265"/>
    <w:rsid w:val="00E90A87"/>
    <w:rsid w:val="00E9191D"/>
    <w:rsid w:val="00E940C0"/>
    <w:rsid w:val="00E95498"/>
    <w:rsid w:val="00E95A77"/>
    <w:rsid w:val="00EA0BBE"/>
    <w:rsid w:val="00EA0FD1"/>
    <w:rsid w:val="00EA1442"/>
    <w:rsid w:val="00EA16FC"/>
    <w:rsid w:val="00EA1EC1"/>
    <w:rsid w:val="00EA2A4D"/>
    <w:rsid w:val="00EA3472"/>
    <w:rsid w:val="00EA3D78"/>
    <w:rsid w:val="00EA6FF4"/>
    <w:rsid w:val="00EB0805"/>
    <w:rsid w:val="00EB108F"/>
    <w:rsid w:val="00EB3E6F"/>
    <w:rsid w:val="00EB4D69"/>
    <w:rsid w:val="00EB57EA"/>
    <w:rsid w:val="00EB585F"/>
    <w:rsid w:val="00EC06A1"/>
    <w:rsid w:val="00EC077E"/>
    <w:rsid w:val="00EC1791"/>
    <w:rsid w:val="00EC188A"/>
    <w:rsid w:val="00EC1E1B"/>
    <w:rsid w:val="00EC399B"/>
    <w:rsid w:val="00EC3EF9"/>
    <w:rsid w:val="00EC42A7"/>
    <w:rsid w:val="00EC47AB"/>
    <w:rsid w:val="00EC5324"/>
    <w:rsid w:val="00EC6046"/>
    <w:rsid w:val="00EC6ABA"/>
    <w:rsid w:val="00EC6C2A"/>
    <w:rsid w:val="00EC753C"/>
    <w:rsid w:val="00ED05E3"/>
    <w:rsid w:val="00ED36AD"/>
    <w:rsid w:val="00ED3BA2"/>
    <w:rsid w:val="00ED3EDB"/>
    <w:rsid w:val="00ED4B89"/>
    <w:rsid w:val="00ED4C7D"/>
    <w:rsid w:val="00ED520B"/>
    <w:rsid w:val="00ED5B5C"/>
    <w:rsid w:val="00ED63F7"/>
    <w:rsid w:val="00ED643B"/>
    <w:rsid w:val="00ED6B96"/>
    <w:rsid w:val="00EE1517"/>
    <w:rsid w:val="00EE181E"/>
    <w:rsid w:val="00EE1CDC"/>
    <w:rsid w:val="00EE1EB3"/>
    <w:rsid w:val="00EE1FFD"/>
    <w:rsid w:val="00EE25B4"/>
    <w:rsid w:val="00EE35A7"/>
    <w:rsid w:val="00EE36B8"/>
    <w:rsid w:val="00EE43C7"/>
    <w:rsid w:val="00EE4741"/>
    <w:rsid w:val="00EE5769"/>
    <w:rsid w:val="00EE77FB"/>
    <w:rsid w:val="00EE796B"/>
    <w:rsid w:val="00EF0523"/>
    <w:rsid w:val="00EF0746"/>
    <w:rsid w:val="00EF0894"/>
    <w:rsid w:val="00EF09CB"/>
    <w:rsid w:val="00EF256F"/>
    <w:rsid w:val="00EF3173"/>
    <w:rsid w:val="00EF3E7E"/>
    <w:rsid w:val="00EF43A3"/>
    <w:rsid w:val="00EF4DAF"/>
    <w:rsid w:val="00EF535E"/>
    <w:rsid w:val="00EF583D"/>
    <w:rsid w:val="00EF6816"/>
    <w:rsid w:val="00F01B35"/>
    <w:rsid w:val="00F03295"/>
    <w:rsid w:val="00F03802"/>
    <w:rsid w:val="00F03A88"/>
    <w:rsid w:val="00F03CEE"/>
    <w:rsid w:val="00F06C58"/>
    <w:rsid w:val="00F100EB"/>
    <w:rsid w:val="00F1156E"/>
    <w:rsid w:val="00F1323E"/>
    <w:rsid w:val="00F1359D"/>
    <w:rsid w:val="00F15D17"/>
    <w:rsid w:val="00F16627"/>
    <w:rsid w:val="00F16680"/>
    <w:rsid w:val="00F168E6"/>
    <w:rsid w:val="00F16E27"/>
    <w:rsid w:val="00F20E06"/>
    <w:rsid w:val="00F2273E"/>
    <w:rsid w:val="00F23744"/>
    <w:rsid w:val="00F23AD2"/>
    <w:rsid w:val="00F24158"/>
    <w:rsid w:val="00F24AD0"/>
    <w:rsid w:val="00F24C9A"/>
    <w:rsid w:val="00F257AE"/>
    <w:rsid w:val="00F25CAA"/>
    <w:rsid w:val="00F26DAC"/>
    <w:rsid w:val="00F272B0"/>
    <w:rsid w:val="00F33D0E"/>
    <w:rsid w:val="00F357AB"/>
    <w:rsid w:val="00F37B39"/>
    <w:rsid w:val="00F411D9"/>
    <w:rsid w:val="00F41360"/>
    <w:rsid w:val="00F41439"/>
    <w:rsid w:val="00F41D09"/>
    <w:rsid w:val="00F41FE5"/>
    <w:rsid w:val="00F42E53"/>
    <w:rsid w:val="00F42F3F"/>
    <w:rsid w:val="00F45027"/>
    <w:rsid w:val="00F469A5"/>
    <w:rsid w:val="00F46EBA"/>
    <w:rsid w:val="00F477B9"/>
    <w:rsid w:val="00F47FA0"/>
    <w:rsid w:val="00F50173"/>
    <w:rsid w:val="00F5143F"/>
    <w:rsid w:val="00F51955"/>
    <w:rsid w:val="00F51B41"/>
    <w:rsid w:val="00F538DC"/>
    <w:rsid w:val="00F5481B"/>
    <w:rsid w:val="00F55E55"/>
    <w:rsid w:val="00F56D16"/>
    <w:rsid w:val="00F57A5F"/>
    <w:rsid w:val="00F604E0"/>
    <w:rsid w:val="00F61A58"/>
    <w:rsid w:val="00F62A4A"/>
    <w:rsid w:val="00F6319C"/>
    <w:rsid w:val="00F639C1"/>
    <w:rsid w:val="00F63FD8"/>
    <w:rsid w:val="00F65617"/>
    <w:rsid w:val="00F65797"/>
    <w:rsid w:val="00F66E14"/>
    <w:rsid w:val="00F6765B"/>
    <w:rsid w:val="00F67934"/>
    <w:rsid w:val="00F70170"/>
    <w:rsid w:val="00F7023A"/>
    <w:rsid w:val="00F712C7"/>
    <w:rsid w:val="00F72A3C"/>
    <w:rsid w:val="00F72EFC"/>
    <w:rsid w:val="00F7371B"/>
    <w:rsid w:val="00F74970"/>
    <w:rsid w:val="00F74C5A"/>
    <w:rsid w:val="00F74EB3"/>
    <w:rsid w:val="00F759CC"/>
    <w:rsid w:val="00F77090"/>
    <w:rsid w:val="00F81A2C"/>
    <w:rsid w:val="00F82417"/>
    <w:rsid w:val="00F831B1"/>
    <w:rsid w:val="00F8369E"/>
    <w:rsid w:val="00F848C0"/>
    <w:rsid w:val="00F84935"/>
    <w:rsid w:val="00F86065"/>
    <w:rsid w:val="00F926D0"/>
    <w:rsid w:val="00F93591"/>
    <w:rsid w:val="00F94615"/>
    <w:rsid w:val="00F95A09"/>
    <w:rsid w:val="00F97175"/>
    <w:rsid w:val="00FA1674"/>
    <w:rsid w:val="00FA2A87"/>
    <w:rsid w:val="00FA3737"/>
    <w:rsid w:val="00FA4B2F"/>
    <w:rsid w:val="00FA68C0"/>
    <w:rsid w:val="00FA6AD0"/>
    <w:rsid w:val="00FB137B"/>
    <w:rsid w:val="00FB18F1"/>
    <w:rsid w:val="00FB3319"/>
    <w:rsid w:val="00FB402E"/>
    <w:rsid w:val="00FB723D"/>
    <w:rsid w:val="00FB7A1B"/>
    <w:rsid w:val="00FC0A01"/>
    <w:rsid w:val="00FC1B34"/>
    <w:rsid w:val="00FC2AE2"/>
    <w:rsid w:val="00FC2EE7"/>
    <w:rsid w:val="00FC2F4B"/>
    <w:rsid w:val="00FC5183"/>
    <w:rsid w:val="00FD109C"/>
    <w:rsid w:val="00FD2652"/>
    <w:rsid w:val="00FD2D38"/>
    <w:rsid w:val="00FD2F42"/>
    <w:rsid w:val="00FD36B1"/>
    <w:rsid w:val="00FD3A23"/>
    <w:rsid w:val="00FD5414"/>
    <w:rsid w:val="00FD5EA7"/>
    <w:rsid w:val="00FD6662"/>
    <w:rsid w:val="00FD7786"/>
    <w:rsid w:val="00FD7C48"/>
    <w:rsid w:val="00FE0872"/>
    <w:rsid w:val="00FE0EE4"/>
    <w:rsid w:val="00FE111B"/>
    <w:rsid w:val="00FE38A7"/>
    <w:rsid w:val="00FE4CDD"/>
    <w:rsid w:val="00FE66DB"/>
    <w:rsid w:val="00FE74A5"/>
    <w:rsid w:val="00FE7E18"/>
    <w:rsid w:val="00FF1159"/>
    <w:rsid w:val="00FF1BAF"/>
    <w:rsid w:val="00FF1E21"/>
    <w:rsid w:val="00FF2B09"/>
    <w:rsid w:val="00FF47B5"/>
    <w:rsid w:val="00FF5E83"/>
    <w:rsid w:val="00FF6291"/>
    <w:rsid w:val="00FF6E7D"/>
    <w:rsid w:val="00FF7151"/>
    <w:rsid w:val="00FF7568"/>
    <w:rsid w:val="00FF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7AFF33"/>
  <w15:chartTrackingRefBased/>
  <w15:docId w15:val="{2A592CFD-3846-2C4B-B7C4-D46E09EC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4B0"/>
    <w:pPr>
      <w:ind w:left="720"/>
      <w:contextualSpacing/>
    </w:pPr>
  </w:style>
  <w:style w:type="paragraph" w:styleId="BalloonText">
    <w:name w:val="Balloon Text"/>
    <w:basedOn w:val="Normal"/>
    <w:link w:val="BalloonTextChar"/>
    <w:uiPriority w:val="99"/>
    <w:semiHidden/>
    <w:unhideWhenUsed/>
    <w:rsid w:val="005849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4972"/>
    <w:rPr>
      <w:rFonts w:ascii="Times New Roman" w:hAnsi="Times New Roman" w:cs="Times New Roman"/>
      <w:sz w:val="18"/>
      <w:szCs w:val="18"/>
    </w:rPr>
  </w:style>
  <w:style w:type="paragraph" w:styleId="FootnoteText">
    <w:name w:val="footnote text"/>
    <w:basedOn w:val="Normal"/>
    <w:link w:val="FootnoteTextChar"/>
    <w:uiPriority w:val="99"/>
    <w:unhideWhenUsed/>
    <w:rsid w:val="00740C63"/>
    <w:rPr>
      <w:sz w:val="20"/>
      <w:szCs w:val="20"/>
    </w:rPr>
  </w:style>
  <w:style w:type="character" w:customStyle="1" w:styleId="FootnoteTextChar">
    <w:name w:val="Footnote Text Char"/>
    <w:basedOn w:val="DefaultParagraphFont"/>
    <w:link w:val="FootnoteText"/>
    <w:uiPriority w:val="99"/>
    <w:rsid w:val="00740C63"/>
    <w:rPr>
      <w:sz w:val="20"/>
      <w:szCs w:val="20"/>
    </w:rPr>
  </w:style>
  <w:style w:type="character" w:styleId="FootnoteReference">
    <w:name w:val="footnote reference"/>
    <w:basedOn w:val="DefaultParagraphFont"/>
    <w:uiPriority w:val="99"/>
    <w:unhideWhenUsed/>
    <w:rsid w:val="00740C63"/>
    <w:rPr>
      <w:vertAlign w:val="superscript"/>
    </w:rPr>
  </w:style>
  <w:style w:type="character" w:styleId="CommentReference">
    <w:name w:val="annotation reference"/>
    <w:basedOn w:val="DefaultParagraphFont"/>
    <w:uiPriority w:val="99"/>
    <w:semiHidden/>
    <w:unhideWhenUsed/>
    <w:rsid w:val="00CE3DFE"/>
    <w:rPr>
      <w:sz w:val="16"/>
      <w:szCs w:val="16"/>
    </w:rPr>
  </w:style>
  <w:style w:type="paragraph" w:styleId="CommentText">
    <w:name w:val="annotation text"/>
    <w:basedOn w:val="Normal"/>
    <w:link w:val="CommentTextChar"/>
    <w:uiPriority w:val="99"/>
    <w:unhideWhenUsed/>
    <w:rsid w:val="00CE3DFE"/>
    <w:rPr>
      <w:sz w:val="20"/>
      <w:szCs w:val="20"/>
    </w:rPr>
  </w:style>
  <w:style w:type="character" w:customStyle="1" w:styleId="CommentTextChar">
    <w:name w:val="Comment Text Char"/>
    <w:basedOn w:val="DefaultParagraphFont"/>
    <w:link w:val="CommentText"/>
    <w:uiPriority w:val="99"/>
    <w:rsid w:val="00CE3DFE"/>
    <w:rPr>
      <w:sz w:val="20"/>
      <w:szCs w:val="20"/>
    </w:rPr>
  </w:style>
  <w:style w:type="character" w:styleId="Hyperlink">
    <w:name w:val="Hyperlink"/>
    <w:basedOn w:val="DefaultParagraphFont"/>
    <w:uiPriority w:val="99"/>
    <w:unhideWhenUsed/>
    <w:rsid w:val="006E368F"/>
    <w:rPr>
      <w:color w:val="0563C1" w:themeColor="hyperlink"/>
      <w:u w:val="single"/>
    </w:rPr>
  </w:style>
  <w:style w:type="paragraph" w:styleId="Header">
    <w:name w:val="header"/>
    <w:basedOn w:val="Normal"/>
    <w:link w:val="HeaderChar"/>
    <w:uiPriority w:val="99"/>
    <w:unhideWhenUsed/>
    <w:rsid w:val="00694076"/>
    <w:pPr>
      <w:tabs>
        <w:tab w:val="center" w:pos="4513"/>
        <w:tab w:val="right" w:pos="9026"/>
      </w:tabs>
    </w:pPr>
  </w:style>
  <w:style w:type="character" w:customStyle="1" w:styleId="HeaderChar">
    <w:name w:val="Header Char"/>
    <w:basedOn w:val="DefaultParagraphFont"/>
    <w:link w:val="Header"/>
    <w:uiPriority w:val="99"/>
    <w:rsid w:val="00694076"/>
  </w:style>
  <w:style w:type="paragraph" w:styleId="Footer">
    <w:name w:val="footer"/>
    <w:basedOn w:val="Normal"/>
    <w:link w:val="FooterChar"/>
    <w:uiPriority w:val="99"/>
    <w:unhideWhenUsed/>
    <w:rsid w:val="00694076"/>
    <w:pPr>
      <w:tabs>
        <w:tab w:val="center" w:pos="4513"/>
        <w:tab w:val="right" w:pos="9026"/>
      </w:tabs>
    </w:pPr>
  </w:style>
  <w:style w:type="character" w:customStyle="1" w:styleId="FooterChar">
    <w:name w:val="Footer Char"/>
    <w:basedOn w:val="DefaultParagraphFont"/>
    <w:link w:val="Footer"/>
    <w:uiPriority w:val="99"/>
    <w:rsid w:val="00694076"/>
  </w:style>
  <w:style w:type="character" w:styleId="PageNumber">
    <w:name w:val="page number"/>
    <w:basedOn w:val="DefaultParagraphFont"/>
    <w:uiPriority w:val="99"/>
    <w:semiHidden/>
    <w:unhideWhenUsed/>
    <w:rsid w:val="00694076"/>
  </w:style>
  <w:style w:type="character" w:styleId="UnresolvedMention">
    <w:name w:val="Unresolved Mention"/>
    <w:basedOn w:val="DefaultParagraphFont"/>
    <w:uiPriority w:val="99"/>
    <w:semiHidden/>
    <w:unhideWhenUsed/>
    <w:rsid w:val="00C457DA"/>
    <w:rPr>
      <w:color w:val="605E5C"/>
      <w:shd w:val="clear" w:color="auto" w:fill="E1DFDD"/>
    </w:rPr>
  </w:style>
  <w:style w:type="table" w:styleId="TableGrid">
    <w:name w:val="Table Grid"/>
    <w:basedOn w:val="TableNormal"/>
    <w:uiPriority w:val="39"/>
    <w:rsid w:val="00DA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D2088"/>
    <w:rPr>
      <w:b/>
      <w:bCs/>
    </w:rPr>
  </w:style>
  <w:style w:type="character" w:customStyle="1" w:styleId="CommentSubjectChar">
    <w:name w:val="Comment Subject Char"/>
    <w:basedOn w:val="CommentTextChar"/>
    <w:link w:val="CommentSubject"/>
    <w:uiPriority w:val="99"/>
    <w:semiHidden/>
    <w:rsid w:val="000D2088"/>
    <w:rPr>
      <w:b/>
      <w:bCs/>
      <w:sz w:val="20"/>
      <w:szCs w:val="20"/>
    </w:rPr>
  </w:style>
  <w:style w:type="paragraph" w:styleId="Revision">
    <w:name w:val="Revision"/>
    <w:hidden/>
    <w:uiPriority w:val="99"/>
    <w:semiHidden/>
    <w:rsid w:val="0045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62217">
      <w:bodyDiv w:val="1"/>
      <w:marLeft w:val="0"/>
      <w:marRight w:val="0"/>
      <w:marTop w:val="0"/>
      <w:marBottom w:val="0"/>
      <w:divBdr>
        <w:top w:val="none" w:sz="0" w:space="0" w:color="auto"/>
        <w:left w:val="none" w:sz="0" w:space="0" w:color="auto"/>
        <w:bottom w:val="none" w:sz="0" w:space="0" w:color="auto"/>
        <w:right w:val="none" w:sz="0" w:space="0" w:color="auto"/>
      </w:divBdr>
      <w:divsChild>
        <w:div w:id="1454179689">
          <w:marLeft w:val="0"/>
          <w:marRight w:val="0"/>
          <w:marTop w:val="0"/>
          <w:marBottom w:val="0"/>
          <w:divBdr>
            <w:top w:val="none" w:sz="0" w:space="0" w:color="auto"/>
            <w:left w:val="none" w:sz="0" w:space="0" w:color="auto"/>
            <w:bottom w:val="none" w:sz="0" w:space="0" w:color="auto"/>
            <w:right w:val="none" w:sz="0" w:space="0" w:color="auto"/>
          </w:divBdr>
          <w:divsChild>
            <w:div w:id="405614587">
              <w:marLeft w:val="0"/>
              <w:marRight w:val="0"/>
              <w:marTop w:val="0"/>
              <w:marBottom w:val="0"/>
              <w:divBdr>
                <w:top w:val="none" w:sz="0" w:space="0" w:color="auto"/>
                <w:left w:val="none" w:sz="0" w:space="0" w:color="auto"/>
                <w:bottom w:val="none" w:sz="0" w:space="0" w:color="auto"/>
                <w:right w:val="none" w:sz="0" w:space="0" w:color="auto"/>
              </w:divBdr>
              <w:divsChild>
                <w:div w:id="9906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3737">
      <w:bodyDiv w:val="1"/>
      <w:marLeft w:val="0"/>
      <w:marRight w:val="0"/>
      <w:marTop w:val="0"/>
      <w:marBottom w:val="0"/>
      <w:divBdr>
        <w:top w:val="none" w:sz="0" w:space="0" w:color="auto"/>
        <w:left w:val="none" w:sz="0" w:space="0" w:color="auto"/>
        <w:bottom w:val="none" w:sz="0" w:space="0" w:color="auto"/>
        <w:right w:val="none" w:sz="0" w:space="0" w:color="auto"/>
      </w:divBdr>
    </w:div>
    <w:div w:id="647367711">
      <w:bodyDiv w:val="1"/>
      <w:marLeft w:val="0"/>
      <w:marRight w:val="0"/>
      <w:marTop w:val="0"/>
      <w:marBottom w:val="0"/>
      <w:divBdr>
        <w:top w:val="none" w:sz="0" w:space="0" w:color="auto"/>
        <w:left w:val="none" w:sz="0" w:space="0" w:color="auto"/>
        <w:bottom w:val="none" w:sz="0" w:space="0" w:color="auto"/>
        <w:right w:val="none" w:sz="0" w:space="0" w:color="auto"/>
      </w:divBdr>
    </w:div>
    <w:div w:id="782264362">
      <w:bodyDiv w:val="1"/>
      <w:marLeft w:val="0"/>
      <w:marRight w:val="0"/>
      <w:marTop w:val="0"/>
      <w:marBottom w:val="0"/>
      <w:divBdr>
        <w:top w:val="none" w:sz="0" w:space="0" w:color="auto"/>
        <w:left w:val="none" w:sz="0" w:space="0" w:color="auto"/>
        <w:bottom w:val="none" w:sz="0" w:space="0" w:color="auto"/>
        <w:right w:val="none" w:sz="0" w:space="0" w:color="auto"/>
      </w:divBdr>
    </w:div>
    <w:div w:id="788550893">
      <w:bodyDiv w:val="1"/>
      <w:marLeft w:val="0"/>
      <w:marRight w:val="0"/>
      <w:marTop w:val="0"/>
      <w:marBottom w:val="0"/>
      <w:divBdr>
        <w:top w:val="none" w:sz="0" w:space="0" w:color="auto"/>
        <w:left w:val="none" w:sz="0" w:space="0" w:color="auto"/>
        <w:bottom w:val="none" w:sz="0" w:space="0" w:color="auto"/>
        <w:right w:val="none" w:sz="0" w:space="0" w:color="auto"/>
      </w:divBdr>
      <w:divsChild>
        <w:div w:id="680354794">
          <w:marLeft w:val="0"/>
          <w:marRight w:val="0"/>
          <w:marTop w:val="0"/>
          <w:marBottom w:val="0"/>
          <w:divBdr>
            <w:top w:val="none" w:sz="0" w:space="0" w:color="auto"/>
            <w:left w:val="none" w:sz="0" w:space="0" w:color="auto"/>
            <w:bottom w:val="none" w:sz="0" w:space="0" w:color="auto"/>
            <w:right w:val="none" w:sz="0" w:space="0" w:color="auto"/>
          </w:divBdr>
          <w:divsChild>
            <w:div w:id="782189444">
              <w:marLeft w:val="0"/>
              <w:marRight w:val="0"/>
              <w:marTop w:val="0"/>
              <w:marBottom w:val="0"/>
              <w:divBdr>
                <w:top w:val="none" w:sz="0" w:space="0" w:color="auto"/>
                <w:left w:val="none" w:sz="0" w:space="0" w:color="auto"/>
                <w:bottom w:val="none" w:sz="0" w:space="0" w:color="auto"/>
                <w:right w:val="none" w:sz="0" w:space="0" w:color="auto"/>
              </w:divBdr>
              <w:divsChild>
                <w:div w:id="5686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8841">
      <w:bodyDiv w:val="1"/>
      <w:marLeft w:val="0"/>
      <w:marRight w:val="0"/>
      <w:marTop w:val="0"/>
      <w:marBottom w:val="0"/>
      <w:divBdr>
        <w:top w:val="none" w:sz="0" w:space="0" w:color="auto"/>
        <w:left w:val="none" w:sz="0" w:space="0" w:color="auto"/>
        <w:bottom w:val="none" w:sz="0" w:space="0" w:color="auto"/>
        <w:right w:val="none" w:sz="0" w:space="0" w:color="auto"/>
      </w:divBdr>
    </w:div>
    <w:div w:id="1213150850">
      <w:bodyDiv w:val="1"/>
      <w:marLeft w:val="0"/>
      <w:marRight w:val="0"/>
      <w:marTop w:val="0"/>
      <w:marBottom w:val="0"/>
      <w:divBdr>
        <w:top w:val="none" w:sz="0" w:space="0" w:color="auto"/>
        <w:left w:val="none" w:sz="0" w:space="0" w:color="auto"/>
        <w:bottom w:val="none" w:sz="0" w:space="0" w:color="auto"/>
        <w:right w:val="none" w:sz="0" w:space="0" w:color="auto"/>
      </w:divBdr>
    </w:div>
    <w:div w:id="1273585790">
      <w:bodyDiv w:val="1"/>
      <w:marLeft w:val="0"/>
      <w:marRight w:val="0"/>
      <w:marTop w:val="0"/>
      <w:marBottom w:val="0"/>
      <w:divBdr>
        <w:top w:val="none" w:sz="0" w:space="0" w:color="auto"/>
        <w:left w:val="none" w:sz="0" w:space="0" w:color="auto"/>
        <w:bottom w:val="none" w:sz="0" w:space="0" w:color="auto"/>
        <w:right w:val="none" w:sz="0" w:space="0" w:color="auto"/>
      </w:divBdr>
    </w:div>
    <w:div w:id="1558279425">
      <w:bodyDiv w:val="1"/>
      <w:marLeft w:val="0"/>
      <w:marRight w:val="0"/>
      <w:marTop w:val="0"/>
      <w:marBottom w:val="0"/>
      <w:divBdr>
        <w:top w:val="none" w:sz="0" w:space="0" w:color="auto"/>
        <w:left w:val="none" w:sz="0" w:space="0" w:color="auto"/>
        <w:bottom w:val="none" w:sz="0" w:space="0" w:color="auto"/>
        <w:right w:val="none" w:sz="0" w:space="0" w:color="auto"/>
      </w:divBdr>
    </w:div>
    <w:div w:id="1803108782">
      <w:bodyDiv w:val="1"/>
      <w:marLeft w:val="0"/>
      <w:marRight w:val="0"/>
      <w:marTop w:val="0"/>
      <w:marBottom w:val="0"/>
      <w:divBdr>
        <w:top w:val="none" w:sz="0" w:space="0" w:color="auto"/>
        <w:left w:val="none" w:sz="0" w:space="0" w:color="auto"/>
        <w:bottom w:val="none" w:sz="0" w:space="0" w:color="auto"/>
        <w:right w:val="none" w:sz="0" w:space="0" w:color="auto"/>
      </w:divBdr>
    </w:div>
    <w:div w:id="205599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F112-120D-3449-8630-A8B60702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9650</Words>
  <Characters>55006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Johnston</dc:creator>
  <cp:keywords/>
  <dc:description/>
  <cp:lastModifiedBy>Katie Johnston</cp:lastModifiedBy>
  <cp:revision>3</cp:revision>
  <cp:lastPrinted>2021-09-03T10:46:00Z</cp:lastPrinted>
  <dcterms:created xsi:type="dcterms:W3CDTF">2021-10-07T20:09:00Z</dcterms:created>
  <dcterms:modified xsi:type="dcterms:W3CDTF">2021-10-07T20:09:00Z</dcterms:modified>
  <cp:category/>
</cp:coreProperties>
</file>