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2C43" w14:textId="3AB350C7" w:rsidR="00592A67" w:rsidRPr="0083113B" w:rsidRDefault="00750D27" w:rsidP="0083113B">
      <w:pPr>
        <w:jc w:val="center"/>
        <w:outlineLvl w:val="0"/>
        <w:rPr>
          <w:b/>
          <w:bCs/>
          <w:color w:val="000000"/>
          <w:kern w:val="36"/>
          <w:lang w:eastAsia="en-TT"/>
        </w:rPr>
      </w:pPr>
      <w:r w:rsidRPr="0083113B">
        <w:rPr>
          <w:b/>
          <w:bCs/>
          <w:color w:val="000000"/>
          <w:kern w:val="36"/>
          <w:lang w:eastAsia="en-TT"/>
        </w:rPr>
        <w:t>ECONOMIC SHOCK, COPING STRATEGIES, AND COVID-19:</w:t>
      </w:r>
    </w:p>
    <w:p w14:paraId="52E44674" w14:textId="77777777" w:rsidR="00750D27" w:rsidRPr="0083113B" w:rsidRDefault="00750D27" w:rsidP="0083113B">
      <w:pPr>
        <w:jc w:val="center"/>
        <w:outlineLvl w:val="0"/>
        <w:rPr>
          <w:b/>
          <w:bCs/>
          <w:color w:val="000000"/>
          <w:kern w:val="36"/>
          <w:lang w:eastAsia="en-TT"/>
        </w:rPr>
      </w:pPr>
      <w:r w:rsidRPr="0083113B">
        <w:rPr>
          <w:b/>
          <w:bCs/>
          <w:color w:val="000000"/>
          <w:kern w:val="36"/>
          <w:lang w:eastAsia="en-TT"/>
        </w:rPr>
        <w:t xml:space="preserve">EXPLORING FOOD SYSTEM RESILIENCE WITH </w:t>
      </w:r>
    </w:p>
    <w:p w14:paraId="55307A50" w14:textId="7EDF2D92" w:rsidR="008E22A0" w:rsidRPr="0083113B" w:rsidRDefault="00750D27" w:rsidP="0083113B">
      <w:pPr>
        <w:jc w:val="center"/>
        <w:outlineLvl w:val="0"/>
        <w:rPr>
          <w:b/>
          <w:bCs/>
          <w:color w:val="000000"/>
          <w:kern w:val="36"/>
          <w:lang w:eastAsia="en-TT"/>
        </w:rPr>
      </w:pPr>
      <w:r w:rsidRPr="0083113B">
        <w:rPr>
          <w:b/>
          <w:bCs/>
          <w:color w:val="000000"/>
          <w:kern w:val="36"/>
          <w:lang w:eastAsia="en-TT"/>
        </w:rPr>
        <w:t>RURAL WORKERS IN GRENADA</w:t>
      </w:r>
    </w:p>
    <w:p w14:paraId="293F1EF0" w14:textId="35BB16B2" w:rsidR="009006A3" w:rsidRPr="0083113B" w:rsidRDefault="009006A3" w:rsidP="0083113B"/>
    <w:p w14:paraId="1469C14B" w14:textId="77777777" w:rsidR="00750D27" w:rsidRPr="0083113B" w:rsidRDefault="00750D27" w:rsidP="0083113B">
      <w:pPr>
        <w:jc w:val="center"/>
      </w:pPr>
      <w:r w:rsidRPr="0083113B">
        <w:t>Tessa BARRY</w:t>
      </w:r>
    </w:p>
    <w:p w14:paraId="382905DB" w14:textId="38551AF4" w:rsidR="00750D27" w:rsidRPr="0083113B" w:rsidRDefault="00750D27" w:rsidP="0083113B">
      <w:pPr>
        <w:jc w:val="center"/>
      </w:pPr>
      <w:r w:rsidRPr="0083113B">
        <w:t xml:space="preserve">One Seed </w:t>
      </w:r>
      <w:proofErr w:type="gramStart"/>
      <w:r w:rsidRPr="0083113B">
        <w:t>For</w:t>
      </w:r>
      <w:proofErr w:type="gramEnd"/>
      <w:r w:rsidRPr="0083113B">
        <w:t xml:space="preserve"> Change, GRENADA</w:t>
      </w:r>
    </w:p>
    <w:p w14:paraId="738AD432" w14:textId="77777777" w:rsidR="009C6262" w:rsidRDefault="009C6262" w:rsidP="0083113B">
      <w:pPr>
        <w:jc w:val="center"/>
      </w:pPr>
    </w:p>
    <w:p w14:paraId="18D27176" w14:textId="23B861C0" w:rsidR="00750D27" w:rsidRPr="0083113B" w:rsidRDefault="00750D27" w:rsidP="0083113B">
      <w:pPr>
        <w:jc w:val="center"/>
      </w:pPr>
      <w:r w:rsidRPr="0083113B">
        <w:t>*****</w:t>
      </w:r>
    </w:p>
    <w:p w14:paraId="5C57799B" w14:textId="4690EE22" w:rsidR="00750D27" w:rsidRPr="0083113B" w:rsidRDefault="0049456A" w:rsidP="0083113B">
      <w:pPr>
        <w:jc w:val="center"/>
      </w:pPr>
      <w:r>
        <w:t>Levi GAHMAN</w:t>
      </w:r>
    </w:p>
    <w:p w14:paraId="0D0B9777" w14:textId="2D3BB04D" w:rsidR="00722A16" w:rsidRDefault="00750D27" w:rsidP="009C6262">
      <w:pPr>
        <w:jc w:val="center"/>
      </w:pPr>
      <w:r w:rsidRPr="0083113B">
        <w:t>University of Liverpool, ENGLAND</w:t>
      </w:r>
    </w:p>
    <w:p w14:paraId="65E73983" w14:textId="77777777" w:rsidR="009C6262" w:rsidRDefault="009C6262" w:rsidP="009C6262">
      <w:pPr>
        <w:jc w:val="center"/>
      </w:pPr>
    </w:p>
    <w:p w14:paraId="32059BFD" w14:textId="0E05BC0B" w:rsidR="00750D27" w:rsidRPr="0083113B" w:rsidRDefault="00750D27" w:rsidP="0083113B">
      <w:pPr>
        <w:jc w:val="center"/>
      </w:pPr>
      <w:r w:rsidRPr="0083113B">
        <w:t>*****</w:t>
      </w:r>
    </w:p>
    <w:p w14:paraId="1C3E141A" w14:textId="77777777" w:rsidR="00750D27" w:rsidRPr="0083113B" w:rsidRDefault="00750D27" w:rsidP="0083113B">
      <w:pPr>
        <w:jc w:val="center"/>
      </w:pPr>
      <w:proofErr w:type="spellStart"/>
      <w:r w:rsidRPr="0083113B">
        <w:t>Jamala</w:t>
      </w:r>
      <w:proofErr w:type="spellEnd"/>
      <w:r w:rsidRPr="0083113B">
        <w:t xml:space="preserve"> ALEXANDER</w:t>
      </w:r>
    </w:p>
    <w:p w14:paraId="6562694D" w14:textId="300F51E4" w:rsidR="00750D27" w:rsidRDefault="00750D27" w:rsidP="0083113B">
      <w:pPr>
        <w:jc w:val="center"/>
      </w:pPr>
      <w:r w:rsidRPr="0083113B">
        <w:t xml:space="preserve">The University of the West Indies, </w:t>
      </w:r>
      <w:proofErr w:type="gramStart"/>
      <w:r w:rsidRPr="0083113B">
        <w:t>TRINIDAD</w:t>
      </w:r>
      <w:proofErr w:type="gramEnd"/>
      <w:r w:rsidRPr="0083113B">
        <w:t xml:space="preserve"> AND TOBAGO</w:t>
      </w:r>
    </w:p>
    <w:p w14:paraId="71FB7452" w14:textId="77777777" w:rsidR="00722A16" w:rsidRPr="0083113B" w:rsidRDefault="00722A16" w:rsidP="0083113B">
      <w:pPr>
        <w:jc w:val="center"/>
      </w:pPr>
    </w:p>
    <w:p w14:paraId="0403FADD" w14:textId="487BE36B" w:rsidR="009006A3" w:rsidRPr="0083113B" w:rsidRDefault="006871A3" w:rsidP="0083113B">
      <w:pPr>
        <w:pStyle w:val="Heading1"/>
        <w:spacing w:before="0" w:after="0" w:line="240" w:lineRule="auto"/>
        <w:jc w:val="center"/>
        <w:rPr>
          <w:rFonts w:ascii="Times New Roman" w:hAnsi="Times New Roman"/>
        </w:rPr>
      </w:pPr>
      <w:r w:rsidRPr="0083113B">
        <w:rPr>
          <w:rFonts w:ascii="Times New Roman" w:hAnsi="Times New Roman"/>
        </w:rPr>
        <w:t>Abstract</w:t>
      </w:r>
    </w:p>
    <w:p w14:paraId="077B894E" w14:textId="77777777" w:rsidR="0049456A" w:rsidRDefault="0049456A" w:rsidP="0049456A">
      <w:pPr>
        <w:jc w:val="both"/>
      </w:pPr>
    </w:p>
    <w:p w14:paraId="643B84DF" w14:textId="2510CE1C" w:rsidR="009006A3" w:rsidRPr="0083113B" w:rsidRDefault="00504BC9" w:rsidP="0083113B">
      <w:pPr>
        <w:jc w:val="both"/>
      </w:pPr>
      <w:r w:rsidRPr="0083113B">
        <w:t>Focusing primarily on the challenge</w:t>
      </w:r>
      <w:r w:rsidR="00B7105D" w:rsidRPr="0083113B">
        <w:t>s</w:t>
      </w:r>
      <w:r w:rsidRPr="0083113B">
        <w:t xml:space="preserve"> of food (in)security</w:t>
      </w:r>
      <w:r w:rsidR="00D84AC8" w:rsidRPr="0083113B">
        <w:t xml:space="preserve"> and </w:t>
      </w:r>
      <w:r w:rsidR="00B7105D" w:rsidRPr="0083113B">
        <w:t>economic</w:t>
      </w:r>
      <w:r w:rsidR="00D84AC8" w:rsidRPr="0083113B">
        <w:t xml:space="preserve"> shock</w:t>
      </w:r>
      <w:r w:rsidRPr="0083113B">
        <w:t>, t</w:t>
      </w:r>
      <w:r w:rsidR="00592A67" w:rsidRPr="0083113B">
        <w:t xml:space="preserve">his </w:t>
      </w:r>
      <w:r w:rsidR="00DA6E4D" w:rsidRPr="0083113B">
        <w:t>article</w:t>
      </w:r>
      <w:r w:rsidR="00592A67" w:rsidRPr="0083113B">
        <w:t xml:space="preserve"> </w:t>
      </w:r>
      <w:r w:rsidRPr="0083113B">
        <w:t>offers</w:t>
      </w:r>
      <w:r w:rsidR="00592A67" w:rsidRPr="0083113B">
        <w:t xml:space="preserve"> insight into the impact</w:t>
      </w:r>
      <w:r w:rsidRPr="0083113B">
        <w:t>s</w:t>
      </w:r>
      <w:r w:rsidR="00592A67" w:rsidRPr="0083113B">
        <w:t xml:space="preserve"> of the </w:t>
      </w:r>
      <w:r w:rsidR="00F21985" w:rsidRPr="0083113B">
        <w:t>COVID-19</w:t>
      </w:r>
      <w:r w:rsidR="00592A67" w:rsidRPr="0083113B">
        <w:t xml:space="preserve"> </w:t>
      </w:r>
      <w:r w:rsidR="001F33D4" w:rsidRPr="0083113B">
        <w:t>p</w:t>
      </w:r>
      <w:r w:rsidR="00592A67" w:rsidRPr="0083113B">
        <w:t>andemic</w:t>
      </w:r>
      <w:r w:rsidRPr="0083113B">
        <w:t xml:space="preserve"> on the </w:t>
      </w:r>
      <w:r w:rsidR="00A34DD1" w:rsidRPr="0083113B">
        <w:t xml:space="preserve">island </w:t>
      </w:r>
      <w:r w:rsidRPr="0083113B">
        <w:t>of Grenada</w:t>
      </w:r>
      <w:r w:rsidR="006871A3" w:rsidRPr="0083113B">
        <w:t xml:space="preserve"> from</w:t>
      </w:r>
      <w:r w:rsidR="00592A67" w:rsidRPr="0083113B">
        <w:t xml:space="preserve"> various </w:t>
      </w:r>
      <w:r w:rsidR="00C80682" w:rsidRPr="0083113B">
        <w:t>stakeholder</w:t>
      </w:r>
      <w:r w:rsidR="00B7105D" w:rsidRPr="0083113B">
        <w:t xml:space="preserve">s </w:t>
      </w:r>
      <w:r w:rsidR="006871A3" w:rsidRPr="0083113B">
        <w:t xml:space="preserve">including farmers, fisherfolk, and </w:t>
      </w:r>
      <w:r w:rsidR="00E17EEB" w:rsidRPr="0083113B">
        <w:t>rural workers</w:t>
      </w:r>
      <w:r w:rsidR="006871A3" w:rsidRPr="0083113B">
        <w:t xml:space="preserve">. </w:t>
      </w:r>
      <w:r w:rsidR="00DA6E4D" w:rsidRPr="0083113B">
        <w:t>The piece</w:t>
      </w:r>
      <w:r w:rsidR="0062678B" w:rsidRPr="0083113B">
        <w:t xml:space="preserve"> </w:t>
      </w:r>
      <w:r w:rsidR="00B7105D" w:rsidRPr="0083113B">
        <w:t xml:space="preserve">also </w:t>
      </w:r>
      <w:r w:rsidR="006871A3" w:rsidRPr="0083113B">
        <w:t>detail</w:t>
      </w:r>
      <w:r w:rsidR="00DA6E4D" w:rsidRPr="0083113B">
        <w:t>s</w:t>
      </w:r>
      <w:r w:rsidRPr="0083113B">
        <w:t xml:space="preserve"> </w:t>
      </w:r>
      <w:r w:rsidR="00592A67" w:rsidRPr="0083113B">
        <w:t>the strategies</w:t>
      </w:r>
      <w:r w:rsidRPr="0083113B">
        <w:t xml:space="preserve"> employed</w:t>
      </w:r>
      <w:r w:rsidR="00C80682" w:rsidRPr="0083113B">
        <w:t xml:space="preserve"> by communit</w:t>
      </w:r>
      <w:r w:rsidR="000678CA" w:rsidRPr="0083113B">
        <w:t>y members</w:t>
      </w:r>
      <w:r w:rsidR="00C80682" w:rsidRPr="0083113B">
        <w:t xml:space="preserve"> to cope</w:t>
      </w:r>
      <w:r w:rsidR="00592A67" w:rsidRPr="0083113B">
        <w:t xml:space="preserve"> </w:t>
      </w:r>
      <w:r w:rsidR="00C80682" w:rsidRPr="0083113B">
        <w:t xml:space="preserve">with the </w:t>
      </w:r>
      <w:r w:rsidR="006871A3" w:rsidRPr="0083113B">
        <w:t>pandemic’s multiple</w:t>
      </w:r>
      <w:r w:rsidRPr="0083113B">
        <w:t xml:space="preserve"> deleterious</w:t>
      </w:r>
      <w:r w:rsidR="006871A3" w:rsidRPr="0083113B">
        <w:t xml:space="preserve"> upshots</w:t>
      </w:r>
      <w:r w:rsidRPr="0083113B">
        <w:t xml:space="preserve">. </w:t>
      </w:r>
      <w:r w:rsidR="00DA6E4D" w:rsidRPr="0083113B">
        <w:t>More specifically, via participatory action research</w:t>
      </w:r>
      <w:r w:rsidR="000A3E49" w:rsidRPr="0083113B">
        <w:t xml:space="preserve"> and an exploratory rapid response pilot project provoked by coronavirus</w:t>
      </w:r>
      <w:r w:rsidR="00DA6E4D" w:rsidRPr="0083113B">
        <w:t xml:space="preserve">, we </w:t>
      </w:r>
      <w:r w:rsidR="000678CA" w:rsidRPr="0083113B">
        <w:t>sought</w:t>
      </w:r>
      <w:r w:rsidR="00581F15" w:rsidRPr="0083113B">
        <w:t xml:space="preserve"> to </w:t>
      </w:r>
      <w:r w:rsidR="000678CA" w:rsidRPr="0083113B">
        <w:t>discover</w:t>
      </w:r>
      <w:r w:rsidR="00CB3B2D" w:rsidRPr="0083113B">
        <w:t xml:space="preserve"> how </w:t>
      </w:r>
      <w:r w:rsidR="000678CA" w:rsidRPr="0083113B">
        <w:t xml:space="preserve">small island Caribbean </w:t>
      </w:r>
      <w:r w:rsidR="00CB3B2D" w:rsidRPr="0083113B">
        <w:t>government</w:t>
      </w:r>
      <w:r w:rsidR="00B7105D" w:rsidRPr="0083113B">
        <w:t>s</w:t>
      </w:r>
      <w:r w:rsidR="00CB3B2D" w:rsidRPr="0083113B">
        <w:t xml:space="preserve"> </w:t>
      </w:r>
      <w:r w:rsidR="000678CA" w:rsidRPr="0083113B">
        <w:t>can</w:t>
      </w:r>
      <w:r w:rsidR="00CB3B2D" w:rsidRPr="0083113B">
        <w:t xml:space="preserve"> better assist people in marginalised</w:t>
      </w:r>
      <w:r w:rsidR="00371EB7" w:rsidRPr="0083113B">
        <w:t xml:space="preserve"> agrarian</w:t>
      </w:r>
      <w:r w:rsidR="00CB3B2D" w:rsidRPr="0083113B">
        <w:t xml:space="preserve"> communities whose </w:t>
      </w:r>
      <w:r w:rsidR="00E17EEB" w:rsidRPr="0083113B">
        <w:t>lives</w:t>
      </w:r>
      <w:r w:rsidR="00CB3B2D" w:rsidRPr="0083113B">
        <w:t xml:space="preserve"> were severely disrupted by the pandemic and subsequent lockdown</w:t>
      </w:r>
      <w:r w:rsidR="00B7105D" w:rsidRPr="0083113B">
        <w:t xml:space="preserve"> and </w:t>
      </w:r>
      <w:r w:rsidR="00CB3B2D" w:rsidRPr="0083113B">
        <w:t xml:space="preserve">curfew measures. </w:t>
      </w:r>
      <w:r w:rsidR="00581F15" w:rsidRPr="0083113B">
        <w:t>By</w:t>
      </w:r>
      <w:r w:rsidR="00CF53A5" w:rsidRPr="0083113B">
        <w:t xml:space="preserve"> prioritising</w:t>
      </w:r>
      <w:r w:rsidR="006871A3" w:rsidRPr="0083113B">
        <w:t xml:space="preserve"> the </w:t>
      </w:r>
      <w:r w:rsidR="00CF53A5" w:rsidRPr="0083113B">
        <w:t>experience</w:t>
      </w:r>
      <w:r w:rsidR="000678CA" w:rsidRPr="0083113B">
        <w:t>s</w:t>
      </w:r>
      <w:r w:rsidR="006871A3" w:rsidRPr="0083113B">
        <w:t xml:space="preserve"> of </w:t>
      </w:r>
      <w:r w:rsidR="00CB3B2D" w:rsidRPr="0083113B">
        <w:t xml:space="preserve">working-class </w:t>
      </w:r>
      <w:r w:rsidR="006871A3" w:rsidRPr="0083113B">
        <w:t>food producers and</w:t>
      </w:r>
      <w:r w:rsidR="00371EB7" w:rsidRPr="0083113B">
        <w:t xml:space="preserve"> wage</w:t>
      </w:r>
      <w:r w:rsidR="006871A3" w:rsidRPr="0083113B">
        <w:t xml:space="preserve"> </w:t>
      </w:r>
      <w:r w:rsidR="00CB3B2D" w:rsidRPr="0083113B">
        <w:t>labourers</w:t>
      </w:r>
      <w:r w:rsidRPr="0083113B">
        <w:t xml:space="preserve">, the </w:t>
      </w:r>
      <w:r w:rsidR="00DA6E4D" w:rsidRPr="0083113B">
        <w:t>article</w:t>
      </w:r>
      <w:r w:rsidRPr="0083113B">
        <w:t xml:space="preserve"> </w:t>
      </w:r>
      <w:r w:rsidR="00592A67" w:rsidRPr="0083113B">
        <w:t>identif</w:t>
      </w:r>
      <w:r w:rsidRPr="0083113B">
        <w:t xml:space="preserve">ies </w:t>
      </w:r>
      <w:r w:rsidR="00CB3B2D" w:rsidRPr="0083113B">
        <w:t xml:space="preserve">both </w:t>
      </w:r>
      <w:r w:rsidR="00592A67" w:rsidRPr="0083113B">
        <w:t xml:space="preserve">policies that need </w:t>
      </w:r>
      <w:r w:rsidR="00C80682" w:rsidRPr="0083113B">
        <w:t>to be</w:t>
      </w:r>
      <w:r w:rsidR="00592A67" w:rsidRPr="0083113B">
        <w:t xml:space="preserve"> </w:t>
      </w:r>
      <w:r w:rsidR="00371EB7" w:rsidRPr="0083113B">
        <w:t>(</w:t>
      </w:r>
      <w:r w:rsidR="00E174E0" w:rsidRPr="0083113B">
        <w:t>re</w:t>
      </w:r>
      <w:r w:rsidR="00371EB7" w:rsidRPr="0083113B">
        <w:t>)</w:t>
      </w:r>
      <w:r w:rsidR="00E174E0" w:rsidRPr="0083113B">
        <w:t>visited</w:t>
      </w:r>
      <w:r w:rsidR="00CB3B2D" w:rsidRPr="0083113B">
        <w:t xml:space="preserve"> and</w:t>
      </w:r>
      <w:r w:rsidR="00CF53A5" w:rsidRPr="0083113B">
        <w:t xml:space="preserve"> potential solutions </w:t>
      </w:r>
      <w:r w:rsidR="00592A67" w:rsidRPr="0083113B">
        <w:t xml:space="preserve">so that </w:t>
      </w:r>
      <w:r w:rsidR="006871A3" w:rsidRPr="0083113B">
        <w:t>the</w:t>
      </w:r>
      <w:r w:rsidR="00B7105D" w:rsidRPr="0083113B">
        <w:t xml:space="preserve"> type of</w:t>
      </w:r>
      <w:r w:rsidR="006871A3" w:rsidRPr="0083113B">
        <w:t xml:space="preserve"> </w:t>
      </w:r>
      <w:r w:rsidR="00592A67" w:rsidRPr="0083113B">
        <w:t>cris</w:t>
      </w:r>
      <w:r w:rsidR="0062678B" w:rsidRPr="0083113B">
        <w:t>is</w:t>
      </w:r>
      <w:r w:rsidR="006871A3" w:rsidRPr="0083113B">
        <w:t xml:space="preserve"> </w:t>
      </w:r>
      <w:r w:rsidR="00CB3B2D" w:rsidRPr="0083113B">
        <w:t>prompted</w:t>
      </w:r>
      <w:r w:rsidR="006871A3" w:rsidRPr="0083113B">
        <w:t xml:space="preserve"> by the coronavirus outbreak</w:t>
      </w:r>
      <w:r w:rsidR="00592A67" w:rsidRPr="0083113B">
        <w:t xml:space="preserve"> </w:t>
      </w:r>
      <w:r w:rsidR="00581F15" w:rsidRPr="0083113B">
        <w:t>is</w:t>
      </w:r>
      <w:r w:rsidR="00EE75AD" w:rsidRPr="0083113B">
        <w:t xml:space="preserve"> </w:t>
      </w:r>
      <w:r w:rsidR="00581F15" w:rsidRPr="0083113B">
        <w:t>less likely</w:t>
      </w:r>
      <w:r w:rsidR="00CC555F" w:rsidRPr="0083113B">
        <w:t xml:space="preserve"> to</w:t>
      </w:r>
      <w:r w:rsidR="00592A67" w:rsidRPr="0083113B">
        <w:t xml:space="preserve"> shock the</w:t>
      </w:r>
      <w:r w:rsidRPr="0083113B">
        <w:t xml:space="preserve"> island’s</w:t>
      </w:r>
      <w:r w:rsidR="002C06E1" w:rsidRPr="0083113B">
        <w:t xml:space="preserve"> economy and</w:t>
      </w:r>
      <w:r w:rsidR="00592A67" w:rsidRPr="0083113B">
        <w:t xml:space="preserve"> food system again. </w:t>
      </w:r>
      <w:r w:rsidR="00336026" w:rsidRPr="0083113B">
        <w:t>We</w:t>
      </w:r>
      <w:r w:rsidR="00CC555F" w:rsidRPr="0083113B">
        <w:t xml:space="preserve"> also aim to contribute to </w:t>
      </w:r>
      <w:r w:rsidR="000A3E49" w:rsidRPr="0083113B">
        <w:t xml:space="preserve">scholarship on </w:t>
      </w:r>
      <w:r w:rsidR="00957524" w:rsidRPr="0083113B">
        <w:t xml:space="preserve">how small island states </w:t>
      </w:r>
      <w:r w:rsidR="00A34CD7" w:rsidRPr="0083113B">
        <w:t xml:space="preserve">in the Caribbean </w:t>
      </w:r>
      <w:r w:rsidR="00957524" w:rsidRPr="0083113B">
        <w:t xml:space="preserve">can better assist </w:t>
      </w:r>
      <w:r w:rsidR="00B7105D" w:rsidRPr="0083113B">
        <w:t>people</w:t>
      </w:r>
      <w:r w:rsidR="00592A67" w:rsidRPr="0083113B">
        <w:t xml:space="preserve"> </w:t>
      </w:r>
      <w:r w:rsidR="00F32A1C" w:rsidRPr="0083113B">
        <w:t xml:space="preserve">in </w:t>
      </w:r>
      <w:r w:rsidR="00371EB7" w:rsidRPr="0083113B">
        <w:t xml:space="preserve">1) </w:t>
      </w:r>
      <w:r w:rsidR="00F32A1C" w:rsidRPr="0083113B">
        <w:t>accessing</w:t>
      </w:r>
      <w:r w:rsidR="00957524" w:rsidRPr="0083113B">
        <w:t xml:space="preserve"> </w:t>
      </w:r>
      <w:r w:rsidR="00592A67" w:rsidRPr="0083113B">
        <w:t xml:space="preserve">immediate </w:t>
      </w:r>
      <w:r w:rsidR="00957524" w:rsidRPr="0083113B">
        <w:t xml:space="preserve">material </w:t>
      </w:r>
      <w:r w:rsidR="00592A67" w:rsidRPr="0083113B">
        <w:t>needs</w:t>
      </w:r>
      <w:r w:rsidR="00B7105D" w:rsidRPr="0083113B">
        <w:t xml:space="preserve"> in times of crisis; </w:t>
      </w:r>
      <w:r w:rsidR="00371EB7" w:rsidRPr="0083113B">
        <w:t xml:space="preserve">2) </w:t>
      </w:r>
      <w:r w:rsidR="00F32A1C" w:rsidRPr="0083113B">
        <w:t>securing</w:t>
      </w:r>
      <w:r w:rsidR="00592A67" w:rsidRPr="0083113B">
        <w:t xml:space="preserve"> food, nutrition, income</w:t>
      </w:r>
      <w:r w:rsidR="00957524" w:rsidRPr="0083113B">
        <w:t xml:space="preserve">, </w:t>
      </w:r>
      <w:r w:rsidR="00592A67" w:rsidRPr="0083113B">
        <w:t>and daily life essentials</w:t>
      </w:r>
      <w:r w:rsidR="00B7105D" w:rsidRPr="0083113B">
        <w:t xml:space="preserve">; and </w:t>
      </w:r>
      <w:r w:rsidR="00371EB7" w:rsidRPr="0083113B">
        <w:t xml:space="preserve">3) </w:t>
      </w:r>
      <w:r w:rsidR="00B7105D" w:rsidRPr="0083113B">
        <w:t>build</w:t>
      </w:r>
      <w:r w:rsidR="00F32A1C" w:rsidRPr="0083113B">
        <w:t>ing</w:t>
      </w:r>
      <w:r w:rsidR="00B7105D" w:rsidRPr="0083113B">
        <w:t xml:space="preserve"> more sustainable and resilient food system</w:t>
      </w:r>
      <w:r w:rsidR="00E174E0" w:rsidRPr="0083113B">
        <w:t>s</w:t>
      </w:r>
      <w:r w:rsidR="00592A67" w:rsidRPr="0083113B">
        <w:t>.</w:t>
      </w:r>
      <w:r w:rsidR="006871A3" w:rsidRPr="0083113B">
        <w:t xml:space="preserve"> </w:t>
      </w:r>
      <w:r w:rsidR="00336026" w:rsidRPr="0083113B">
        <w:t>Ultimately,</w:t>
      </w:r>
      <w:r w:rsidR="000A3E49" w:rsidRPr="0083113B">
        <w:t xml:space="preserve"> then,</w:t>
      </w:r>
      <w:r w:rsidR="00336026" w:rsidRPr="0083113B">
        <w:t xml:space="preserve"> th</w:t>
      </w:r>
      <w:r w:rsidR="000A3E49" w:rsidRPr="0083113B">
        <w:t>is</w:t>
      </w:r>
      <w:r w:rsidR="00336026" w:rsidRPr="0083113B">
        <w:t xml:space="preserve"> piece seeks to amplify the voices of </w:t>
      </w:r>
      <w:r w:rsidR="001A270B" w:rsidRPr="0083113B">
        <w:t xml:space="preserve">rural </w:t>
      </w:r>
      <w:r w:rsidR="00336026" w:rsidRPr="0083113B">
        <w:t>workers who are frequently overlooked in development of economic policy.</w:t>
      </w:r>
    </w:p>
    <w:p w14:paraId="5A87A022" w14:textId="77777777" w:rsidR="0049456A" w:rsidRDefault="0049456A" w:rsidP="0049456A">
      <w:pPr>
        <w:pStyle w:val="Heading1"/>
        <w:spacing w:before="0" w:after="0" w:line="240" w:lineRule="auto"/>
        <w:jc w:val="center"/>
        <w:rPr>
          <w:rFonts w:ascii="Times New Roman" w:hAnsi="Times New Roman"/>
        </w:rPr>
      </w:pPr>
    </w:p>
    <w:p w14:paraId="15E5FCC0" w14:textId="20171EEE" w:rsidR="00750D27" w:rsidRDefault="00750D27" w:rsidP="0049456A">
      <w:pPr>
        <w:pStyle w:val="Heading1"/>
        <w:spacing w:before="0" w:after="0" w:line="240" w:lineRule="auto"/>
        <w:jc w:val="center"/>
        <w:rPr>
          <w:rFonts w:ascii="Times New Roman" w:hAnsi="Times New Roman"/>
        </w:rPr>
      </w:pPr>
      <w:r w:rsidRPr="0083113B">
        <w:rPr>
          <w:rFonts w:ascii="Times New Roman" w:hAnsi="Times New Roman"/>
        </w:rPr>
        <w:t>Keywords</w:t>
      </w:r>
    </w:p>
    <w:p w14:paraId="320A5D7D" w14:textId="77777777" w:rsidR="0049456A" w:rsidRPr="007A2047" w:rsidRDefault="0049456A" w:rsidP="0083113B"/>
    <w:p w14:paraId="331E1722" w14:textId="77777777" w:rsidR="00750D27" w:rsidRPr="0083113B" w:rsidRDefault="00750D27" w:rsidP="0083113B">
      <w:pPr>
        <w:jc w:val="both"/>
      </w:pPr>
      <w:r w:rsidRPr="0083113B">
        <w:t>Caribbean food systems; COVID-19; food sovereignty; Grenada; participatory action research; rural transformation</w:t>
      </w:r>
    </w:p>
    <w:p w14:paraId="37DC34E5" w14:textId="77777777" w:rsidR="00750D27" w:rsidRPr="0083113B" w:rsidRDefault="00750D27" w:rsidP="0083113B">
      <w:pPr>
        <w:pStyle w:val="Heading1"/>
        <w:spacing w:before="0" w:after="0" w:line="240" w:lineRule="auto"/>
        <w:rPr>
          <w:rFonts w:ascii="Times New Roman" w:hAnsi="Times New Roman"/>
        </w:rPr>
      </w:pPr>
    </w:p>
    <w:p w14:paraId="0ABAB7BA" w14:textId="50061C3B" w:rsidR="00F21985" w:rsidRDefault="005176B7" w:rsidP="0049456A">
      <w:pPr>
        <w:pStyle w:val="Heading1"/>
        <w:spacing w:before="0" w:after="0" w:line="240" w:lineRule="auto"/>
        <w:jc w:val="center"/>
        <w:rPr>
          <w:rFonts w:ascii="Times New Roman" w:hAnsi="Times New Roman"/>
        </w:rPr>
      </w:pPr>
      <w:r w:rsidRPr="0083113B">
        <w:rPr>
          <w:rFonts w:ascii="Times New Roman" w:hAnsi="Times New Roman"/>
        </w:rPr>
        <w:t xml:space="preserve">Introduction: </w:t>
      </w:r>
      <w:r w:rsidR="00317397" w:rsidRPr="0083113B">
        <w:rPr>
          <w:rFonts w:ascii="Times New Roman" w:hAnsi="Times New Roman"/>
        </w:rPr>
        <w:t>Historicising Caribbean Food Systems</w:t>
      </w:r>
    </w:p>
    <w:p w14:paraId="1575EE95" w14:textId="77777777" w:rsidR="007A2047" w:rsidRPr="00653D8B" w:rsidRDefault="007A2047" w:rsidP="0083113B"/>
    <w:p w14:paraId="269AFF0B" w14:textId="66D42AA8" w:rsidR="002B57AA" w:rsidRDefault="007E4100" w:rsidP="0049456A">
      <w:pPr>
        <w:jc w:val="both"/>
        <w:textAlignment w:val="baseline"/>
      </w:pPr>
      <w:r w:rsidRPr="0083113B">
        <w:t>Across the Caribbean, small island states have historically experienced a host of interrelated development</w:t>
      </w:r>
      <w:r w:rsidR="003E5F43" w:rsidRPr="0083113B">
        <w:t xml:space="preserve"> and dependency</w:t>
      </w:r>
      <w:r w:rsidRPr="0083113B">
        <w:t xml:space="preserve"> challenges that have </w:t>
      </w:r>
      <w:r w:rsidR="00F32A1C" w:rsidRPr="0083113B">
        <w:t>coincided</w:t>
      </w:r>
      <w:r w:rsidRPr="0083113B">
        <w:t xml:space="preserve"> with low growth, unsustainable debt-servicing, and limited financial breathing room</w:t>
      </w:r>
      <w:r w:rsidR="00BB431D" w:rsidRPr="0083113B">
        <w:t xml:space="preserve"> (</w:t>
      </w:r>
      <w:r w:rsidR="002F2FAA" w:rsidRPr="0083113B">
        <w:t xml:space="preserve">Gahman and Thongs 2020; </w:t>
      </w:r>
      <w:r w:rsidR="003E5F43" w:rsidRPr="0083113B">
        <w:rPr>
          <w:rFonts w:eastAsia="Calibri"/>
        </w:rPr>
        <w:t>Green 2001</w:t>
      </w:r>
      <w:r w:rsidR="00BB431D" w:rsidRPr="0083113B">
        <w:t>)</w:t>
      </w:r>
      <w:r w:rsidRPr="0083113B">
        <w:t xml:space="preserve">. Agricultural and food exports, along with tourism, </w:t>
      </w:r>
      <w:r w:rsidR="00931A31" w:rsidRPr="0083113B">
        <w:t>were</w:t>
      </w:r>
      <w:r w:rsidRPr="0083113B">
        <w:t xml:space="preserve"> the primary drivers of </w:t>
      </w:r>
      <w:r w:rsidR="003763A4" w:rsidRPr="0083113B">
        <w:t>revenue</w:t>
      </w:r>
      <w:r w:rsidRPr="0083113B">
        <w:t xml:space="preserve"> across the region for decades. </w:t>
      </w:r>
      <w:r w:rsidR="00F32A1C" w:rsidRPr="0083113B">
        <w:t>D</w:t>
      </w:r>
      <w:r w:rsidRPr="0083113B">
        <w:t xml:space="preserve">uring the 1980s, economic growth </w:t>
      </w:r>
      <w:r w:rsidR="003763A4" w:rsidRPr="0083113B">
        <w:t xml:space="preserve">averaged </w:t>
      </w:r>
      <w:r w:rsidR="00616758" w:rsidRPr="0083113B">
        <w:t>5%</w:t>
      </w:r>
      <w:r w:rsidR="003763A4" w:rsidRPr="0083113B">
        <w:t xml:space="preserve"> </w:t>
      </w:r>
      <w:r w:rsidRPr="0083113B">
        <w:t xml:space="preserve">per year throughout the Caribbean. </w:t>
      </w:r>
      <w:r w:rsidR="003763A4" w:rsidRPr="0083113B">
        <w:t>Income</w:t>
      </w:r>
      <w:r w:rsidRPr="0083113B">
        <w:t xml:space="preserve"> and international trade, however, began to wane in the latter half of the 1990s, particular</w:t>
      </w:r>
      <w:r w:rsidR="00F32A1C" w:rsidRPr="0083113B">
        <w:t>ly because</w:t>
      </w:r>
      <w:r w:rsidRPr="0083113B">
        <w:t xml:space="preserve"> </w:t>
      </w:r>
      <w:r w:rsidR="00F32A1C" w:rsidRPr="0083113B">
        <w:t xml:space="preserve">of </w:t>
      </w:r>
      <w:r w:rsidRPr="0083113B">
        <w:t>the European Union’s withdrawal of preferential access for conventional food commodities, crops, and agricultural foodstuffs from the region (</w:t>
      </w:r>
      <w:proofErr w:type="gramStart"/>
      <w:r w:rsidRPr="0083113B">
        <w:t>e.g.</w:t>
      </w:r>
      <w:proofErr w:type="gramEnd"/>
      <w:r w:rsidRPr="0083113B">
        <w:t xml:space="preserve"> bananas, sugar)</w:t>
      </w:r>
      <w:r w:rsidR="00BB431D" w:rsidRPr="0083113B">
        <w:t xml:space="preserve"> (</w:t>
      </w:r>
      <w:r w:rsidR="00066B8D" w:rsidRPr="0083113B">
        <w:t>Saint Ville, Hickey, and Phillip 2017</w:t>
      </w:r>
      <w:r w:rsidR="00E51ABF" w:rsidRPr="0083113B">
        <w:t>)</w:t>
      </w:r>
      <w:r w:rsidRPr="0083113B">
        <w:t xml:space="preserve">. The 2008 financial crisis that struck </w:t>
      </w:r>
      <w:r w:rsidRPr="0083113B">
        <w:lastRenderedPageBreak/>
        <w:t>the globe severely curtailed remittances, tourist visits, and commercial activity</w:t>
      </w:r>
      <w:r w:rsidR="00923FC7" w:rsidRPr="0083113B">
        <w:t xml:space="preserve"> in the Caribbean</w:t>
      </w:r>
      <w:r w:rsidR="00F32A1C" w:rsidRPr="0083113B">
        <w:t xml:space="preserve"> as well</w:t>
      </w:r>
      <w:r w:rsidRPr="0083113B">
        <w:t xml:space="preserve">, </w:t>
      </w:r>
      <w:r w:rsidR="00923FC7" w:rsidRPr="0083113B">
        <w:t xml:space="preserve">which led to </w:t>
      </w:r>
      <w:r w:rsidR="00F32A1C" w:rsidRPr="0083113B">
        <w:t>the continued</w:t>
      </w:r>
      <w:r w:rsidRPr="0083113B">
        <w:t xml:space="preserve"> swelling</w:t>
      </w:r>
      <w:r w:rsidR="00923FC7" w:rsidRPr="0083113B">
        <w:t xml:space="preserve"> of</w:t>
      </w:r>
      <w:r w:rsidRPr="0083113B">
        <w:t xml:space="preserve"> </w:t>
      </w:r>
      <w:r w:rsidR="00923FC7" w:rsidRPr="0083113B">
        <w:t>sovereign</w:t>
      </w:r>
      <w:r w:rsidRPr="0083113B">
        <w:t xml:space="preserve"> debt and financial disparities</w:t>
      </w:r>
      <w:r w:rsidR="004C6783" w:rsidRPr="0083113B">
        <w:t xml:space="preserve"> (Girvan 2012)</w:t>
      </w:r>
      <w:r w:rsidRPr="0083113B">
        <w:t xml:space="preserve">. </w:t>
      </w:r>
      <w:r w:rsidR="00F32A1C" w:rsidRPr="0083113B">
        <w:t>From 2008-2013, i</w:t>
      </w:r>
      <w:r w:rsidRPr="0083113B">
        <w:t xml:space="preserve">slands </w:t>
      </w:r>
      <w:r w:rsidR="00923FC7" w:rsidRPr="0083113B">
        <w:t xml:space="preserve">across the Anglo-Caribbean </w:t>
      </w:r>
      <w:r w:rsidRPr="0083113B">
        <w:t>logged an aggregate decline</w:t>
      </w:r>
      <w:r w:rsidR="00EE75AD" w:rsidRPr="0083113B">
        <w:t xml:space="preserve"> in gross domestic product (GDP)</w:t>
      </w:r>
      <w:r w:rsidRPr="0083113B">
        <w:t xml:space="preserve"> of </w:t>
      </w:r>
      <w:r w:rsidR="00616758" w:rsidRPr="0083113B">
        <w:t>6%</w:t>
      </w:r>
      <w:r w:rsidR="001A270B" w:rsidRPr="0083113B">
        <w:t xml:space="preserve"> (Beckford and Campbell 2013)</w:t>
      </w:r>
      <w:r w:rsidR="00923FC7" w:rsidRPr="0083113B">
        <w:t>,</w:t>
      </w:r>
      <w:r w:rsidRPr="0083113B">
        <w:t xml:space="preserve"> whil</w:t>
      </w:r>
      <w:r w:rsidR="00923FC7" w:rsidRPr="0083113B">
        <w:t>st</w:t>
      </w:r>
      <w:r w:rsidRPr="0083113B">
        <w:t xml:space="preserve"> simultaneously being negatively impacted by episodic climate disasters that eroded domestic infrastructure, weakened regional economies, and damaged historical sites (</w:t>
      </w:r>
      <w:r w:rsidR="00BB431D" w:rsidRPr="0083113B">
        <w:t>World Bank 2017</w:t>
      </w:r>
      <w:r w:rsidRPr="0083113B">
        <w:t>).</w:t>
      </w:r>
      <w:r w:rsidR="00923FC7" w:rsidRPr="0083113B">
        <w:t xml:space="preserve"> </w:t>
      </w:r>
      <w:r w:rsidR="00CE3DBF" w:rsidRPr="0083113B">
        <w:t>In addition</w:t>
      </w:r>
      <w:r w:rsidR="00923FC7" w:rsidRPr="0083113B">
        <w:t>,</w:t>
      </w:r>
      <w:r w:rsidR="00875532" w:rsidRPr="0083113B">
        <w:t xml:space="preserve"> </w:t>
      </w:r>
      <w:r w:rsidR="00CE3DBF" w:rsidRPr="0083113B">
        <w:t>the FAO (United Nations Food and Agriculture Organization) reported that as of</w:t>
      </w:r>
      <w:r w:rsidR="00875532" w:rsidRPr="0083113B">
        <w:t xml:space="preserve"> 2020,</w:t>
      </w:r>
      <w:r w:rsidR="00923FC7" w:rsidRPr="0083113B">
        <w:t xml:space="preserve"> dependency upon </w:t>
      </w:r>
      <w:r w:rsidR="002B57AA" w:rsidRPr="0083113B">
        <w:t>extra-regional</w:t>
      </w:r>
      <w:r w:rsidR="00923FC7" w:rsidRPr="0083113B">
        <w:t xml:space="preserve"> </w:t>
      </w:r>
      <w:r w:rsidR="002B57AA" w:rsidRPr="0083113B">
        <w:t xml:space="preserve">commodities and </w:t>
      </w:r>
      <w:r w:rsidR="00923FC7" w:rsidRPr="0083113B">
        <w:t>products continue</w:t>
      </w:r>
      <w:r w:rsidR="008372E6" w:rsidRPr="0083113B">
        <w:t>d</w:t>
      </w:r>
      <w:r w:rsidR="00923FC7" w:rsidRPr="0083113B">
        <w:t xml:space="preserve"> to define Caribbean </w:t>
      </w:r>
      <w:r w:rsidR="005800EA" w:rsidRPr="0083113B">
        <w:t>economies</w:t>
      </w:r>
      <w:r w:rsidR="00923FC7" w:rsidRPr="0083113B">
        <w:t xml:space="preserve">, with several islands importing </w:t>
      </w:r>
      <w:r w:rsidR="00DD1677" w:rsidRPr="0083113B">
        <w:t>nearly</w:t>
      </w:r>
      <w:r w:rsidR="00923FC7" w:rsidRPr="0083113B">
        <w:t xml:space="preserve"> 80%</w:t>
      </w:r>
      <w:r w:rsidR="002B57AA" w:rsidRPr="0083113B">
        <w:t xml:space="preserve"> of</w:t>
      </w:r>
      <w:r w:rsidR="00923FC7" w:rsidRPr="0083113B">
        <w:t xml:space="preserve"> their </w:t>
      </w:r>
      <w:r w:rsidR="002B57AA" w:rsidRPr="0083113B">
        <w:t>food</w:t>
      </w:r>
      <w:r w:rsidR="006554BA" w:rsidRPr="0083113B">
        <w:t xml:space="preserve"> </w:t>
      </w:r>
      <w:r w:rsidR="002B57AA" w:rsidRPr="0083113B">
        <w:t>(</w:t>
      </w:r>
      <w:r w:rsidR="00DD0669" w:rsidRPr="0083113B">
        <w:t>Barry and Gahman 2020</w:t>
      </w:r>
      <w:r w:rsidR="002B57AA" w:rsidRPr="0083113B">
        <w:t>).</w:t>
      </w:r>
      <w:r w:rsidRPr="0083113B">
        <w:t xml:space="preserve"> </w:t>
      </w:r>
      <w:r w:rsidR="006554BA" w:rsidRPr="0083113B">
        <w:t>More recently, in the latest report issued by</w:t>
      </w:r>
      <w:r w:rsidR="005800EA" w:rsidRPr="0083113B">
        <w:t xml:space="preserve"> the</w:t>
      </w:r>
      <w:r w:rsidR="006554BA" w:rsidRPr="0083113B">
        <w:t xml:space="preserve"> Economic Commission for Latin America and the Caribbean (ECLAC</w:t>
      </w:r>
      <w:r w:rsidR="005800EA" w:rsidRPr="0083113B">
        <w:t xml:space="preserve"> 2021</w:t>
      </w:r>
      <w:r w:rsidR="006554BA" w:rsidRPr="0083113B">
        <w:t xml:space="preserve">), the region </w:t>
      </w:r>
      <w:r w:rsidR="00CE3DBF" w:rsidRPr="0083113B">
        <w:t>wa</w:t>
      </w:r>
      <w:r w:rsidR="006554BA" w:rsidRPr="0083113B">
        <w:t>s predicted to have a</w:t>
      </w:r>
      <w:r w:rsidR="005800EA" w:rsidRPr="0083113B">
        <w:t xml:space="preserve"> </w:t>
      </w:r>
      <w:r w:rsidR="006554BA" w:rsidRPr="0083113B">
        <w:t>GD</w:t>
      </w:r>
      <w:r w:rsidR="00EE75AD" w:rsidRPr="0083113B">
        <w:t>P</w:t>
      </w:r>
      <w:r w:rsidR="006554BA" w:rsidRPr="0083113B">
        <w:t xml:space="preserve"> growth rate of 5.2% in 2021, follow</w:t>
      </w:r>
      <w:r w:rsidR="00CE3DBF" w:rsidRPr="0083113B">
        <w:t>ing</w:t>
      </w:r>
      <w:r w:rsidR="006554BA" w:rsidRPr="0083113B">
        <w:t xml:space="preserve"> </w:t>
      </w:r>
      <w:r w:rsidR="00E03E1B" w:rsidRPr="0083113B">
        <w:t>the negative growth rate of 6.2% in 2020.</w:t>
      </w:r>
    </w:p>
    <w:p w14:paraId="399B217C" w14:textId="77777777" w:rsidR="00C51D6C" w:rsidRPr="0083113B" w:rsidRDefault="00C51D6C" w:rsidP="0083113B">
      <w:pPr>
        <w:jc w:val="both"/>
        <w:textAlignment w:val="baseline"/>
      </w:pPr>
    </w:p>
    <w:p w14:paraId="47677E90" w14:textId="74756ACF" w:rsidR="007E4100" w:rsidRPr="0083113B" w:rsidRDefault="007E4100" w:rsidP="0083113B">
      <w:pPr>
        <w:jc w:val="both"/>
        <w:textAlignment w:val="baseline"/>
      </w:pPr>
      <w:r w:rsidRPr="0083113B">
        <w:t>Grenada</w:t>
      </w:r>
      <w:r w:rsidR="00923FC7" w:rsidRPr="0083113B">
        <w:t xml:space="preserve">, the island that is the </w:t>
      </w:r>
      <w:r w:rsidR="00456358" w:rsidRPr="0083113B">
        <w:t>focus</w:t>
      </w:r>
      <w:r w:rsidR="00923FC7" w:rsidRPr="0083113B">
        <w:t xml:space="preserve"> of this research, </w:t>
      </w:r>
      <w:r w:rsidRPr="0083113B">
        <w:t>has not been immune to these dynamics.</w:t>
      </w:r>
      <w:r w:rsidR="002B57AA" w:rsidRPr="0083113B">
        <w:t xml:space="preserve"> </w:t>
      </w:r>
      <w:r w:rsidRPr="0083113B">
        <w:t>In 2017, the World Bank</w:t>
      </w:r>
      <w:r w:rsidR="00EE75AD" w:rsidRPr="0083113B">
        <w:t xml:space="preserve"> (</w:t>
      </w:r>
      <w:r w:rsidR="00667B58" w:rsidRPr="0083113B">
        <w:t>2017</w:t>
      </w:r>
      <w:r w:rsidR="00EE75AD" w:rsidRPr="0083113B">
        <w:t>)</w:t>
      </w:r>
      <w:r w:rsidRPr="0083113B">
        <w:t xml:space="preserve"> reported poverty and unemployment rates in Grenada to be 37.7% and 28.9% respectively, with women and youth being most affected.</w:t>
      </w:r>
      <w:r w:rsidR="00E03E1B" w:rsidRPr="0083113B">
        <w:t xml:space="preserve"> </w:t>
      </w:r>
      <w:r w:rsidR="00667B58" w:rsidRPr="0083113B">
        <w:t>Similarly</w:t>
      </w:r>
      <w:r w:rsidR="00E03E1B" w:rsidRPr="0083113B">
        <w:t xml:space="preserve">, ECLAC (2021) </w:t>
      </w:r>
      <w:r w:rsidR="00667B58" w:rsidRPr="0083113B">
        <w:t>note</w:t>
      </w:r>
      <w:r w:rsidR="00605FC5" w:rsidRPr="0083113B">
        <w:t>d</w:t>
      </w:r>
      <w:r w:rsidR="00E03E1B" w:rsidRPr="0083113B">
        <w:t xml:space="preserve"> that Grenada experienced a -11.2% growth rate in 2020 and </w:t>
      </w:r>
      <w:r w:rsidR="00605FC5" w:rsidRPr="0083113B">
        <w:t>wa</w:t>
      </w:r>
      <w:r w:rsidR="00E03E1B" w:rsidRPr="0083113B">
        <w:t>s anticipated to only rebound in 2021 with a</w:t>
      </w:r>
      <w:r w:rsidR="005800EA" w:rsidRPr="0083113B">
        <w:t xml:space="preserve"> mere</w:t>
      </w:r>
      <w:r w:rsidR="00E03E1B" w:rsidRPr="0083113B">
        <w:t xml:space="preserve"> 4.7% growth in GDP, which is not </w:t>
      </w:r>
      <w:r w:rsidR="000F59A4" w:rsidRPr="0083113B">
        <w:t>sufficient</w:t>
      </w:r>
      <w:r w:rsidR="00E03E1B" w:rsidRPr="0083113B">
        <w:t xml:space="preserve"> to offset the shortfall prompted by the pandemic.</w:t>
      </w:r>
      <w:r w:rsidRPr="0083113B">
        <w:t xml:space="preserve"> </w:t>
      </w:r>
      <w:proofErr w:type="gramStart"/>
      <w:r w:rsidRPr="0083113B">
        <w:t>In light of</w:t>
      </w:r>
      <w:proofErr w:type="gramEnd"/>
      <w:r w:rsidRPr="0083113B">
        <w:t xml:space="preserve"> </w:t>
      </w:r>
      <w:r w:rsidR="002B57AA" w:rsidRPr="0083113B">
        <w:t>the above</w:t>
      </w:r>
      <w:r w:rsidRPr="0083113B">
        <w:t xml:space="preserve">, it is </w:t>
      </w:r>
      <w:r w:rsidR="00667B58" w:rsidRPr="0083113B">
        <w:t>crucial</w:t>
      </w:r>
      <w:r w:rsidRPr="0083113B">
        <w:t xml:space="preserve"> that research </w:t>
      </w:r>
      <w:r w:rsidR="00667B58" w:rsidRPr="0083113B">
        <w:t>be</w:t>
      </w:r>
      <w:r w:rsidRPr="0083113B">
        <w:t xml:space="preserve"> undertaken </w:t>
      </w:r>
      <w:r w:rsidR="008372E6" w:rsidRPr="0083113B">
        <w:t xml:space="preserve">to </w:t>
      </w:r>
      <w:r w:rsidR="00667B58" w:rsidRPr="0083113B">
        <w:t>develop</w:t>
      </w:r>
      <w:r w:rsidR="008372E6" w:rsidRPr="0083113B">
        <w:t xml:space="preserve"> </w:t>
      </w:r>
      <w:r w:rsidR="00667B58" w:rsidRPr="0083113B">
        <w:t xml:space="preserve">an </w:t>
      </w:r>
      <w:r w:rsidR="008372E6" w:rsidRPr="0083113B">
        <w:t xml:space="preserve">understanding of </w:t>
      </w:r>
      <w:r w:rsidRPr="0083113B">
        <w:t xml:space="preserve">the </w:t>
      </w:r>
      <w:r w:rsidR="00667B58" w:rsidRPr="0083113B">
        <w:t>exigent</w:t>
      </w:r>
      <w:r w:rsidRPr="0083113B">
        <w:t xml:space="preserve"> need </w:t>
      </w:r>
      <w:r w:rsidR="00667B58" w:rsidRPr="0083113B">
        <w:t>to</w:t>
      </w:r>
      <w:r w:rsidRPr="0083113B">
        <w:t xml:space="preserve"> </w:t>
      </w:r>
      <w:r w:rsidR="00667B58" w:rsidRPr="0083113B">
        <w:t xml:space="preserve">attenuate </w:t>
      </w:r>
      <w:r w:rsidRPr="0083113B">
        <w:t xml:space="preserve">Grenada’s high food importation bill and growing </w:t>
      </w:r>
      <w:r w:rsidR="00456358" w:rsidRPr="0083113B">
        <w:t>rate</w:t>
      </w:r>
      <w:r w:rsidRPr="0083113B">
        <w:t xml:space="preserve"> of food insecurity. Additionally, in the wake of climate </w:t>
      </w:r>
      <w:r w:rsidR="00923FC7" w:rsidRPr="0083113B">
        <w:t>catastrophes</w:t>
      </w:r>
      <w:r w:rsidRPr="0083113B">
        <w:t xml:space="preserve"> being faced by </w:t>
      </w:r>
      <w:r w:rsidR="00923FC7" w:rsidRPr="0083113B">
        <w:t>islands</w:t>
      </w:r>
      <w:r w:rsidRPr="0083113B">
        <w:t xml:space="preserve"> </w:t>
      </w:r>
      <w:r w:rsidR="002B57AA" w:rsidRPr="0083113B">
        <w:t>across</w:t>
      </w:r>
      <w:r w:rsidRPr="0083113B">
        <w:t xml:space="preserve"> the Caribbean</w:t>
      </w:r>
      <w:r w:rsidR="00667B58" w:rsidRPr="0083113B">
        <w:t>,</w:t>
      </w:r>
      <w:r w:rsidRPr="0083113B">
        <w:t xml:space="preserve"> it is </w:t>
      </w:r>
      <w:r w:rsidR="00667B58" w:rsidRPr="0083113B">
        <w:t>imperative</w:t>
      </w:r>
      <w:r w:rsidRPr="0083113B">
        <w:t xml:space="preserve"> that farmers</w:t>
      </w:r>
      <w:r w:rsidR="00456358" w:rsidRPr="0083113B">
        <w:t xml:space="preserve">, </w:t>
      </w:r>
      <w:r w:rsidR="00923FC7" w:rsidRPr="0083113B">
        <w:t>food producers</w:t>
      </w:r>
      <w:r w:rsidR="00456358" w:rsidRPr="0083113B">
        <w:t xml:space="preserve">, </w:t>
      </w:r>
      <w:r w:rsidR="005800EA" w:rsidRPr="0083113B">
        <w:t xml:space="preserve">fisherfolk, </w:t>
      </w:r>
      <w:r w:rsidR="00456358" w:rsidRPr="0083113B">
        <w:t>and rural</w:t>
      </w:r>
      <w:r w:rsidR="005800EA" w:rsidRPr="0083113B">
        <w:t xml:space="preserve"> </w:t>
      </w:r>
      <w:r w:rsidR="00456358" w:rsidRPr="0083113B">
        <w:t>workers</w:t>
      </w:r>
      <w:r w:rsidRPr="0083113B">
        <w:t xml:space="preserve"> with </w:t>
      </w:r>
      <w:r w:rsidR="00923FC7" w:rsidRPr="0083113B">
        <w:t>grounded knowledge</w:t>
      </w:r>
      <w:r w:rsidRPr="0083113B">
        <w:t xml:space="preserve"> </w:t>
      </w:r>
      <w:r w:rsidR="00923FC7" w:rsidRPr="0083113B">
        <w:t>be heard and taken seriously in conversations aimed at</w:t>
      </w:r>
      <w:r w:rsidR="00667B58" w:rsidRPr="0083113B">
        <w:t xml:space="preserve"> sustainability and the</w:t>
      </w:r>
      <w:r w:rsidRPr="0083113B">
        <w:t xml:space="preserve"> ameliorat</w:t>
      </w:r>
      <w:r w:rsidR="00923FC7" w:rsidRPr="0083113B">
        <w:t>i</w:t>
      </w:r>
      <w:r w:rsidR="00667B58" w:rsidRPr="0083113B">
        <w:t>on of</w:t>
      </w:r>
      <w:r w:rsidRPr="0083113B">
        <w:t xml:space="preserve"> food system injustices</w:t>
      </w:r>
      <w:r w:rsidR="00066B8D" w:rsidRPr="0083113B">
        <w:t xml:space="preserve"> (Werner 2019)</w:t>
      </w:r>
      <w:r w:rsidRPr="0083113B">
        <w:t xml:space="preserve">. </w:t>
      </w:r>
      <w:r w:rsidR="00667B58" w:rsidRPr="0083113B">
        <w:t>Put differently, it</w:t>
      </w:r>
      <w:r w:rsidR="002B57AA" w:rsidRPr="0083113B">
        <w:t xml:space="preserve"> is</w:t>
      </w:r>
      <w:r w:rsidR="00923FC7" w:rsidRPr="0083113B">
        <w:t xml:space="preserve"> </w:t>
      </w:r>
      <w:r w:rsidR="00667B58" w:rsidRPr="0083113B">
        <w:t>vital</w:t>
      </w:r>
      <w:r w:rsidRPr="0083113B">
        <w:t xml:space="preserve"> </w:t>
      </w:r>
      <w:r w:rsidR="00923FC7" w:rsidRPr="0083113B">
        <w:t xml:space="preserve">that the </w:t>
      </w:r>
      <w:r w:rsidR="002B57AA" w:rsidRPr="0083113B">
        <w:t>specialist</w:t>
      </w:r>
      <w:r w:rsidRPr="0083113B">
        <w:t xml:space="preserve"> knowledge and expertise</w:t>
      </w:r>
      <w:r w:rsidR="00923FC7" w:rsidRPr="0083113B">
        <w:t xml:space="preserve"> of </w:t>
      </w:r>
      <w:r w:rsidR="002B57AA" w:rsidRPr="0083113B">
        <w:t>the region’s</w:t>
      </w:r>
      <w:r w:rsidR="00923FC7" w:rsidRPr="0083113B">
        <w:t xml:space="preserve"> </w:t>
      </w:r>
      <w:r w:rsidR="00E51ABF" w:rsidRPr="0083113B">
        <w:t>farmers</w:t>
      </w:r>
      <w:r w:rsidR="005800EA" w:rsidRPr="0083113B">
        <w:t>, fishers,</w:t>
      </w:r>
      <w:r w:rsidR="00E51ABF" w:rsidRPr="0083113B">
        <w:t xml:space="preserve"> and </w:t>
      </w:r>
      <w:r w:rsidR="00923FC7" w:rsidRPr="0083113B">
        <w:t>workers</w:t>
      </w:r>
      <w:r w:rsidRPr="0083113B">
        <w:t xml:space="preserve"> be incorporated into</w:t>
      </w:r>
      <w:r w:rsidR="002B57AA" w:rsidRPr="0083113B">
        <w:t xml:space="preserve"> both</w:t>
      </w:r>
      <w:r w:rsidRPr="0083113B">
        <w:t xml:space="preserve"> </w:t>
      </w:r>
      <w:r w:rsidR="00923FC7" w:rsidRPr="0083113B">
        <w:t>regional and national</w:t>
      </w:r>
      <w:r w:rsidRPr="0083113B">
        <w:t xml:space="preserve"> polic</w:t>
      </w:r>
      <w:r w:rsidR="002B57AA" w:rsidRPr="0083113B">
        <w:t>ies</w:t>
      </w:r>
      <w:r w:rsidRPr="0083113B">
        <w:t>.</w:t>
      </w:r>
      <w:r w:rsidR="00923FC7" w:rsidRPr="0083113B">
        <w:t xml:space="preserve"> </w:t>
      </w:r>
    </w:p>
    <w:p w14:paraId="0DF7613F" w14:textId="77777777" w:rsidR="00BD05D6" w:rsidRDefault="00BD05D6" w:rsidP="0049456A">
      <w:pPr>
        <w:jc w:val="both"/>
        <w:textAlignment w:val="baseline"/>
      </w:pPr>
    </w:p>
    <w:p w14:paraId="5154A5F6" w14:textId="1BAA2310" w:rsidR="00ED25CB" w:rsidRDefault="002B57AA" w:rsidP="0049456A">
      <w:pPr>
        <w:jc w:val="both"/>
        <w:textAlignment w:val="baseline"/>
      </w:pPr>
      <w:r w:rsidRPr="0083113B">
        <w:t>That said, a</w:t>
      </w:r>
      <w:r w:rsidR="00F21985" w:rsidRPr="0083113B">
        <w:t xml:space="preserve">ny comprehensive analysis of the current state of the agricultural sector in the Caribbean must consider the historical trajectories and </w:t>
      </w:r>
      <w:r w:rsidRPr="0083113B">
        <w:t>lasting</w:t>
      </w:r>
      <w:r w:rsidR="00F21985" w:rsidRPr="0083113B">
        <w:t xml:space="preserve"> repercussions of </w:t>
      </w:r>
      <w:r w:rsidR="0050181C" w:rsidRPr="0083113B">
        <w:t xml:space="preserve">race, </w:t>
      </w:r>
      <w:r w:rsidR="00F21985" w:rsidRPr="0083113B">
        <w:t>enslavement</w:t>
      </w:r>
      <w:r w:rsidR="0050181C" w:rsidRPr="0083113B">
        <w:t>,</w:t>
      </w:r>
      <w:r w:rsidR="00F21985" w:rsidRPr="0083113B">
        <w:t xml:space="preserve"> and </w:t>
      </w:r>
      <w:r w:rsidR="0050181C" w:rsidRPr="0083113B">
        <w:t>imperialism</w:t>
      </w:r>
      <w:r w:rsidR="00F21985" w:rsidRPr="0083113B">
        <w:t xml:space="preserve"> (</w:t>
      </w:r>
      <w:r w:rsidR="00EE259C" w:rsidRPr="0083113B">
        <w:t>Barry et al</w:t>
      </w:r>
      <w:r w:rsidR="00F074A0" w:rsidRPr="0083113B">
        <w:t>.</w:t>
      </w:r>
      <w:r w:rsidR="00EE259C" w:rsidRPr="0083113B">
        <w:t xml:space="preserve"> 2020</w:t>
      </w:r>
      <w:r w:rsidR="00651EAE" w:rsidRPr="0083113B">
        <w:t>; Green 1995</w:t>
      </w:r>
      <w:r w:rsidR="006B7D91" w:rsidRPr="0083113B">
        <w:t>; Thompson 2015</w:t>
      </w:r>
      <w:r w:rsidR="00F21985" w:rsidRPr="0083113B">
        <w:t>).</w:t>
      </w:r>
      <w:r w:rsidRPr="0083113B">
        <w:t xml:space="preserve"> T</w:t>
      </w:r>
      <w:r w:rsidR="00F21985" w:rsidRPr="0083113B">
        <w:t xml:space="preserve">he </w:t>
      </w:r>
      <w:r w:rsidRPr="0083113B">
        <w:t>pervasive</w:t>
      </w:r>
      <w:r w:rsidR="00F21985" w:rsidRPr="0083113B">
        <w:t xml:space="preserve"> impacts of dispossession, </w:t>
      </w:r>
      <w:r w:rsidR="0050181C" w:rsidRPr="0083113B">
        <w:t>abduction</w:t>
      </w:r>
      <w:r w:rsidR="00F21985" w:rsidRPr="0083113B">
        <w:t>, and colonisation––alongside the ongoing influence that plantation</w:t>
      </w:r>
      <w:r w:rsidR="00DD34D8" w:rsidRPr="0083113B">
        <w:t xml:space="preserve"> relations</w:t>
      </w:r>
      <w:r w:rsidR="00F21985" w:rsidRPr="0083113B">
        <w:t xml:space="preserve"> has had on societies and economies in the Caribbean</w:t>
      </w:r>
      <w:r w:rsidR="00EE564F" w:rsidRPr="0083113B">
        <w:t xml:space="preserve"> (</w:t>
      </w:r>
      <w:proofErr w:type="spellStart"/>
      <w:r w:rsidR="00EE564F" w:rsidRPr="0083113B">
        <w:t>Mintz</w:t>
      </w:r>
      <w:proofErr w:type="spellEnd"/>
      <w:r w:rsidR="00EE564F" w:rsidRPr="0083113B">
        <w:t xml:space="preserve"> 1985; Timms </w:t>
      </w:r>
      <w:proofErr w:type="gramStart"/>
      <w:r w:rsidR="00EE564F" w:rsidRPr="0083113B">
        <w:t>2008)</w:t>
      </w:r>
      <w:r w:rsidR="00F21985" w:rsidRPr="0083113B">
        <w:t>––</w:t>
      </w:r>
      <w:proofErr w:type="gramEnd"/>
      <w:r w:rsidR="00F21985" w:rsidRPr="0083113B">
        <w:t>cannot be overstated (Jackson 2012). As a mode of industrial production and</w:t>
      </w:r>
      <w:r w:rsidRPr="0083113B">
        <w:t xml:space="preserve"> a</w:t>
      </w:r>
      <w:r w:rsidR="00F21985" w:rsidRPr="0083113B">
        <w:t xml:space="preserve"> social force, the plantation became the bedrock upon which colonial agriculture and markets were built (</w:t>
      </w:r>
      <w:r w:rsidR="00EE564F" w:rsidRPr="0083113B">
        <w:t>Beckford 1999; Best and Levitt 2009</w:t>
      </w:r>
      <w:r w:rsidR="00F21985" w:rsidRPr="0083113B">
        <w:t xml:space="preserve">). In turn and over time, </w:t>
      </w:r>
      <w:r w:rsidR="00EE564F" w:rsidRPr="0083113B">
        <w:t xml:space="preserve">both </w:t>
      </w:r>
      <w:r w:rsidR="00F21985" w:rsidRPr="0083113B">
        <w:t>plantation relations</w:t>
      </w:r>
      <w:r w:rsidR="00EE564F" w:rsidRPr="0083113B">
        <w:t xml:space="preserve"> and patriarchal cultural mores (</w:t>
      </w:r>
      <w:proofErr w:type="spellStart"/>
      <w:r w:rsidR="00EE564F" w:rsidRPr="0083113B">
        <w:t>Barriteau</w:t>
      </w:r>
      <w:proofErr w:type="spellEnd"/>
      <w:r w:rsidR="00EE564F" w:rsidRPr="0083113B">
        <w:t xml:space="preserve"> 2001)</w:t>
      </w:r>
      <w:r w:rsidR="00F21985" w:rsidRPr="0083113B">
        <w:t xml:space="preserve"> shaped political institutions, socialisation processes,</w:t>
      </w:r>
      <w:r w:rsidRPr="0083113B">
        <w:t xml:space="preserve"> economic dependency,</w:t>
      </w:r>
      <w:r w:rsidR="00F21985" w:rsidRPr="0083113B">
        <w:t xml:space="preserve"> and the day-to-day interactions and operations that took place across the Caribbean’s agricultural landscape and food systems</w:t>
      </w:r>
      <w:r w:rsidR="00E77816" w:rsidRPr="0083113B">
        <w:t xml:space="preserve"> (</w:t>
      </w:r>
      <w:r w:rsidR="00355C4D" w:rsidRPr="0083113B">
        <w:t>Barry and Gahman 2021</w:t>
      </w:r>
      <w:r w:rsidR="00E77816" w:rsidRPr="0083113B">
        <w:t>)</w:t>
      </w:r>
      <w:r w:rsidR="00F21985" w:rsidRPr="0083113B">
        <w:t xml:space="preserve">. </w:t>
      </w:r>
    </w:p>
    <w:p w14:paraId="34280087" w14:textId="77777777" w:rsidR="00BD05D6" w:rsidRPr="0083113B" w:rsidRDefault="00BD05D6" w:rsidP="0083113B">
      <w:pPr>
        <w:jc w:val="both"/>
        <w:textAlignment w:val="baseline"/>
      </w:pPr>
    </w:p>
    <w:p w14:paraId="58E3C72C" w14:textId="14882FDE" w:rsidR="00BD05D6" w:rsidRDefault="00F21985" w:rsidP="0049456A">
      <w:pPr>
        <w:jc w:val="both"/>
        <w:textAlignment w:val="baseline"/>
      </w:pPr>
      <w:r w:rsidRPr="0083113B">
        <w:t xml:space="preserve">Plantation </w:t>
      </w:r>
      <w:r w:rsidR="00EE75AD" w:rsidRPr="0083113B">
        <w:t>relations</w:t>
      </w:r>
      <w:r w:rsidRPr="0083113B">
        <w:t xml:space="preserve">, as many argue, continue to reverberate across the region’s </w:t>
      </w:r>
      <w:r w:rsidR="008D57D4" w:rsidRPr="0083113B">
        <w:t>Westminster-</w:t>
      </w:r>
      <w:r w:rsidR="00ED25CB" w:rsidRPr="0083113B">
        <w:t xml:space="preserve">modelled </w:t>
      </w:r>
      <w:r w:rsidRPr="0083113B">
        <w:t>state bureaucracies and civil societies (</w:t>
      </w:r>
      <w:r w:rsidR="00ED25CB" w:rsidRPr="0083113B">
        <w:t xml:space="preserve">Girvan 2015; </w:t>
      </w:r>
      <w:proofErr w:type="spellStart"/>
      <w:r w:rsidRPr="0083113B">
        <w:t>Lowitt</w:t>
      </w:r>
      <w:proofErr w:type="spellEnd"/>
      <w:r w:rsidRPr="0083113B">
        <w:t xml:space="preserve"> et al. 2015).</w:t>
      </w:r>
      <w:r w:rsidR="0050181C" w:rsidRPr="0083113B">
        <w:t xml:space="preserve"> </w:t>
      </w:r>
      <w:r w:rsidRPr="0083113B">
        <w:t xml:space="preserve">As </w:t>
      </w:r>
      <w:r w:rsidR="002C2364" w:rsidRPr="0083113B">
        <w:t xml:space="preserve">Saint Ville, Hickey, and Phillip </w:t>
      </w:r>
      <w:r w:rsidRPr="0083113B">
        <w:t xml:space="preserve">(2017, 198) note, ‘as a fully integrated institution that ruled over every facet of life in the region, the plantation was more than an economic phenomenon.’ </w:t>
      </w:r>
      <w:r w:rsidR="002B57AA" w:rsidRPr="0083113B">
        <w:t>In short, enduring colonial and plantation relations</w:t>
      </w:r>
      <w:r w:rsidR="00365A5F" w:rsidRPr="0083113B">
        <w:t xml:space="preserve"> (Lamming 2002)</w:t>
      </w:r>
      <w:r w:rsidR="002B57AA" w:rsidRPr="0083113B">
        <w:t xml:space="preserve">, alongside the class stratifications they </w:t>
      </w:r>
      <w:r w:rsidR="00456358" w:rsidRPr="0083113B">
        <w:t>generated</w:t>
      </w:r>
      <w:r w:rsidR="002B57AA" w:rsidRPr="0083113B">
        <w:t xml:space="preserve">, continue to be major </w:t>
      </w:r>
      <w:r w:rsidR="008D57D4" w:rsidRPr="0083113B">
        <w:t>impediments to sovereignty</w:t>
      </w:r>
      <w:r w:rsidR="002B57AA" w:rsidRPr="0083113B">
        <w:t xml:space="preserve"> </w:t>
      </w:r>
      <w:r w:rsidR="008D57D4" w:rsidRPr="0083113B">
        <w:t>regarding</w:t>
      </w:r>
      <w:r w:rsidR="002B57AA" w:rsidRPr="0083113B">
        <w:t xml:space="preserve"> the region’s </w:t>
      </w:r>
      <w:r w:rsidR="008D57D4" w:rsidRPr="0083113B">
        <w:t>institutionalised</w:t>
      </w:r>
      <w:r w:rsidR="002B57AA" w:rsidRPr="0083113B">
        <w:t xml:space="preserve"> norms</w:t>
      </w:r>
      <w:r w:rsidR="00365A5F" w:rsidRPr="0083113B">
        <w:t xml:space="preserve">, development agendas, and </w:t>
      </w:r>
      <w:r w:rsidR="002B57AA" w:rsidRPr="0083113B">
        <w:t>food system</w:t>
      </w:r>
      <w:r w:rsidR="00065E1C" w:rsidRPr="0083113B">
        <w:t>s</w:t>
      </w:r>
      <w:r w:rsidR="00365A5F" w:rsidRPr="0083113B">
        <w:t xml:space="preserve"> (Levitt 2005)</w:t>
      </w:r>
      <w:r w:rsidR="00931A31" w:rsidRPr="0083113B">
        <w:t xml:space="preserve">. Likewise, studies on environmental, economic, and gender justice have all demonstrated how industrial agribusiness and </w:t>
      </w:r>
      <w:proofErr w:type="spellStart"/>
      <w:r w:rsidR="00931A31" w:rsidRPr="0083113B">
        <w:t>corporatised</w:t>
      </w:r>
      <w:proofErr w:type="spellEnd"/>
      <w:r w:rsidR="00931A31" w:rsidRPr="0083113B">
        <w:t xml:space="preserve"> monoculture are key forces in shaping both ineffectual food policies and exploitative multi-scalar market relations (Ellis 2003; </w:t>
      </w:r>
      <w:proofErr w:type="spellStart"/>
      <w:r w:rsidR="00931A31" w:rsidRPr="0083113B">
        <w:t>Laven</w:t>
      </w:r>
      <w:proofErr w:type="spellEnd"/>
      <w:r w:rsidR="00931A31" w:rsidRPr="0083113B">
        <w:t xml:space="preserve"> and Pyburn </w:t>
      </w:r>
      <w:r w:rsidR="00931A31" w:rsidRPr="0083113B">
        <w:lastRenderedPageBreak/>
        <w:t xml:space="preserve">2012; Shiva 1999). </w:t>
      </w:r>
      <w:r w:rsidR="00923FC7" w:rsidRPr="0083113B">
        <w:t xml:space="preserve">The COVID-19 pandemic and multiple crises it </w:t>
      </w:r>
      <w:r w:rsidR="00065E1C" w:rsidRPr="0083113B">
        <w:t>aggravated</w:t>
      </w:r>
      <w:r w:rsidR="00923FC7" w:rsidRPr="0083113B">
        <w:t xml:space="preserve"> exposed just how profoundly damaging the power and resource imbalances that define the contemporary status quo are for working people</w:t>
      </w:r>
      <w:r w:rsidR="002B57AA" w:rsidRPr="0083113B">
        <w:t xml:space="preserve"> in the </w:t>
      </w:r>
      <w:r w:rsidR="00456358" w:rsidRPr="0083113B">
        <w:t>Caribbean</w:t>
      </w:r>
      <w:r w:rsidR="00923FC7" w:rsidRPr="0083113B">
        <w:t xml:space="preserve">. The rapid spread of coronavirus and </w:t>
      </w:r>
      <w:r w:rsidR="00805F6F" w:rsidRPr="0083113B">
        <w:t xml:space="preserve">attendant </w:t>
      </w:r>
      <w:r w:rsidR="00923FC7" w:rsidRPr="0083113B">
        <w:t xml:space="preserve">protracted tragedies </w:t>
      </w:r>
      <w:r w:rsidR="00065E1C" w:rsidRPr="0083113B">
        <w:t xml:space="preserve">also </w:t>
      </w:r>
      <w:r w:rsidR="00923FC7" w:rsidRPr="0083113B">
        <w:t>cast</w:t>
      </w:r>
      <w:r w:rsidR="00065E1C" w:rsidRPr="0083113B">
        <w:t xml:space="preserve"> a critical</w:t>
      </w:r>
      <w:r w:rsidR="00923FC7" w:rsidRPr="0083113B">
        <w:t xml:space="preserve"> light upon the deep flaws and failures of the globalised </w:t>
      </w:r>
      <w:r w:rsidR="000B097F" w:rsidRPr="0083113B">
        <w:t>‘</w:t>
      </w:r>
      <w:r w:rsidR="00923FC7" w:rsidRPr="0083113B">
        <w:t>corporate food regime</w:t>
      </w:r>
      <w:r w:rsidR="000B097F" w:rsidRPr="0083113B">
        <w:t>’</w:t>
      </w:r>
      <w:r w:rsidR="00456358" w:rsidRPr="0083113B">
        <w:t xml:space="preserve"> </w:t>
      </w:r>
      <w:r w:rsidR="00923FC7" w:rsidRPr="0083113B">
        <w:t>(</w:t>
      </w:r>
      <w:r w:rsidR="005B1140" w:rsidRPr="0083113B">
        <w:t>Clapp and Moseley 2020</w:t>
      </w:r>
      <w:r w:rsidR="000B097F" w:rsidRPr="0083113B">
        <w:t>; Wilson 2016</w:t>
      </w:r>
      <w:r w:rsidR="00923FC7" w:rsidRPr="0083113B">
        <w:t xml:space="preserve">). </w:t>
      </w:r>
      <w:r w:rsidR="00065E1C" w:rsidRPr="0083113B">
        <w:t>E</w:t>
      </w:r>
      <w:r w:rsidR="00923FC7" w:rsidRPr="0083113B">
        <w:t xml:space="preserve">ven though there is now widespread awareness that the </w:t>
      </w:r>
      <w:r w:rsidR="00456358" w:rsidRPr="0083113B">
        <w:t xml:space="preserve">extractive </w:t>
      </w:r>
      <w:r w:rsidR="00065E1C" w:rsidRPr="0083113B">
        <w:t>mistreatment</w:t>
      </w:r>
      <w:r w:rsidR="00923FC7" w:rsidRPr="0083113B">
        <w:t xml:space="preserve"> of nature for profit is culpable for the degradation of the planet</w:t>
      </w:r>
      <w:r w:rsidR="002B57AA" w:rsidRPr="0083113B">
        <w:t>––</w:t>
      </w:r>
      <w:r w:rsidR="00923FC7" w:rsidRPr="0083113B">
        <w:t xml:space="preserve">which </w:t>
      </w:r>
      <w:r w:rsidR="00065E1C" w:rsidRPr="0083113B">
        <w:t xml:space="preserve">also </w:t>
      </w:r>
      <w:r w:rsidR="00923FC7" w:rsidRPr="0083113B">
        <w:t xml:space="preserve">results in the </w:t>
      </w:r>
      <w:r w:rsidR="00701533" w:rsidRPr="0083113B">
        <w:t>proliferation</w:t>
      </w:r>
      <w:r w:rsidR="00923FC7" w:rsidRPr="0083113B">
        <w:t xml:space="preserve"> of novel viruses</w:t>
      </w:r>
      <w:r w:rsidR="00A42E8D" w:rsidRPr="0083113B">
        <w:t xml:space="preserve"> (Lister Pirtle, </w:t>
      </w:r>
      <w:proofErr w:type="gramStart"/>
      <w:r w:rsidR="00A42E8D" w:rsidRPr="0083113B">
        <w:t>2020)</w:t>
      </w:r>
      <w:r w:rsidR="002B57AA" w:rsidRPr="0083113B">
        <w:t>––</w:t>
      </w:r>
      <w:proofErr w:type="gramEnd"/>
      <w:r w:rsidR="00923FC7" w:rsidRPr="0083113B">
        <w:t>global and national solutions to COVID-19 continue to be oriented towards rescuing multinational business as a means to preserve existing trade flows, international divisions of labour, and global value chains</w:t>
      </w:r>
      <w:r w:rsidR="00DD34D8" w:rsidRPr="0083113B">
        <w:t xml:space="preserve"> (Carducci et al</w:t>
      </w:r>
      <w:r w:rsidR="00F074A0" w:rsidRPr="0083113B">
        <w:t>.</w:t>
      </w:r>
      <w:r w:rsidR="00DD34D8" w:rsidRPr="0083113B">
        <w:t xml:space="preserve"> 2021)</w:t>
      </w:r>
      <w:r w:rsidR="00923FC7" w:rsidRPr="0083113B">
        <w:t>.</w:t>
      </w:r>
    </w:p>
    <w:p w14:paraId="2D8DAB6B" w14:textId="7DA909A4" w:rsidR="00931A31" w:rsidRPr="0083113B" w:rsidRDefault="00923FC7" w:rsidP="0083113B">
      <w:pPr>
        <w:jc w:val="both"/>
        <w:textAlignment w:val="baseline"/>
      </w:pPr>
      <w:r w:rsidRPr="0083113B">
        <w:t xml:space="preserve"> </w:t>
      </w:r>
    </w:p>
    <w:p w14:paraId="4EEEE93E" w14:textId="47A117A3" w:rsidR="00F21985" w:rsidRPr="0083113B" w:rsidRDefault="00931A31" w:rsidP="0083113B">
      <w:pPr>
        <w:jc w:val="both"/>
        <w:textAlignment w:val="baseline"/>
      </w:pPr>
      <w:r w:rsidRPr="0083113B">
        <w:t>D</w:t>
      </w:r>
      <w:r w:rsidR="00923FC7" w:rsidRPr="0083113B">
        <w:t>uring the pandemic, there ha</w:t>
      </w:r>
      <w:r w:rsidR="00AC0E3D" w:rsidRPr="0083113B">
        <w:t>ve</w:t>
      </w:r>
      <w:r w:rsidR="00923FC7" w:rsidRPr="0083113B">
        <w:t xml:space="preserve"> remained ever-intensifying disturbances</w:t>
      </w:r>
      <w:r w:rsidRPr="0083113B">
        <w:t xml:space="preserve"> to daily life</w:t>
      </w:r>
      <w:r w:rsidR="00923FC7" w:rsidRPr="0083113B">
        <w:t xml:space="preserve"> and </w:t>
      </w:r>
      <w:r w:rsidR="00805F6F" w:rsidRPr="0083113B">
        <w:t xml:space="preserve">large-scale </w:t>
      </w:r>
      <w:r w:rsidR="00923FC7" w:rsidRPr="0083113B">
        <w:t xml:space="preserve">disruptions to </w:t>
      </w:r>
      <w:r w:rsidRPr="0083113B">
        <w:t>global-local food systems</w:t>
      </w:r>
      <w:r w:rsidR="00AC0E3D" w:rsidRPr="0083113B">
        <w:t>,</w:t>
      </w:r>
      <w:r w:rsidR="00923FC7" w:rsidRPr="0083113B">
        <w:t xml:space="preserve"> combined with profound erosions of material and psychological wellbeing because private capital and the accumulation of wealth have been given precedence over the needs of working people</w:t>
      </w:r>
      <w:r w:rsidR="00566E27" w:rsidRPr="0083113B">
        <w:t xml:space="preserve"> (</w:t>
      </w:r>
      <w:proofErr w:type="spellStart"/>
      <w:r w:rsidR="00566E27" w:rsidRPr="0083113B">
        <w:t>Stevano</w:t>
      </w:r>
      <w:proofErr w:type="spellEnd"/>
      <w:r w:rsidR="00566E27" w:rsidRPr="0083113B">
        <w:t xml:space="preserve"> et al</w:t>
      </w:r>
      <w:r w:rsidR="00F074A0" w:rsidRPr="0083113B">
        <w:t>.</w:t>
      </w:r>
      <w:r w:rsidR="00566E27" w:rsidRPr="0083113B">
        <w:t xml:space="preserve"> 2021)</w:t>
      </w:r>
      <w:r w:rsidR="00923FC7" w:rsidRPr="0083113B">
        <w:t>. This has been the COVID</w:t>
      </w:r>
      <w:r w:rsidR="00FA2D8A" w:rsidRPr="0083113B">
        <w:t>-</w:t>
      </w:r>
      <w:r w:rsidR="00923FC7" w:rsidRPr="0083113B">
        <w:t xml:space="preserve">19 </w:t>
      </w:r>
      <w:r w:rsidR="00102066" w:rsidRPr="0083113B">
        <w:t>(</w:t>
      </w:r>
      <w:r w:rsidR="00923FC7" w:rsidRPr="0083113B">
        <w:t>and capitalist</w:t>
      </w:r>
      <w:r w:rsidR="00102066" w:rsidRPr="0083113B">
        <w:t>)</w:t>
      </w:r>
      <w:r w:rsidR="00923FC7" w:rsidRPr="0083113B">
        <w:t xml:space="preserve"> state of things in the Caribbean and beyond</w:t>
      </w:r>
      <w:r w:rsidR="00B35288" w:rsidRPr="0083113B">
        <w:t>.</w:t>
      </w:r>
      <w:r w:rsidR="00FA2D8A" w:rsidRPr="0083113B">
        <w:t xml:space="preserve"> </w:t>
      </w:r>
      <w:r w:rsidR="00F21985" w:rsidRPr="0083113B">
        <w:t xml:space="preserve">With this reality as backdrop, the present moment offers us a crucial opening for collective discernment, dialogue, and action related to carving pathways out of the dilemmas, disparities, and </w:t>
      </w:r>
      <w:r w:rsidR="00A3465B" w:rsidRPr="0083113B">
        <w:t>crises</w:t>
      </w:r>
      <w:r w:rsidR="00F21985" w:rsidRPr="0083113B">
        <w:t xml:space="preserve"> that continue to plague the region’s prevailing economic and food system </w:t>
      </w:r>
      <w:r w:rsidR="00A3465B" w:rsidRPr="0083113B">
        <w:t>injustices</w:t>
      </w:r>
      <w:r w:rsidR="00F21985" w:rsidRPr="0083113B">
        <w:t xml:space="preserve">. Notably, </w:t>
      </w:r>
      <w:r w:rsidR="00D83148" w:rsidRPr="0083113B">
        <w:t xml:space="preserve">social </w:t>
      </w:r>
      <w:r w:rsidR="002C06E1" w:rsidRPr="0083113B">
        <w:t>crises</w:t>
      </w:r>
      <w:r w:rsidR="00F21985" w:rsidRPr="0083113B">
        <w:t xml:space="preserve"> like</w:t>
      </w:r>
      <w:r w:rsidR="00B35288" w:rsidRPr="0083113B">
        <w:t xml:space="preserve"> persistent poverty,</w:t>
      </w:r>
      <w:r w:rsidR="00F21985" w:rsidRPr="0083113B">
        <w:t xml:space="preserve"> </w:t>
      </w:r>
      <w:r w:rsidR="00A3465B" w:rsidRPr="0083113B">
        <w:t>food insecurity</w:t>
      </w:r>
      <w:r w:rsidR="00B35288" w:rsidRPr="0083113B">
        <w:t>,</w:t>
      </w:r>
      <w:r w:rsidR="00A3465B" w:rsidRPr="0083113B">
        <w:t xml:space="preserve"> and </w:t>
      </w:r>
      <w:r w:rsidR="00D83148" w:rsidRPr="0083113B">
        <w:t>economic</w:t>
      </w:r>
      <w:r w:rsidR="00A3465B" w:rsidRPr="0083113B">
        <w:t xml:space="preserve"> shock</w:t>
      </w:r>
      <w:r w:rsidR="00C014FC" w:rsidRPr="0083113B">
        <w:t>––</w:t>
      </w:r>
      <w:r w:rsidR="00F21985" w:rsidRPr="0083113B">
        <w:t>as well as their subsequent solutions</w:t>
      </w:r>
      <w:r w:rsidR="00C014FC" w:rsidRPr="0083113B">
        <w:t>––</w:t>
      </w:r>
      <w:r w:rsidR="00F21985" w:rsidRPr="0083113B">
        <w:t>necessitate critical awareness</w:t>
      </w:r>
      <w:r w:rsidR="00A3465B" w:rsidRPr="0083113B">
        <w:t xml:space="preserve"> </w:t>
      </w:r>
      <w:r w:rsidR="00456358" w:rsidRPr="0083113B">
        <w:t xml:space="preserve">about the pivotal roles played by </w:t>
      </w:r>
      <w:r w:rsidR="00F21985" w:rsidRPr="0083113B">
        <w:t>history</w:t>
      </w:r>
      <w:r w:rsidR="00A3465B" w:rsidRPr="0083113B">
        <w:t xml:space="preserve">, </w:t>
      </w:r>
      <w:r w:rsidR="00F21985" w:rsidRPr="0083113B">
        <w:t>context</w:t>
      </w:r>
      <w:r w:rsidR="00A3465B" w:rsidRPr="0083113B">
        <w:t>, and the political agency of people who are being impacted by any given cris</w:t>
      </w:r>
      <w:r w:rsidR="00D83148" w:rsidRPr="0083113B">
        <w:t>i</w:t>
      </w:r>
      <w:r w:rsidR="00A3465B" w:rsidRPr="0083113B">
        <w:t>s or shock</w:t>
      </w:r>
      <w:r w:rsidR="00F21985" w:rsidRPr="0083113B">
        <w:t xml:space="preserve">. </w:t>
      </w:r>
      <w:r w:rsidR="00B35288" w:rsidRPr="0083113B">
        <w:t>On this point, we suggest that the data in this case study on Grenada and the insights offered by Grenadian workers in this article are applicable to other nations throughout the English-speaking Caribbean. Meaning, despite concentrating on Grenada in this piece specifically, there is high likelihood that this research, in particular the experiences articulated by participants and practical and policy solutions recommended therein, will be germane to other countries</w:t>
      </w:r>
      <w:r w:rsidR="00DF032F" w:rsidRPr="0083113B">
        <w:t xml:space="preserve"> and islands</w:t>
      </w:r>
      <w:r w:rsidR="00B35288" w:rsidRPr="0083113B">
        <w:t xml:space="preserve"> across the region with similar histories.</w:t>
      </w:r>
    </w:p>
    <w:p w14:paraId="425A3599" w14:textId="77777777" w:rsidR="00BD05D6" w:rsidRDefault="00BD05D6" w:rsidP="0049456A">
      <w:pPr>
        <w:pStyle w:val="Heading1"/>
        <w:spacing w:before="0" w:after="0" w:line="240" w:lineRule="auto"/>
        <w:jc w:val="center"/>
        <w:rPr>
          <w:rFonts w:ascii="Times New Roman" w:hAnsi="Times New Roman"/>
        </w:rPr>
      </w:pPr>
    </w:p>
    <w:p w14:paraId="3E76DB6C" w14:textId="0A14A6B4" w:rsidR="00F21985" w:rsidRPr="0083113B" w:rsidRDefault="00BB50F5" w:rsidP="0083113B">
      <w:pPr>
        <w:pStyle w:val="Heading1"/>
        <w:spacing w:before="0" w:after="0" w:line="240" w:lineRule="auto"/>
        <w:jc w:val="center"/>
        <w:rPr>
          <w:rFonts w:ascii="Times New Roman" w:hAnsi="Times New Roman"/>
        </w:rPr>
      </w:pPr>
      <w:r w:rsidRPr="0083113B">
        <w:rPr>
          <w:rFonts w:ascii="Times New Roman" w:hAnsi="Times New Roman"/>
        </w:rPr>
        <w:t xml:space="preserve">Regional </w:t>
      </w:r>
      <w:r w:rsidR="00774F4F" w:rsidRPr="0083113B">
        <w:rPr>
          <w:rFonts w:ascii="Times New Roman" w:hAnsi="Times New Roman"/>
        </w:rPr>
        <w:t xml:space="preserve">Food Security and </w:t>
      </w:r>
      <w:r w:rsidR="00F21985" w:rsidRPr="0083113B">
        <w:rPr>
          <w:rFonts w:ascii="Times New Roman" w:hAnsi="Times New Roman"/>
        </w:rPr>
        <w:t>COVID-19: Latin America and the Caribbean</w:t>
      </w:r>
    </w:p>
    <w:p w14:paraId="05EB0E45" w14:textId="77777777" w:rsidR="00BD05D6" w:rsidRDefault="00BD05D6" w:rsidP="0049456A">
      <w:pPr>
        <w:jc w:val="both"/>
        <w:textAlignment w:val="baseline"/>
      </w:pPr>
    </w:p>
    <w:p w14:paraId="70CC8749" w14:textId="5F2BC516" w:rsidR="00F21985" w:rsidRPr="0083113B" w:rsidRDefault="00F21985" w:rsidP="0083113B">
      <w:pPr>
        <w:jc w:val="both"/>
        <w:textAlignment w:val="baseline"/>
      </w:pPr>
      <w:r w:rsidRPr="0083113B">
        <w:t xml:space="preserve">In 2018, it was estimated that hunger affected 42.5 million people in Latin America and </w:t>
      </w:r>
      <w:r w:rsidR="00CA7F34" w:rsidRPr="0083113B">
        <w:t xml:space="preserve">the </w:t>
      </w:r>
      <w:r w:rsidRPr="0083113B">
        <w:t>Caribbean</w:t>
      </w:r>
      <w:r w:rsidR="00CA7F34" w:rsidRPr="0083113B">
        <w:t xml:space="preserve"> (LAC)</w:t>
      </w:r>
      <w:r w:rsidRPr="0083113B">
        <w:t xml:space="preserve"> and that 188 million were facing food insecurity</w:t>
      </w:r>
      <w:r w:rsidR="00F20082" w:rsidRPr="0083113B">
        <w:t xml:space="preserve"> (</w:t>
      </w:r>
      <w:r w:rsidR="00F20082" w:rsidRPr="0083113B">
        <w:rPr>
          <w:rFonts w:eastAsia="Calibri"/>
        </w:rPr>
        <w:t>FAO and CELAC 2020</w:t>
      </w:r>
      <w:r w:rsidR="00F20082" w:rsidRPr="0083113B">
        <w:t>)</w:t>
      </w:r>
      <w:r w:rsidRPr="0083113B">
        <w:t xml:space="preserve">. </w:t>
      </w:r>
      <w:r w:rsidR="00A3465B" w:rsidRPr="0083113B">
        <w:t>Just a year later</w:t>
      </w:r>
      <w:r w:rsidRPr="0083113B">
        <w:t>, in 2019, the Food Security Information Network</w:t>
      </w:r>
      <w:r w:rsidR="00F20082" w:rsidRPr="0083113B">
        <w:t xml:space="preserve"> (2020)</w:t>
      </w:r>
      <w:r w:rsidRPr="0083113B">
        <w:t xml:space="preserve"> reported that 18.5 million people in the region were facing acute food insecurity caused by economic and climate-related factors. As concerning as these factors may seem, the </w:t>
      </w:r>
      <w:r w:rsidR="00774F4F" w:rsidRPr="0083113B">
        <w:t>United Nations Food and Agricultural Organization (</w:t>
      </w:r>
      <w:r w:rsidRPr="0083113B">
        <w:t>FAO</w:t>
      </w:r>
      <w:r w:rsidR="00774F4F" w:rsidRPr="0083113B">
        <w:t>)</w:t>
      </w:r>
      <w:r w:rsidRPr="0083113B">
        <w:t xml:space="preserve"> has stated that the COVID-19 pandemic </w:t>
      </w:r>
      <w:r w:rsidR="00A3465B" w:rsidRPr="0083113B">
        <w:t>is</w:t>
      </w:r>
      <w:r w:rsidRPr="0083113B">
        <w:t xml:space="preserve"> result</w:t>
      </w:r>
      <w:r w:rsidR="00A3465B" w:rsidRPr="0083113B">
        <w:t>ing</w:t>
      </w:r>
      <w:r w:rsidRPr="0083113B">
        <w:t xml:space="preserve"> in both increased hunger and poverty levels </w:t>
      </w:r>
      <w:r w:rsidR="00A3465B" w:rsidRPr="0083113B">
        <w:t>across</w:t>
      </w:r>
      <w:r w:rsidRPr="0083113B">
        <w:t xml:space="preserve"> the region, which are expected to limit access to essential goods and services, </w:t>
      </w:r>
      <w:r w:rsidR="00A3465B" w:rsidRPr="0083113B">
        <w:t>including</w:t>
      </w:r>
      <w:r w:rsidRPr="0083113B">
        <w:t xml:space="preserve"> food</w:t>
      </w:r>
      <w:r w:rsidR="00A3465B" w:rsidRPr="0083113B">
        <w:t xml:space="preserve"> and nutrition</w:t>
      </w:r>
      <w:r w:rsidRPr="0083113B">
        <w:t xml:space="preserve"> (</w:t>
      </w:r>
      <w:r w:rsidR="00F20082" w:rsidRPr="0083113B">
        <w:rPr>
          <w:rFonts w:eastAsia="Calibri"/>
        </w:rPr>
        <w:t>FAO and CELAC 2020</w:t>
      </w:r>
      <w:r w:rsidRPr="0083113B">
        <w:t>).</w:t>
      </w:r>
    </w:p>
    <w:p w14:paraId="7E114F7A" w14:textId="77777777" w:rsidR="00BD05D6" w:rsidRDefault="00BD05D6" w:rsidP="0049456A">
      <w:pPr>
        <w:jc w:val="both"/>
        <w:textAlignment w:val="baseline"/>
      </w:pPr>
    </w:p>
    <w:p w14:paraId="716EFF8A" w14:textId="5C146701" w:rsidR="00F21985" w:rsidRPr="0083113B" w:rsidRDefault="00F20082" w:rsidP="0083113B">
      <w:pPr>
        <w:jc w:val="both"/>
        <w:textAlignment w:val="baseline"/>
      </w:pPr>
      <w:r w:rsidRPr="0083113B">
        <w:t xml:space="preserve">Amidst the </w:t>
      </w:r>
      <w:r w:rsidR="00A55FC7" w:rsidRPr="0083113B">
        <w:t xml:space="preserve">continuing </w:t>
      </w:r>
      <w:r w:rsidRPr="0083113B">
        <w:t>crisis, the</w:t>
      </w:r>
      <w:r w:rsidR="00F21985" w:rsidRPr="0083113B">
        <w:t xml:space="preserve"> FAO </w:t>
      </w:r>
      <w:r w:rsidRPr="0083113B">
        <w:t>has detailed a litany of</w:t>
      </w:r>
      <w:r w:rsidR="00F21985" w:rsidRPr="0083113B">
        <w:t xml:space="preserve"> ways</w:t>
      </w:r>
      <w:r w:rsidR="00A55FC7" w:rsidRPr="0083113B">
        <w:t xml:space="preserve"> in which</w:t>
      </w:r>
      <w:r w:rsidR="00F21985" w:rsidRPr="0083113B">
        <w:t xml:space="preserve"> the pandemic is expected to </w:t>
      </w:r>
      <w:r w:rsidR="00774F4F" w:rsidRPr="0083113B">
        <w:t>adversely affect</w:t>
      </w:r>
      <w:r w:rsidR="00F21985" w:rsidRPr="0083113B">
        <w:t xml:space="preserve"> food </w:t>
      </w:r>
      <w:r w:rsidR="00774F4F" w:rsidRPr="0083113B">
        <w:t>security</w:t>
      </w:r>
      <w:r w:rsidR="00F21985" w:rsidRPr="0083113B">
        <w:t xml:space="preserve">. While the FAO </w:t>
      </w:r>
      <w:r w:rsidR="00774F4F" w:rsidRPr="0083113B">
        <w:t>reports</w:t>
      </w:r>
      <w:r w:rsidR="00A55FC7" w:rsidRPr="0083113B">
        <w:t xml:space="preserve"> that domestic and local</w:t>
      </w:r>
      <w:r w:rsidR="00F21985" w:rsidRPr="0083113B">
        <w:t xml:space="preserve"> demand and supply</w:t>
      </w:r>
      <w:r w:rsidR="00A55FC7" w:rsidRPr="0083113B">
        <w:t xml:space="preserve"> </w:t>
      </w:r>
      <w:r w:rsidR="00774F4F" w:rsidRPr="0083113B">
        <w:t>are being</w:t>
      </w:r>
      <w:r w:rsidR="00A55FC7" w:rsidRPr="0083113B">
        <w:t xml:space="preserve"> </w:t>
      </w:r>
      <w:r w:rsidR="00774F4F" w:rsidRPr="0083113B">
        <w:t>encumbered</w:t>
      </w:r>
      <w:r w:rsidR="00F21985" w:rsidRPr="0083113B">
        <w:t xml:space="preserve">, </w:t>
      </w:r>
      <w:r w:rsidR="00A55FC7" w:rsidRPr="0083113B">
        <w:t>they also stress how</w:t>
      </w:r>
      <w:r w:rsidR="00F21985" w:rsidRPr="0083113B">
        <w:t xml:space="preserve"> international food </w:t>
      </w:r>
      <w:r w:rsidR="00A55FC7" w:rsidRPr="0083113B">
        <w:t>systems and global trade</w:t>
      </w:r>
      <w:r w:rsidR="00F21985" w:rsidRPr="0083113B">
        <w:t xml:space="preserve"> </w:t>
      </w:r>
      <w:r w:rsidR="00774F4F" w:rsidRPr="0083113B">
        <w:t>are</w:t>
      </w:r>
      <w:r w:rsidR="00A55FC7" w:rsidRPr="0083113B">
        <w:t xml:space="preserve"> </w:t>
      </w:r>
      <w:r w:rsidR="00774F4F" w:rsidRPr="0083113B">
        <w:t>being</w:t>
      </w:r>
      <w:r w:rsidR="00F21985" w:rsidRPr="0083113B">
        <w:t xml:space="preserve"> </w:t>
      </w:r>
      <w:r w:rsidR="00A55FC7" w:rsidRPr="0083113B">
        <w:t xml:space="preserve">severely disrupted </w:t>
      </w:r>
      <w:r w:rsidR="00F21985" w:rsidRPr="0083113B">
        <w:t>(</w:t>
      </w:r>
      <w:r w:rsidRPr="0083113B">
        <w:rPr>
          <w:rFonts w:eastAsia="Calibri"/>
        </w:rPr>
        <w:t>FAO and CELAC 2020</w:t>
      </w:r>
      <w:r w:rsidR="00F21985" w:rsidRPr="0083113B">
        <w:t xml:space="preserve">). This is especially relevant </w:t>
      </w:r>
      <w:r w:rsidR="00CA7F34" w:rsidRPr="0083113B">
        <w:t xml:space="preserve">in the </w:t>
      </w:r>
      <w:r w:rsidR="00774F4F" w:rsidRPr="0083113B">
        <w:t>Caribbean</w:t>
      </w:r>
      <w:r w:rsidR="00F21985" w:rsidRPr="0083113B">
        <w:t xml:space="preserve"> considering </w:t>
      </w:r>
      <w:r w:rsidR="00A55FC7" w:rsidRPr="0083113B">
        <w:t xml:space="preserve">how many countries in the region rely upon imported foods, as well as </w:t>
      </w:r>
      <w:r w:rsidR="00774F4F" w:rsidRPr="0083113B">
        <w:t xml:space="preserve">just </w:t>
      </w:r>
      <w:r w:rsidR="00A55FC7" w:rsidRPr="0083113B">
        <w:t xml:space="preserve">how devastating the </w:t>
      </w:r>
      <w:r w:rsidR="00CA7F34" w:rsidRPr="0083113B">
        <w:t>consequences</w:t>
      </w:r>
      <w:r w:rsidR="00F21985" w:rsidRPr="0083113B">
        <w:t xml:space="preserve"> </w:t>
      </w:r>
      <w:r w:rsidR="00A55FC7" w:rsidRPr="0083113B">
        <w:t xml:space="preserve">of </w:t>
      </w:r>
      <w:r w:rsidR="00F21985" w:rsidRPr="0083113B">
        <w:t>COVID-19 ha</w:t>
      </w:r>
      <w:r w:rsidR="00A55FC7" w:rsidRPr="0083113B">
        <w:t xml:space="preserve">ve </w:t>
      </w:r>
      <w:r w:rsidR="00F21985" w:rsidRPr="0083113B">
        <w:t xml:space="preserve">already </w:t>
      </w:r>
      <w:r w:rsidR="00A55FC7" w:rsidRPr="0083113B">
        <w:t>been.</w:t>
      </w:r>
      <w:r w:rsidR="00F21985" w:rsidRPr="0083113B">
        <w:t xml:space="preserve"> Small Island </w:t>
      </w:r>
      <w:r w:rsidR="00456358" w:rsidRPr="0083113B">
        <w:t>‘</w:t>
      </w:r>
      <w:r w:rsidR="00F21985" w:rsidRPr="0083113B">
        <w:t>Developing</w:t>
      </w:r>
      <w:r w:rsidR="00456358" w:rsidRPr="0083113B">
        <w:t>’</w:t>
      </w:r>
      <w:r w:rsidR="00F21985" w:rsidRPr="0083113B">
        <w:t xml:space="preserve"> States (SIDS</w:t>
      </w:r>
      <w:r w:rsidR="00456358" w:rsidRPr="0083113B">
        <w:t>)</w:t>
      </w:r>
      <w:r w:rsidR="00631CE7" w:rsidRPr="0083113B">
        <w:t xml:space="preserve"> in the Caribbean</w:t>
      </w:r>
      <w:r w:rsidR="00A55FC7" w:rsidRPr="0083113B">
        <w:t xml:space="preserve">, for example, </w:t>
      </w:r>
      <w:r w:rsidR="00F21985" w:rsidRPr="0083113B">
        <w:t xml:space="preserve">have faced massive blows to their </w:t>
      </w:r>
      <w:r w:rsidR="00CA7F34" w:rsidRPr="0083113B">
        <w:t xml:space="preserve">respective </w:t>
      </w:r>
      <w:r w:rsidR="00F21985" w:rsidRPr="0083113B">
        <w:t xml:space="preserve">GDP due to the </w:t>
      </w:r>
      <w:r w:rsidR="004C3B75" w:rsidRPr="0083113B">
        <w:t xml:space="preserve">negative effects </w:t>
      </w:r>
      <w:r w:rsidR="00F21985" w:rsidRPr="0083113B">
        <w:t>of COVID-19 on tourism</w:t>
      </w:r>
      <w:r w:rsidR="00A55FC7" w:rsidRPr="0083113B">
        <w:t xml:space="preserve"> and agriculture</w:t>
      </w:r>
      <w:r w:rsidR="00F21985" w:rsidRPr="0083113B">
        <w:t>.</w:t>
      </w:r>
      <w:r w:rsidR="00631CE7" w:rsidRPr="0083113B">
        <w:t xml:space="preserve"> We note here that we approach the use of the term ‘development’ critically, as it is a politically loaded, oft-colonial moniker that is widely and rightly contested. That said,</w:t>
      </w:r>
      <w:r w:rsidR="00F21985" w:rsidRPr="0083113B">
        <w:t xml:space="preserve"> </w:t>
      </w:r>
      <w:r w:rsidR="00631CE7" w:rsidRPr="0083113B">
        <w:t>i</w:t>
      </w:r>
      <w:r w:rsidR="00F21985" w:rsidRPr="0083113B">
        <w:t xml:space="preserve">t is </w:t>
      </w:r>
      <w:r w:rsidR="00631CE7" w:rsidRPr="0083113B">
        <w:t xml:space="preserve">still </w:t>
      </w:r>
      <w:r w:rsidR="00F21985" w:rsidRPr="0083113B">
        <w:t xml:space="preserve">expected </w:t>
      </w:r>
      <w:r w:rsidR="004C3B75" w:rsidRPr="0083113B">
        <w:t xml:space="preserve">that </w:t>
      </w:r>
      <w:r w:rsidR="00F21985" w:rsidRPr="0083113B">
        <w:t xml:space="preserve">the </w:t>
      </w:r>
      <w:r w:rsidR="00F21985" w:rsidRPr="0083113B">
        <w:lastRenderedPageBreak/>
        <w:t xml:space="preserve">pandemic will lead to record amounts of revenue losses for SIDS that do not have alternative sources of </w:t>
      </w:r>
      <w:r w:rsidR="00631CE7" w:rsidRPr="0083113B">
        <w:t>income</w:t>
      </w:r>
      <w:r w:rsidR="00F21985" w:rsidRPr="0083113B">
        <w:t xml:space="preserve">. Due to this, </w:t>
      </w:r>
      <w:r w:rsidR="00CA7F34" w:rsidRPr="0083113B">
        <w:t xml:space="preserve">regional economists are </w:t>
      </w:r>
      <w:r w:rsidR="00F21985" w:rsidRPr="0083113B">
        <w:t>suggest</w:t>
      </w:r>
      <w:r w:rsidR="00CA7F34" w:rsidRPr="0083113B">
        <w:t>ing</w:t>
      </w:r>
      <w:r w:rsidR="00F21985" w:rsidRPr="0083113B">
        <w:t xml:space="preserve"> that SIDS</w:t>
      </w:r>
      <w:r w:rsidR="00CA7F34" w:rsidRPr="0083113B">
        <w:t xml:space="preserve"> across the </w:t>
      </w:r>
      <w:r w:rsidR="00A55FC7" w:rsidRPr="0083113B">
        <w:t>Caribbean</w:t>
      </w:r>
      <w:r w:rsidR="00F21985" w:rsidRPr="0083113B">
        <w:t xml:space="preserve"> </w:t>
      </w:r>
      <w:r w:rsidR="00774F4F" w:rsidRPr="0083113B">
        <w:t>will</w:t>
      </w:r>
      <w:r w:rsidR="00F21985" w:rsidRPr="0083113B">
        <w:t xml:space="preserve"> need </w:t>
      </w:r>
      <w:r w:rsidR="00CA7F34" w:rsidRPr="0083113B">
        <w:t>nearly</w:t>
      </w:r>
      <w:r w:rsidR="00F21985" w:rsidRPr="0083113B">
        <w:t xml:space="preserve"> </w:t>
      </w:r>
      <w:r w:rsidR="00CA7F34" w:rsidRPr="0083113B">
        <w:t>six</w:t>
      </w:r>
      <w:r w:rsidR="00F21985" w:rsidRPr="0083113B">
        <w:t xml:space="preserve"> billion</w:t>
      </w:r>
      <w:r w:rsidR="00CA7F34" w:rsidRPr="0083113B">
        <w:t xml:space="preserve"> US dollars</w:t>
      </w:r>
      <w:r w:rsidR="00F21985" w:rsidRPr="0083113B">
        <w:t xml:space="preserve"> to counteract the </w:t>
      </w:r>
      <w:r w:rsidR="00631CE7" w:rsidRPr="0083113B">
        <w:t xml:space="preserve">respective </w:t>
      </w:r>
      <w:r w:rsidR="00774F4F" w:rsidRPr="0083113B">
        <w:t>aftermath</w:t>
      </w:r>
      <w:r w:rsidR="00631CE7" w:rsidRPr="0083113B">
        <w:t>s</w:t>
      </w:r>
      <w:r w:rsidR="00F21985" w:rsidRPr="0083113B">
        <w:t xml:space="preserve"> of the pandemic on their economies</w:t>
      </w:r>
      <w:r w:rsidR="004C3B75" w:rsidRPr="0083113B">
        <w:t xml:space="preserve"> -</w:t>
      </w:r>
      <w:r w:rsidR="00774F4F" w:rsidRPr="0083113B">
        <w:t xml:space="preserve"> money that will be needed</w:t>
      </w:r>
      <w:r w:rsidR="00432CF3" w:rsidRPr="0083113B">
        <w:t xml:space="preserve"> in</w:t>
      </w:r>
      <w:r w:rsidR="00CA7F34" w:rsidRPr="0083113B">
        <w:t xml:space="preserve"> addition to</w:t>
      </w:r>
      <w:r w:rsidR="00F21985" w:rsidRPr="0083113B">
        <w:t xml:space="preserve"> debt suspension and </w:t>
      </w:r>
      <w:r w:rsidR="00432CF3" w:rsidRPr="0083113B">
        <w:t xml:space="preserve">the rollout of other </w:t>
      </w:r>
      <w:r w:rsidR="00F21985" w:rsidRPr="0083113B">
        <w:t>relief programmes</w:t>
      </w:r>
      <w:r w:rsidR="00A55FC7" w:rsidRPr="0083113B">
        <w:t xml:space="preserve"> (</w:t>
      </w:r>
      <w:r w:rsidR="00A55FC7" w:rsidRPr="0083113B">
        <w:rPr>
          <w:rFonts w:eastAsia="Calibri"/>
        </w:rPr>
        <w:t>FAO and CELAC 2020</w:t>
      </w:r>
      <w:r w:rsidR="00A55FC7" w:rsidRPr="0083113B">
        <w:t>)</w:t>
      </w:r>
      <w:r w:rsidR="00F21985" w:rsidRPr="0083113B">
        <w:t xml:space="preserve">. </w:t>
      </w:r>
    </w:p>
    <w:p w14:paraId="4C7FE7CA" w14:textId="77777777" w:rsidR="00BD05D6" w:rsidRDefault="00BD05D6" w:rsidP="0049456A">
      <w:pPr>
        <w:jc w:val="both"/>
        <w:textAlignment w:val="baseline"/>
      </w:pPr>
    </w:p>
    <w:p w14:paraId="4A4E536F" w14:textId="15C0782B" w:rsidR="00F21985" w:rsidRPr="0083113B" w:rsidRDefault="00432CF3" w:rsidP="0083113B">
      <w:pPr>
        <w:jc w:val="both"/>
        <w:textAlignment w:val="baseline"/>
      </w:pPr>
      <w:r w:rsidRPr="0083113B">
        <w:t xml:space="preserve">Regarding the impact on </w:t>
      </w:r>
      <w:r w:rsidR="00F21985" w:rsidRPr="0083113B">
        <w:t xml:space="preserve">demand </w:t>
      </w:r>
      <w:r w:rsidRPr="0083113B">
        <w:t>across</w:t>
      </w:r>
      <w:r w:rsidR="00F21985" w:rsidRPr="0083113B">
        <w:t xml:space="preserve"> the LAC, the pandemic </w:t>
      </w:r>
      <w:r w:rsidRPr="0083113B">
        <w:t>is expected to continue to</w:t>
      </w:r>
      <w:r w:rsidR="00F21985" w:rsidRPr="0083113B">
        <w:t xml:space="preserve"> lead to a variety of </w:t>
      </w:r>
      <w:r w:rsidRPr="0083113B">
        <w:t>economic disruptions and shock</w:t>
      </w:r>
      <w:r w:rsidR="00A55FC7" w:rsidRPr="0083113B">
        <w:t>s</w:t>
      </w:r>
      <w:r w:rsidR="00F21985" w:rsidRPr="0083113B">
        <w:t xml:space="preserve"> due to high levels of variation </w:t>
      </w:r>
      <w:r w:rsidRPr="0083113B">
        <w:t>related to</w:t>
      </w:r>
      <w:r w:rsidR="00F21985" w:rsidRPr="0083113B">
        <w:t xml:space="preserve"> purchasing power. </w:t>
      </w:r>
      <w:r w:rsidR="00E140F9" w:rsidRPr="0083113B">
        <w:t xml:space="preserve">FAO and </w:t>
      </w:r>
      <w:r w:rsidR="00F21985" w:rsidRPr="0083113B">
        <w:t>ECLAC</w:t>
      </w:r>
      <w:r w:rsidR="00A83369" w:rsidRPr="0083113B">
        <w:t xml:space="preserve"> (2020)</w:t>
      </w:r>
      <w:r w:rsidR="00F21985" w:rsidRPr="0083113B">
        <w:t xml:space="preserve"> </w:t>
      </w:r>
      <w:r w:rsidRPr="0083113B">
        <w:t xml:space="preserve">reported a </w:t>
      </w:r>
      <w:r w:rsidR="00F21985" w:rsidRPr="0083113B">
        <w:t xml:space="preserve">contraction </w:t>
      </w:r>
      <w:r w:rsidRPr="0083113B">
        <w:t>of</w:t>
      </w:r>
      <w:r w:rsidR="00F21985" w:rsidRPr="0083113B">
        <w:t xml:space="preserve"> the Caribbean economy</w:t>
      </w:r>
      <w:r w:rsidRPr="0083113B">
        <w:t xml:space="preserve"> </w:t>
      </w:r>
      <w:proofErr w:type="gramStart"/>
      <w:r w:rsidRPr="0083113B">
        <w:t>in excess of</w:t>
      </w:r>
      <w:proofErr w:type="gramEnd"/>
      <w:r w:rsidRPr="0083113B">
        <w:t xml:space="preserve"> </w:t>
      </w:r>
      <w:r w:rsidR="00616758" w:rsidRPr="0083113B">
        <w:t xml:space="preserve">2% </w:t>
      </w:r>
      <w:r w:rsidR="00F21985" w:rsidRPr="0083113B">
        <w:t xml:space="preserve">for 2020, </w:t>
      </w:r>
      <w:r w:rsidRPr="0083113B">
        <w:t>which</w:t>
      </w:r>
      <w:r w:rsidR="00F21985" w:rsidRPr="0083113B">
        <w:t xml:space="preserve"> </w:t>
      </w:r>
      <w:r w:rsidR="00A55FC7" w:rsidRPr="0083113B">
        <w:t>coincid</w:t>
      </w:r>
      <w:r w:rsidR="004C3B75" w:rsidRPr="0083113B">
        <w:t>e</w:t>
      </w:r>
      <w:r w:rsidR="00A83369" w:rsidRPr="0083113B">
        <w:t>d</w:t>
      </w:r>
      <w:r w:rsidRPr="0083113B">
        <w:t xml:space="preserve"> with</w:t>
      </w:r>
      <w:r w:rsidR="00A83369" w:rsidRPr="0083113B">
        <w:t xml:space="preserve"> an</w:t>
      </w:r>
      <w:r w:rsidR="00F21985" w:rsidRPr="0083113B">
        <w:t xml:space="preserve"> increas</w:t>
      </w:r>
      <w:r w:rsidR="00A83369" w:rsidRPr="0083113B">
        <w:t>e in</w:t>
      </w:r>
      <w:r w:rsidR="00F21985" w:rsidRPr="0083113B">
        <w:t xml:space="preserve"> unemployment levels. These shifts </w:t>
      </w:r>
      <w:r w:rsidRPr="0083113B">
        <w:t>are reducing resilience and</w:t>
      </w:r>
      <w:r w:rsidR="00F21985" w:rsidRPr="0083113B">
        <w:t xml:space="preserve"> increas</w:t>
      </w:r>
      <w:r w:rsidRPr="0083113B">
        <w:t>ing</w:t>
      </w:r>
      <w:r w:rsidR="00F21985" w:rsidRPr="0083113B">
        <w:t xml:space="preserve"> the vulnerability of members of the population who require steady daily income to procure </w:t>
      </w:r>
      <w:proofErr w:type="gramStart"/>
      <w:r w:rsidR="00F21985" w:rsidRPr="0083113B">
        <w:t xml:space="preserve">basic </w:t>
      </w:r>
      <w:r w:rsidR="00631CE7" w:rsidRPr="0083113B">
        <w:t>necessities</w:t>
      </w:r>
      <w:proofErr w:type="gramEnd"/>
      <w:r w:rsidR="00F21985" w:rsidRPr="0083113B">
        <w:t xml:space="preserve"> </w:t>
      </w:r>
      <w:r w:rsidR="00774F4F" w:rsidRPr="0083113B">
        <w:t xml:space="preserve">for </w:t>
      </w:r>
      <w:r w:rsidR="00631CE7" w:rsidRPr="0083113B">
        <w:t xml:space="preserve">their </w:t>
      </w:r>
      <w:r w:rsidR="00774F4F" w:rsidRPr="0083113B">
        <w:t>household</w:t>
      </w:r>
      <w:r w:rsidR="00631CE7" w:rsidRPr="0083113B">
        <w:t xml:space="preserve"> and family’s </w:t>
      </w:r>
      <w:r w:rsidR="00774F4F" w:rsidRPr="0083113B">
        <w:t>wellbeing</w:t>
      </w:r>
      <w:r w:rsidR="00F21985" w:rsidRPr="0083113B">
        <w:t>. Furthermore, a reduction in formal employment is likely to increase</w:t>
      </w:r>
      <w:r w:rsidR="00521A7E" w:rsidRPr="0083113B">
        <w:t xml:space="preserve"> jobs being tak</w:t>
      </w:r>
      <w:r w:rsidR="004C3B75" w:rsidRPr="0083113B">
        <w:t>en</w:t>
      </w:r>
      <w:r w:rsidR="00521A7E" w:rsidRPr="0083113B">
        <w:t xml:space="preserve"> in the</w:t>
      </w:r>
      <w:r w:rsidR="00F21985" w:rsidRPr="0083113B">
        <w:t xml:space="preserve"> informal </w:t>
      </w:r>
      <w:r w:rsidR="00521A7E" w:rsidRPr="0083113B">
        <w:t>sector</w:t>
      </w:r>
      <w:r w:rsidR="00F21985" w:rsidRPr="0083113B">
        <w:t xml:space="preserve">, </w:t>
      </w:r>
      <w:r w:rsidR="00774F4F" w:rsidRPr="0083113B">
        <w:t>which</w:t>
      </w:r>
      <w:r w:rsidR="00F21985" w:rsidRPr="0083113B">
        <w:t xml:space="preserve"> </w:t>
      </w:r>
      <w:r w:rsidR="00521A7E" w:rsidRPr="0083113B">
        <w:t>are</w:t>
      </w:r>
      <w:r w:rsidR="00774F4F" w:rsidRPr="0083113B">
        <w:t xml:space="preserve"> far</w:t>
      </w:r>
      <w:r w:rsidR="00F21985" w:rsidRPr="0083113B">
        <w:t xml:space="preserve"> more volatile</w:t>
      </w:r>
      <w:r w:rsidR="00774F4F" w:rsidRPr="0083113B">
        <w:t xml:space="preserve">, </w:t>
      </w:r>
      <w:r w:rsidR="00951EA5" w:rsidRPr="0083113B">
        <w:t>precarious</w:t>
      </w:r>
      <w:r w:rsidR="00774F4F" w:rsidRPr="0083113B">
        <w:t>, and inconsistent</w:t>
      </w:r>
      <w:r w:rsidR="00A83369" w:rsidRPr="0083113B">
        <w:t xml:space="preserve"> (Mendes 2019)</w:t>
      </w:r>
      <w:r w:rsidR="00774F4F" w:rsidRPr="0083113B">
        <w:t>,</w:t>
      </w:r>
      <w:r w:rsidR="00521A7E" w:rsidRPr="0083113B">
        <w:t xml:space="preserve"> </w:t>
      </w:r>
      <w:r w:rsidR="00774F4F" w:rsidRPr="0083113B">
        <w:t>meaning that</w:t>
      </w:r>
      <w:r w:rsidR="00F21985" w:rsidRPr="0083113B">
        <w:t xml:space="preserve"> poverty levels</w:t>
      </w:r>
      <w:r w:rsidR="00774F4F" w:rsidRPr="0083113B">
        <w:t xml:space="preserve"> are expected to</w:t>
      </w:r>
      <w:r w:rsidR="005F0E98" w:rsidRPr="0083113B">
        <w:t xml:space="preserve"> steadily</w:t>
      </w:r>
      <w:r w:rsidR="00774F4F" w:rsidRPr="0083113B">
        <w:t xml:space="preserve"> </w:t>
      </w:r>
      <w:r w:rsidR="005F0E98" w:rsidRPr="0083113B">
        <w:t>rise until and</w:t>
      </w:r>
      <w:r w:rsidR="00774F4F" w:rsidRPr="0083113B">
        <w:t xml:space="preserve"> </w:t>
      </w:r>
      <w:r w:rsidR="005F0E98" w:rsidRPr="0083113B">
        <w:t>even</w:t>
      </w:r>
      <w:r w:rsidR="00774F4F" w:rsidRPr="0083113B">
        <w:t xml:space="preserve"> after everyone is vaccinated</w:t>
      </w:r>
      <w:r w:rsidR="00F21985" w:rsidRPr="0083113B">
        <w:t>.</w:t>
      </w:r>
      <w:r w:rsidRPr="0083113B">
        <w:t xml:space="preserve"> More specifically, </w:t>
      </w:r>
      <w:r w:rsidR="00E140F9" w:rsidRPr="0083113B">
        <w:t xml:space="preserve">FAO and </w:t>
      </w:r>
      <w:r w:rsidR="00F21985" w:rsidRPr="0083113B">
        <w:t>ECLAC</w:t>
      </w:r>
      <w:r w:rsidR="009D6A97" w:rsidRPr="0083113B">
        <w:t xml:space="preserve"> (2020)</w:t>
      </w:r>
      <w:r w:rsidR="00F21985" w:rsidRPr="0083113B">
        <w:t xml:space="preserve"> estimates</w:t>
      </w:r>
      <w:r w:rsidR="00631CE7" w:rsidRPr="0083113B">
        <w:t xml:space="preserve"> that</w:t>
      </w:r>
      <w:r w:rsidR="00F21985" w:rsidRPr="0083113B">
        <w:t xml:space="preserve"> </w:t>
      </w:r>
      <w:r w:rsidRPr="0083113B">
        <w:t>for</w:t>
      </w:r>
      <w:r w:rsidR="00F21985" w:rsidRPr="0083113B">
        <w:t xml:space="preserve"> 2020 the number of </w:t>
      </w:r>
      <w:r w:rsidR="00951EA5" w:rsidRPr="0083113B">
        <w:t>people living in poverty</w:t>
      </w:r>
      <w:r w:rsidR="00F21985" w:rsidRPr="0083113B">
        <w:t xml:space="preserve"> </w:t>
      </w:r>
      <w:r w:rsidR="00951EA5" w:rsidRPr="0083113B">
        <w:t>across</w:t>
      </w:r>
      <w:r w:rsidR="00F21985" w:rsidRPr="0083113B">
        <w:t xml:space="preserve"> the </w:t>
      </w:r>
      <w:r w:rsidR="005F0E98" w:rsidRPr="0083113B">
        <w:t>LAC</w:t>
      </w:r>
      <w:r w:rsidR="00F21985" w:rsidRPr="0083113B">
        <w:t xml:space="preserve"> r</w:t>
      </w:r>
      <w:r w:rsidRPr="0083113B">
        <w:t>ose</w:t>
      </w:r>
      <w:r w:rsidR="00F21985" w:rsidRPr="0083113B">
        <w:t xml:space="preserve"> to</w:t>
      </w:r>
      <w:r w:rsidRPr="0083113B">
        <w:t xml:space="preserve"> approximately</w:t>
      </w:r>
      <w:r w:rsidR="00F21985" w:rsidRPr="0083113B">
        <w:t xml:space="preserve"> 21</w:t>
      </w:r>
      <w:r w:rsidRPr="0083113B">
        <w:t>5</w:t>
      </w:r>
      <w:r w:rsidR="00F21985" w:rsidRPr="0083113B">
        <w:t xml:space="preserve"> million, while th</w:t>
      </w:r>
      <w:r w:rsidR="00951EA5" w:rsidRPr="0083113B">
        <w:t xml:space="preserve">ose experiencing </w:t>
      </w:r>
      <w:r w:rsidR="00F21985" w:rsidRPr="0083113B">
        <w:t>extreme poverty</w:t>
      </w:r>
      <w:r w:rsidR="00EE75AD" w:rsidRPr="0083113B">
        <w:t xml:space="preserve"> (living on less than $1.90USD per day)</w:t>
      </w:r>
      <w:r w:rsidR="00F21985" w:rsidRPr="0083113B">
        <w:t xml:space="preserve"> </w:t>
      </w:r>
      <w:r w:rsidRPr="0083113B">
        <w:t>is estimated to have</w:t>
      </w:r>
      <w:r w:rsidR="00F21985" w:rsidRPr="0083113B">
        <w:t xml:space="preserve"> increase</w:t>
      </w:r>
      <w:r w:rsidRPr="0083113B">
        <w:t>d</w:t>
      </w:r>
      <w:r w:rsidR="00F21985" w:rsidRPr="0083113B">
        <w:t xml:space="preserve"> to </w:t>
      </w:r>
      <w:r w:rsidRPr="0083113B">
        <w:t xml:space="preserve">nearly </w:t>
      </w:r>
      <w:r w:rsidR="00F21985" w:rsidRPr="0083113B">
        <w:t>8</w:t>
      </w:r>
      <w:r w:rsidRPr="0083113B">
        <w:t>5</w:t>
      </w:r>
      <w:r w:rsidR="00F21985" w:rsidRPr="0083113B">
        <w:t xml:space="preserve"> million. </w:t>
      </w:r>
    </w:p>
    <w:p w14:paraId="39C3A230" w14:textId="77777777" w:rsidR="00BD05D6" w:rsidRDefault="00BD05D6" w:rsidP="0049456A">
      <w:pPr>
        <w:jc w:val="both"/>
        <w:textAlignment w:val="baseline"/>
      </w:pPr>
    </w:p>
    <w:p w14:paraId="625C2440" w14:textId="4DAF7AD4" w:rsidR="00376653" w:rsidRDefault="00875EE8" w:rsidP="0049456A">
      <w:pPr>
        <w:jc w:val="both"/>
        <w:textAlignment w:val="baseline"/>
      </w:pPr>
      <w:r w:rsidRPr="0083113B">
        <w:t>As was reported by</w:t>
      </w:r>
      <w:r w:rsidR="00B67281" w:rsidRPr="0083113B">
        <w:t xml:space="preserve"> the farmers, fisherfolk, and </w:t>
      </w:r>
      <w:proofErr w:type="spellStart"/>
      <w:r w:rsidR="00B67281" w:rsidRPr="0083113B">
        <w:t>agro</w:t>
      </w:r>
      <w:proofErr w:type="spellEnd"/>
      <w:r w:rsidR="00B67281" w:rsidRPr="0083113B">
        <w:t>-processors in our research, t</w:t>
      </w:r>
      <w:r w:rsidR="00F21985" w:rsidRPr="0083113B">
        <w:t xml:space="preserve">he pandemic </w:t>
      </w:r>
      <w:r w:rsidR="00432CF3" w:rsidRPr="0083113B">
        <w:t>ushered in significant</w:t>
      </w:r>
      <w:r w:rsidR="00F21985" w:rsidRPr="0083113B">
        <w:t xml:space="preserve"> </w:t>
      </w:r>
      <w:r w:rsidR="00432CF3" w:rsidRPr="0083113B">
        <w:t>disruptions to</w:t>
      </w:r>
      <w:r w:rsidR="00F21985" w:rsidRPr="0083113B">
        <w:t xml:space="preserve"> regional supply chains</w:t>
      </w:r>
      <w:r w:rsidR="00837888" w:rsidRPr="0083113B">
        <w:t xml:space="preserve"> across the Caribbean</w:t>
      </w:r>
      <w:r w:rsidR="00F21985" w:rsidRPr="0083113B">
        <w:t xml:space="preserve"> due to the implementation of </w:t>
      </w:r>
      <w:r w:rsidR="00432CF3" w:rsidRPr="0083113B">
        <w:t xml:space="preserve">lockdown, </w:t>
      </w:r>
      <w:r w:rsidR="00F21985" w:rsidRPr="0083113B">
        <w:t>social isolation</w:t>
      </w:r>
      <w:r w:rsidR="00432CF3" w:rsidRPr="0083113B">
        <w:t>, shelter-in-place, physical distancing,</w:t>
      </w:r>
      <w:r w:rsidR="00F21985" w:rsidRPr="0083113B">
        <w:t xml:space="preserve"> </w:t>
      </w:r>
      <w:r w:rsidR="00432CF3" w:rsidRPr="0083113B">
        <w:t xml:space="preserve">curfew, </w:t>
      </w:r>
      <w:r w:rsidR="00F21985" w:rsidRPr="0083113B">
        <w:t>and mobility restriction measures</w:t>
      </w:r>
      <w:r w:rsidR="00432CF3" w:rsidRPr="0083113B">
        <w:t xml:space="preserve">. </w:t>
      </w:r>
      <w:r w:rsidR="00B67281" w:rsidRPr="0083113B">
        <w:t>Across the world, w</w:t>
      </w:r>
      <w:r w:rsidR="00432CF3" w:rsidRPr="0083113B">
        <w:t>hilst necessary to prevent spikes in infection rates</w:t>
      </w:r>
      <w:r w:rsidR="002F0E80" w:rsidRPr="0083113B">
        <w:t xml:space="preserve"> and community spread</w:t>
      </w:r>
      <w:r w:rsidR="00432CF3" w:rsidRPr="0083113B">
        <w:t xml:space="preserve">, </w:t>
      </w:r>
      <w:r w:rsidR="00837888" w:rsidRPr="0083113B">
        <w:t>many of these measures impeded livelihood strategies, caused food prices to fluctuate</w:t>
      </w:r>
      <w:r w:rsidR="00B67281" w:rsidRPr="0083113B">
        <w:t xml:space="preserve"> (</w:t>
      </w:r>
      <w:proofErr w:type="spellStart"/>
      <w:r w:rsidR="00B67281" w:rsidRPr="0083113B">
        <w:rPr>
          <w:rFonts w:eastAsia="Calibri"/>
          <w:color w:val="000000" w:themeColor="text1"/>
          <w:lang w:val="en-US"/>
        </w:rPr>
        <w:t>Blazy</w:t>
      </w:r>
      <w:proofErr w:type="spellEnd"/>
      <w:r w:rsidR="00B67281" w:rsidRPr="0083113B">
        <w:rPr>
          <w:rFonts w:eastAsia="Calibri"/>
          <w:color w:val="000000" w:themeColor="text1"/>
          <w:lang w:val="en-US"/>
        </w:rPr>
        <w:t xml:space="preserve">, </w:t>
      </w:r>
      <w:proofErr w:type="spellStart"/>
      <w:r w:rsidR="00B67281" w:rsidRPr="0083113B">
        <w:rPr>
          <w:rFonts w:eastAsia="Calibri"/>
          <w:color w:val="000000" w:themeColor="text1"/>
          <w:lang w:val="en-US"/>
        </w:rPr>
        <w:t>Causeret</w:t>
      </w:r>
      <w:proofErr w:type="spellEnd"/>
      <w:r w:rsidR="00B67281" w:rsidRPr="0083113B">
        <w:rPr>
          <w:rFonts w:eastAsia="Calibri"/>
          <w:color w:val="000000" w:themeColor="text1"/>
          <w:lang w:val="en-US"/>
        </w:rPr>
        <w:t xml:space="preserve">, and </w:t>
      </w:r>
      <w:proofErr w:type="spellStart"/>
      <w:r w:rsidR="00B67281" w:rsidRPr="0083113B">
        <w:rPr>
          <w:rFonts w:eastAsia="Calibri"/>
          <w:color w:val="000000" w:themeColor="text1"/>
          <w:lang w:val="en-US"/>
        </w:rPr>
        <w:t>Guyader</w:t>
      </w:r>
      <w:proofErr w:type="spellEnd"/>
      <w:r w:rsidR="00B67281" w:rsidRPr="0083113B">
        <w:rPr>
          <w:rFonts w:eastAsia="Calibri"/>
          <w:color w:val="000000" w:themeColor="text1"/>
          <w:lang w:val="en-US"/>
        </w:rPr>
        <w:t xml:space="preserve"> 2021</w:t>
      </w:r>
      <w:r w:rsidR="00B67281" w:rsidRPr="0083113B">
        <w:t>)</w:t>
      </w:r>
      <w:r w:rsidR="00837888" w:rsidRPr="0083113B">
        <w:t>, and were associated with escalations in gender-based violence</w:t>
      </w:r>
      <w:r w:rsidR="00B67281" w:rsidRPr="0083113B">
        <w:t xml:space="preserve"> (Mittal and Singh, 2020)</w:t>
      </w:r>
      <w:r w:rsidR="00837888" w:rsidRPr="0083113B">
        <w:t xml:space="preserve">. </w:t>
      </w:r>
      <w:r w:rsidR="002F0E80" w:rsidRPr="0083113B">
        <w:t>Several of the lockdowns</w:t>
      </w:r>
      <w:r w:rsidR="00837888" w:rsidRPr="0083113B">
        <w:t xml:space="preserve"> were also not without </w:t>
      </w:r>
      <w:r w:rsidR="00EE75AD" w:rsidRPr="0083113B">
        <w:t>controversy</w:t>
      </w:r>
      <w:r w:rsidR="00837888" w:rsidRPr="0083113B">
        <w:t xml:space="preserve"> and contestation </w:t>
      </w:r>
      <w:r w:rsidR="002F0E80" w:rsidRPr="0083113B">
        <w:t>given</w:t>
      </w:r>
      <w:r w:rsidR="00837888" w:rsidRPr="0083113B">
        <w:t xml:space="preserve"> some</w:t>
      </w:r>
      <w:r w:rsidR="002F0E80" w:rsidRPr="0083113B">
        <w:t xml:space="preserve"> </w:t>
      </w:r>
      <w:r w:rsidR="00631CE7" w:rsidRPr="0083113B">
        <w:t xml:space="preserve">political activists </w:t>
      </w:r>
      <w:r w:rsidR="002F0E80" w:rsidRPr="0083113B">
        <w:t>have argued they</w:t>
      </w:r>
      <w:r w:rsidR="00837888" w:rsidRPr="0083113B">
        <w:t xml:space="preserve"> were arbitrarily passed and</w:t>
      </w:r>
      <w:r w:rsidR="002F0E80" w:rsidRPr="0083113B">
        <w:t>/or</w:t>
      </w:r>
      <w:r w:rsidR="00837888" w:rsidRPr="0083113B">
        <w:t xml:space="preserve"> enforced inconsistently (e.g.</w:t>
      </w:r>
      <w:r w:rsidR="00BD05D6">
        <w:t>,</w:t>
      </w:r>
      <w:r w:rsidR="00837888" w:rsidRPr="0083113B">
        <w:t xml:space="preserve"> instances in which </w:t>
      </w:r>
      <w:r w:rsidR="002F0E80" w:rsidRPr="0083113B">
        <w:t>states</w:t>
      </w:r>
      <w:r w:rsidR="00837888" w:rsidRPr="0083113B">
        <w:t xml:space="preserve"> used the pandemic as a pretext to </w:t>
      </w:r>
      <w:r w:rsidR="002F0E80" w:rsidRPr="0083113B">
        <w:t>repress</w:t>
      </w:r>
      <w:r w:rsidR="00837888" w:rsidRPr="0083113B">
        <w:t xml:space="preserve"> </w:t>
      </w:r>
      <w:r w:rsidR="00631CE7" w:rsidRPr="0083113B">
        <w:t>demonstrators</w:t>
      </w:r>
      <w:r w:rsidR="00837888" w:rsidRPr="0083113B">
        <w:t xml:space="preserve">) </w:t>
      </w:r>
      <w:r w:rsidR="009D6A97" w:rsidRPr="0083113B">
        <w:t>(</w:t>
      </w:r>
      <w:r w:rsidR="00823E05" w:rsidRPr="0083113B">
        <w:t>Reyes and Gahman 2021</w:t>
      </w:r>
      <w:r w:rsidR="009D6A97" w:rsidRPr="0083113B">
        <w:t>)</w:t>
      </w:r>
      <w:r w:rsidR="00F21985" w:rsidRPr="0083113B">
        <w:t>.</w:t>
      </w:r>
      <w:r w:rsidR="00837888" w:rsidRPr="0083113B">
        <w:t xml:space="preserve"> </w:t>
      </w:r>
      <w:r w:rsidR="00B67281" w:rsidRPr="0083113B">
        <w:t>Well over a</w:t>
      </w:r>
      <w:r w:rsidR="00837888" w:rsidRPr="0083113B">
        <w:t xml:space="preserve"> year into the </w:t>
      </w:r>
      <w:r w:rsidR="00C014FC" w:rsidRPr="0083113B">
        <w:t>outbreak</w:t>
      </w:r>
      <w:r w:rsidR="00837888" w:rsidRPr="0083113B">
        <w:t xml:space="preserve">, the pandemic and ways in which countries </w:t>
      </w:r>
      <w:r w:rsidR="002F0E80" w:rsidRPr="0083113B">
        <w:t xml:space="preserve">have </w:t>
      </w:r>
      <w:r w:rsidR="00837888" w:rsidRPr="0083113B">
        <w:t xml:space="preserve">responded to </w:t>
      </w:r>
      <w:r w:rsidR="00C014FC" w:rsidRPr="0083113B">
        <w:t>COVID-19</w:t>
      </w:r>
      <w:r w:rsidR="002F0E80" w:rsidRPr="0083113B">
        <w:t xml:space="preserve"> has led to increasing </w:t>
      </w:r>
      <w:r w:rsidR="00837888" w:rsidRPr="0083113B">
        <w:t>food price</w:t>
      </w:r>
      <w:r w:rsidR="00F21985" w:rsidRPr="0083113B">
        <w:t xml:space="preserve"> volatility in </w:t>
      </w:r>
      <w:r w:rsidR="00032102" w:rsidRPr="0083113B">
        <w:t xml:space="preserve">both </w:t>
      </w:r>
      <w:r w:rsidR="00F21985" w:rsidRPr="0083113B">
        <w:t>the medium- and long-term, particularly for perishable products</w:t>
      </w:r>
      <w:r w:rsidR="00B67281" w:rsidRPr="0083113B">
        <w:t xml:space="preserve"> (</w:t>
      </w:r>
      <w:r w:rsidR="00B67281" w:rsidRPr="0083113B">
        <w:rPr>
          <w:color w:val="000000" w:themeColor="text1"/>
          <w:lang w:val="en-US"/>
        </w:rPr>
        <w:t xml:space="preserve">Díaz-Bonilla, </w:t>
      </w:r>
      <w:proofErr w:type="spellStart"/>
      <w:r w:rsidR="00B67281" w:rsidRPr="0083113B">
        <w:rPr>
          <w:color w:val="000000" w:themeColor="text1"/>
          <w:lang w:val="en-US"/>
        </w:rPr>
        <w:t>Piñeiro</w:t>
      </w:r>
      <w:proofErr w:type="spellEnd"/>
      <w:r w:rsidR="00B67281" w:rsidRPr="0083113B">
        <w:rPr>
          <w:color w:val="000000" w:themeColor="text1"/>
          <w:lang w:val="en-US"/>
        </w:rPr>
        <w:t>, and Laborde 2021</w:t>
      </w:r>
      <w:r w:rsidR="00B67281" w:rsidRPr="0083113B">
        <w:t>)</w:t>
      </w:r>
      <w:r w:rsidR="00F21985" w:rsidRPr="0083113B">
        <w:t>. It is</w:t>
      </w:r>
      <w:r w:rsidR="00C014FC" w:rsidRPr="0083113B">
        <w:t xml:space="preserve"> also</w:t>
      </w:r>
      <w:r w:rsidR="00F21985" w:rsidRPr="0083113B">
        <w:t xml:space="preserve"> important to note that these impacts are taking place against the backdrop of a</w:t>
      </w:r>
      <w:r w:rsidR="00C014FC" w:rsidRPr="0083113B">
        <w:t>n existential</w:t>
      </w:r>
      <w:r w:rsidR="00F21985" w:rsidRPr="0083113B">
        <w:t xml:space="preserve"> climate emergency</w:t>
      </w:r>
      <w:r w:rsidR="009A08EA" w:rsidRPr="0083113B">
        <w:t xml:space="preserve"> in the region</w:t>
      </w:r>
      <w:r w:rsidR="002F0E80" w:rsidRPr="0083113B">
        <w:t xml:space="preserve"> (</w:t>
      </w:r>
      <w:r w:rsidR="009A08EA" w:rsidRPr="0083113B">
        <w:rPr>
          <w:rFonts w:eastAsia="Calibri"/>
          <w:color w:val="000000" w:themeColor="text1"/>
          <w:lang w:val="en-US"/>
        </w:rPr>
        <w:t>Barclay</w:t>
      </w:r>
      <w:r w:rsidR="009A08EA" w:rsidRPr="0083113B">
        <w:t xml:space="preserve"> 2019; </w:t>
      </w:r>
      <w:r w:rsidR="002F0E80" w:rsidRPr="0083113B">
        <w:t>Sealey-Huggins 2017)</w:t>
      </w:r>
      <w:r w:rsidR="00032102" w:rsidRPr="0083113B">
        <w:t xml:space="preserve">. </w:t>
      </w:r>
    </w:p>
    <w:p w14:paraId="6ABCFCAC" w14:textId="77777777" w:rsidR="00BD05D6" w:rsidRPr="0083113B" w:rsidRDefault="00BD05D6" w:rsidP="0083113B">
      <w:pPr>
        <w:jc w:val="both"/>
        <w:textAlignment w:val="baseline"/>
      </w:pPr>
    </w:p>
    <w:p w14:paraId="78A2704A" w14:textId="26E4FE39" w:rsidR="00F21985" w:rsidRPr="0083113B" w:rsidRDefault="00C014FC" w:rsidP="0083113B">
      <w:pPr>
        <w:jc w:val="both"/>
        <w:textAlignment w:val="baseline"/>
      </w:pPr>
      <w:r w:rsidRPr="0083113B">
        <w:t xml:space="preserve">Indeed, </w:t>
      </w:r>
      <w:r w:rsidR="00F21985" w:rsidRPr="0083113B">
        <w:t xml:space="preserve">Caribbean countries </w:t>
      </w:r>
      <w:r w:rsidR="00032102" w:rsidRPr="0083113B">
        <w:t>were</w:t>
      </w:r>
      <w:r w:rsidR="00F21985" w:rsidRPr="0083113B">
        <w:t xml:space="preserve"> already dealing with</w:t>
      </w:r>
      <w:r w:rsidRPr="0083113B">
        <w:t xml:space="preserve"> multiple</w:t>
      </w:r>
      <w:r w:rsidR="00F21985" w:rsidRPr="0083113B">
        <w:t xml:space="preserve"> </w:t>
      </w:r>
      <w:r w:rsidR="00032102" w:rsidRPr="0083113B">
        <w:t>crises</w:t>
      </w:r>
      <w:r w:rsidR="002F0E80" w:rsidRPr="0083113B">
        <w:t xml:space="preserve"> and disasters</w:t>
      </w:r>
      <w:r w:rsidR="00032102" w:rsidRPr="0083113B">
        <w:t xml:space="preserve"> related to climate</w:t>
      </w:r>
      <w:r w:rsidR="002F0E80" w:rsidRPr="0083113B">
        <w:t>, not to mention odious debt (</w:t>
      </w:r>
      <w:r w:rsidR="00762C96" w:rsidRPr="0083113B">
        <w:rPr>
          <w:rFonts w:eastAsia="Calibri"/>
        </w:rPr>
        <w:t>Sheller 2018</w:t>
      </w:r>
      <w:r w:rsidR="002F0E80" w:rsidRPr="0083113B">
        <w:t>)</w:t>
      </w:r>
      <w:r w:rsidR="00032102" w:rsidRPr="0083113B">
        <w:t xml:space="preserve">, meaning the pandemic </w:t>
      </w:r>
      <w:r w:rsidR="002F0E80" w:rsidRPr="0083113B">
        <w:t xml:space="preserve">has </w:t>
      </w:r>
      <w:r w:rsidR="00F21985" w:rsidRPr="0083113B">
        <w:t>place</w:t>
      </w:r>
      <w:r w:rsidR="00032102" w:rsidRPr="0083113B">
        <w:t>d</w:t>
      </w:r>
      <w:r w:rsidR="00F21985" w:rsidRPr="0083113B">
        <w:t xml:space="preserve"> a</w:t>
      </w:r>
      <w:r w:rsidR="002F0E80" w:rsidRPr="0083113B">
        <w:t>n even</w:t>
      </w:r>
      <w:r w:rsidR="00032102" w:rsidRPr="0083113B">
        <w:t xml:space="preserve"> heavier</w:t>
      </w:r>
      <w:r w:rsidR="00F21985" w:rsidRPr="0083113B">
        <w:t xml:space="preserve"> </w:t>
      </w:r>
      <w:r w:rsidR="00032102" w:rsidRPr="0083113B">
        <w:t>economic and ecological</w:t>
      </w:r>
      <w:r w:rsidR="00F21985" w:rsidRPr="0083113B">
        <w:t xml:space="preserve"> </w:t>
      </w:r>
      <w:r w:rsidR="00032102" w:rsidRPr="0083113B">
        <w:t>burden</w:t>
      </w:r>
      <w:r w:rsidR="00F21985" w:rsidRPr="0083113B">
        <w:t xml:space="preserve"> on </w:t>
      </w:r>
      <w:r w:rsidR="00032102" w:rsidRPr="0083113B">
        <w:t>societies across the region</w:t>
      </w:r>
      <w:r w:rsidR="007F3F9D" w:rsidRPr="0083113B">
        <w:t xml:space="preserve"> (</w:t>
      </w:r>
      <w:proofErr w:type="spellStart"/>
      <w:r w:rsidR="007F3F9D" w:rsidRPr="0083113B">
        <w:t>Rhiney</w:t>
      </w:r>
      <w:proofErr w:type="spellEnd"/>
      <w:r w:rsidR="007F3F9D" w:rsidRPr="0083113B">
        <w:t xml:space="preserve"> 2020)</w:t>
      </w:r>
      <w:r w:rsidR="00F21985" w:rsidRPr="0083113B">
        <w:t xml:space="preserve">. Moreover, considering that climate-related </w:t>
      </w:r>
      <w:r w:rsidR="002E6DD8" w:rsidRPr="0083113B">
        <w:t>dilemmas</w:t>
      </w:r>
      <w:r w:rsidR="00F21985" w:rsidRPr="0083113B">
        <w:t xml:space="preserve"> can be a key contributor to the creation of </w:t>
      </w:r>
      <w:r w:rsidR="00032102" w:rsidRPr="0083113B">
        <w:t xml:space="preserve">food </w:t>
      </w:r>
      <w:r w:rsidR="00F21985" w:rsidRPr="0083113B">
        <w:t>supply</w:t>
      </w:r>
      <w:r w:rsidR="002E6DD8" w:rsidRPr="0083113B">
        <w:t>/</w:t>
      </w:r>
      <w:r w:rsidR="00F21985" w:rsidRPr="0083113B">
        <w:t xml:space="preserve">demand shocks, </w:t>
      </w:r>
      <w:r w:rsidR="00032102" w:rsidRPr="0083113B">
        <w:t>one</w:t>
      </w:r>
      <w:r w:rsidR="00F21985" w:rsidRPr="0083113B">
        <w:t xml:space="preserve"> must be mindful that </w:t>
      </w:r>
      <w:r w:rsidRPr="0083113B">
        <w:t>there remains a high</w:t>
      </w:r>
      <w:r w:rsidR="00F21985" w:rsidRPr="0083113B">
        <w:t xml:space="preserve"> probability </w:t>
      </w:r>
      <w:r w:rsidR="002E6DD8" w:rsidRPr="0083113B">
        <w:t>for</w:t>
      </w:r>
      <w:r w:rsidRPr="0083113B">
        <w:t xml:space="preserve"> future </w:t>
      </w:r>
      <w:r w:rsidR="00486161" w:rsidRPr="0083113B">
        <w:t>intensifications</w:t>
      </w:r>
      <w:r w:rsidRPr="0083113B">
        <w:t xml:space="preserve"> </w:t>
      </w:r>
      <w:r w:rsidR="002F0E80" w:rsidRPr="0083113B">
        <w:t>of</w:t>
      </w:r>
      <w:r w:rsidRPr="0083113B">
        <w:t xml:space="preserve"> </w:t>
      </w:r>
      <w:r w:rsidR="00032102" w:rsidRPr="0083113B">
        <w:t>food insecurity and erratic market fluctuation</w:t>
      </w:r>
      <w:r w:rsidR="00044BCF" w:rsidRPr="0083113B">
        <w:t xml:space="preserve"> (Smith and </w:t>
      </w:r>
      <w:proofErr w:type="spellStart"/>
      <w:r w:rsidR="00044BCF" w:rsidRPr="0083113B">
        <w:t>Rhiney</w:t>
      </w:r>
      <w:proofErr w:type="spellEnd"/>
      <w:r w:rsidR="00044BCF" w:rsidRPr="0083113B">
        <w:t xml:space="preserve"> 2016)</w:t>
      </w:r>
      <w:r w:rsidR="00F21985" w:rsidRPr="0083113B">
        <w:t xml:space="preserve">. </w:t>
      </w:r>
      <w:r w:rsidRPr="0083113B">
        <w:t>N</w:t>
      </w:r>
      <w:r w:rsidR="00032102" w:rsidRPr="0083113B">
        <w:t xml:space="preserve">egative outcomes and financial struggle for </w:t>
      </w:r>
      <w:r w:rsidR="00486161" w:rsidRPr="0083113B">
        <w:t>families</w:t>
      </w:r>
      <w:r w:rsidR="00032102" w:rsidRPr="0083113B">
        <w:t xml:space="preserve"> and communities across the Caribbean</w:t>
      </w:r>
      <w:r w:rsidR="00F21985" w:rsidRPr="0083113B">
        <w:t xml:space="preserve"> </w:t>
      </w:r>
      <w:r w:rsidR="00032102" w:rsidRPr="0083113B">
        <w:t>are also</w:t>
      </w:r>
      <w:r w:rsidR="002E6DD8" w:rsidRPr="0083113B">
        <w:t xml:space="preserve"> being</w:t>
      </w:r>
      <w:r w:rsidRPr="0083113B">
        <w:t xml:space="preserve"> experienced differentially, </w:t>
      </w:r>
      <w:r w:rsidR="00F21985" w:rsidRPr="0083113B">
        <w:t xml:space="preserve">due to </w:t>
      </w:r>
      <w:r w:rsidRPr="0083113B">
        <w:t>the region’s</w:t>
      </w:r>
      <w:r w:rsidR="00032102" w:rsidRPr="0083113B">
        <w:t xml:space="preserve"> disparate levels of</w:t>
      </w:r>
      <w:r w:rsidR="00F21985" w:rsidRPr="0083113B">
        <w:t xml:space="preserve"> income</w:t>
      </w:r>
      <w:r w:rsidR="00032102" w:rsidRPr="0083113B">
        <w:t xml:space="preserve"> and persistent</w:t>
      </w:r>
      <w:r w:rsidR="00F21985" w:rsidRPr="0083113B">
        <w:t xml:space="preserve"> inequality</w:t>
      </w:r>
      <w:r w:rsidR="006D3E62" w:rsidRPr="0083113B">
        <w:t>.</w:t>
      </w:r>
      <w:r w:rsidR="00F21985" w:rsidRPr="0083113B">
        <w:t xml:space="preserve"> </w:t>
      </w:r>
      <w:r w:rsidR="006D3E62" w:rsidRPr="0083113B">
        <w:t>The FAO</w:t>
      </w:r>
      <w:r w:rsidR="009D6A97" w:rsidRPr="0083113B">
        <w:t xml:space="preserve"> and CELAC</w:t>
      </w:r>
      <w:r w:rsidR="006D3E62" w:rsidRPr="0083113B">
        <w:t xml:space="preserve"> (2020) </w:t>
      </w:r>
      <w:r w:rsidR="00C06F55" w:rsidRPr="0083113B">
        <w:t>have</w:t>
      </w:r>
      <w:r w:rsidR="006D3E62" w:rsidRPr="0083113B">
        <w:t xml:space="preserve"> underscored how these disparities are related to </w:t>
      </w:r>
      <w:r w:rsidR="00F21985" w:rsidRPr="0083113B">
        <w:t>energy markets</w:t>
      </w:r>
      <w:r w:rsidR="00032102" w:rsidRPr="0083113B">
        <w:t>, debt-servicing, and the</w:t>
      </w:r>
      <w:r w:rsidR="006D3E62" w:rsidRPr="0083113B">
        <w:t xml:space="preserve"> global</w:t>
      </w:r>
      <w:r w:rsidR="00032102" w:rsidRPr="0083113B">
        <w:t xml:space="preserve"> food system</w:t>
      </w:r>
      <w:r w:rsidR="00912E41" w:rsidRPr="0083113B">
        <w:t>, with others suggesting that the deprivation inherent in colonial-capitalist economies are a factor as well (</w:t>
      </w:r>
      <w:r w:rsidR="00823E05" w:rsidRPr="0083113B">
        <w:t>Gahman, Thongs, and Greenidge 2021</w:t>
      </w:r>
      <w:r w:rsidR="00912E41" w:rsidRPr="0083113B">
        <w:t>)</w:t>
      </w:r>
      <w:r w:rsidR="00F21985" w:rsidRPr="0083113B">
        <w:t>.</w:t>
      </w:r>
      <w:r w:rsidR="00792E2F" w:rsidRPr="0083113B">
        <w:t xml:space="preserve"> It </w:t>
      </w:r>
      <w:r w:rsidR="005F296C" w:rsidRPr="0083113B">
        <w:t>was</w:t>
      </w:r>
      <w:r w:rsidR="00792E2F" w:rsidRPr="0083113B">
        <w:t xml:space="preserve"> within </w:t>
      </w:r>
      <w:r w:rsidR="005F296C" w:rsidRPr="0083113B">
        <w:t>this</w:t>
      </w:r>
      <w:r w:rsidR="00792E2F" w:rsidRPr="0083113B">
        <w:t xml:space="preserve"> </w:t>
      </w:r>
      <w:r w:rsidR="006D3E62" w:rsidRPr="0083113B">
        <w:t>geopolitical</w:t>
      </w:r>
      <w:r w:rsidR="00792E2F" w:rsidRPr="0083113B">
        <w:t xml:space="preserve"> context that our </w:t>
      </w:r>
      <w:r w:rsidR="00616758" w:rsidRPr="0083113B">
        <w:t>project</w:t>
      </w:r>
      <w:r w:rsidR="005F296C" w:rsidRPr="0083113B">
        <w:t xml:space="preserve"> </w:t>
      </w:r>
      <w:r w:rsidR="006D3E62" w:rsidRPr="0083113B">
        <w:t xml:space="preserve">on the realities of daily life, food (in)security, and adapting to COVID-19 </w:t>
      </w:r>
      <w:r w:rsidR="005F296C" w:rsidRPr="0083113B">
        <w:t>with local</w:t>
      </w:r>
      <w:r w:rsidR="006D3E62" w:rsidRPr="0083113B">
        <w:t xml:space="preserve"> farmers</w:t>
      </w:r>
      <w:r w:rsidR="005F296C" w:rsidRPr="0083113B">
        <w:t xml:space="preserve"> and </w:t>
      </w:r>
      <w:r w:rsidR="00486161" w:rsidRPr="0083113B">
        <w:t xml:space="preserve">rural </w:t>
      </w:r>
      <w:r w:rsidR="005F296C" w:rsidRPr="0083113B">
        <w:t>work</w:t>
      </w:r>
      <w:r w:rsidR="006D3E62" w:rsidRPr="0083113B">
        <w:t>ers from Grenada</w:t>
      </w:r>
      <w:r w:rsidR="005F296C" w:rsidRPr="0083113B">
        <w:t xml:space="preserve"> </w:t>
      </w:r>
      <w:r w:rsidR="004C5C02" w:rsidRPr="0083113B">
        <w:t>unfolded</w:t>
      </w:r>
      <w:r w:rsidR="006D3E62" w:rsidRPr="0083113B">
        <w:t>.</w:t>
      </w:r>
    </w:p>
    <w:p w14:paraId="0F76F97D" w14:textId="77777777" w:rsidR="00BD05D6" w:rsidRDefault="00BD05D6" w:rsidP="0049456A">
      <w:pPr>
        <w:pStyle w:val="Heading1"/>
        <w:spacing w:before="0" w:after="0" w:line="240" w:lineRule="auto"/>
        <w:jc w:val="center"/>
        <w:rPr>
          <w:rFonts w:ascii="Times New Roman" w:hAnsi="Times New Roman"/>
        </w:rPr>
      </w:pPr>
    </w:p>
    <w:p w14:paraId="5A6556D2" w14:textId="6F364160" w:rsidR="009006A3" w:rsidRPr="0083113B" w:rsidRDefault="00317397" w:rsidP="0083113B">
      <w:pPr>
        <w:pStyle w:val="Heading1"/>
        <w:spacing w:before="0" w:after="0" w:line="240" w:lineRule="auto"/>
        <w:jc w:val="center"/>
        <w:rPr>
          <w:rFonts w:ascii="Times New Roman" w:hAnsi="Times New Roman"/>
        </w:rPr>
      </w:pPr>
      <w:r w:rsidRPr="0083113B">
        <w:rPr>
          <w:rFonts w:ascii="Times New Roman" w:hAnsi="Times New Roman"/>
        </w:rPr>
        <w:t xml:space="preserve">Research Design and </w:t>
      </w:r>
      <w:r w:rsidR="009006A3" w:rsidRPr="0083113B">
        <w:rPr>
          <w:rFonts w:ascii="Times New Roman" w:hAnsi="Times New Roman"/>
        </w:rPr>
        <w:t>Methodology</w:t>
      </w:r>
    </w:p>
    <w:p w14:paraId="600CDA11" w14:textId="77777777" w:rsidR="00BD05D6" w:rsidRDefault="00BD05D6" w:rsidP="0049456A">
      <w:pPr>
        <w:jc w:val="both"/>
      </w:pPr>
    </w:p>
    <w:p w14:paraId="370C351F" w14:textId="6816B409" w:rsidR="00C35053" w:rsidRDefault="00D84AC8" w:rsidP="0049456A">
      <w:pPr>
        <w:jc w:val="both"/>
      </w:pPr>
      <w:r w:rsidRPr="0083113B">
        <w:t xml:space="preserve">Our research on the food security and food system effects </w:t>
      </w:r>
      <w:r w:rsidR="00FF39D4" w:rsidRPr="0083113B">
        <w:t xml:space="preserve">of </w:t>
      </w:r>
      <w:r w:rsidRPr="0083113B">
        <w:t>the pandemic in Grenada began in July 2020 and remains ongoing. The initial</w:t>
      </w:r>
      <w:r w:rsidR="00A94819" w:rsidRPr="0083113B">
        <w:t xml:space="preserve"> exploratory</w:t>
      </w:r>
      <w:r w:rsidRPr="0083113B">
        <w:t xml:space="preserve"> phase of</w:t>
      </w:r>
      <w:r w:rsidR="0028363B" w:rsidRPr="0083113B">
        <w:t xml:space="preserve"> our work</w:t>
      </w:r>
      <w:r w:rsidR="00A94819" w:rsidRPr="0083113B">
        <w:t>, which this article represents</w:t>
      </w:r>
      <w:r w:rsidR="0028363B" w:rsidRPr="0083113B">
        <w:t xml:space="preserve"> and is based upon a rapid response urgency project we designed as an intervention into the crisis Grenada was experiencing at the outset of the pandemic</w:t>
      </w:r>
      <w:r w:rsidR="00A94819" w:rsidRPr="0083113B">
        <w:t>,</w:t>
      </w:r>
      <w:r w:rsidRPr="0083113B">
        <w:t xml:space="preserve"> </w:t>
      </w:r>
      <w:r w:rsidR="00592A67" w:rsidRPr="0083113B">
        <w:t>employ</w:t>
      </w:r>
      <w:r w:rsidRPr="0083113B">
        <w:t>ed</w:t>
      </w:r>
      <w:r w:rsidR="00A94819" w:rsidRPr="0083113B">
        <w:t xml:space="preserve"> both</w:t>
      </w:r>
      <w:r w:rsidRPr="0083113B">
        <w:t xml:space="preserve"> </w:t>
      </w:r>
      <w:r w:rsidR="00592A67" w:rsidRPr="0083113B">
        <w:t>digital</w:t>
      </w:r>
      <w:r w:rsidR="00A94819" w:rsidRPr="0083113B">
        <w:t xml:space="preserve"> and </w:t>
      </w:r>
      <w:proofErr w:type="gramStart"/>
      <w:r w:rsidR="00A94819" w:rsidRPr="0083113B">
        <w:t>physically-distanced</w:t>
      </w:r>
      <w:proofErr w:type="gramEnd"/>
      <w:r w:rsidR="00A94819" w:rsidRPr="0083113B">
        <w:t xml:space="preserve"> </w:t>
      </w:r>
      <w:r w:rsidR="00592A67" w:rsidRPr="0083113B">
        <w:t>participatory action method</w:t>
      </w:r>
      <w:r w:rsidRPr="0083113B">
        <w:t xml:space="preserve">s that were tailored to </w:t>
      </w:r>
      <w:r w:rsidR="00A94819" w:rsidRPr="0083113B">
        <w:t>isolation</w:t>
      </w:r>
      <w:r w:rsidRPr="0083113B">
        <w:t xml:space="preserve"> measures and lockdown regulations</w:t>
      </w:r>
      <w:r w:rsidR="00592A67" w:rsidRPr="0083113B">
        <w:t>.</w:t>
      </w:r>
      <w:r w:rsidR="00290929" w:rsidRPr="0083113B">
        <w:t xml:space="preserve"> Given </w:t>
      </w:r>
      <w:r w:rsidR="00371EB7" w:rsidRPr="0083113B">
        <w:t xml:space="preserve">the </w:t>
      </w:r>
      <w:r w:rsidR="0028363B" w:rsidRPr="0083113B">
        <w:t>hardship and stress</w:t>
      </w:r>
      <w:r w:rsidR="00371EB7" w:rsidRPr="0083113B">
        <w:t xml:space="preserve"> </w:t>
      </w:r>
      <w:r w:rsidR="0028363B" w:rsidRPr="0083113B">
        <w:t>generated</w:t>
      </w:r>
      <w:r w:rsidR="00371EB7" w:rsidRPr="0083113B">
        <w:t xml:space="preserve"> by COVID-19</w:t>
      </w:r>
      <w:r w:rsidR="0028363B" w:rsidRPr="0083113B">
        <w:t xml:space="preserve"> for rural communities across the country</w:t>
      </w:r>
      <w:r w:rsidR="00371EB7" w:rsidRPr="0083113B">
        <w:t xml:space="preserve">, the </w:t>
      </w:r>
      <w:r w:rsidR="008867C8" w:rsidRPr="0083113B">
        <w:t>primary</w:t>
      </w:r>
      <w:r w:rsidR="00371EB7" w:rsidRPr="0083113B">
        <w:t xml:space="preserve"> aim of </w:t>
      </w:r>
      <w:r w:rsidR="008867C8" w:rsidRPr="0083113B">
        <w:t>this</w:t>
      </w:r>
      <w:r w:rsidR="00371EB7" w:rsidRPr="0083113B">
        <w:t xml:space="preserve"> research was to </w:t>
      </w:r>
      <w:r w:rsidR="00FF39D4" w:rsidRPr="0083113B">
        <w:t>explore</w:t>
      </w:r>
      <w:r w:rsidR="00371EB7" w:rsidRPr="0083113B">
        <w:t xml:space="preserve"> how rural workers</w:t>
      </w:r>
      <w:r w:rsidR="008867C8" w:rsidRPr="0083113B">
        <w:t xml:space="preserve"> in general</w:t>
      </w:r>
      <w:r w:rsidR="00371EB7" w:rsidRPr="0083113B">
        <w:t xml:space="preserve"> were coping with the pandemic and what solutions they felt were needed in the long- and short-term. In turn, </w:t>
      </w:r>
      <w:r w:rsidR="0028363B" w:rsidRPr="0083113B">
        <w:t>the</w:t>
      </w:r>
      <w:r w:rsidR="00A94819" w:rsidRPr="0083113B">
        <w:t xml:space="preserve"> </w:t>
      </w:r>
      <w:r w:rsidR="0028363B" w:rsidRPr="0083113B">
        <w:t>rapid response portion of our broader research agenda and the fieldwork we conducted for this pilot study</w:t>
      </w:r>
      <w:r w:rsidR="00A94819" w:rsidRPr="0083113B">
        <w:t xml:space="preserve"> </w:t>
      </w:r>
      <w:r w:rsidR="008E22A0" w:rsidRPr="0083113B">
        <w:t>prioritised</w:t>
      </w:r>
      <w:r w:rsidR="008867C8" w:rsidRPr="0083113B">
        <w:t xml:space="preserve"> offering support to and outreach with rural households, as well as </w:t>
      </w:r>
      <w:r w:rsidR="008E22A0" w:rsidRPr="0083113B">
        <w:t>designing a</w:t>
      </w:r>
      <w:r w:rsidR="0028363B" w:rsidRPr="0083113B">
        <w:t xml:space="preserve"> grounded</w:t>
      </w:r>
      <w:r w:rsidR="008E22A0" w:rsidRPr="0083113B">
        <w:t xml:space="preserve"> </w:t>
      </w:r>
      <w:r w:rsidR="0028363B" w:rsidRPr="0083113B">
        <w:t>project</w:t>
      </w:r>
      <w:r w:rsidR="008E22A0" w:rsidRPr="0083113B">
        <w:t xml:space="preserve"> that was deemed relevant and beneficial to the participants involved</w:t>
      </w:r>
      <w:r w:rsidR="008867C8" w:rsidRPr="0083113B">
        <w:t xml:space="preserve"> as a means of offering solidarity and putting research in the service of community members</w:t>
      </w:r>
      <w:r w:rsidR="008E22A0" w:rsidRPr="0083113B">
        <w:t xml:space="preserve">. </w:t>
      </w:r>
    </w:p>
    <w:p w14:paraId="4A05B2C2" w14:textId="77777777" w:rsidR="00BD05D6" w:rsidRPr="0083113B" w:rsidRDefault="00BD05D6" w:rsidP="0083113B">
      <w:pPr>
        <w:jc w:val="both"/>
      </w:pPr>
    </w:p>
    <w:p w14:paraId="6A5EC113" w14:textId="5C7DE5B0" w:rsidR="00C35053" w:rsidRPr="0083113B" w:rsidRDefault="00C35053" w:rsidP="0083113B">
      <w:pPr>
        <w:jc w:val="both"/>
      </w:pPr>
      <w:r w:rsidRPr="0083113B">
        <w:t xml:space="preserve">In total, 69 Grenadians, several of whom readers will hear from in this paper, were interviewed (via Zoom, WhatsApp, telephone conversations, etc.). </w:t>
      </w:r>
      <w:r w:rsidR="00EE5915" w:rsidRPr="0083113B">
        <w:t>Interviewees also completed a bespoke questionnaire related to livelihood strategies, food insecurity, and what life was like for them in the political-economic and socio-cultural context of both Grenada and the Caribbean during the pandemic. Our</w:t>
      </w:r>
      <w:r w:rsidRPr="0083113B">
        <w:t xml:space="preserve"> fieldwork was based and conducted in the rural parish of St. Andrew, and while the participants were predominantly from the area, their work and services extended to other parts of the island, which enabled recruitment to expand beyond the local parish. Participants were purposively selected </w:t>
      </w:r>
      <w:proofErr w:type="gramStart"/>
      <w:r w:rsidRPr="0083113B">
        <w:t>in an effort to</w:t>
      </w:r>
      <w:proofErr w:type="gramEnd"/>
      <w:r w:rsidRPr="0083113B">
        <w:t xml:space="preserve"> collect and generate data and insight from a wide cross-section of occupations. Convenience sampling and chain-referral recruitment were also utilised, meaning we gathered suggestions for additional potential participants when discussing the project with those who responded early. Chain and word-of-mouth recruitment proved beneficial given the complicated and fickle nature of conducting physically distanced fieldwork during the pandemic. The survey shared with participants consisted of sixteen questions that sought to capture basic demographic information, the ways in which participants were being impacted by the pandemic, their coping strategies and mechanisms, and suggestions they had on what should have been done differently, better, or beforehand to prevent the hardship that emerged amidst the outbreak and during lockdown. </w:t>
      </w:r>
    </w:p>
    <w:p w14:paraId="522A7F83" w14:textId="77777777" w:rsidR="00BD05D6" w:rsidRDefault="00BD05D6" w:rsidP="0049456A">
      <w:pPr>
        <w:jc w:val="both"/>
      </w:pPr>
    </w:p>
    <w:p w14:paraId="46F1CF44" w14:textId="57A78F1F" w:rsidR="00EE5915" w:rsidRPr="0083113B" w:rsidRDefault="00EE5915" w:rsidP="0083113B">
      <w:pPr>
        <w:jc w:val="both"/>
      </w:pPr>
      <w:r w:rsidRPr="0083113B">
        <w:t>Participants represented a wide array of stakeholders including farmers, fisherfolk, agricultur</w:t>
      </w:r>
      <w:r w:rsidR="00267BDF" w:rsidRPr="0083113B">
        <w:t>al</w:t>
      </w:r>
      <w:r w:rsidRPr="0083113B">
        <w:t xml:space="preserve"> extension officers, bus drivers, hotel staff, tourism workers, community shopkeepers, seamstresses, taxi drivers, and local vendors. </w:t>
      </w:r>
      <w:r w:rsidR="00267BDF" w:rsidRPr="0083113B">
        <w:t xml:space="preserve">Of the 69 participants, 47 were men and 22 were women. </w:t>
      </w:r>
      <w:r w:rsidR="00EE418D" w:rsidRPr="0083113B">
        <w:t>Most of the participants interviewed fell within the age range of 50-59 (31.9%; n = 22)</w:t>
      </w:r>
      <w:r w:rsidR="00711539" w:rsidRPr="0083113B">
        <w:t>, while</w:t>
      </w:r>
      <w:r w:rsidR="00EE418D" w:rsidRPr="0083113B">
        <w:t xml:space="preserve"> 23.2% (n = 16) were </w:t>
      </w:r>
      <w:r w:rsidR="00711539" w:rsidRPr="0083113B">
        <w:t>aged</w:t>
      </w:r>
      <w:r w:rsidR="00EE418D" w:rsidRPr="0083113B">
        <w:t xml:space="preserve"> 40-49</w:t>
      </w:r>
      <w:r w:rsidR="00711539" w:rsidRPr="0083113B">
        <w:t xml:space="preserve"> and </w:t>
      </w:r>
      <w:r w:rsidR="00EE418D" w:rsidRPr="0083113B">
        <w:t>21.7% (n = 15) were 30-39 years</w:t>
      </w:r>
      <w:r w:rsidR="00711539" w:rsidRPr="0083113B">
        <w:t xml:space="preserve"> old</w:t>
      </w:r>
      <w:r w:rsidR="00EE418D" w:rsidRPr="0083113B">
        <w:t>. Only 7.2%, (n = 5) of the participants were within the age range of 20-29 and 15.9% (n = 11) were above 60 years</w:t>
      </w:r>
      <w:r w:rsidR="00711539" w:rsidRPr="0083113B">
        <w:t xml:space="preserve"> old</w:t>
      </w:r>
      <w:r w:rsidR="00EE418D" w:rsidRPr="0083113B">
        <w:t>. Notably, the age range</w:t>
      </w:r>
      <w:r w:rsidR="00711539" w:rsidRPr="0083113B">
        <w:t>s of</w:t>
      </w:r>
      <w:r w:rsidR="00EE418D" w:rsidRPr="0083113B">
        <w:t xml:space="preserve"> 40-49 and 50-59 represented more than half of the participants (55.1%)</w:t>
      </w:r>
      <w:r w:rsidR="00711539" w:rsidRPr="0083113B">
        <w:t xml:space="preserve"> in this </w:t>
      </w:r>
      <w:r w:rsidRPr="0083113B">
        <w:t>project and</w:t>
      </w:r>
      <w:r w:rsidR="00EE418D" w:rsidRPr="0083113B">
        <w:t xml:space="preserve"> represent a </w:t>
      </w:r>
      <w:r w:rsidR="00711539" w:rsidRPr="0083113B">
        <w:t>demographic</w:t>
      </w:r>
      <w:r w:rsidR="00EE418D" w:rsidRPr="0083113B">
        <w:t xml:space="preserve"> with </w:t>
      </w:r>
      <w:r w:rsidR="00711539" w:rsidRPr="0083113B">
        <w:t xml:space="preserve">a </w:t>
      </w:r>
      <w:r w:rsidR="00EE418D" w:rsidRPr="0083113B">
        <w:t>considerabl</w:t>
      </w:r>
      <w:r w:rsidR="00711539" w:rsidRPr="0083113B">
        <w:t>e</w:t>
      </w:r>
      <w:r w:rsidR="00EE418D" w:rsidRPr="0083113B">
        <w:t xml:space="preserve"> </w:t>
      </w:r>
      <w:r w:rsidR="00711539" w:rsidRPr="0083113B">
        <w:t>amount of</w:t>
      </w:r>
      <w:r w:rsidR="00EE418D" w:rsidRPr="0083113B">
        <w:t xml:space="preserve"> </w:t>
      </w:r>
      <w:r w:rsidR="00711539" w:rsidRPr="0083113B">
        <w:t xml:space="preserve">socially reproductive, economic, and familial </w:t>
      </w:r>
      <w:r w:rsidR="00EE418D" w:rsidRPr="0083113B">
        <w:t>responsibilities.</w:t>
      </w:r>
      <w:r w:rsidR="00267BDF" w:rsidRPr="0083113B">
        <w:t xml:space="preserve"> </w:t>
      </w:r>
      <w:r w:rsidR="00EE418D" w:rsidRPr="0083113B">
        <w:t>Regarding levels of education, more than half the participants were at the secondary (29%, n = 22) and primary (26.1%, n = 18) level of education</w:t>
      </w:r>
      <w:r w:rsidR="00711539" w:rsidRPr="0083113B">
        <w:t xml:space="preserve"> combined, while</w:t>
      </w:r>
      <w:r w:rsidR="00EE418D" w:rsidRPr="0083113B">
        <w:t xml:space="preserve"> </w:t>
      </w:r>
      <w:r w:rsidR="00711539" w:rsidRPr="0083113B">
        <w:t>a</w:t>
      </w:r>
      <w:r w:rsidR="00EE418D" w:rsidRPr="0083113B">
        <w:t xml:space="preserve">nother 26.1% (n = 18) had college experience at the island’s post-secondary academic institution. Only 6.9% (n = 5) of the participants attained an undergraduate (4.3%, n =3) or a postgraduate (2.9%, n = 2) degree. </w:t>
      </w:r>
    </w:p>
    <w:p w14:paraId="6E075FB7" w14:textId="77777777" w:rsidR="00BD05D6" w:rsidRDefault="00BD05D6" w:rsidP="0049456A">
      <w:pPr>
        <w:jc w:val="both"/>
      </w:pPr>
    </w:p>
    <w:p w14:paraId="1687687D" w14:textId="436AA9F8" w:rsidR="00267BDF" w:rsidRPr="0083113B" w:rsidRDefault="002B2564" w:rsidP="0083113B">
      <w:pPr>
        <w:jc w:val="both"/>
      </w:pPr>
      <w:r w:rsidRPr="0083113B">
        <w:lastRenderedPageBreak/>
        <w:t>Most of the participants</w:t>
      </w:r>
      <w:r w:rsidR="00267BDF" w:rsidRPr="0083113B">
        <w:t xml:space="preserve"> (26 in total)</w:t>
      </w:r>
      <w:r w:rsidRPr="0083113B">
        <w:t xml:space="preserve"> obtained their income from operating community shops and small businesses within rural communities</w:t>
      </w:r>
      <w:r w:rsidR="00267BDF" w:rsidRPr="0083113B">
        <w:t>, including</w:t>
      </w:r>
      <w:r w:rsidR="00267BDF" w:rsidRPr="007A2047">
        <w:t xml:space="preserve"> retail shops, community bakeries, hair salons, and construction works</w:t>
      </w:r>
      <w:r w:rsidR="00267BDF" w:rsidRPr="0049456A">
        <w:t>.</w:t>
      </w:r>
      <w:r w:rsidRPr="0083113B">
        <w:t xml:space="preserve"> Other sources of income include</w:t>
      </w:r>
      <w:r w:rsidR="00711539" w:rsidRPr="0083113B">
        <w:t>d</w:t>
      </w:r>
      <w:r w:rsidRPr="0083113B">
        <w:t xml:space="preserve"> farming (livestock and vegetables), tourism (hotel workers, taxi operators), bus drivers, </w:t>
      </w:r>
      <w:r w:rsidR="00711539" w:rsidRPr="0083113B">
        <w:t xml:space="preserve">and </w:t>
      </w:r>
      <w:r w:rsidRPr="0083113B">
        <w:t>vending</w:t>
      </w:r>
      <w:r w:rsidR="00711539" w:rsidRPr="0083113B">
        <w:t xml:space="preserve">, </w:t>
      </w:r>
      <w:r w:rsidRPr="0083113B">
        <w:t xml:space="preserve">which </w:t>
      </w:r>
      <w:r w:rsidR="00711539" w:rsidRPr="0083113B">
        <w:t>involved</w:t>
      </w:r>
      <w:r w:rsidRPr="0083113B">
        <w:t xml:space="preserve"> selling agricultural produce at </w:t>
      </w:r>
      <w:r w:rsidR="00711539" w:rsidRPr="0083113B">
        <w:t>either</w:t>
      </w:r>
      <w:r w:rsidRPr="0083113B">
        <w:t xml:space="preserve"> local markets or on the street. Some obtained income from operating as seamstresses and tailors, while a small number </w:t>
      </w:r>
      <w:r w:rsidR="00711539" w:rsidRPr="0083113B">
        <w:t xml:space="preserve">of participants earned money </w:t>
      </w:r>
      <w:r w:rsidRPr="0083113B">
        <w:t xml:space="preserve">by working within the public sector as officials with the Ministry of Agriculture. </w:t>
      </w:r>
      <w:r w:rsidR="00EE418D" w:rsidRPr="0083113B">
        <w:t>Notably, lower education levels corresponded with</w:t>
      </w:r>
      <w:r w:rsidR="00711539" w:rsidRPr="0083113B">
        <w:t xml:space="preserve"> higher</w:t>
      </w:r>
      <w:r w:rsidR="00EE418D" w:rsidRPr="0083113B">
        <w:t xml:space="preserve"> vulnerability to</w:t>
      </w:r>
      <w:r w:rsidR="006B2320" w:rsidRPr="0083113B">
        <w:t xml:space="preserve"> </w:t>
      </w:r>
      <w:r w:rsidR="00EE418D" w:rsidRPr="0083113B">
        <w:t xml:space="preserve">economic shock </w:t>
      </w:r>
      <w:r w:rsidR="006B2320" w:rsidRPr="0083113B">
        <w:t xml:space="preserve">exacerbated </w:t>
      </w:r>
      <w:r w:rsidR="00EE418D" w:rsidRPr="0083113B">
        <w:t xml:space="preserve">by </w:t>
      </w:r>
      <w:r w:rsidR="006B2320" w:rsidRPr="0083113B">
        <w:t xml:space="preserve">the </w:t>
      </w:r>
      <w:r w:rsidR="00EE418D" w:rsidRPr="0083113B">
        <w:t>pandemic as these respondents were typically making minimum wage</w:t>
      </w:r>
      <w:r w:rsidR="00711539" w:rsidRPr="0083113B">
        <w:t xml:space="preserve"> or lower</w:t>
      </w:r>
      <w:r w:rsidR="00EE418D" w:rsidRPr="0083113B">
        <w:t>.</w:t>
      </w:r>
      <w:r w:rsidR="00EE5915" w:rsidRPr="0083113B">
        <w:t xml:space="preserve"> </w:t>
      </w:r>
    </w:p>
    <w:p w14:paraId="2B9A830D" w14:textId="77777777" w:rsidR="00BD05D6" w:rsidRDefault="00BD05D6" w:rsidP="007A2047">
      <w:pPr>
        <w:rPr>
          <w:b/>
          <w:bCs/>
        </w:rPr>
      </w:pPr>
    </w:p>
    <w:p w14:paraId="303C12E8" w14:textId="2BEFDA68" w:rsidR="00267BDF" w:rsidRPr="0083113B" w:rsidRDefault="00267BDF" w:rsidP="007A2047">
      <w:pPr>
        <w:rPr>
          <w:b/>
          <w:bCs/>
        </w:rPr>
      </w:pPr>
      <w:r w:rsidRPr="0083113B">
        <w:rPr>
          <w:b/>
          <w:bCs/>
        </w:rPr>
        <w:t>Table 1: Demographic details of the 69 participants.</w:t>
      </w:r>
    </w:p>
    <w:p w14:paraId="4E5C8D3A" w14:textId="77777777" w:rsidR="002B7AD0" w:rsidRPr="0083113B" w:rsidRDefault="002B7AD0">
      <w:pPr>
        <w:rPr>
          <w:b/>
          <w:bCs/>
        </w:rPr>
      </w:pPr>
    </w:p>
    <w:tbl>
      <w:tblPr>
        <w:tblStyle w:val="TableGrid"/>
        <w:tblW w:w="0" w:type="auto"/>
        <w:tblLook w:val="04A0" w:firstRow="1" w:lastRow="0" w:firstColumn="1" w:lastColumn="0" w:noHBand="0" w:noVBand="1"/>
      </w:tblPr>
      <w:tblGrid>
        <w:gridCol w:w="1403"/>
        <w:gridCol w:w="1243"/>
        <w:gridCol w:w="1550"/>
        <w:gridCol w:w="835"/>
        <w:gridCol w:w="759"/>
        <w:gridCol w:w="1790"/>
        <w:gridCol w:w="1436"/>
      </w:tblGrid>
      <w:tr w:rsidR="00366439" w:rsidRPr="0049456A" w14:paraId="45AC9ECC" w14:textId="77777777" w:rsidTr="00D52C18">
        <w:trPr>
          <w:trHeight w:val="460"/>
        </w:trPr>
        <w:tc>
          <w:tcPr>
            <w:tcW w:w="1403" w:type="dxa"/>
            <w:vMerge w:val="restart"/>
            <w:vAlign w:val="center"/>
          </w:tcPr>
          <w:p w14:paraId="3DBC6228" w14:textId="77777777" w:rsidR="005252E6" w:rsidRPr="0083113B" w:rsidRDefault="005252E6">
            <w:pPr>
              <w:jc w:val="center"/>
              <w:rPr>
                <w:b/>
                <w:bCs/>
              </w:rPr>
            </w:pPr>
            <w:r w:rsidRPr="0083113B">
              <w:rPr>
                <w:b/>
                <w:bCs/>
              </w:rPr>
              <w:t>Age</w:t>
            </w:r>
          </w:p>
        </w:tc>
        <w:tc>
          <w:tcPr>
            <w:tcW w:w="1263" w:type="dxa"/>
            <w:vAlign w:val="center"/>
          </w:tcPr>
          <w:p w14:paraId="7F0E5C30" w14:textId="6A9ACA35" w:rsidR="005252E6" w:rsidRPr="0083113B" w:rsidRDefault="005252E6">
            <w:pPr>
              <w:jc w:val="center"/>
              <w:rPr>
                <w:b/>
                <w:bCs/>
              </w:rPr>
            </w:pPr>
            <w:r w:rsidRPr="0083113B">
              <w:rPr>
                <w:b/>
                <w:bCs/>
              </w:rPr>
              <w:t>20-29</w:t>
            </w:r>
          </w:p>
        </w:tc>
        <w:tc>
          <w:tcPr>
            <w:tcW w:w="1550" w:type="dxa"/>
            <w:vAlign w:val="center"/>
          </w:tcPr>
          <w:p w14:paraId="64F39E76" w14:textId="4F4C476E" w:rsidR="005252E6" w:rsidRPr="0083113B" w:rsidRDefault="005252E6">
            <w:pPr>
              <w:jc w:val="center"/>
              <w:rPr>
                <w:b/>
                <w:bCs/>
              </w:rPr>
            </w:pPr>
            <w:r w:rsidRPr="0083113B">
              <w:rPr>
                <w:b/>
                <w:bCs/>
              </w:rPr>
              <w:t>30-39</w:t>
            </w:r>
          </w:p>
        </w:tc>
        <w:tc>
          <w:tcPr>
            <w:tcW w:w="1719" w:type="dxa"/>
            <w:gridSpan w:val="2"/>
            <w:vAlign w:val="center"/>
          </w:tcPr>
          <w:p w14:paraId="71130CF9" w14:textId="3C5D25F8" w:rsidR="005252E6" w:rsidRPr="0083113B" w:rsidRDefault="005252E6">
            <w:pPr>
              <w:jc w:val="center"/>
              <w:rPr>
                <w:b/>
                <w:bCs/>
              </w:rPr>
            </w:pPr>
            <w:r w:rsidRPr="0083113B">
              <w:rPr>
                <w:b/>
                <w:bCs/>
              </w:rPr>
              <w:t>40-49</w:t>
            </w:r>
          </w:p>
        </w:tc>
        <w:tc>
          <w:tcPr>
            <w:tcW w:w="1612" w:type="dxa"/>
            <w:vAlign w:val="center"/>
          </w:tcPr>
          <w:p w14:paraId="02E5B32F" w14:textId="5C868138" w:rsidR="005252E6" w:rsidRPr="0083113B" w:rsidRDefault="005252E6">
            <w:pPr>
              <w:jc w:val="center"/>
              <w:rPr>
                <w:b/>
                <w:bCs/>
              </w:rPr>
            </w:pPr>
            <w:r w:rsidRPr="0083113B">
              <w:rPr>
                <w:b/>
                <w:bCs/>
              </w:rPr>
              <w:t>50-59</w:t>
            </w:r>
          </w:p>
        </w:tc>
        <w:tc>
          <w:tcPr>
            <w:tcW w:w="1469" w:type="dxa"/>
            <w:vAlign w:val="center"/>
          </w:tcPr>
          <w:p w14:paraId="4117B5F7" w14:textId="2F18314A" w:rsidR="005252E6" w:rsidRPr="0083113B" w:rsidRDefault="005252E6">
            <w:pPr>
              <w:jc w:val="center"/>
              <w:rPr>
                <w:b/>
                <w:bCs/>
              </w:rPr>
            </w:pPr>
            <w:r w:rsidRPr="0083113B">
              <w:rPr>
                <w:b/>
                <w:bCs/>
              </w:rPr>
              <w:t>60-69</w:t>
            </w:r>
          </w:p>
        </w:tc>
      </w:tr>
      <w:tr w:rsidR="00366439" w:rsidRPr="0049456A" w14:paraId="02B253FB" w14:textId="77777777" w:rsidTr="00D52C18">
        <w:trPr>
          <w:trHeight w:val="460"/>
        </w:trPr>
        <w:tc>
          <w:tcPr>
            <w:tcW w:w="1403" w:type="dxa"/>
            <w:vMerge/>
            <w:vAlign w:val="center"/>
          </w:tcPr>
          <w:p w14:paraId="0A54CF54" w14:textId="77777777" w:rsidR="005252E6" w:rsidRPr="0083113B" w:rsidRDefault="005252E6">
            <w:pPr>
              <w:jc w:val="center"/>
            </w:pPr>
          </w:p>
        </w:tc>
        <w:tc>
          <w:tcPr>
            <w:tcW w:w="1263" w:type="dxa"/>
            <w:tcBorders>
              <w:bottom w:val="single" w:sz="4" w:space="0" w:color="auto"/>
            </w:tcBorders>
            <w:vAlign w:val="center"/>
          </w:tcPr>
          <w:p w14:paraId="72A28D79" w14:textId="20A3B362" w:rsidR="005252E6" w:rsidRPr="0083113B" w:rsidRDefault="005252E6">
            <w:pPr>
              <w:jc w:val="center"/>
            </w:pPr>
            <w:r w:rsidRPr="0083113B">
              <w:t>5</w:t>
            </w:r>
          </w:p>
        </w:tc>
        <w:tc>
          <w:tcPr>
            <w:tcW w:w="1550" w:type="dxa"/>
            <w:tcBorders>
              <w:bottom w:val="single" w:sz="4" w:space="0" w:color="auto"/>
            </w:tcBorders>
            <w:vAlign w:val="center"/>
          </w:tcPr>
          <w:p w14:paraId="611A517E" w14:textId="43257E15" w:rsidR="005252E6" w:rsidRPr="0083113B" w:rsidRDefault="005252E6">
            <w:pPr>
              <w:jc w:val="center"/>
            </w:pPr>
            <w:r w:rsidRPr="0083113B">
              <w:t>15</w:t>
            </w:r>
          </w:p>
        </w:tc>
        <w:tc>
          <w:tcPr>
            <w:tcW w:w="1719" w:type="dxa"/>
            <w:gridSpan w:val="2"/>
            <w:vAlign w:val="center"/>
          </w:tcPr>
          <w:p w14:paraId="49B53666" w14:textId="1062D069" w:rsidR="005252E6" w:rsidRPr="0083113B" w:rsidRDefault="005252E6">
            <w:pPr>
              <w:jc w:val="center"/>
            </w:pPr>
            <w:r w:rsidRPr="0083113B">
              <w:t>16</w:t>
            </w:r>
          </w:p>
        </w:tc>
        <w:tc>
          <w:tcPr>
            <w:tcW w:w="1612" w:type="dxa"/>
            <w:vAlign w:val="center"/>
          </w:tcPr>
          <w:p w14:paraId="47F4C8E9" w14:textId="39E20B62" w:rsidR="005252E6" w:rsidRPr="0083113B" w:rsidRDefault="005252E6">
            <w:pPr>
              <w:jc w:val="center"/>
            </w:pPr>
            <w:r w:rsidRPr="0083113B">
              <w:t>22</w:t>
            </w:r>
          </w:p>
        </w:tc>
        <w:tc>
          <w:tcPr>
            <w:tcW w:w="1469" w:type="dxa"/>
            <w:vAlign w:val="center"/>
          </w:tcPr>
          <w:p w14:paraId="14CC7507" w14:textId="2FDB9421" w:rsidR="005252E6" w:rsidRPr="0083113B" w:rsidRDefault="005252E6">
            <w:pPr>
              <w:jc w:val="center"/>
            </w:pPr>
            <w:r w:rsidRPr="0083113B">
              <w:t>11</w:t>
            </w:r>
          </w:p>
        </w:tc>
      </w:tr>
      <w:tr w:rsidR="004377E1" w:rsidRPr="0049456A" w14:paraId="759D4B37" w14:textId="77777777" w:rsidTr="004377E1">
        <w:trPr>
          <w:trHeight w:val="79"/>
        </w:trPr>
        <w:tc>
          <w:tcPr>
            <w:tcW w:w="9016" w:type="dxa"/>
            <w:gridSpan w:val="7"/>
            <w:shd w:val="clear" w:color="auto" w:fill="D9D9D9" w:themeFill="background1" w:themeFillShade="D9"/>
            <w:vAlign w:val="center"/>
          </w:tcPr>
          <w:p w14:paraId="7E3C97ED" w14:textId="77777777" w:rsidR="004377E1" w:rsidRPr="0083113B" w:rsidRDefault="004377E1" w:rsidP="007A2047">
            <w:pPr>
              <w:jc w:val="center"/>
            </w:pPr>
          </w:p>
        </w:tc>
      </w:tr>
      <w:tr w:rsidR="004377E1" w:rsidRPr="0049456A" w14:paraId="058039A6" w14:textId="77777777" w:rsidTr="00D52C18">
        <w:trPr>
          <w:trHeight w:val="431"/>
        </w:trPr>
        <w:tc>
          <w:tcPr>
            <w:tcW w:w="1403" w:type="dxa"/>
            <w:vMerge w:val="restart"/>
            <w:vAlign w:val="center"/>
          </w:tcPr>
          <w:p w14:paraId="0E4C6DC6" w14:textId="77777777" w:rsidR="005252E6" w:rsidRPr="0083113B" w:rsidRDefault="005252E6" w:rsidP="007A2047">
            <w:pPr>
              <w:jc w:val="center"/>
              <w:rPr>
                <w:b/>
                <w:bCs/>
              </w:rPr>
            </w:pPr>
            <w:r w:rsidRPr="0083113B">
              <w:rPr>
                <w:b/>
                <w:bCs/>
              </w:rPr>
              <w:t>Gender</w:t>
            </w:r>
          </w:p>
        </w:tc>
        <w:tc>
          <w:tcPr>
            <w:tcW w:w="3658" w:type="dxa"/>
            <w:gridSpan w:val="3"/>
            <w:vAlign w:val="center"/>
          </w:tcPr>
          <w:p w14:paraId="3BFEC300" w14:textId="421AB6B3" w:rsidR="005252E6" w:rsidRPr="0083113B" w:rsidRDefault="005252E6">
            <w:pPr>
              <w:jc w:val="center"/>
              <w:rPr>
                <w:b/>
                <w:bCs/>
              </w:rPr>
            </w:pPr>
            <w:r w:rsidRPr="0083113B">
              <w:rPr>
                <w:b/>
                <w:bCs/>
              </w:rPr>
              <w:t>Women</w:t>
            </w:r>
          </w:p>
        </w:tc>
        <w:tc>
          <w:tcPr>
            <w:tcW w:w="3955" w:type="dxa"/>
            <w:gridSpan w:val="3"/>
            <w:vAlign w:val="center"/>
          </w:tcPr>
          <w:p w14:paraId="1FAE8710" w14:textId="61A970A9" w:rsidR="005252E6" w:rsidRPr="0083113B" w:rsidRDefault="005252E6">
            <w:pPr>
              <w:jc w:val="center"/>
              <w:rPr>
                <w:b/>
                <w:bCs/>
              </w:rPr>
            </w:pPr>
            <w:r w:rsidRPr="0083113B">
              <w:rPr>
                <w:b/>
                <w:bCs/>
              </w:rPr>
              <w:t>Men</w:t>
            </w:r>
          </w:p>
        </w:tc>
      </w:tr>
      <w:tr w:rsidR="004377E1" w:rsidRPr="0049456A" w14:paraId="6819808F" w14:textId="77777777" w:rsidTr="00D52C18">
        <w:trPr>
          <w:trHeight w:val="460"/>
        </w:trPr>
        <w:tc>
          <w:tcPr>
            <w:tcW w:w="1403" w:type="dxa"/>
            <w:vMerge/>
            <w:vAlign w:val="center"/>
          </w:tcPr>
          <w:p w14:paraId="233037B3" w14:textId="77777777" w:rsidR="005252E6" w:rsidRPr="0083113B" w:rsidRDefault="005252E6">
            <w:pPr>
              <w:jc w:val="center"/>
            </w:pPr>
          </w:p>
        </w:tc>
        <w:tc>
          <w:tcPr>
            <w:tcW w:w="3658" w:type="dxa"/>
            <w:gridSpan w:val="3"/>
            <w:vAlign w:val="center"/>
          </w:tcPr>
          <w:p w14:paraId="1AFB0AD6" w14:textId="1986719A" w:rsidR="005252E6" w:rsidRPr="0083113B" w:rsidRDefault="005252E6">
            <w:pPr>
              <w:jc w:val="center"/>
            </w:pPr>
            <w:r w:rsidRPr="0083113B">
              <w:t>22</w:t>
            </w:r>
          </w:p>
        </w:tc>
        <w:tc>
          <w:tcPr>
            <w:tcW w:w="3955" w:type="dxa"/>
            <w:gridSpan w:val="3"/>
            <w:vAlign w:val="center"/>
          </w:tcPr>
          <w:p w14:paraId="2B5E9F7E" w14:textId="65175D12" w:rsidR="005252E6" w:rsidRPr="0083113B" w:rsidRDefault="005252E6">
            <w:pPr>
              <w:jc w:val="center"/>
            </w:pPr>
            <w:r w:rsidRPr="0083113B">
              <w:t>47</w:t>
            </w:r>
          </w:p>
        </w:tc>
      </w:tr>
      <w:tr w:rsidR="004377E1" w:rsidRPr="0049456A" w14:paraId="635BA58B" w14:textId="77777777" w:rsidTr="004377E1">
        <w:trPr>
          <w:trHeight w:val="79"/>
        </w:trPr>
        <w:tc>
          <w:tcPr>
            <w:tcW w:w="9016" w:type="dxa"/>
            <w:gridSpan w:val="7"/>
            <w:shd w:val="clear" w:color="auto" w:fill="D9D9D9" w:themeFill="background1" w:themeFillShade="D9"/>
            <w:vAlign w:val="center"/>
          </w:tcPr>
          <w:p w14:paraId="0A651823" w14:textId="77777777" w:rsidR="004377E1" w:rsidRPr="0083113B" w:rsidRDefault="004377E1" w:rsidP="007A2047">
            <w:pPr>
              <w:jc w:val="center"/>
            </w:pPr>
          </w:p>
        </w:tc>
      </w:tr>
      <w:tr w:rsidR="00366439" w:rsidRPr="0049456A" w14:paraId="55319349" w14:textId="77777777" w:rsidTr="00D52C18">
        <w:trPr>
          <w:trHeight w:val="460"/>
        </w:trPr>
        <w:tc>
          <w:tcPr>
            <w:tcW w:w="1403" w:type="dxa"/>
            <w:vMerge w:val="restart"/>
            <w:vAlign w:val="center"/>
          </w:tcPr>
          <w:p w14:paraId="3565DB58" w14:textId="77777777" w:rsidR="005252E6" w:rsidRPr="0083113B" w:rsidRDefault="005252E6" w:rsidP="007A2047">
            <w:pPr>
              <w:jc w:val="center"/>
              <w:rPr>
                <w:b/>
                <w:bCs/>
              </w:rPr>
            </w:pPr>
            <w:r w:rsidRPr="0083113B">
              <w:rPr>
                <w:b/>
                <w:bCs/>
              </w:rPr>
              <w:t>Education</w:t>
            </w:r>
          </w:p>
        </w:tc>
        <w:tc>
          <w:tcPr>
            <w:tcW w:w="1263" w:type="dxa"/>
            <w:vAlign w:val="center"/>
          </w:tcPr>
          <w:p w14:paraId="1F9CA04E" w14:textId="437E1693" w:rsidR="005252E6" w:rsidRPr="0083113B" w:rsidRDefault="005252E6">
            <w:pPr>
              <w:jc w:val="center"/>
              <w:rPr>
                <w:b/>
                <w:bCs/>
              </w:rPr>
            </w:pPr>
            <w:r w:rsidRPr="0083113B">
              <w:rPr>
                <w:b/>
                <w:bCs/>
              </w:rPr>
              <w:t>Primary</w:t>
            </w:r>
          </w:p>
        </w:tc>
        <w:tc>
          <w:tcPr>
            <w:tcW w:w="1550" w:type="dxa"/>
            <w:vAlign w:val="center"/>
          </w:tcPr>
          <w:p w14:paraId="56BE81F0" w14:textId="63AE7C56" w:rsidR="005252E6" w:rsidRPr="0083113B" w:rsidRDefault="005252E6">
            <w:pPr>
              <w:jc w:val="center"/>
              <w:rPr>
                <w:b/>
                <w:bCs/>
              </w:rPr>
            </w:pPr>
            <w:r w:rsidRPr="0083113B">
              <w:rPr>
                <w:b/>
                <w:bCs/>
              </w:rPr>
              <w:t>Secondary</w:t>
            </w:r>
          </w:p>
        </w:tc>
        <w:tc>
          <w:tcPr>
            <w:tcW w:w="1719" w:type="dxa"/>
            <w:gridSpan w:val="2"/>
            <w:vAlign w:val="center"/>
          </w:tcPr>
          <w:p w14:paraId="658BB777" w14:textId="1B7AD074" w:rsidR="005252E6" w:rsidRPr="0083113B" w:rsidRDefault="005252E6">
            <w:pPr>
              <w:jc w:val="center"/>
              <w:rPr>
                <w:b/>
                <w:bCs/>
              </w:rPr>
            </w:pPr>
            <w:r w:rsidRPr="0083113B">
              <w:rPr>
                <w:b/>
                <w:bCs/>
              </w:rPr>
              <w:t>College</w:t>
            </w:r>
          </w:p>
        </w:tc>
        <w:tc>
          <w:tcPr>
            <w:tcW w:w="1612" w:type="dxa"/>
            <w:vAlign w:val="center"/>
          </w:tcPr>
          <w:p w14:paraId="0026F3BE" w14:textId="77777777" w:rsidR="005252E6" w:rsidRPr="0083113B" w:rsidRDefault="005252E6">
            <w:pPr>
              <w:jc w:val="center"/>
              <w:rPr>
                <w:b/>
                <w:bCs/>
              </w:rPr>
            </w:pPr>
            <w:r w:rsidRPr="0083113B">
              <w:rPr>
                <w:b/>
                <w:bCs/>
              </w:rPr>
              <w:t>Undergraduate</w:t>
            </w:r>
          </w:p>
          <w:p w14:paraId="3C0A43EC" w14:textId="563A509D" w:rsidR="005252E6" w:rsidRPr="0083113B" w:rsidRDefault="005252E6">
            <w:pPr>
              <w:jc w:val="center"/>
              <w:rPr>
                <w:b/>
                <w:bCs/>
              </w:rPr>
            </w:pPr>
            <w:r w:rsidRPr="0083113B">
              <w:rPr>
                <w:b/>
                <w:bCs/>
              </w:rPr>
              <w:t>/ Postgraduate</w:t>
            </w:r>
          </w:p>
        </w:tc>
        <w:tc>
          <w:tcPr>
            <w:tcW w:w="1469" w:type="dxa"/>
            <w:vAlign w:val="center"/>
          </w:tcPr>
          <w:p w14:paraId="70DC7997" w14:textId="0ADAB341" w:rsidR="005252E6" w:rsidRPr="0083113B" w:rsidRDefault="005252E6">
            <w:pPr>
              <w:jc w:val="center"/>
              <w:rPr>
                <w:b/>
                <w:bCs/>
              </w:rPr>
            </w:pPr>
            <w:r w:rsidRPr="0083113B">
              <w:rPr>
                <w:b/>
                <w:bCs/>
              </w:rPr>
              <w:t>Skills Training</w:t>
            </w:r>
          </w:p>
        </w:tc>
      </w:tr>
      <w:tr w:rsidR="00366439" w:rsidRPr="0049456A" w14:paraId="33281817" w14:textId="77777777" w:rsidTr="00D52C18">
        <w:trPr>
          <w:trHeight w:val="460"/>
        </w:trPr>
        <w:tc>
          <w:tcPr>
            <w:tcW w:w="1403" w:type="dxa"/>
            <w:vMerge/>
            <w:vAlign w:val="center"/>
          </w:tcPr>
          <w:p w14:paraId="69EC340E" w14:textId="77777777" w:rsidR="004377E1" w:rsidRPr="0083113B" w:rsidRDefault="004377E1">
            <w:pPr>
              <w:jc w:val="center"/>
            </w:pPr>
          </w:p>
        </w:tc>
        <w:tc>
          <w:tcPr>
            <w:tcW w:w="1263" w:type="dxa"/>
            <w:vAlign w:val="center"/>
          </w:tcPr>
          <w:p w14:paraId="2595E371" w14:textId="7981C52F" w:rsidR="004377E1" w:rsidRPr="0083113B" w:rsidRDefault="004377E1">
            <w:pPr>
              <w:jc w:val="center"/>
            </w:pPr>
            <w:r w:rsidRPr="0083113B">
              <w:t>18</w:t>
            </w:r>
          </w:p>
        </w:tc>
        <w:tc>
          <w:tcPr>
            <w:tcW w:w="1550" w:type="dxa"/>
            <w:vAlign w:val="center"/>
          </w:tcPr>
          <w:p w14:paraId="02431E2D" w14:textId="027692D7" w:rsidR="004377E1" w:rsidRPr="0083113B" w:rsidRDefault="004377E1">
            <w:pPr>
              <w:jc w:val="center"/>
            </w:pPr>
            <w:r w:rsidRPr="0083113B">
              <w:t>20</w:t>
            </w:r>
          </w:p>
        </w:tc>
        <w:tc>
          <w:tcPr>
            <w:tcW w:w="1719" w:type="dxa"/>
            <w:gridSpan w:val="2"/>
            <w:vAlign w:val="center"/>
          </w:tcPr>
          <w:p w14:paraId="63E959B2" w14:textId="19EBF1D6" w:rsidR="004377E1" w:rsidRPr="0083113B" w:rsidRDefault="004377E1">
            <w:pPr>
              <w:jc w:val="center"/>
            </w:pPr>
            <w:r w:rsidRPr="0083113B">
              <w:t>18</w:t>
            </w:r>
          </w:p>
        </w:tc>
        <w:tc>
          <w:tcPr>
            <w:tcW w:w="1612" w:type="dxa"/>
            <w:vAlign w:val="center"/>
          </w:tcPr>
          <w:p w14:paraId="0A22E819" w14:textId="0BA96D46" w:rsidR="004377E1" w:rsidRPr="0083113B" w:rsidRDefault="004377E1">
            <w:pPr>
              <w:jc w:val="center"/>
            </w:pPr>
            <w:r w:rsidRPr="0083113B">
              <w:t>5</w:t>
            </w:r>
          </w:p>
        </w:tc>
        <w:tc>
          <w:tcPr>
            <w:tcW w:w="1469" w:type="dxa"/>
            <w:vAlign w:val="center"/>
          </w:tcPr>
          <w:p w14:paraId="782EB6CF" w14:textId="21EDAC67" w:rsidR="004377E1" w:rsidRPr="0083113B" w:rsidRDefault="004377E1">
            <w:pPr>
              <w:jc w:val="center"/>
            </w:pPr>
            <w:r w:rsidRPr="0083113B">
              <w:t>8</w:t>
            </w:r>
          </w:p>
        </w:tc>
      </w:tr>
      <w:tr w:rsidR="004377E1" w:rsidRPr="0049456A" w14:paraId="6D9F3C7C" w14:textId="77777777" w:rsidTr="004377E1">
        <w:trPr>
          <w:trHeight w:val="79"/>
        </w:trPr>
        <w:tc>
          <w:tcPr>
            <w:tcW w:w="9016" w:type="dxa"/>
            <w:gridSpan w:val="7"/>
            <w:shd w:val="clear" w:color="auto" w:fill="D9D9D9" w:themeFill="background1" w:themeFillShade="D9"/>
            <w:vAlign w:val="center"/>
          </w:tcPr>
          <w:p w14:paraId="7BF7D47A" w14:textId="77777777" w:rsidR="004377E1" w:rsidRPr="0083113B" w:rsidRDefault="004377E1" w:rsidP="007A2047">
            <w:pPr>
              <w:jc w:val="center"/>
            </w:pPr>
          </w:p>
        </w:tc>
      </w:tr>
      <w:tr w:rsidR="00366439" w:rsidRPr="0049456A" w14:paraId="5B68DE77" w14:textId="77777777" w:rsidTr="00D52C18">
        <w:trPr>
          <w:trHeight w:val="431"/>
        </w:trPr>
        <w:tc>
          <w:tcPr>
            <w:tcW w:w="1403" w:type="dxa"/>
            <w:vMerge w:val="restart"/>
            <w:vAlign w:val="center"/>
          </w:tcPr>
          <w:p w14:paraId="2430EB9F" w14:textId="327AD1DC" w:rsidR="004377E1" w:rsidRPr="0083113B" w:rsidRDefault="004377E1" w:rsidP="007A2047">
            <w:pPr>
              <w:jc w:val="center"/>
              <w:rPr>
                <w:b/>
                <w:bCs/>
              </w:rPr>
            </w:pPr>
            <w:r w:rsidRPr="0083113B">
              <w:rPr>
                <w:b/>
                <w:bCs/>
              </w:rPr>
              <w:t>Occupation</w:t>
            </w:r>
          </w:p>
        </w:tc>
        <w:tc>
          <w:tcPr>
            <w:tcW w:w="1263" w:type="dxa"/>
            <w:vAlign w:val="center"/>
          </w:tcPr>
          <w:p w14:paraId="69FA9BED" w14:textId="77777777" w:rsidR="004377E1" w:rsidRPr="0083113B" w:rsidRDefault="004377E1">
            <w:pPr>
              <w:jc w:val="center"/>
              <w:rPr>
                <w:b/>
                <w:bCs/>
              </w:rPr>
            </w:pPr>
            <w:r w:rsidRPr="0083113B">
              <w:rPr>
                <w:b/>
                <w:bCs/>
              </w:rPr>
              <w:t>Farmers</w:t>
            </w:r>
          </w:p>
          <w:p w14:paraId="03CBEE42" w14:textId="3D15C230" w:rsidR="004377E1" w:rsidRPr="0083113B" w:rsidRDefault="00D52C18">
            <w:pPr>
              <w:jc w:val="center"/>
              <w:rPr>
                <w:b/>
                <w:bCs/>
              </w:rPr>
            </w:pPr>
            <w:r w:rsidRPr="0083113B">
              <w:rPr>
                <w:b/>
                <w:bCs/>
              </w:rPr>
              <w:t>(</w:t>
            </w:r>
            <w:proofErr w:type="gramStart"/>
            <w:r w:rsidR="004377E1" w:rsidRPr="0083113B">
              <w:rPr>
                <w:b/>
                <w:bCs/>
              </w:rPr>
              <w:t>crops</w:t>
            </w:r>
            <w:proofErr w:type="gramEnd"/>
            <w:r w:rsidR="002B7AD0" w:rsidRPr="0083113B">
              <w:rPr>
                <w:b/>
                <w:bCs/>
              </w:rPr>
              <w:t>,</w:t>
            </w:r>
            <w:r w:rsidR="004377E1" w:rsidRPr="0083113B">
              <w:rPr>
                <w:b/>
                <w:bCs/>
              </w:rPr>
              <w:t xml:space="preserve"> livestock</w:t>
            </w:r>
            <w:r w:rsidRPr="0083113B">
              <w:rPr>
                <w:b/>
                <w:bCs/>
              </w:rPr>
              <w:t>)</w:t>
            </w:r>
          </w:p>
        </w:tc>
        <w:tc>
          <w:tcPr>
            <w:tcW w:w="1550" w:type="dxa"/>
            <w:vAlign w:val="center"/>
          </w:tcPr>
          <w:p w14:paraId="418015FF" w14:textId="4584520D" w:rsidR="004377E1" w:rsidRPr="0083113B" w:rsidRDefault="004377E1">
            <w:pPr>
              <w:jc w:val="center"/>
              <w:rPr>
                <w:b/>
                <w:bCs/>
              </w:rPr>
            </w:pPr>
            <w:r w:rsidRPr="0083113B">
              <w:rPr>
                <w:b/>
                <w:bCs/>
              </w:rPr>
              <w:t>Fisherfolk</w:t>
            </w:r>
          </w:p>
        </w:tc>
        <w:tc>
          <w:tcPr>
            <w:tcW w:w="1719" w:type="dxa"/>
            <w:gridSpan w:val="2"/>
            <w:vAlign w:val="center"/>
          </w:tcPr>
          <w:p w14:paraId="318E7F70" w14:textId="6CF96D39" w:rsidR="004377E1" w:rsidRPr="0083113B" w:rsidRDefault="004377E1">
            <w:pPr>
              <w:jc w:val="center"/>
              <w:rPr>
                <w:b/>
                <w:bCs/>
              </w:rPr>
            </w:pPr>
            <w:r w:rsidRPr="0083113B">
              <w:rPr>
                <w:b/>
                <w:bCs/>
              </w:rPr>
              <w:t>Vendors</w:t>
            </w:r>
          </w:p>
          <w:p w14:paraId="69D89E11" w14:textId="4A4577BD" w:rsidR="004377E1" w:rsidRPr="0083113B" w:rsidRDefault="004377E1">
            <w:pPr>
              <w:jc w:val="center"/>
              <w:rPr>
                <w:b/>
                <w:bCs/>
              </w:rPr>
            </w:pPr>
            <w:r w:rsidRPr="0083113B">
              <w:rPr>
                <w:b/>
                <w:bCs/>
              </w:rPr>
              <w:t>(produce)</w:t>
            </w:r>
          </w:p>
        </w:tc>
        <w:tc>
          <w:tcPr>
            <w:tcW w:w="1612" w:type="dxa"/>
            <w:vAlign w:val="center"/>
          </w:tcPr>
          <w:p w14:paraId="3634E87D" w14:textId="2C79878E" w:rsidR="004377E1" w:rsidRPr="0083113B" w:rsidRDefault="004377E1">
            <w:pPr>
              <w:jc w:val="center"/>
              <w:rPr>
                <w:b/>
                <w:bCs/>
              </w:rPr>
            </w:pPr>
            <w:r w:rsidRPr="0083113B">
              <w:rPr>
                <w:b/>
                <w:bCs/>
              </w:rPr>
              <w:t>Small Retail Shop Owners</w:t>
            </w:r>
          </w:p>
        </w:tc>
        <w:tc>
          <w:tcPr>
            <w:tcW w:w="1469" w:type="dxa"/>
            <w:vAlign w:val="center"/>
          </w:tcPr>
          <w:p w14:paraId="26C7D5FC" w14:textId="54D4EB48" w:rsidR="004377E1" w:rsidRPr="0083113B" w:rsidRDefault="004377E1">
            <w:pPr>
              <w:jc w:val="center"/>
              <w:rPr>
                <w:b/>
                <w:bCs/>
              </w:rPr>
            </w:pPr>
            <w:r w:rsidRPr="0083113B">
              <w:rPr>
                <w:b/>
                <w:bCs/>
              </w:rPr>
              <w:t>Hospitality (hotel)</w:t>
            </w:r>
          </w:p>
        </w:tc>
      </w:tr>
      <w:tr w:rsidR="004377E1" w:rsidRPr="0049456A" w14:paraId="773A3746" w14:textId="77777777" w:rsidTr="00D52C18">
        <w:trPr>
          <w:trHeight w:val="431"/>
        </w:trPr>
        <w:tc>
          <w:tcPr>
            <w:tcW w:w="1403" w:type="dxa"/>
            <w:vMerge/>
            <w:vAlign w:val="center"/>
          </w:tcPr>
          <w:p w14:paraId="4DC54147" w14:textId="77777777" w:rsidR="004377E1" w:rsidRPr="0083113B" w:rsidRDefault="004377E1">
            <w:pPr>
              <w:jc w:val="center"/>
              <w:rPr>
                <w:b/>
                <w:bCs/>
              </w:rPr>
            </w:pPr>
          </w:p>
        </w:tc>
        <w:tc>
          <w:tcPr>
            <w:tcW w:w="1263" w:type="dxa"/>
            <w:vAlign w:val="center"/>
          </w:tcPr>
          <w:p w14:paraId="23662C04" w14:textId="4EF42A82" w:rsidR="004377E1" w:rsidRPr="0083113B" w:rsidRDefault="004377E1">
            <w:pPr>
              <w:jc w:val="center"/>
            </w:pPr>
            <w:r w:rsidRPr="0083113B">
              <w:t>11</w:t>
            </w:r>
          </w:p>
        </w:tc>
        <w:tc>
          <w:tcPr>
            <w:tcW w:w="1550" w:type="dxa"/>
            <w:vAlign w:val="center"/>
          </w:tcPr>
          <w:p w14:paraId="21B36C86" w14:textId="080F8C6E" w:rsidR="004377E1" w:rsidRPr="0083113B" w:rsidRDefault="004377E1">
            <w:pPr>
              <w:jc w:val="center"/>
            </w:pPr>
            <w:r w:rsidRPr="0083113B">
              <w:t>3</w:t>
            </w:r>
          </w:p>
        </w:tc>
        <w:tc>
          <w:tcPr>
            <w:tcW w:w="1719" w:type="dxa"/>
            <w:gridSpan w:val="2"/>
            <w:vAlign w:val="center"/>
          </w:tcPr>
          <w:p w14:paraId="7B5706B3" w14:textId="578B0B36" w:rsidR="004377E1" w:rsidRPr="0083113B" w:rsidRDefault="004377E1">
            <w:pPr>
              <w:jc w:val="center"/>
            </w:pPr>
            <w:r w:rsidRPr="0083113B">
              <w:t>4</w:t>
            </w:r>
          </w:p>
        </w:tc>
        <w:tc>
          <w:tcPr>
            <w:tcW w:w="1612" w:type="dxa"/>
            <w:vAlign w:val="center"/>
          </w:tcPr>
          <w:p w14:paraId="54A8FFCE" w14:textId="0C39F9C0" w:rsidR="004377E1" w:rsidRPr="0083113B" w:rsidRDefault="004377E1">
            <w:pPr>
              <w:jc w:val="center"/>
            </w:pPr>
            <w:r w:rsidRPr="0083113B">
              <w:t>26</w:t>
            </w:r>
          </w:p>
        </w:tc>
        <w:tc>
          <w:tcPr>
            <w:tcW w:w="1469" w:type="dxa"/>
            <w:vAlign w:val="center"/>
          </w:tcPr>
          <w:p w14:paraId="726A688F" w14:textId="272EFA24" w:rsidR="004377E1" w:rsidRPr="0083113B" w:rsidRDefault="004377E1">
            <w:pPr>
              <w:jc w:val="center"/>
            </w:pPr>
            <w:r w:rsidRPr="0083113B">
              <w:t>4</w:t>
            </w:r>
          </w:p>
        </w:tc>
      </w:tr>
      <w:tr w:rsidR="004377E1" w:rsidRPr="0049456A" w14:paraId="68BA4881" w14:textId="77777777" w:rsidTr="00D52C18">
        <w:trPr>
          <w:trHeight w:val="431"/>
        </w:trPr>
        <w:tc>
          <w:tcPr>
            <w:tcW w:w="1403" w:type="dxa"/>
            <w:vMerge/>
            <w:vAlign w:val="center"/>
          </w:tcPr>
          <w:p w14:paraId="0F678CAC" w14:textId="77777777" w:rsidR="004377E1" w:rsidRPr="0083113B" w:rsidRDefault="004377E1">
            <w:pPr>
              <w:jc w:val="center"/>
              <w:rPr>
                <w:b/>
                <w:bCs/>
              </w:rPr>
            </w:pPr>
          </w:p>
        </w:tc>
        <w:tc>
          <w:tcPr>
            <w:tcW w:w="1263" w:type="dxa"/>
            <w:vAlign w:val="center"/>
          </w:tcPr>
          <w:p w14:paraId="128C62ED" w14:textId="3283F447" w:rsidR="004377E1" w:rsidRPr="0083113B" w:rsidRDefault="004377E1">
            <w:pPr>
              <w:jc w:val="center"/>
              <w:rPr>
                <w:b/>
                <w:bCs/>
              </w:rPr>
            </w:pPr>
            <w:r w:rsidRPr="0083113B">
              <w:rPr>
                <w:b/>
                <w:bCs/>
              </w:rPr>
              <w:t>Public Sector Workers</w:t>
            </w:r>
          </w:p>
        </w:tc>
        <w:tc>
          <w:tcPr>
            <w:tcW w:w="1550" w:type="dxa"/>
            <w:vAlign w:val="center"/>
          </w:tcPr>
          <w:p w14:paraId="2EBBD9AB" w14:textId="1BABBFF7" w:rsidR="004377E1" w:rsidRPr="0083113B" w:rsidRDefault="004377E1">
            <w:pPr>
              <w:jc w:val="center"/>
              <w:rPr>
                <w:b/>
                <w:bCs/>
              </w:rPr>
            </w:pPr>
            <w:r w:rsidRPr="0083113B">
              <w:rPr>
                <w:b/>
                <w:bCs/>
              </w:rPr>
              <w:t>Seamstresses and Tailors</w:t>
            </w:r>
          </w:p>
        </w:tc>
        <w:tc>
          <w:tcPr>
            <w:tcW w:w="1719" w:type="dxa"/>
            <w:gridSpan w:val="2"/>
            <w:vAlign w:val="center"/>
          </w:tcPr>
          <w:p w14:paraId="779A381B" w14:textId="7470E436" w:rsidR="004377E1" w:rsidRPr="0083113B" w:rsidRDefault="00D52C18">
            <w:pPr>
              <w:jc w:val="center"/>
              <w:rPr>
                <w:b/>
                <w:bCs/>
              </w:rPr>
            </w:pPr>
            <w:r w:rsidRPr="0083113B">
              <w:rPr>
                <w:b/>
                <w:bCs/>
              </w:rPr>
              <w:t xml:space="preserve">Taxis, </w:t>
            </w:r>
            <w:r w:rsidR="004377E1" w:rsidRPr="0083113B">
              <w:rPr>
                <w:b/>
                <w:bCs/>
              </w:rPr>
              <w:t>Public Transport</w:t>
            </w:r>
          </w:p>
        </w:tc>
        <w:tc>
          <w:tcPr>
            <w:tcW w:w="1612" w:type="dxa"/>
            <w:vAlign w:val="center"/>
          </w:tcPr>
          <w:p w14:paraId="72674C7B" w14:textId="02618334" w:rsidR="004377E1" w:rsidRPr="0083113B" w:rsidRDefault="004377E1">
            <w:pPr>
              <w:jc w:val="center"/>
              <w:rPr>
                <w:b/>
                <w:bCs/>
              </w:rPr>
            </w:pPr>
            <w:r w:rsidRPr="0083113B">
              <w:rPr>
                <w:b/>
                <w:bCs/>
              </w:rPr>
              <w:t>Other</w:t>
            </w:r>
          </w:p>
        </w:tc>
        <w:tc>
          <w:tcPr>
            <w:tcW w:w="1469" w:type="dxa"/>
            <w:vMerge w:val="restart"/>
            <w:shd w:val="clear" w:color="auto" w:fill="D9D9D9" w:themeFill="background1" w:themeFillShade="D9"/>
            <w:vAlign w:val="center"/>
          </w:tcPr>
          <w:p w14:paraId="7FEE0171" w14:textId="77777777" w:rsidR="004377E1" w:rsidRPr="0083113B" w:rsidRDefault="004377E1">
            <w:pPr>
              <w:jc w:val="center"/>
              <w:rPr>
                <w:b/>
                <w:bCs/>
              </w:rPr>
            </w:pPr>
          </w:p>
        </w:tc>
      </w:tr>
      <w:tr w:rsidR="004377E1" w:rsidRPr="0049456A" w14:paraId="52BE412D" w14:textId="77777777" w:rsidTr="00D52C18">
        <w:trPr>
          <w:trHeight w:val="460"/>
        </w:trPr>
        <w:tc>
          <w:tcPr>
            <w:tcW w:w="1403" w:type="dxa"/>
            <w:vMerge/>
            <w:vAlign w:val="center"/>
          </w:tcPr>
          <w:p w14:paraId="612B64BA" w14:textId="77777777" w:rsidR="004377E1" w:rsidRPr="0083113B" w:rsidRDefault="004377E1">
            <w:pPr>
              <w:jc w:val="center"/>
            </w:pPr>
          </w:p>
        </w:tc>
        <w:tc>
          <w:tcPr>
            <w:tcW w:w="1263" w:type="dxa"/>
            <w:vAlign w:val="center"/>
          </w:tcPr>
          <w:p w14:paraId="58C42A2E" w14:textId="6C657415" w:rsidR="004377E1" w:rsidRPr="0083113B" w:rsidRDefault="004377E1">
            <w:pPr>
              <w:jc w:val="center"/>
            </w:pPr>
            <w:r w:rsidRPr="0083113B">
              <w:t>4</w:t>
            </w:r>
          </w:p>
        </w:tc>
        <w:tc>
          <w:tcPr>
            <w:tcW w:w="1550" w:type="dxa"/>
            <w:vAlign w:val="center"/>
          </w:tcPr>
          <w:p w14:paraId="78931527" w14:textId="0B23468A" w:rsidR="004377E1" w:rsidRPr="0083113B" w:rsidRDefault="004377E1">
            <w:pPr>
              <w:jc w:val="center"/>
            </w:pPr>
            <w:r w:rsidRPr="0083113B">
              <w:t>5</w:t>
            </w:r>
          </w:p>
        </w:tc>
        <w:tc>
          <w:tcPr>
            <w:tcW w:w="1719" w:type="dxa"/>
            <w:gridSpan w:val="2"/>
            <w:vAlign w:val="center"/>
          </w:tcPr>
          <w:p w14:paraId="3D9F6F55" w14:textId="6355C7D0" w:rsidR="004377E1" w:rsidRPr="0083113B" w:rsidRDefault="004377E1">
            <w:pPr>
              <w:jc w:val="center"/>
            </w:pPr>
            <w:r w:rsidRPr="0083113B">
              <w:t>11</w:t>
            </w:r>
          </w:p>
        </w:tc>
        <w:tc>
          <w:tcPr>
            <w:tcW w:w="1612" w:type="dxa"/>
            <w:vAlign w:val="center"/>
          </w:tcPr>
          <w:p w14:paraId="287ED497" w14:textId="6CDF72CB" w:rsidR="004377E1" w:rsidRPr="0083113B" w:rsidRDefault="004377E1">
            <w:pPr>
              <w:jc w:val="center"/>
            </w:pPr>
            <w:r w:rsidRPr="0083113B">
              <w:t>1</w:t>
            </w:r>
          </w:p>
        </w:tc>
        <w:tc>
          <w:tcPr>
            <w:tcW w:w="1469" w:type="dxa"/>
            <w:vMerge/>
            <w:shd w:val="clear" w:color="auto" w:fill="D9D9D9" w:themeFill="background1" w:themeFillShade="D9"/>
            <w:vAlign w:val="center"/>
          </w:tcPr>
          <w:p w14:paraId="24AE6DFD" w14:textId="77777777" w:rsidR="004377E1" w:rsidRPr="0083113B" w:rsidRDefault="004377E1">
            <w:pPr>
              <w:jc w:val="center"/>
            </w:pPr>
          </w:p>
        </w:tc>
      </w:tr>
    </w:tbl>
    <w:p w14:paraId="2DB1DE28" w14:textId="77777777" w:rsidR="00267BDF" w:rsidRPr="0083113B" w:rsidRDefault="00267BDF" w:rsidP="0083113B">
      <w:pPr>
        <w:jc w:val="both"/>
      </w:pPr>
    </w:p>
    <w:p w14:paraId="214C1154" w14:textId="7B34A52E" w:rsidR="009006A3" w:rsidRPr="0083113B" w:rsidRDefault="00205DE2" w:rsidP="0083113B">
      <w:pPr>
        <w:jc w:val="both"/>
      </w:pPr>
      <w:r w:rsidRPr="0083113B">
        <w:t>After collecting the data, participant</w:t>
      </w:r>
      <w:r w:rsidR="00EC3A88" w:rsidRPr="0083113B">
        <w:t xml:space="preserve"> responses were entered into SPSS version 24 for basic descriptive analysis</w:t>
      </w:r>
      <w:r w:rsidR="005176B7" w:rsidRPr="0083113B">
        <w:t xml:space="preserve">. </w:t>
      </w:r>
      <w:r w:rsidR="00EC3A88" w:rsidRPr="0083113B">
        <w:t xml:space="preserve">NVIVO </w:t>
      </w:r>
      <w:r w:rsidRPr="0083113B">
        <w:t>was</w:t>
      </w:r>
      <w:r w:rsidR="00EC3A88" w:rsidRPr="0083113B">
        <w:t xml:space="preserve"> </w:t>
      </w:r>
      <w:r w:rsidRPr="0083113B">
        <w:t>used</w:t>
      </w:r>
      <w:r w:rsidR="00EC3A88" w:rsidRPr="0083113B">
        <w:t xml:space="preserve"> to </w:t>
      </w:r>
      <w:r w:rsidR="00D41BDB" w:rsidRPr="0083113B">
        <w:t xml:space="preserve">organise and </w:t>
      </w:r>
      <w:r w:rsidRPr="0083113B">
        <w:t>code</w:t>
      </w:r>
      <w:r w:rsidR="00EC3A88" w:rsidRPr="0083113B">
        <w:t xml:space="preserve"> the responses participants </w:t>
      </w:r>
      <w:r w:rsidRPr="0083113B">
        <w:t xml:space="preserve">offered </w:t>
      </w:r>
      <w:r w:rsidR="00D41BDB" w:rsidRPr="0083113B">
        <w:t>related to</w:t>
      </w:r>
      <w:r w:rsidRPr="0083113B">
        <w:t xml:space="preserve"> pandemic </w:t>
      </w:r>
      <w:r w:rsidR="00D41BDB" w:rsidRPr="0083113B">
        <w:t>‘</w:t>
      </w:r>
      <w:r w:rsidRPr="0083113B">
        <w:t>challenges,</w:t>
      </w:r>
      <w:r w:rsidR="00D41BDB" w:rsidRPr="0083113B">
        <w:t>’</w:t>
      </w:r>
      <w:r w:rsidRPr="0083113B">
        <w:t xml:space="preserve"> </w:t>
      </w:r>
      <w:r w:rsidR="00D41BDB" w:rsidRPr="0083113B">
        <w:t>‘</w:t>
      </w:r>
      <w:r w:rsidRPr="0083113B">
        <w:t>struggles,</w:t>
      </w:r>
      <w:r w:rsidR="00D41BDB" w:rsidRPr="0083113B">
        <w:t>’</w:t>
      </w:r>
      <w:r w:rsidRPr="0083113B">
        <w:t xml:space="preserve"> </w:t>
      </w:r>
      <w:r w:rsidR="00D41BDB" w:rsidRPr="0083113B">
        <w:t>‘s</w:t>
      </w:r>
      <w:r w:rsidRPr="0083113B">
        <w:t>trategies,</w:t>
      </w:r>
      <w:r w:rsidR="00D41BDB" w:rsidRPr="0083113B">
        <w:t>’</w:t>
      </w:r>
      <w:r w:rsidRPr="0083113B">
        <w:t xml:space="preserve"> </w:t>
      </w:r>
      <w:r w:rsidR="00D41BDB" w:rsidRPr="0083113B">
        <w:t>‘</w:t>
      </w:r>
      <w:r w:rsidRPr="0083113B">
        <w:t>coping,</w:t>
      </w:r>
      <w:r w:rsidR="00D41BDB" w:rsidRPr="0083113B">
        <w:t>’ ‘solidarity,’</w:t>
      </w:r>
      <w:r w:rsidRPr="0083113B">
        <w:t xml:space="preserve"> and </w:t>
      </w:r>
      <w:r w:rsidR="00D41BDB" w:rsidRPr="0083113B">
        <w:t>‘</w:t>
      </w:r>
      <w:r w:rsidRPr="0083113B">
        <w:t>solutions</w:t>
      </w:r>
      <w:r w:rsidR="00D41BDB" w:rsidRPr="0083113B">
        <w:t>,’ to name a few of the key themes we used</w:t>
      </w:r>
      <w:r w:rsidR="00EC3A88" w:rsidRPr="0083113B">
        <w:t>.</w:t>
      </w:r>
      <w:r w:rsidR="005176B7" w:rsidRPr="0083113B">
        <w:t xml:space="preserve"> T</w:t>
      </w:r>
      <w:r w:rsidR="00592A67" w:rsidRPr="0083113B">
        <w:t>his paper</w:t>
      </w:r>
      <w:r w:rsidR="00D41BDB" w:rsidRPr="0083113B">
        <w:t>’s goal, in particular the</w:t>
      </w:r>
      <w:r w:rsidR="005176B7" w:rsidRPr="0083113B">
        <w:t xml:space="preserve"> </w:t>
      </w:r>
      <w:r w:rsidR="00D41BDB" w:rsidRPr="0083113B">
        <w:t>forthcoming</w:t>
      </w:r>
      <w:r w:rsidR="005176B7" w:rsidRPr="0083113B">
        <w:t xml:space="preserve"> sections</w:t>
      </w:r>
      <w:r w:rsidR="00D41BDB" w:rsidRPr="0083113B">
        <w:t>, is to</w:t>
      </w:r>
      <w:r w:rsidRPr="0083113B">
        <w:t xml:space="preserve"> foreground and </w:t>
      </w:r>
      <w:r w:rsidR="00592A67" w:rsidRPr="0083113B">
        <w:t>ampl</w:t>
      </w:r>
      <w:r w:rsidR="00D41BDB" w:rsidRPr="0083113B">
        <w:t>ify</w:t>
      </w:r>
      <w:r w:rsidR="00592A67" w:rsidRPr="0083113B">
        <w:t xml:space="preserve"> the </w:t>
      </w:r>
      <w:r w:rsidRPr="0083113B">
        <w:t xml:space="preserve">perspectives and </w:t>
      </w:r>
      <w:r w:rsidR="00D41BDB" w:rsidRPr="0083113B">
        <w:t>intimate</w:t>
      </w:r>
      <w:r w:rsidRPr="0083113B">
        <w:t xml:space="preserve"> knowledge</w:t>
      </w:r>
      <w:r w:rsidR="00592A67" w:rsidRPr="0083113B">
        <w:t xml:space="preserve"> of the participants</w:t>
      </w:r>
      <w:r w:rsidRPr="0083113B">
        <w:t>, as well as elaborate upon some of the</w:t>
      </w:r>
      <w:r w:rsidR="0089631D" w:rsidRPr="0083113B">
        <w:t xml:space="preserve"> immediate to long-term</w:t>
      </w:r>
      <w:r w:rsidRPr="0083113B">
        <w:t xml:space="preserve"> solutions they offered, alluded to, and shared. </w:t>
      </w:r>
    </w:p>
    <w:p w14:paraId="2BF81253" w14:textId="77777777" w:rsidR="00BD05D6" w:rsidRDefault="00BD05D6" w:rsidP="0049456A">
      <w:pPr>
        <w:pStyle w:val="Heading1"/>
        <w:spacing w:before="0" w:after="0" w:line="240" w:lineRule="auto"/>
        <w:jc w:val="center"/>
        <w:rPr>
          <w:rFonts w:ascii="Times New Roman" w:hAnsi="Times New Roman"/>
        </w:rPr>
      </w:pPr>
    </w:p>
    <w:p w14:paraId="2CC01DCD" w14:textId="61A25732" w:rsidR="00592A67" w:rsidRPr="0083113B" w:rsidRDefault="00847246" w:rsidP="0083113B">
      <w:pPr>
        <w:pStyle w:val="Heading1"/>
        <w:spacing w:before="0" w:after="0" w:line="240" w:lineRule="auto"/>
        <w:jc w:val="center"/>
        <w:rPr>
          <w:rFonts w:ascii="Times New Roman" w:hAnsi="Times New Roman"/>
        </w:rPr>
      </w:pPr>
      <w:r w:rsidRPr="0083113B">
        <w:rPr>
          <w:rFonts w:ascii="Times New Roman" w:hAnsi="Times New Roman"/>
        </w:rPr>
        <w:t xml:space="preserve">The </w:t>
      </w:r>
      <w:r w:rsidR="007A3C30" w:rsidRPr="0083113B">
        <w:rPr>
          <w:rFonts w:ascii="Times New Roman" w:hAnsi="Times New Roman"/>
        </w:rPr>
        <w:t>D</w:t>
      </w:r>
      <w:r w:rsidRPr="0083113B">
        <w:rPr>
          <w:rFonts w:ascii="Times New Roman" w:hAnsi="Times New Roman"/>
        </w:rPr>
        <w:t xml:space="preserve">ifferential </w:t>
      </w:r>
      <w:r w:rsidR="007A3C30" w:rsidRPr="0083113B">
        <w:rPr>
          <w:rFonts w:ascii="Times New Roman" w:hAnsi="Times New Roman"/>
        </w:rPr>
        <w:t>I</w:t>
      </w:r>
      <w:r w:rsidRPr="0083113B">
        <w:rPr>
          <w:rFonts w:ascii="Times New Roman" w:hAnsi="Times New Roman"/>
        </w:rPr>
        <w:t xml:space="preserve">mpacts of </w:t>
      </w:r>
      <w:r w:rsidR="00F21985" w:rsidRPr="0083113B">
        <w:rPr>
          <w:rFonts w:ascii="Times New Roman" w:hAnsi="Times New Roman"/>
        </w:rPr>
        <w:t>COVID-19</w:t>
      </w:r>
    </w:p>
    <w:p w14:paraId="4BA1FBF5" w14:textId="77777777" w:rsidR="00BD05D6" w:rsidRDefault="00BD05D6" w:rsidP="0049456A">
      <w:pPr>
        <w:jc w:val="both"/>
      </w:pPr>
    </w:p>
    <w:p w14:paraId="13C6C1C2" w14:textId="7FCBA706" w:rsidR="00BD05D6" w:rsidRDefault="00592A67" w:rsidP="0049456A">
      <w:pPr>
        <w:jc w:val="both"/>
      </w:pPr>
      <w:proofErr w:type="gramStart"/>
      <w:r w:rsidRPr="0083113B">
        <w:t>All of</w:t>
      </w:r>
      <w:proofErr w:type="gramEnd"/>
      <w:r w:rsidRPr="0083113B">
        <w:t xml:space="preserve"> the participants </w:t>
      </w:r>
      <w:r w:rsidR="00340B89" w:rsidRPr="0083113B">
        <w:t xml:space="preserve">reported </w:t>
      </w:r>
      <w:r w:rsidRPr="0083113B">
        <w:t xml:space="preserve">being impacted by the measures taken by the authorities to combat the effects of </w:t>
      </w:r>
      <w:r w:rsidR="00F21985" w:rsidRPr="0083113B">
        <w:t>COVID-19</w:t>
      </w:r>
      <w:r w:rsidRPr="0083113B">
        <w:t>. The impact</w:t>
      </w:r>
      <w:r w:rsidR="00B55793" w:rsidRPr="0083113B">
        <w:t>s they experienced,</w:t>
      </w:r>
      <w:r w:rsidRPr="0083113B">
        <w:t xml:space="preserve"> however</w:t>
      </w:r>
      <w:r w:rsidR="00B55793" w:rsidRPr="0083113B">
        <w:t>,</w:t>
      </w:r>
      <w:r w:rsidRPr="0083113B">
        <w:t xml:space="preserve"> </w:t>
      </w:r>
      <w:r w:rsidR="00382F3D" w:rsidRPr="0083113B">
        <w:t xml:space="preserve">were </w:t>
      </w:r>
      <w:r w:rsidRPr="0083113B">
        <w:t>manifest</w:t>
      </w:r>
      <w:r w:rsidR="00382F3D" w:rsidRPr="0083113B">
        <w:t>ed</w:t>
      </w:r>
      <w:r w:rsidRPr="0083113B">
        <w:t xml:space="preserve"> in different ways for various individuals. </w:t>
      </w:r>
      <w:r w:rsidR="00D14F52" w:rsidRPr="0083113B">
        <w:t>A number of factors led to the loss of income for many</w:t>
      </w:r>
      <w:r w:rsidR="00382F3D" w:rsidRPr="0083113B">
        <w:t xml:space="preserve"> given </w:t>
      </w:r>
      <w:r w:rsidR="00D14F52" w:rsidRPr="0083113B">
        <w:t xml:space="preserve">their </w:t>
      </w:r>
      <w:r w:rsidR="00382F3D" w:rsidRPr="0083113B">
        <w:t>typical jobs</w:t>
      </w:r>
      <w:r w:rsidR="00340B89" w:rsidRPr="0083113B">
        <w:t xml:space="preserve"> (</w:t>
      </w:r>
      <w:proofErr w:type="gramStart"/>
      <w:r w:rsidR="00382F3D" w:rsidRPr="0083113B">
        <w:t>i.e.</w:t>
      </w:r>
      <w:proofErr w:type="gramEnd"/>
      <w:r w:rsidR="00382F3D" w:rsidRPr="0083113B">
        <w:t xml:space="preserve"> </w:t>
      </w:r>
      <w:r w:rsidR="00D14F52" w:rsidRPr="0083113B">
        <w:t xml:space="preserve">main sources of </w:t>
      </w:r>
      <w:r w:rsidR="00382F3D" w:rsidRPr="0083113B">
        <w:t>revenue</w:t>
      </w:r>
      <w:r w:rsidR="00340B89" w:rsidRPr="0083113B">
        <w:t>)</w:t>
      </w:r>
      <w:r w:rsidR="00D14F52" w:rsidRPr="0083113B">
        <w:t xml:space="preserve"> were </w:t>
      </w:r>
      <w:r w:rsidR="007313FA" w:rsidRPr="0083113B">
        <w:t>entirely</w:t>
      </w:r>
      <w:r w:rsidR="00D14F52" w:rsidRPr="0083113B">
        <w:t xml:space="preserve"> derailed. Some</w:t>
      </w:r>
      <w:r w:rsidR="00382F3D" w:rsidRPr="0083113B">
        <w:t xml:space="preserve"> respondents </w:t>
      </w:r>
      <w:r w:rsidR="00D14F52" w:rsidRPr="0083113B">
        <w:lastRenderedPageBreak/>
        <w:t>lost their jobs, while others had to shut down small businesses.</w:t>
      </w:r>
      <w:r w:rsidR="00B55793" w:rsidRPr="0083113B">
        <w:t xml:space="preserve"> </w:t>
      </w:r>
      <w:r w:rsidR="00D14F52" w:rsidRPr="0083113B">
        <w:t xml:space="preserve">The price of </w:t>
      </w:r>
      <w:r w:rsidR="007313FA" w:rsidRPr="0083113B">
        <w:t>consumer</w:t>
      </w:r>
      <w:r w:rsidR="00D14F52" w:rsidRPr="0083113B">
        <w:t xml:space="preserve"> goods</w:t>
      </w:r>
      <w:r w:rsidR="007313FA" w:rsidRPr="0083113B">
        <w:t>, foodstuffs, and fuel also</w:t>
      </w:r>
      <w:r w:rsidRPr="0083113B">
        <w:t xml:space="preserve"> increase</w:t>
      </w:r>
      <w:r w:rsidR="00D14F52" w:rsidRPr="0083113B">
        <w:t>d</w:t>
      </w:r>
      <w:r w:rsidR="007313FA" w:rsidRPr="0083113B">
        <w:t>,</w:t>
      </w:r>
      <w:r w:rsidR="00D14F52" w:rsidRPr="0083113B">
        <w:t xml:space="preserve"> thereby compounding </w:t>
      </w:r>
      <w:r w:rsidR="00382F3D" w:rsidRPr="0083113B">
        <w:t>difficulties</w:t>
      </w:r>
      <w:r w:rsidR="00D14F52" w:rsidRPr="0083113B">
        <w:t>, as now individuals had less disposable income to buy higher priced foods</w:t>
      </w:r>
      <w:r w:rsidRPr="0083113B">
        <w:t xml:space="preserve">. </w:t>
      </w:r>
      <w:r w:rsidR="007313FA" w:rsidRPr="0083113B">
        <w:t>The</w:t>
      </w:r>
      <w:r w:rsidR="003A4C47" w:rsidRPr="0083113B">
        <w:t xml:space="preserve"> restriction of movement of citizens</w:t>
      </w:r>
      <w:r w:rsidR="007313FA" w:rsidRPr="0083113B">
        <w:t xml:space="preserve"> </w:t>
      </w:r>
      <w:r w:rsidR="003A4C47" w:rsidRPr="0083113B">
        <w:t>affected transport service</w:t>
      </w:r>
      <w:r w:rsidR="007313FA" w:rsidRPr="0083113B">
        <w:t xml:space="preserve"> workers</w:t>
      </w:r>
      <w:r w:rsidR="003A4C47" w:rsidRPr="0083113B">
        <w:t xml:space="preserve"> </w:t>
      </w:r>
      <w:r w:rsidR="00C80682" w:rsidRPr="0083113B">
        <w:t>significantly</w:t>
      </w:r>
      <w:r w:rsidR="003A4C47" w:rsidRPr="0083113B">
        <w:t>. One taxi driver stated</w:t>
      </w:r>
      <w:r w:rsidR="00C80682" w:rsidRPr="0083113B">
        <w:t>,</w:t>
      </w:r>
      <w:r w:rsidR="003A4C47" w:rsidRPr="0083113B">
        <w:t xml:space="preserve"> </w:t>
      </w:r>
      <w:r w:rsidR="0013231E" w:rsidRPr="0083113B">
        <w:t>“</w:t>
      </w:r>
      <w:r w:rsidR="003A4C47" w:rsidRPr="0083113B">
        <w:t>with the restriction of movements of people there was no need for taxi service resulting in loss of jobs and little or no income.</w:t>
      </w:r>
      <w:r w:rsidR="0013231E" w:rsidRPr="0083113B">
        <w:t>”</w:t>
      </w:r>
      <w:r w:rsidR="00B55793" w:rsidRPr="0083113B">
        <w:t xml:space="preserve"> </w:t>
      </w:r>
      <w:r w:rsidR="00B87AD5" w:rsidRPr="0083113B">
        <w:t xml:space="preserve">The participants who were engaged in production and sale of perishable items noted severe spoilage of goods as </w:t>
      </w:r>
      <w:r w:rsidR="00382F3D" w:rsidRPr="0083113B">
        <w:t>they</w:t>
      </w:r>
      <w:r w:rsidR="00B87AD5" w:rsidRPr="0083113B">
        <w:t xml:space="preserve"> were unable to move to </w:t>
      </w:r>
      <w:r w:rsidR="00340B89" w:rsidRPr="0083113B">
        <w:t>places of sale</w:t>
      </w:r>
      <w:r w:rsidR="00B87AD5" w:rsidRPr="0083113B">
        <w:t xml:space="preserve"> freely. Additionally, there were inadequate storage facilities</w:t>
      </w:r>
      <w:r w:rsidR="007313FA" w:rsidRPr="0083113B">
        <w:t xml:space="preserve">, </w:t>
      </w:r>
      <w:r w:rsidR="00B87AD5" w:rsidRPr="0083113B">
        <w:t xml:space="preserve">which </w:t>
      </w:r>
      <w:r w:rsidR="00324FBB" w:rsidRPr="0083113B">
        <w:t>intensified</w:t>
      </w:r>
      <w:r w:rsidR="00B87AD5" w:rsidRPr="0083113B">
        <w:t xml:space="preserve"> the </w:t>
      </w:r>
      <w:r w:rsidR="00382F3D" w:rsidRPr="0083113B">
        <w:t xml:space="preserve">situation and decomposition of foods, </w:t>
      </w:r>
      <w:r w:rsidR="007313FA" w:rsidRPr="0083113B">
        <w:t xml:space="preserve">with one local </w:t>
      </w:r>
      <w:r w:rsidR="00382F3D" w:rsidRPr="0083113B">
        <w:t>grower</w:t>
      </w:r>
      <w:r w:rsidR="007313FA" w:rsidRPr="0083113B">
        <w:t xml:space="preserve"> noting the domino effect by explaining </w:t>
      </w:r>
      <w:r w:rsidR="0013231E" w:rsidRPr="0083113B">
        <w:t>“</w:t>
      </w:r>
      <w:r w:rsidR="007313FA" w:rsidRPr="0083113B">
        <w:t>the c</w:t>
      </w:r>
      <w:r w:rsidR="00B87AD5" w:rsidRPr="0083113B">
        <w:t>losure of hotels caused loss of sales; the hotels were our main markets.</w:t>
      </w:r>
      <w:r w:rsidR="0013231E" w:rsidRPr="0083113B">
        <w:t>”</w:t>
      </w:r>
    </w:p>
    <w:p w14:paraId="20691539" w14:textId="42D38BC3" w:rsidR="007313FA" w:rsidRPr="0083113B" w:rsidRDefault="007313FA" w:rsidP="0083113B">
      <w:pPr>
        <w:jc w:val="both"/>
        <w:rPr>
          <w:i/>
          <w:iCs/>
        </w:rPr>
      </w:pPr>
      <w:r w:rsidRPr="0083113B">
        <w:rPr>
          <w:i/>
          <w:iCs/>
        </w:rPr>
        <w:t xml:space="preserve"> </w:t>
      </w:r>
    </w:p>
    <w:p w14:paraId="70E0D7EC" w14:textId="02E76E94" w:rsidR="00592A67" w:rsidRPr="0083113B" w:rsidRDefault="00592A67" w:rsidP="0083113B">
      <w:pPr>
        <w:jc w:val="both"/>
      </w:pPr>
      <w:r w:rsidRPr="0083113B">
        <w:t xml:space="preserve">Not all participants reported being impacted negatively. Some </w:t>
      </w:r>
      <w:r w:rsidR="007313FA" w:rsidRPr="0083113B">
        <w:t xml:space="preserve">even </w:t>
      </w:r>
      <w:r w:rsidRPr="0083113B">
        <w:t>reported an increase in their income</w:t>
      </w:r>
      <w:r w:rsidR="00F624AD" w:rsidRPr="0083113B">
        <w:t xml:space="preserve">, for example, </w:t>
      </w:r>
      <w:r w:rsidR="007313FA" w:rsidRPr="0083113B">
        <w:t>a handful</w:t>
      </w:r>
      <w:r w:rsidR="00D14F52" w:rsidRPr="0083113B">
        <w:t xml:space="preserve"> </w:t>
      </w:r>
      <w:r w:rsidR="007313FA" w:rsidRPr="0083113B">
        <w:t xml:space="preserve">of locally owned small-scale </w:t>
      </w:r>
      <w:r w:rsidR="00D14F52" w:rsidRPr="0083113B">
        <w:t>community shop</w:t>
      </w:r>
      <w:r w:rsidR="00DD5C15" w:rsidRPr="0083113B">
        <w:t>-</w:t>
      </w:r>
      <w:r w:rsidR="00D14F52" w:rsidRPr="0083113B">
        <w:t xml:space="preserve">owners and seamstresses. </w:t>
      </w:r>
      <w:r w:rsidR="00541ED1" w:rsidRPr="0083113B">
        <w:t>The shop</w:t>
      </w:r>
      <w:r w:rsidR="007313FA" w:rsidRPr="0083113B">
        <w:t xml:space="preserve">keepers and cottage industry owners </w:t>
      </w:r>
      <w:r w:rsidR="00541ED1" w:rsidRPr="0083113B">
        <w:t>who reported</w:t>
      </w:r>
      <w:r w:rsidR="00B55793" w:rsidRPr="0083113B">
        <w:t xml:space="preserve"> </w:t>
      </w:r>
      <w:r w:rsidR="00541ED1" w:rsidRPr="0083113B">
        <w:t>increase</w:t>
      </w:r>
      <w:r w:rsidR="007313FA" w:rsidRPr="0083113B">
        <w:t>s</w:t>
      </w:r>
      <w:r w:rsidR="00541ED1" w:rsidRPr="0083113B">
        <w:t xml:space="preserve"> in income</w:t>
      </w:r>
      <w:r w:rsidR="007313FA" w:rsidRPr="0083113B">
        <w:t xml:space="preserve"> stated </w:t>
      </w:r>
      <w:r w:rsidR="00541ED1" w:rsidRPr="0083113B">
        <w:t>that the lockdown</w:t>
      </w:r>
      <w:r w:rsidR="00324FBB" w:rsidRPr="0083113B">
        <w:t xml:space="preserve"> </w:t>
      </w:r>
      <w:r w:rsidR="007313FA" w:rsidRPr="0083113B">
        <w:t xml:space="preserve">and </w:t>
      </w:r>
      <w:r w:rsidR="00324FBB" w:rsidRPr="0083113B">
        <w:t>curfew</w:t>
      </w:r>
      <w:r w:rsidR="007313FA" w:rsidRPr="0083113B">
        <w:t xml:space="preserve">, which </w:t>
      </w:r>
      <w:r w:rsidR="00324FBB" w:rsidRPr="0083113B">
        <w:t>resulted in the</w:t>
      </w:r>
      <w:r w:rsidR="00541ED1" w:rsidRPr="0083113B">
        <w:t xml:space="preserve"> restriction of movement, </w:t>
      </w:r>
      <w:r w:rsidR="007313FA" w:rsidRPr="0083113B">
        <w:t>meant that more</w:t>
      </w:r>
      <w:r w:rsidR="00541ED1" w:rsidRPr="0083113B">
        <w:t xml:space="preserve"> </w:t>
      </w:r>
      <w:r w:rsidR="00DD5C15" w:rsidRPr="0083113B">
        <w:t>customers</w:t>
      </w:r>
      <w:r w:rsidR="00541ED1" w:rsidRPr="0083113B">
        <w:t xml:space="preserve"> chose to purchase from smaller establishments</w:t>
      </w:r>
      <w:r w:rsidR="007313FA" w:rsidRPr="0083113B">
        <w:t xml:space="preserve"> that were</w:t>
      </w:r>
      <w:r w:rsidR="00541ED1" w:rsidRPr="0083113B">
        <w:t xml:space="preserve"> closer to </w:t>
      </w:r>
      <w:r w:rsidR="00F624AD" w:rsidRPr="0083113B">
        <w:t>home</w:t>
      </w:r>
      <w:r w:rsidR="007313FA" w:rsidRPr="0083113B">
        <w:t xml:space="preserve">, </w:t>
      </w:r>
      <w:r w:rsidR="00541ED1" w:rsidRPr="0083113B">
        <w:t xml:space="preserve">rather than taking public transport to </w:t>
      </w:r>
      <w:r w:rsidR="00F624AD" w:rsidRPr="0083113B">
        <w:t>main</w:t>
      </w:r>
      <w:r w:rsidR="00541ED1" w:rsidRPr="0083113B">
        <w:t xml:space="preserve"> shopping areas. </w:t>
      </w:r>
      <w:r w:rsidR="007313FA" w:rsidRPr="0083113B">
        <w:t>In one sense, slowing down and shopping local</w:t>
      </w:r>
      <w:r w:rsidR="00F624AD" w:rsidRPr="0083113B">
        <w:t xml:space="preserve">ly </w:t>
      </w:r>
      <w:r w:rsidR="007313FA" w:rsidRPr="0083113B">
        <w:t xml:space="preserve">meant that </w:t>
      </w:r>
      <w:r w:rsidR="00DD5C15" w:rsidRPr="0083113B">
        <w:t>small</w:t>
      </w:r>
      <w:r w:rsidR="007313FA" w:rsidRPr="0083113B">
        <w:t xml:space="preserve"> business owners saw more customers</w:t>
      </w:r>
      <w:r w:rsidR="00541ED1" w:rsidRPr="0083113B">
        <w:t xml:space="preserve"> patron</w:t>
      </w:r>
      <w:r w:rsidR="007313FA" w:rsidRPr="0083113B">
        <w:t>is</w:t>
      </w:r>
      <w:r w:rsidR="00541ED1" w:rsidRPr="0083113B">
        <w:t>ing their establishments.</w:t>
      </w:r>
      <w:r w:rsidR="007313FA" w:rsidRPr="0083113B">
        <w:t xml:space="preserve"> Se</w:t>
      </w:r>
      <w:r w:rsidR="00541ED1" w:rsidRPr="0083113B">
        <w:t>amstresses record</w:t>
      </w:r>
      <w:r w:rsidR="007313FA" w:rsidRPr="0083113B">
        <w:t>ed an</w:t>
      </w:r>
      <w:r w:rsidR="00541ED1" w:rsidRPr="0083113B">
        <w:t xml:space="preserve"> increase in income</w:t>
      </w:r>
      <w:r w:rsidR="007313FA" w:rsidRPr="0083113B">
        <w:t>, too, which can be</w:t>
      </w:r>
      <w:r w:rsidR="00541ED1" w:rsidRPr="0083113B">
        <w:t xml:space="preserve"> attributed to the mandatory wearing of masks directed by the </w:t>
      </w:r>
      <w:r w:rsidR="00324FBB" w:rsidRPr="0083113B">
        <w:t>authorities</w:t>
      </w:r>
      <w:r w:rsidR="00541ED1" w:rsidRPr="0083113B">
        <w:t>.</w:t>
      </w:r>
      <w:r w:rsidR="00B55793" w:rsidRPr="0083113B">
        <w:t xml:space="preserve"> </w:t>
      </w:r>
      <w:proofErr w:type="gramStart"/>
      <w:r w:rsidR="007313FA" w:rsidRPr="0083113B">
        <w:t>The vast majority of</w:t>
      </w:r>
      <w:proofErr w:type="gramEnd"/>
      <w:r w:rsidR="007313FA" w:rsidRPr="0083113B">
        <w:t xml:space="preserve"> participants noted that they purposively</w:t>
      </w:r>
      <w:r w:rsidR="00541ED1" w:rsidRPr="0083113B">
        <w:t xml:space="preserve"> looked to use masks designed by</w:t>
      </w:r>
      <w:r w:rsidR="007313FA" w:rsidRPr="0083113B">
        <w:t xml:space="preserve"> local</w:t>
      </w:r>
      <w:r w:rsidR="00541ED1" w:rsidRPr="0083113B">
        <w:t xml:space="preserve"> seamstresses who </w:t>
      </w:r>
      <w:r w:rsidR="007313FA" w:rsidRPr="0083113B">
        <w:t>were putting</w:t>
      </w:r>
      <w:r w:rsidR="00541ED1" w:rsidRPr="0083113B">
        <w:t xml:space="preserve"> their own creative spin</w:t>
      </w:r>
      <w:r w:rsidR="00DD5C15" w:rsidRPr="0083113B">
        <w:t>s</w:t>
      </w:r>
      <w:r w:rsidR="00541ED1" w:rsidRPr="0083113B">
        <w:t xml:space="preserve"> on</w:t>
      </w:r>
      <w:r w:rsidR="007313FA" w:rsidRPr="0083113B">
        <w:t xml:space="preserve"> the mask designs</w:t>
      </w:r>
      <w:r w:rsidR="00DD5C15" w:rsidRPr="0083113B">
        <w:t xml:space="preserve"> they were </w:t>
      </w:r>
      <w:r w:rsidR="00E40F70" w:rsidRPr="0083113B">
        <w:t>fashioning</w:t>
      </w:r>
      <w:r w:rsidR="00541ED1" w:rsidRPr="0083113B">
        <w:t>.</w:t>
      </w:r>
    </w:p>
    <w:p w14:paraId="6FE153E7" w14:textId="77777777" w:rsidR="00BD05D6" w:rsidRDefault="00BD05D6" w:rsidP="0049456A">
      <w:pPr>
        <w:jc w:val="both"/>
      </w:pPr>
    </w:p>
    <w:p w14:paraId="06CD8A74" w14:textId="13C40706" w:rsidR="007A3C30" w:rsidRPr="0083113B" w:rsidRDefault="007313FA" w:rsidP="0083113B">
      <w:pPr>
        <w:jc w:val="both"/>
        <w:rPr>
          <w:color w:val="000000"/>
        </w:rPr>
      </w:pPr>
      <w:r w:rsidRPr="0083113B">
        <w:t xml:space="preserve">Despite the </w:t>
      </w:r>
      <w:r w:rsidR="00847246" w:rsidRPr="0083113B">
        <w:t xml:space="preserve">silver-linings reported by seamstresses and select shopkeepers, the pandemic created no shortage of turmoil and hardship for </w:t>
      </w:r>
      <w:r w:rsidR="00E40F70" w:rsidRPr="0083113B">
        <w:t>most</w:t>
      </w:r>
      <w:r w:rsidR="00847246" w:rsidRPr="0083113B">
        <w:t>. Of the 69 participants, w</w:t>
      </w:r>
      <w:r w:rsidR="00A44DCB" w:rsidRPr="0083113B">
        <w:t xml:space="preserve">orkers in the tourism sector </w:t>
      </w:r>
      <w:r w:rsidR="00D14F52" w:rsidRPr="0083113B">
        <w:t>and farmers</w:t>
      </w:r>
      <w:r w:rsidR="007A3C30" w:rsidRPr="0083113B">
        <w:t xml:space="preserve"> </w:t>
      </w:r>
      <w:r w:rsidR="00D14F52" w:rsidRPr="0083113B">
        <w:t xml:space="preserve">were the two groups </w:t>
      </w:r>
      <w:r w:rsidR="00555A1B" w:rsidRPr="0083113B">
        <w:t>hardest hit</w:t>
      </w:r>
      <w:r w:rsidR="00D14F52" w:rsidRPr="0083113B">
        <w:t>.</w:t>
      </w:r>
      <w:r w:rsidR="00555A1B" w:rsidRPr="0083113B">
        <w:t xml:space="preserve"> Specifically</w:t>
      </w:r>
      <w:r w:rsidR="007A3C30" w:rsidRPr="0083113B">
        <w:t>, hotel/tourism workers (</w:t>
      </w:r>
      <w:r w:rsidR="00555A1B" w:rsidRPr="0083113B">
        <w:t>31.9%</w:t>
      </w:r>
      <w:r w:rsidR="007A3C30" w:rsidRPr="0083113B">
        <w:t xml:space="preserve">, </w:t>
      </w:r>
      <w:r w:rsidR="00555A1B" w:rsidRPr="0083113B">
        <w:t xml:space="preserve">n = 22) </w:t>
      </w:r>
      <w:r w:rsidR="007A3C30" w:rsidRPr="0083113B">
        <w:t>and</w:t>
      </w:r>
      <w:r w:rsidR="00555A1B" w:rsidRPr="0083113B">
        <w:t xml:space="preserve"> </w:t>
      </w:r>
      <w:r w:rsidR="007A3C30" w:rsidRPr="0083113B">
        <w:t>farmers/food producers (</w:t>
      </w:r>
      <w:r w:rsidR="00555A1B" w:rsidRPr="0083113B">
        <w:t>20.3%</w:t>
      </w:r>
      <w:r w:rsidR="007A3C30" w:rsidRPr="0083113B">
        <w:t>, n=</w:t>
      </w:r>
      <w:r w:rsidR="00555A1B" w:rsidRPr="0083113B">
        <w:t>14)</w:t>
      </w:r>
      <w:r w:rsidR="007A3C30" w:rsidRPr="0083113B">
        <w:t xml:space="preserve"> </w:t>
      </w:r>
      <w:r w:rsidR="00F624AD" w:rsidRPr="0083113B">
        <w:t xml:space="preserve">reported </w:t>
      </w:r>
      <w:r w:rsidR="007A3C30" w:rsidRPr="0083113B">
        <w:t xml:space="preserve">experiencing the most difficulty during the pandemic, </w:t>
      </w:r>
      <w:r w:rsidR="00555A1B" w:rsidRPr="0083113B">
        <w:t xml:space="preserve">due to </w:t>
      </w:r>
      <w:proofErr w:type="gramStart"/>
      <w:r w:rsidR="00555A1B" w:rsidRPr="0083113B">
        <w:t xml:space="preserve">a </w:t>
      </w:r>
      <w:r w:rsidR="00F12F37" w:rsidRPr="0083113B">
        <w:t>number of</w:t>
      </w:r>
      <w:proofErr w:type="gramEnd"/>
      <w:r w:rsidR="00F12F37" w:rsidRPr="0083113B">
        <w:t xml:space="preserve"> reasons. The curfew</w:t>
      </w:r>
      <w:r w:rsidR="008149A8" w:rsidRPr="0083113B">
        <w:t xml:space="preserve"> </w:t>
      </w:r>
      <w:r w:rsidR="00555A1B" w:rsidRPr="0083113B">
        <w:t>and</w:t>
      </w:r>
      <w:proofErr w:type="gramStart"/>
      <w:r w:rsidR="008149A8" w:rsidRPr="0083113B">
        <w:t>, in particular, associated</w:t>
      </w:r>
      <w:proofErr w:type="gramEnd"/>
      <w:r w:rsidR="008149A8" w:rsidRPr="0083113B">
        <w:t xml:space="preserve"> </w:t>
      </w:r>
      <w:r w:rsidR="00F12F37" w:rsidRPr="0083113B">
        <w:t>restricted mobility</w:t>
      </w:r>
      <w:r w:rsidR="00E40F70" w:rsidRPr="0083113B">
        <w:t>,</w:t>
      </w:r>
      <w:r w:rsidR="00F12F37" w:rsidRPr="0083113B">
        <w:t xml:space="preserve"> was identified as a </w:t>
      </w:r>
      <w:r w:rsidR="00D72260" w:rsidRPr="0083113B">
        <w:t>significant reason</w:t>
      </w:r>
      <w:r w:rsidR="00F12F37" w:rsidRPr="0083113B">
        <w:t xml:space="preserve">. One </w:t>
      </w:r>
      <w:r w:rsidR="00555A1B" w:rsidRPr="0083113B">
        <w:t xml:space="preserve">small </w:t>
      </w:r>
      <w:r w:rsidR="00F12F37" w:rsidRPr="0083113B">
        <w:t>business</w:t>
      </w:r>
      <w:r w:rsidR="00555A1B" w:rsidRPr="0083113B">
        <w:t>-</w:t>
      </w:r>
      <w:r w:rsidR="00F12F37" w:rsidRPr="0083113B">
        <w:t>owner</w:t>
      </w:r>
      <w:r w:rsidR="00893ABC" w:rsidRPr="0083113B">
        <w:t xml:space="preserve"> who sold local foods, in what </w:t>
      </w:r>
      <w:r w:rsidR="007A3C30" w:rsidRPr="0083113B">
        <w:t>was</w:t>
      </w:r>
      <w:r w:rsidR="00893ABC" w:rsidRPr="0083113B">
        <w:t xml:space="preserve"> common testimony throughout our research, stated,</w:t>
      </w:r>
      <w:r w:rsidR="00555A1B" w:rsidRPr="0083113B">
        <w:t xml:space="preserve"> </w:t>
      </w:r>
      <w:r w:rsidR="0013231E" w:rsidRPr="0083113B">
        <w:t>“</w:t>
      </w:r>
      <w:r w:rsidR="00F12F37" w:rsidRPr="0083113B">
        <w:rPr>
          <w:color w:val="000000"/>
        </w:rPr>
        <w:t>I los</w:t>
      </w:r>
      <w:r w:rsidR="00D22349" w:rsidRPr="0083113B">
        <w:rPr>
          <w:color w:val="000000"/>
        </w:rPr>
        <w:t>t</w:t>
      </w:r>
      <w:r w:rsidR="00F12F37" w:rsidRPr="0083113B">
        <w:rPr>
          <w:color w:val="000000"/>
        </w:rPr>
        <w:t xml:space="preserve"> income because business days were cut drastically and because my shop is not close to where I live</w:t>
      </w:r>
      <w:r w:rsidR="003D129E" w:rsidRPr="0083113B">
        <w:rPr>
          <w:color w:val="000000"/>
        </w:rPr>
        <w:t>,</w:t>
      </w:r>
      <w:r w:rsidR="00F12F37" w:rsidRPr="0083113B">
        <w:rPr>
          <w:color w:val="000000"/>
        </w:rPr>
        <w:t xml:space="preserve"> I couldn’t tend to it and so I had a lot of spoilage of onions and things of that nature, also like others because of the reduced hours of operation I los</w:t>
      </w:r>
      <w:r w:rsidR="00D22349" w:rsidRPr="0083113B">
        <w:rPr>
          <w:color w:val="000000"/>
        </w:rPr>
        <w:t>t</w:t>
      </w:r>
      <w:r w:rsidR="00F12F37" w:rsidRPr="0083113B">
        <w:rPr>
          <w:color w:val="000000"/>
        </w:rPr>
        <w:t xml:space="preserve"> sales which affected my income</w:t>
      </w:r>
      <w:r w:rsidR="003A4C47" w:rsidRPr="0083113B">
        <w:rPr>
          <w:color w:val="000000"/>
        </w:rPr>
        <w:t>.</w:t>
      </w:r>
      <w:r w:rsidR="0013231E" w:rsidRPr="0083113B">
        <w:rPr>
          <w:color w:val="000000"/>
        </w:rPr>
        <w:t>”</w:t>
      </w:r>
    </w:p>
    <w:p w14:paraId="07C2F05D" w14:textId="3D9E9038" w:rsidR="00EE4AC1" w:rsidRDefault="003D129E" w:rsidP="0049456A">
      <w:pPr>
        <w:jc w:val="both"/>
      </w:pPr>
      <w:r w:rsidRPr="0083113B">
        <w:rPr>
          <w:color w:val="000000"/>
        </w:rPr>
        <w:t>Closure of the regional</w:t>
      </w:r>
      <w:r w:rsidR="008149A8" w:rsidRPr="0083113B">
        <w:rPr>
          <w:color w:val="000000"/>
        </w:rPr>
        <w:t xml:space="preserve"> and national</w:t>
      </w:r>
      <w:r w:rsidRPr="0083113B">
        <w:rPr>
          <w:color w:val="000000"/>
        </w:rPr>
        <w:t xml:space="preserve"> borders </w:t>
      </w:r>
      <w:r w:rsidR="00E40F70" w:rsidRPr="0083113B">
        <w:rPr>
          <w:color w:val="000000"/>
        </w:rPr>
        <w:t>magnified</w:t>
      </w:r>
      <w:r w:rsidRPr="0083113B">
        <w:rPr>
          <w:color w:val="000000"/>
        </w:rPr>
        <w:t xml:space="preserve"> t</w:t>
      </w:r>
      <w:r w:rsidR="00E40F70" w:rsidRPr="0083113B">
        <w:rPr>
          <w:color w:val="000000"/>
        </w:rPr>
        <w:t>he</w:t>
      </w:r>
      <w:r w:rsidRPr="0083113B">
        <w:rPr>
          <w:color w:val="000000"/>
        </w:rPr>
        <w:t xml:space="preserve"> negative impact</w:t>
      </w:r>
      <w:r w:rsidR="00893ABC" w:rsidRPr="0083113B">
        <w:rPr>
          <w:color w:val="000000"/>
        </w:rPr>
        <w:t>s</w:t>
      </w:r>
      <w:r w:rsidRPr="0083113B">
        <w:rPr>
          <w:color w:val="000000"/>
        </w:rPr>
        <w:t xml:space="preserve">. According to </w:t>
      </w:r>
      <w:r w:rsidR="00E40F70" w:rsidRPr="0083113B">
        <w:rPr>
          <w:color w:val="000000"/>
        </w:rPr>
        <w:t>several</w:t>
      </w:r>
      <w:r w:rsidR="00893ABC" w:rsidRPr="0083113B">
        <w:rPr>
          <w:color w:val="000000"/>
        </w:rPr>
        <w:t xml:space="preserve"> </w:t>
      </w:r>
      <w:r w:rsidRPr="0083113B">
        <w:rPr>
          <w:color w:val="000000"/>
        </w:rPr>
        <w:t>poultry farmers,</w:t>
      </w:r>
      <w:r w:rsidR="007A3C30" w:rsidRPr="0083113B">
        <w:rPr>
          <w:color w:val="000000"/>
        </w:rPr>
        <w:t xml:space="preserve"> </w:t>
      </w:r>
      <w:r w:rsidR="0013231E" w:rsidRPr="0083113B">
        <w:rPr>
          <w:color w:val="000000"/>
        </w:rPr>
        <w:t>“</w:t>
      </w:r>
      <w:r w:rsidR="007A3C30" w:rsidRPr="0083113B">
        <w:rPr>
          <w:color w:val="000000"/>
        </w:rPr>
        <w:t xml:space="preserve">due to the </w:t>
      </w:r>
      <w:r w:rsidRPr="0083113B">
        <w:rPr>
          <w:color w:val="000000"/>
        </w:rPr>
        <w:t>closure of the airport, replacement for broilers was not readily available</w:t>
      </w:r>
      <w:r w:rsidR="00893ABC" w:rsidRPr="0083113B">
        <w:rPr>
          <w:color w:val="000000"/>
        </w:rPr>
        <w:t>,</w:t>
      </w:r>
      <w:r w:rsidR="0013231E" w:rsidRPr="0083113B">
        <w:rPr>
          <w:color w:val="000000"/>
        </w:rPr>
        <w:t>”</w:t>
      </w:r>
      <w:r w:rsidR="00893ABC" w:rsidRPr="0083113B">
        <w:rPr>
          <w:i/>
          <w:iCs/>
          <w:color w:val="000000"/>
        </w:rPr>
        <w:t xml:space="preserve"> </w:t>
      </w:r>
      <w:r w:rsidR="00893ABC" w:rsidRPr="0083113B">
        <w:rPr>
          <w:color w:val="000000"/>
        </w:rPr>
        <w:t xml:space="preserve">which </w:t>
      </w:r>
      <w:r w:rsidRPr="0083113B">
        <w:rPr>
          <w:color w:val="000000"/>
        </w:rPr>
        <w:t xml:space="preserve">contributed to an </w:t>
      </w:r>
      <w:r w:rsidR="0013231E" w:rsidRPr="0083113B">
        <w:rPr>
          <w:color w:val="000000"/>
        </w:rPr>
        <w:t>“</w:t>
      </w:r>
      <w:r w:rsidRPr="0083113B">
        <w:rPr>
          <w:color w:val="000000"/>
        </w:rPr>
        <w:t>increase in the price of feed and chicks</w:t>
      </w:r>
      <w:r w:rsidR="00893ABC" w:rsidRPr="0083113B">
        <w:rPr>
          <w:color w:val="000000"/>
        </w:rPr>
        <w:t>.</w:t>
      </w:r>
      <w:r w:rsidR="0013231E" w:rsidRPr="0083113B">
        <w:rPr>
          <w:color w:val="000000"/>
        </w:rPr>
        <w:t>”</w:t>
      </w:r>
      <w:r w:rsidR="00893ABC" w:rsidRPr="0083113B">
        <w:rPr>
          <w:i/>
          <w:iCs/>
          <w:color w:val="000000"/>
        </w:rPr>
        <w:t xml:space="preserve"> </w:t>
      </w:r>
      <w:r w:rsidR="007A3C30" w:rsidRPr="0083113B">
        <w:rPr>
          <w:color w:val="000000"/>
        </w:rPr>
        <w:t>Most of the</w:t>
      </w:r>
      <w:r w:rsidR="00893ABC" w:rsidRPr="0083113B">
        <w:rPr>
          <w:i/>
          <w:iCs/>
          <w:color w:val="000000"/>
        </w:rPr>
        <w:t xml:space="preserve"> </w:t>
      </w:r>
      <w:r w:rsidR="00A26B7A" w:rsidRPr="0083113B">
        <w:t xml:space="preserve">farmers </w:t>
      </w:r>
      <w:r w:rsidR="00893ABC" w:rsidRPr="0083113B">
        <w:t>felt</w:t>
      </w:r>
      <w:r w:rsidR="00A26B7A" w:rsidRPr="0083113B">
        <w:t xml:space="preserve"> the government took too long to make</w:t>
      </w:r>
      <w:r w:rsidR="00893ABC" w:rsidRPr="0083113B">
        <w:t xml:space="preserve"> agricultur</w:t>
      </w:r>
      <w:r w:rsidR="008149A8" w:rsidRPr="0083113B">
        <w:t>e</w:t>
      </w:r>
      <w:r w:rsidR="00A26B7A" w:rsidRPr="0083113B">
        <w:t xml:space="preserve"> and </w:t>
      </w:r>
      <w:r w:rsidR="007A3C30" w:rsidRPr="0083113B">
        <w:t>agricultural</w:t>
      </w:r>
      <w:r w:rsidR="00A26B7A" w:rsidRPr="0083113B">
        <w:t xml:space="preserve"> services essential</w:t>
      </w:r>
      <w:r w:rsidR="00893ABC" w:rsidRPr="0083113B">
        <w:t>,</w:t>
      </w:r>
      <w:r w:rsidR="00A26B7A" w:rsidRPr="0083113B">
        <w:t xml:space="preserve"> which </w:t>
      </w:r>
      <w:r w:rsidR="008149A8" w:rsidRPr="0083113B">
        <w:t>limited</w:t>
      </w:r>
      <w:r w:rsidR="00893ABC" w:rsidRPr="0083113B">
        <w:t xml:space="preserve"> food producers and growers and reduced revenue streams during the initial stages of the pandemic</w:t>
      </w:r>
      <w:r w:rsidR="00A26B7A" w:rsidRPr="0083113B">
        <w:t xml:space="preserve">. </w:t>
      </w:r>
      <w:r w:rsidR="00893ABC" w:rsidRPr="0083113B">
        <w:t>All the farmers noted that the lockdown</w:t>
      </w:r>
      <w:r w:rsidR="00A26B7A" w:rsidRPr="0083113B">
        <w:t xml:space="preserve"> resulted in loss of produce and spoilage</w:t>
      </w:r>
      <w:r w:rsidR="00893ABC" w:rsidRPr="0083113B">
        <w:t xml:space="preserve">. Capturing the sentiment of </w:t>
      </w:r>
      <w:proofErr w:type="gramStart"/>
      <w:r w:rsidR="007A3C30" w:rsidRPr="0083113B">
        <w:t>the vast majority of</w:t>
      </w:r>
      <w:proofErr w:type="gramEnd"/>
      <w:r w:rsidR="007A3C30" w:rsidRPr="0083113B">
        <w:t xml:space="preserve"> the</w:t>
      </w:r>
      <w:r w:rsidR="00893ABC" w:rsidRPr="0083113B">
        <w:t xml:space="preserve"> farmers, one vegetable grower concluded</w:t>
      </w:r>
      <w:r w:rsidR="007A3C30" w:rsidRPr="0083113B">
        <w:t xml:space="preserve">, </w:t>
      </w:r>
      <w:r w:rsidR="0013231E" w:rsidRPr="0083113B">
        <w:t>“</w:t>
      </w:r>
      <w:r w:rsidR="007A3C30" w:rsidRPr="0083113B">
        <w:t>s</w:t>
      </w:r>
      <w:r w:rsidR="00A26B7A" w:rsidRPr="0083113B">
        <w:t xml:space="preserve">ome essential businesses such as agricultural shops could have remained opened with proper management to keep </w:t>
      </w:r>
      <w:r w:rsidR="00F21985" w:rsidRPr="0083113B">
        <w:t>COVID-19</w:t>
      </w:r>
      <w:r w:rsidR="00A26B7A" w:rsidRPr="0083113B">
        <w:t xml:space="preserve"> off.</w:t>
      </w:r>
      <w:r w:rsidR="0013231E" w:rsidRPr="0083113B">
        <w:t>”</w:t>
      </w:r>
      <w:r w:rsidR="007A3C30" w:rsidRPr="0083113B">
        <w:t xml:space="preserve"> In short, that farming and local agricultural production was not designated essential and seen as a priority meant hardship for rural growers.</w:t>
      </w:r>
    </w:p>
    <w:p w14:paraId="2C0BA7B2" w14:textId="77777777" w:rsidR="00BD05D6" w:rsidRPr="0083113B" w:rsidRDefault="00BD05D6" w:rsidP="0083113B">
      <w:pPr>
        <w:jc w:val="both"/>
        <w:rPr>
          <w:i/>
          <w:iCs/>
          <w:color w:val="000000"/>
        </w:rPr>
      </w:pPr>
    </w:p>
    <w:p w14:paraId="3CB47BC5" w14:textId="5F9145D4" w:rsidR="00EE4AC1" w:rsidRPr="0083113B" w:rsidRDefault="007A3C30" w:rsidP="0083113B">
      <w:pPr>
        <w:pStyle w:val="Heading1"/>
        <w:spacing w:before="0" w:after="0" w:line="240" w:lineRule="auto"/>
        <w:jc w:val="center"/>
        <w:rPr>
          <w:rFonts w:ascii="Times New Roman" w:hAnsi="Times New Roman"/>
        </w:rPr>
      </w:pPr>
      <w:r w:rsidRPr="0083113B">
        <w:rPr>
          <w:rFonts w:ascii="Times New Roman" w:hAnsi="Times New Roman"/>
        </w:rPr>
        <w:t>Government Assistance and Community Coping Strategies</w:t>
      </w:r>
    </w:p>
    <w:p w14:paraId="1EFC1199" w14:textId="77777777" w:rsidR="00BD05D6" w:rsidRDefault="00BD05D6" w:rsidP="0049456A">
      <w:pPr>
        <w:jc w:val="both"/>
        <w:rPr>
          <w:bCs/>
        </w:rPr>
      </w:pPr>
    </w:p>
    <w:p w14:paraId="7EEA0139" w14:textId="0FFD69B9" w:rsidR="001B45BF" w:rsidRPr="0083113B" w:rsidRDefault="00D3043F" w:rsidP="0083113B">
      <w:pPr>
        <w:jc w:val="both"/>
        <w:rPr>
          <w:i/>
        </w:rPr>
      </w:pPr>
      <w:r w:rsidRPr="0083113B">
        <w:rPr>
          <w:bCs/>
        </w:rPr>
        <w:t>In addition to speaking to the challenges posed by the pandemic,</w:t>
      </w:r>
      <w:r w:rsidR="00EE4AC1" w:rsidRPr="0083113B">
        <w:rPr>
          <w:bCs/>
        </w:rPr>
        <w:t xml:space="preserve"> participants </w:t>
      </w:r>
      <w:r w:rsidR="00D72260" w:rsidRPr="0083113B">
        <w:rPr>
          <w:bCs/>
        </w:rPr>
        <w:t>identified</w:t>
      </w:r>
      <w:r w:rsidR="00EE4AC1" w:rsidRPr="0083113B">
        <w:rPr>
          <w:bCs/>
        </w:rPr>
        <w:t xml:space="preserve"> ways </w:t>
      </w:r>
      <w:r w:rsidRPr="0083113B">
        <w:rPr>
          <w:bCs/>
        </w:rPr>
        <w:t xml:space="preserve">the </w:t>
      </w:r>
      <w:r w:rsidR="00E40F70" w:rsidRPr="0083113B">
        <w:rPr>
          <w:bCs/>
        </w:rPr>
        <w:t>state</w:t>
      </w:r>
      <w:r w:rsidR="00EE4AC1" w:rsidRPr="0083113B">
        <w:rPr>
          <w:bCs/>
        </w:rPr>
        <w:t xml:space="preserve"> assisted </w:t>
      </w:r>
      <w:r w:rsidRPr="0083113B">
        <w:rPr>
          <w:bCs/>
        </w:rPr>
        <w:t>communities during the lockdown. Despite the</w:t>
      </w:r>
      <w:r w:rsidR="00E40F70" w:rsidRPr="0083113B">
        <w:rPr>
          <w:bCs/>
        </w:rPr>
        <w:t xml:space="preserve"> public</w:t>
      </w:r>
      <w:r w:rsidRPr="0083113B">
        <w:rPr>
          <w:bCs/>
        </w:rPr>
        <w:t xml:space="preserve"> aid offered, h</w:t>
      </w:r>
      <w:r w:rsidR="00EE4AC1" w:rsidRPr="0083113B">
        <w:rPr>
          <w:bCs/>
        </w:rPr>
        <w:t>owever</w:t>
      </w:r>
      <w:r w:rsidRPr="0083113B">
        <w:rPr>
          <w:bCs/>
        </w:rPr>
        <w:t>,</w:t>
      </w:r>
      <w:r w:rsidR="00EE4AC1" w:rsidRPr="0083113B">
        <w:rPr>
          <w:bCs/>
        </w:rPr>
        <w:t xml:space="preserve"> over 70% (n = 50)</w:t>
      </w:r>
      <w:r w:rsidRPr="0083113B">
        <w:rPr>
          <w:bCs/>
        </w:rPr>
        <w:t xml:space="preserve"> of the participants</w:t>
      </w:r>
      <w:r w:rsidR="00EE4AC1" w:rsidRPr="0083113B">
        <w:rPr>
          <w:bCs/>
        </w:rPr>
        <w:t xml:space="preserve"> </w:t>
      </w:r>
      <w:r w:rsidR="00E40F70" w:rsidRPr="0083113B">
        <w:rPr>
          <w:bCs/>
        </w:rPr>
        <w:t xml:space="preserve">reported that, </w:t>
      </w:r>
      <w:r w:rsidR="00EE4AC1" w:rsidRPr="0083113B">
        <w:rPr>
          <w:bCs/>
        </w:rPr>
        <w:t>at the time of the interviews</w:t>
      </w:r>
      <w:r w:rsidRPr="0083113B">
        <w:rPr>
          <w:bCs/>
        </w:rPr>
        <w:t xml:space="preserve"> </w:t>
      </w:r>
      <w:r w:rsidR="00E40F70" w:rsidRPr="0083113B">
        <w:rPr>
          <w:bCs/>
        </w:rPr>
        <w:t xml:space="preserve">in </w:t>
      </w:r>
      <w:r w:rsidRPr="0083113B">
        <w:rPr>
          <w:bCs/>
        </w:rPr>
        <w:t xml:space="preserve">July-October </w:t>
      </w:r>
      <w:r w:rsidRPr="0083113B">
        <w:rPr>
          <w:bCs/>
        </w:rPr>
        <w:lastRenderedPageBreak/>
        <w:t>2020</w:t>
      </w:r>
      <w:r w:rsidR="00E40F70" w:rsidRPr="0083113B">
        <w:rPr>
          <w:bCs/>
        </w:rPr>
        <w:t xml:space="preserve">, </w:t>
      </w:r>
      <w:r w:rsidR="00EE4AC1" w:rsidRPr="0083113B">
        <w:rPr>
          <w:bCs/>
        </w:rPr>
        <w:t xml:space="preserve">they </w:t>
      </w:r>
      <w:r w:rsidR="0031264B" w:rsidRPr="0083113B">
        <w:rPr>
          <w:bCs/>
        </w:rPr>
        <w:t xml:space="preserve">had </w:t>
      </w:r>
      <w:r w:rsidR="00EE4AC1" w:rsidRPr="0083113B">
        <w:rPr>
          <w:bCs/>
        </w:rPr>
        <w:t xml:space="preserve">received no assistance. </w:t>
      </w:r>
      <w:r w:rsidRPr="0083113B">
        <w:rPr>
          <w:bCs/>
        </w:rPr>
        <w:t xml:space="preserve">Those who did receive </w:t>
      </w:r>
      <w:r w:rsidR="00E40F70" w:rsidRPr="0083113B">
        <w:rPr>
          <w:bCs/>
        </w:rPr>
        <w:t>government</w:t>
      </w:r>
      <w:r w:rsidRPr="0083113B">
        <w:rPr>
          <w:bCs/>
        </w:rPr>
        <w:t xml:space="preserve"> support </w:t>
      </w:r>
      <w:r w:rsidR="00E40F70" w:rsidRPr="0083113B">
        <w:rPr>
          <w:bCs/>
        </w:rPr>
        <w:t>stated</w:t>
      </w:r>
      <w:r w:rsidRPr="0083113B">
        <w:rPr>
          <w:bCs/>
        </w:rPr>
        <w:t xml:space="preserve"> it took the form of</w:t>
      </w:r>
      <w:r w:rsidR="00EE4AC1" w:rsidRPr="0083113B">
        <w:rPr>
          <w:bCs/>
        </w:rPr>
        <w:t xml:space="preserve"> cash benefits</w:t>
      </w:r>
      <w:r w:rsidRPr="0083113B">
        <w:rPr>
          <w:bCs/>
        </w:rPr>
        <w:t xml:space="preserve"> that were part of a</w:t>
      </w:r>
      <w:r w:rsidR="00EE4AC1" w:rsidRPr="0083113B">
        <w:rPr>
          <w:bCs/>
        </w:rPr>
        <w:t xml:space="preserve"> stimulus package, National Insurance Scheme (NIS) benefits</w:t>
      </w:r>
      <w:r w:rsidRPr="0083113B">
        <w:rPr>
          <w:bCs/>
        </w:rPr>
        <w:t>,</w:t>
      </w:r>
      <w:r w:rsidR="00EE4AC1" w:rsidRPr="0083113B">
        <w:rPr>
          <w:bCs/>
        </w:rPr>
        <w:t xml:space="preserve"> </w:t>
      </w:r>
      <w:r w:rsidR="00E40F70" w:rsidRPr="0083113B">
        <w:rPr>
          <w:bCs/>
        </w:rPr>
        <w:t>or</w:t>
      </w:r>
      <w:r w:rsidR="00EE4AC1" w:rsidRPr="0083113B">
        <w:rPr>
          <w:bCs/>
        </w:rPr>
        <w:t xml:space="preserve"> farm labour assistance. The farm labour assistance was offered </w:t>
      </w:r>
      <w:proofErr w:type="gramStart"/>
      <w:r w:rsidR="00EE4AC1" w:rsidRPr="0083113B">
        <w:rPr>
          <w:bCs/>
        </w:rPr>
        <w:t>as a way to</w:t>
      </w:r>
      <w:proofErr w:type="gramEnd"/>
      <w:r w:rsidR="00EE4AC1" w:rsidRPr="0083113B">
        <w:rPr>
          <w:bCs/>
        </w:rPr>
        <w:t xml:space="preserve"> help cut costs. The cash benefit</w:t>
      </w:r>
      <w:r w:rsidR="00B55793" w:rsidRPr="0083113B">
        <w:rPr>
          <w:bCs/>
        </w:rPr>
        <w:t xml:space="preserve"> </w:t>
      </w:r>
      <w:r w:rsidR="00EE4AC1" w:rsidRPr="0083113B">
        <w:rPr>
          <w:bCs/>
        </w:rPr>
        <w:t>was offered to bus drivers</w:t>
      </w:r>
      <w:r w:rsidR="00E40F70" w:rsidRPr="0083113B">
        <w:rPr>
          <w:bCs/>
        </w:rPr>
        <w:t>,</w:t>
      </w:r>
      <w:r w:rsidR="00EE4AC1" w:rsidRPr="0083113B">
        <w:rPr>
          <w:bCs/>
        </w:rPr>
        <w:t xml:space="preserve"> and the stimulus package</w:t>
      </w:r>
      <w:r w:rsidR="00E40F70" w:rsidRPr="0083113B">
        <w:rPr>
          <w:bCs/>
        </w:rPr>
        <w:t xml:space="preserve"> </w:t>
      </w:r>
      <w:r w:rsidR="00EE4AC1" w:rsidRPr="0083113B">
        <w:rPr>
          <w:bCs/>
        </w:rPr>
        <w:t xml:space="preserve">to hotel workers. </w:t>
      </w:r>
      <w:r w:rsidR="00E40F70" w:rsidRPr="0083113B">
        <w:rPr>
          <w:bCs/>
        </w:rPr>
        <w:t>Notably, o</w:t>
      </w:r>
      <w:r w:rsidR="00EE4AC1" w:rsidRPr="0083113B">
        <w:rPr>
          <w:bCs/>
        </w:rPr>
        <w:t xml:space="preserve">nly 5.8% (n = 4) of the respondents indicated receiving the stimulus package, </w:t>
      </w:r>
      <w:r w:rsidRPr="0083113B">
        <w:rPr>
          <w:bCs/>
        </w:rPr>
        <w:t xml:space="preserve">while </w:t>
      </w:r>
      <w:r w:rsidR="00EE4AC1" w:rsidRPr="0083113B">
        <w:rPr>
          <w:bCs/>
        </w:rPr>
        <w:t>7.2% (n =5) received labour support and 8.7% (n = 6) received cash.</w:t>
      </w:r>
      <w:r w:rsidR="00D22349" w:rsidRPr="0083113B">
        <w:rPr>
          <w:bCs/>
          <w:i/>
          <w:iCs/>
        </w:rPr>
        <w:t xml:space="preserve"> </w:t>
      </w:r>
      <w:r w:rsidR="00A44DCB" w:rsidRPr="0083113B">
        <w:rPr>
          <w:bCs/>
        </w:rPr>
        <w:t xml:space="preserve">Given the </w:t>
      </w:r>
      <w:r w:rsidR="007F0015" w:rsidRPr="0083113B">
        <w:rPr>
          <w:bCs/>
        </w:rPr>
        <w:t>government-imposed</w:t>
      </w:r>
      <w:r w:rsidR="00437647" w:rsidRPr="0083113B">
        <w:rPr>
          <w:bCs/>
        </w:rPr>
        <w:t xml:space="preserve"> </w:t>
      </w:r>
      <w:r w:rsidRPr="0083113B">
        <w:rPr>
          <w:bCs/>
        </w:rPr>
        <w:t>restrict</w:t>
      </w:r>
      <w:r w:rsidR="00437647" w:rsidRPr="0083113B">
        <w:rPr>
          <w:bCs/>
        </w:rPr>
        <w:t>ions to</w:t>
      </w:r>
      <w:r w:rsidRPr="0083113B">
        <w:rPr>
          <w:bCs/>
        </w:rPr>
        <w:t xml:space="preserve"> mobilit</w:t>
      </w:r>
      <w:r w:rsidR="00437647" w:rsidRPr="0083113B">
        <w:rPr>
          <w:bCs/>
        </w:rPr>
        <w:t>y</w:t>
      </w:r>
      <w:r w:rsidR="00A44DCB" w:rsidRPr="0083113B">
        <w:rPr>
          <w:bCs/>
        </w:rPr>
        <w:t xml:space="preserve">, </w:t>
      </w:r>
      <w:r w:rsidRPr="0083113B">
        <w:rPr>
          <w:bCs/>
        </w:rPr>
        <w:t xml:space="preserve">participants </w:t>
      </w:r>
      <w:r w:rsidR="00E40F70" w:rsidRPr="0083113B">
        <w:rPr>
          <w:bCs/>
        </w:rPr>
        <w:t>reported</w:t>
      </w:r>
      <w:r w:rsidRPr="0083113B">
        <w:rPr>
          <w:bCs/>
        </w:rPr>
        <w:t xml:space="preserve"> coping in a variety of ways. </w:t>
      </w:r>
      <w:r w:rsidR="00A44DCB" w:rsidRPr="0083113B">
        <w:rPr>
          <w:bCs/>
        </w:rPr>
        <w:t xml:space="preserve">Some </w:t>
      </w:r>
      <w:r w:rsidR="00437647" w:rsidRPr="0083113B">
        <w:rPr>
          <w:bCs/>
        </w:rPr>
        <w:t>resorted to</w:t>
      </w:r>
      <w:r w:rsidR="00A44DCB" w:rsidRPr="0083113B">
        <w:rPr>
          <w:bCs/>
        </w:rPr>
        <w:t xml:space="preserve"> individual </w:t>
      </w:r>
      <w:r w:rsidR="00437647" w:rsidRPr="0083113B">
        <w:rPr>
          <w:bCs/>
        </w:rPr>
        <w:t>coping strategies</w:t>
      </w:r>
      <w:r w:rsidRPr="0083113B">
        <w:rPr>
          <w:bCs/>
        </w:rPr>
        <w:t>,</w:t>
      </w:r>
      <w:r w:rsidR="00A44DCB" w:rsidRPr="0083113B">
        <w:rPr>
          <w:bCs/>
        </w:rPr>
        <w:t xml:space="preserve"> whil</w:t>
      </w:r>
      <w:r w:rsidRPr="0083113B">
        <w:rPr>
          <w:bCs/>
        </w:rPr>
        <w:t>st</w:t>
      </w:r>
      <w:r w:rsidR="00A44DCB" w:rsidRPr="0083113B">
        <w:rPr>
          <w:bCs/>
        </w:rPr>
        <w:t xml:space="preserve"> </w:t>
      </w:r>
      <w:r w:rsidRPr="0083113B">
        <w:rPr>
          <w:bCs/>
        </w:rPr>
        <w:t>other participants</w:t>
      </w:r>
      <w:r w:rsidR="00A44DCB" w:rsidRPr="0083113B">
        <w:rPr>
          <w:bCs/>
        </w:rPr>
        <w:t xml:space="preserve"> </w:t>
      </w:r>
      <w:r w:rsidR="00DD25D4" w:rsidRPr="0083113B">
        <w:rPr>
          <w:bCs/>
        </w:rPr>
        <w:t>relied</w:t>
      </w:r>
      <w:r w:rsidR="00E40F70" w:rsidRPr="0083113B">
        <w:rPr>
          <w:bCs/>
        </w:rPr>
        <w:t xml:space="preserve"> </w:t>
      </w:r>
      <w:r w:rsidR="00DD25D4" w:rsidRPr="0083113B">
        <w:rPr>
          <w:bCs/>
        </w:rPr>
        <w:t xml:space="preserve">on </w:t>
      </w:r>
      <w:r w:rsidRPr="0083113B">
        <w:rPr>
          <w:bCs/>
        </w:rPr>
        <w:t>communal support and</w:t>
      </w:r>
      <w:r w:rsidR="00A44DCB" w:rsidRPr="0083113B">
        <w:rPr>
          <w:bCs/>
        </w:rPr>
        <w:t xml:space="preserve"> community </w:t>
      </w:r>
      <w:r w:rsidRPr="0083113B">
        <w:rPr>
          <w:bCs/>
        </w:rPr>
        <w:t>solidarity</w:t>
      </w:r>
      <w:r w:rsidR="00A44DCB" w:rsidRPr="0083113B">
        <w:rPr>
          <w:bCs/>
        </w:rPr>
        <w:t xml:space="preserve">. Respondents indicated they </w:t>
      </w:r>
      <w:r w:rsidR="00DD25D4" w:rsidRPr="0083113B">
        <w:rPr>
          <w:bCs/>
        </w:rPr>
        <w:t xml:space="preserve">had </w:t>
      </w:r>
      <w:r w:rsidR="00A44DCB" w:rsidRPr="0083113B">
        <w:rPr>
          <w:bCs/>
        </w:rPr>
        <w:t xml:space="preserve">made every effort to obey the protocols </w:t>
      </w:r>
      <w:r w:rsidRPr="0083113B">
        <w:rPr>
          <w:bCs/>
        </w:rPr>
        <w:t xml:space="preserve">implemented </w:t>
      </w:r>
      <w:proofErr w:type="gramStart"/>
      <w:r w:rsidRPr="0083113B">
        <w:rPr>
          <w:bCs/>
        </w:rPr>
        <w:t>in order</w:t>
      </w:r>
      <w:r w:rsidR="00A44DCB" w:rsidRPr="0083113B">
        <w:rPr>
          <w:bCs/>
        </w:rPr>
        <w:t xml:space="preserve"> to</w:t>
      </w:r>
      <w:proofErr w:type="gramEnd"/>
      <w:r w:rsidR="00A44DCB" w:rsidRPr="0083113B">
        <w:rPr>
          <w:bCs/>
        </w:rPr>
        <w:t xml:space="preserve"> stay safe</w:t>
      </w:r>
      <w:r w:rsidRPr="0083113B">
        <w:rPr>
          <w:bCs/>
        </w:rPr>
        <w:t xml:space="preserve"> and mitigate infection rates</w:t>
      </w:r>
      <w:r w:rsidR="00DD25D4" w:rsidRPr="0083113B">
        <w:rPr>
          <w:bCs/>
        </w:rPr>
        <w:t>.</w:t>
      </w:r>
      <w:r w:rsidR="00A44DCB" w:rsidRPr="0083113B">
        <w:rPr>
          <w:bCs/>
        </w:rPr>
        <w:t xml:space="preserve"> </w:t>
      </w:r>
      <w:r w:rsidR="00DD25D4" w:rsidRPr="0083113B">
        <w:rPr>
          <w:bCs/>
        </w:rPr>
        <w:t>H</w:t>
      </w:r>
      <w:r w:rsidR="00A44DCB" w:rsidRPr="0083113B">
        <w:rPr>
          <w:bCs/>
        </w:rPr>
        <w:t>owever</w:t>
      </w:r>
      <w:r w:rsidRPr="0083113B">
        <w:rPr>
          <w:bCs/>
        </w:rPr>
        <w:t>,</w:t>
      </w:r>
      <w:r w:rsidR="00A44DCB" w:rsidRPr="0083113B">
        <w:rPr>
          <w:bCs/>
        </w:rPr>
        <w:t xml:space="preserve"> as individuals with reduced income</w:t>
      </w:r>
      <w:r w:rsidRPr="0083113B">
        <w:rPr>
          <w:bCs/>
        </w:rPr>
        <w:t>,</w:t>
      </w:r>
      <w:r w:rsidR="00A44DCB" w:rsidRPr="0083113B">
        <w:rPr>
          <w:bCs/>
        </w:rPr>
        <w:t xml:space="preserve"> and in some cases no jobs</w:t>
      </w:r>
      <w:r w:rsidRPr="0083113B">
        <w:rPr>
          <w:bCs/>
        </w:rPr>
        <w:t>,</w:t>
      </w:r>
      <w:r w:rsidR="00A44DCB" w:rsidRPr="0083113B">
        <w:rPr>
          <w:bCs/>
        </w:rPr>
        <w:t xml:space="preserve"> </w:t>
      </w:r>
      <w:r w:rsidRPr="0083113B">
        <w:rPr>
          <w:bCs/>
        </w:rPr>
        <w:t xml:space="preserve">the </w:t>
      </w:r>
      <w:r w:rsidR="00A44DCB" w:rsidRPr="0083113B">
        <w:rPr>
          <w:bCs/>
        </w:rPr>
        <w:t xml:space="preserve">austerity </w:t>
      </w:r>
      <w:r w:rsidRPr="0083113B">
        <w:rPr>
          <w:bCs/>
        </w:rPr>
        <w:t>meant many participants felt they were operating in ‘survival mode</w:t>
      </w:r>
      <w:r w:rsidR="00A44DCB" w:rsidRPr="0083113B">
        <w:rPr>
          <w:bCs/>
        </w:rPr>
        <w:t>.</w:t>
      </w:r>
      <w:r w:rsidRPr="0083113B">
        <w:rPr>
          <w:bCs/>
        </w:rPr>
        <w:t>’</w:t>
      </w:r>
      <w:r w:rsidR="00A44DCB" w:rsidRPr="0083113B">
        <w:rPr>
          <w:bCs/>
        </w:rPr>
        <w:t xml:space="preserve"> More than half the </w:t>
      </w:r>
      <w:r w:rsidR="00591BBB" w:rsidRPr="0083113B">
        <w:rPr>
          <w:bCs/>
        </w:rPr>
        <w:t>participants</w:t>
      </w:r>
      <w:r w:rsidR="00A44DCB" w:rsidRPr="0083113B">
        <w:rPr>
          <w:bCs/>
        </w:rPr>
        <w:t xml:space="preserve"> indicated they </w:t>
      </w:r>
      <w:r w:rsidR="00DD25D4" w:rsidRPr="0083113B">
        <w:rPr>
          <w:bCs/>
        </w:rPr>
        <w:t xml:space="preserve">had </w:t>
      </w:r>
      <w:r w:rsidR="00591BBB" w:rsidRPr="0083113B">
        <w:rPr>
          <w:bCs/>
        </w:rPr>
        <w:t>returned to and relied upon</w:t>
      </w:r>
      <w:r w:rsidR="00A44DCB" w:rsidRPr="0083113B">
        <w:rPr>
          <w:bCs/>
        </w:rPr>
        <w:t xml:space="preserve"> home gardening to feed their families</w:t>
      </w:r>
      <w:r w:rsidR="001B45BF" w:rsidRPr="0083113B">
        <w:rPr>
          <w:bCs/>
        </w:rPr>
        <w:t xml:space="preserve">, with numerous respondents noting they </w:t>
      </w:r>
      <w:r w:rsidR="00D75E7E" w:rsidRPr="0083113B">
        <w:rPr>
          <w:bCs/>
        </w:rPr>
        <w:t>“</w:t>
      </w:r>
      <w:r w:rsidR="00A44DCB" w:rsidRPr="0083113B">
        <w:rPr>
          <w:bCs/>
        </w:rPr>
        <w:t xml:space="preserve">occupied </w:t>
      </w:r>
      <w:r w:rsidR="00D75E7E" w:rsidRPr="0083113B">
        <w:rPr>
          <w:bCs/>
        </w:rPr>
        <w:t>[themselves]</w:t>
      </w:r>
      <w:r w:rsidR="00A44DCB" w:rsidRPr="0083113B">
        <w:rPr>
          <w:bCs/>
        </w:rPr>
        <w:t xml:space="preserve"> by spending time in the garden</w:t>
      </w:r>
      <w:r w:rsidR="00D75E7E" w:rsidRPr="0083113B">
        <w:rPr>
          <w:bCs/>
        </w:rPr>
        <w:t>”</w:t>
      </w:r>
      <w:r w:rsidR="001B45BF" w:rsidRPr="0083113B">
        <w:rPr>
          <w:bCs/>
        </w:rPr>
        <w:t xml:space="preserve"> as a means of </w:t>
      </w:r>
      <w:r w:rsidR="00E40F70" w:rsidRPr="0083113B">
        <w:rPr>
          <w:bCs/>
        </w:rPr>
        <w:t xml:space="preserve">coping mentally, spiritually, </w:t>
      </w:r>
      <w:r w:rsidR="001B45BF" w:rsidRPr="0083113B">
        <w:rPr>
          <w:bCs/>
        </w:rPr>
        <w:t xml:space="preserve">and </w:t>
      </w:r>
      <w:r w:rsidR="00E40F70" w:rsidRPr="0083113B">
        <w:rPr>
          <w:bCs/>
        </w:rPr>
        <w:t>materially (e.g.</w:t>
      </w:r>
      <w:r w:rsidR="00BD05D6">
        <w:rPr>
          <w:bCs/>
        </w:rPr>
        <w:t>,</w:t>
      </w:r>
      <w:r w:rsidR="00E40F70" w:rsidRPr="0083113B">
        <w:rPr>
          <w:bCs/>
        </w:rPr>
        <w:t xml:space="preserve"> </w:t>
      </w:r>
      <w:r w:rsidR="001B45BF" w:rsidRPr="0083113B">
        <w:rPr>
          <w:bCs/>
        </w:rPr>
        <w:t>feeding their families</w:t>
      </w:r>
      <w:r w:rsidR="00E40F70" w:rsidRPr="0083113B">
        <w:rPr>
          <w:bCs/>
        </w:rPr>
        <w:t>)</w:t>
      </w:r>
      <w:r w:rsidR="001B45BF" w:rsidRPr="0083113B">
        <w:rPr>
          <w:bCs/>
        </w:rPr>
        <w:t>.</w:t>
      </w:r>
      <w:r w:rsidR="00A360DA" w:rsidRPr="0083113B">
        <w:rPr>
          <w:bCs/>
        </w:rPr>
        <w:t xml:space="preserve"> </w:t>
      </w:r>
    </w:p>
    <w:p w14:paraId="5E87AE29" w14:textId="77777777" w:rsidR="00BD05D6" w:rsidRDefault="00BD05D6" w:rsidP="0049456A">
      <w:pPr>
        <w:jc w:val="both"/>
        <w:rPr>
          <w:bCs/>
        </w:rPr>
      </w:pPr>
    </w:p>
    <w:p w14:paraId="74E881FB" w14:textId="563A8335" w:rsidR="00A44DCB" w:rsidRDefault="001B45BF" w:rsidP="0049456A">
      <w:pPr>
        <w:jc w:val="both"/>
        <w:rPr>
          <w:bCs/>
        </w:rPr>
      </w:pPr>
      <w:r w:rsidRPr="0083113B">
        <w:rPr>
          <w:bCs/>
        </w:rPr>
        <w:t>Over one-third of the</w:t>
      </w:r>
      <w:r w:rsidR="00A360DA" w:rsidRPr="0083113B">
        <w:rPr>
          <w:bCs/>
        </w:rPr>
        <w:t xml:space="preserve"> participants </w:t>
      </w:r>
      <w:r w:rsidR="00E40F70" w:rsidRPr="0083113B">
        <w:rPr>
          <w:bCs/>
        </w:rPr>
        <w:t>s</w:t>
      </w:r>
      <w:r w:rsidR="00DD25D4" w:rsidRPr="0083113B">
        <w:rPr>
          <w:bCs/>
        </w:rPr>
        <w:t>tated that</w:t>
      </w:r>
      <w:r w:rsidR="00A360DA" w:rsidRPr="0083113B">
        <w:rPr>
          <w:bCs/>
        </w:rPr>
        <w:t xml:space="preserve"> they </w:t>
      </w:r>
      <w:r w:rsidR="00D62BF2" w:rsidRPr="0083113B">
        <w:rPr>
          <w:bCs/>
        </w:rPr>
        <w:t>began planting gardens</w:t>
      </w:r>
      <w:r w:rsidR="00A360DA" w:rsidRPr="0083113B">
        <w:rPr>
          <w:bCs/>
        </w:rPr>
        <w:t xml:space="preserve"> not only to feed their famil</w:t>
      </w:r>
      <w:r w:rsidR="00D62BF2" w:rsidRPr="0083113B">
        <w:rPr>
          <w:bCs/>
        </w:rPr>
        <w:t>ies</w:t>
      </w:r>
      <w:r w:rsidRPr="0083113B">
        <w:rPr>
          <w:bCs/>
        </w:rPr>
        <w:t xml:space="preserve">, </w:t>
      </w:r>
      <w:r w:rsidR="00A360DA" w:rsidRPr="0083113B">
        <w:rPr>
          <w:bCs/>
        </w:rPr>
        <w:t>but as another source of income.</w:t>
      </w:r>
      <w:r w:rsidR="00E40F70" w:rsidRPr="0083113B">
        <w:rPr>
          <w:bCs/>
        </w:rPr>
        <w:t xml:space="preserve"> T</w:t>
      </w:r>
      <w:r w:rsidRPr="0083113B">
        <w:rPr>
          <w:bCs/>
        </w:rPr>
        <w:t>he p</w:t>
      </w:r>
      <w:r w:rsidR="00A44DCB" w:rsidRPr="0083113B">
        <w:rPr>
          <w:bCs/>
        </w:rPr>
        <w:t>articipants who were employed as bus drivers</w:t>
      </w:r>
      <w:r w:rsidRPr="0083113B">
        <w:rPr>
          <w:bCs/>
        </w:rPr>
        <w:t xml:space="preserve">, </w:t>
      </w:r>
      <w:r w:rsidR="00A44DCB" w:rsidRPr="0083113B">
        <w:rPr>
          <w:bCs/>
        </w:rPr>
        <w:t xml:space="preserve">taxi operators, hotel workers, </w:t>
      </w:r>
      <w:r w:rsidRPr="0083113B">
        <w:rPr>
          <w:bCs/>
        </w:rPr>
        <w:t xml:space="preserve">and </w:t>
      </w:r>
      <w:r w:rsidR="00A44DCB" w:rsidRPr="0083113B">
        <w:rPr>
          <w:bCs/>
        </w:rPr>
        <w:t>small business</w:t>
      </w:r>
      <w:r w:rsidR="00D62BF2" w:rsidRPr="0083113B">
        <w:rPr>
          <w:bCs/>
        </w:rPr>
        <w:t>-</w:t>
      </w:r>
      <w:r w:rsidR="00A44DCB" w:rsidRPr="0083113B">
        <w:rPr>
          <w:bCs/>
        </w:rPr>
        <w:t xml:space="preserve">owners all indicated that gardening was a </w:t>
      </w:r>
      <w:r w:rsidR="00E40F70" w:rsidRPr="0083113B">
        <w:rPr>
          <w:bCs/>
        </w:rPr>
        <w:t>primary</w:t>
      </w:r>
      <w:r w:rsidR="00A44DCB" w:rsidRPr="0083113B">
        <w:rPr>
          <w:bCs/>
        </w:rPr>
        <w:t xml:space="preserve"> </w:t>
      </w:r>
      <w:r w:rsidR="00E40F70" w:rsidRPr="0083113B">
        <w:rPr>
          <w:bCs/>
        </w:rPr>
        <w:t>livelihood and coping</w:t>
      </w:r>
      <w:r w:rsidR="00A44DCB" w:rsidRPr="0083113B">
        <w:rPr>
          <w:bCs/>
        </w:rPr>
        <w:t xml:space="preserve"> strategy</w:t>
      </w:r>
      <w:r w:rsidRPr="0083113B">
        <w:rPr>
          <w:bCs/>
        </w:rPr>
        <w:t xml:space="preserve">, with respondents from each profession offering comments like, </w:t>
      </w:r>
      <w:r w:rsidR="00D75E7E" w:rsidRPr="0083113B">
        <w:rPr>
          <w:bCs/>
        </w:rPr>
        <w:t>“</w:t>
      </w:r>
      <w:r w:rsidRPr="0083113B">
        <w:rPr>
          <w:bCs/>
        </w:rPr>
        <w:t>I reverted to the land to plant food for my consumption as well as for sale.</w:t>
      </w:r>
      <w:r w:rsidR="00D75E7E" w:rsidRPr="0083113B">
        <w:rPr>
          <w:bCs/>
        </w:rPr>
        <w:t>”</w:t>
      </w:r>
      <w:r w:rsidRPr="0083113B">
        <w:rPr>
          <w:bCs/>
        </w:rPr>
        <w:t xml:space="preserve"> </w:t>
      </w:r>
      <w:r w:rsidR="00A44DCB" w:rsidRPr="0083113B">
        <w:rPr>
          <w:bCs/>
        </w:rPr>
        <w:t xml:space="preserve">Another common coping mechanism </w:t>
      </w:r>
      <w:r w:rsidR="00AE7388" w:rsidRPr="0083113B">
        <w:rPr>
          <w:bCs/>
        </w:rPr>
        <w:t xml:space="preserve">adopted </w:t>
      </w:r>
      <w:r w:rsidR="00A44DCB" w:rsidRPr="0083113B">
        <w:rPr>
          <w:bCs/>
        </w:rPr>
        <w:t>was</w:t>
      </w:r>
      <w:r w:rsidR="00D62BF2" w:rsidRPr="0083113B">
        <w:rPr>
          <w:bCs/>
        </w:rPr>
        <w:t xml:space="preserve"> </w:t>
      </w:r>
      <w:r w:rsidR="00E40F70" w:rsidRPr="0083113B">
        <w:rPr>
          <w:bCs/>
        </w:rPr>
        <w:t xml:space="preserve">being </w:t>
      </w:r>
      <w:r w:rsidR="00D62BF2" w:rsidRPr="0083113B">
        <w:rPr>
          <w:bCs/>
        </w:rPr>
        <w:t>more attentive</w:t>
      </w:r>
      <w:r w:rsidR="00A44DCB" w:rsidRPr="0083113B">
        <w:rPr>
          <w:bCs/>
        </w:rPr>
        <w:t xml:space="preserve"> </w:t>
      </w:r>
      <w:r w:rsidR="00AE7388" w:rsidRPr="0083113B">
        <w:rPr>
          <w:bCs/>
        </w:rPr>
        <w:t xml:space="preserve">to </w:t>
      </w:r>
      <w:r w:rsidR="00A44DCB" w:rsidRPr="0083113B">
        <w:rPr>
          <w:bCs/>
        </w:rPr>
        <w:t>budgeting and economi</w:t>
      </w:r>
      <w:r w:rsidR="00D62BF2" w:rsidRPr="0083113B">
        <w:rPr>
          <w:bCs/>
        </w:rPr>
        <w:t>s</w:t>
      </w:r>
      <w:r w:rsidR="00A44DCB" w:rsidRPr="0083113B">
        <w:rPr>
          <w:bCs/>
        </w:rPr>
        <w:t>ing</w:t>
      </w:r>
      <w:r w:rsidR="00E40F70" w:rsidRPr="0083113B">
        <w:rPr>
          <w:bCs/>
        </w:rPr>
        <w:t xml:space="preserve"> </w:t>
      </w:r>
      <w:r w:rsidR="00AE7388" w:rsidRPr="0083113B">
        <w:rPr>
          <w:bCs/>
        </w:rPr>
        <w:t xml:space="preserve">on </w:t>
      </w:r>
      <w:r w:rsidR="00E40F70" w:rsidRPr="0083113B">
        <w:rPr>
          <w:bCs/>
        </w:rPr>
        <w:t>limited finances</w:t>
      </w:r>
      <w:r w:rsidR="00A44DCB" w:rsidRPr="0083113B">
        <w:rPr>
          <w:bCs/>
        </w:rPr>
        <w:t xml:space="preserve">. </w:t>
      </w:r>
      <w:r w:rsidR="00D62BF2" w:rsidRPr="0083113B">
        <w:rPr>
          <w:bCs/>
        </w:rPr>
        <w:t xml:space="preserve">Given </w:t>
      </w:r>
      <w:r w:rsidR="00AE7388" w:rsidRPr="0083113B">
        <w:rPr>
          <w:bCs/>
        </w:rPr>
        <w:t xml:space="preserve">that </w:t>
      </w:r>
      <w:r w:rsidR="00D62BF2" w:rsidRPr="0083113B">
        <w:rPr>
          <w:bCs/>
        </w:rPr>
        <w:t xml:space="preserve">most </w:t>
      </w:r>
      <w:r w:rsidR="00AE7388" w:rsidRPr="0083113B">
        <w:rPr>
          <w:bCs/>
        </w:rPr>
        <w:t xml:space="preserve">of </w:t>
      </w:r>
      <w:r w:rsidR="00D62BF2" w:rsidRPr="0083113B">
        <w:rPr>
          <w:bCs/>
        </w:rPr>
        <w:t>the participants were working-class, living in rural areas</w:t>
      </w:r>
      <w:r w:rsidR="00D22349" w:rsidRPr="0083113B">
        <w:rPr>
          <w:bCs/>
        </w:rPr>
        <w:t>,</w:t>
      </w:r>
      <w:r w:rsidR="00E40F70" w:rsidRPr="0083113B">
        <w:rPr>
          <w:bCs/>
        </w:rPr>
        <w:t xml:space="preserve"> and unable to travel to shops frequently</w:t>
      </w:r>
      <w:r w:rsidR="00D62BF2" w:rsidRPr="0083113B">
        <w:rPr>
          <w:bCs/>
        </w:rPr>
        <w:t>, i</w:t>
      </w:r>
      <w:r w:rsidR="00A44DCB" w:rsidRPr="0083113B">
        <w:rPr>
          <w:bCs/>
        </w:rPr>
        <w:t xml:space="preserve">t became necessary to purchase only </w:t>
      </w:r>
      <w:r w:rsidR="00D62BF2" w:rsidRPr="0083113B">
        <w:rPr>
          <w:bCs/>
        </w:rPr>
        <w:t>essential</w:t>
      </w:r>
      <w:r w:rsidR="00A44DCB" w:rsidRPr="0083113B">
        <w:rPr>
          <w:bCs/>
        </w:rPr>
        <w:t xml:space="preserve"> </w:t>
      </w:r>
      <w:r w:rsidR="00D62BF2" w:rsidRPr="0083113B">
        <w:rPr>
          <w:bCs/>
        </w:rPr>
        <w:t>items</w:t>
      </w:r>
      <w:r w:rsidR="00A44DCB" w:rsidRPr="0083113B">
        <w:rPr>
          <w:bCs/>
        </w:rPr>
        <w:t>. Participants indicated that</w:t>
      </w:r>
      <w:r w:rsidR="00D62BF2" w:rsidRPr="0083113B">
        <w:rPr>
          <w:bCs/>
        </w:rPr>
        <w:t xml:space="preserve"> </w:t>
      </w:r>
      <w:r w:rsidR="00A44DCB" w:rsidRPr="0083113B">
        <w:rPr>
          <w:bCs/>
        </w:rPr>
        <w:t xml:space="preserve">spending more time at home with family members served as a coping strategy </w:t>
      </w:r>
      <w:r w:rsidR="00EF1975" w:rsidRPr="0083113B">
        <w:rPr>
          <w:bCs/>
        </w:rPr>
        <w:t>for</w:t>
      </w:r>
      <w:r w:rsidR="00A44DCB" w:rsidRPr="0083113B">
        <w:rPr>
          <w:bCs/>
        </w:rPr>
        <w:t xml:space="preserve"> the stress they experienced.</w:t>
      </w:r>
      <w:r w:rsidR="00D62BF2" w:rsidRPr="0083113B">
        <w:rPr>
          <w:bCs/>
        </w:rPr>
        <w:t xml:space="preserve"> Here, in offering insight into the role kinship played in maintain</w:t>
      </w:r>
      <w:r w:rsidR="00E40F70" w:rsidRPr="0083113B">
        <w:rPr>
          <w:bCs/>
        </w:rPr>
        <w:t>ing</w:t>
      </w:r>
      <w:r w:rsidR="00D62BF2" w:rsidRPr="0083113B">
        <w:rPr>
          <w:bCs/>
        </w:rPr>
        <w:t xml:space="preserve"> mental health, several participants recorded statements like, </w:t>
      </w:r>
      <w:r w:rsidR="00D75E7E" w:rsidRPr="0083113B">
        <w:rPr>
          <w:bCs/>
        </w:rPr>
        <w:t>“</w:t>
      </w:r>
      <w:r w:rsidR="00D62BF2" w:rsidRPr="0083113B">
        <w:rPr>
          <w:bCs/>
        </w:rPr>
        <w:t>I</w:t>
      </w:r>
      <w:r w:rsidR="00A44DCB" w:rsidRPr="0083113B">
        <w:rPr>
          <w:bCs/>
        </w:rPr>
        <w:t xml:space="preserve"> spent quality time with my </w:t>
      </w:r>
      <w:r w:rsidR="00F12F37" w:rsidRPr="0083113B">
        <w:rPr>
          <w:bCs/>
        </w:rPr>
        <w:t>family</w:t>
      </w:r>
      <w:r w:rsidR="00D62BF2" w:rsidRPr="0083113B">
        <w:rPr>
          <w:bCs/>
        </w:rPr>
        <w:t>––</w:t>
      </w:r>
      <w:r w:rsidR="00A44DCB" w:rsidRPr="0083113B">
        <w:rPr>
          <w:bCs/>
        </w:rPr>
        <w:t>this helped me to cope with the added stress.</w:t>
      </w:r>
      <w:r w:rsidR="00D75E7E" w:rsidRPr="0083113B">
        <w:rPr>
          <w:bCs/>
        </w:rPr>
        <w:t>”</w:t>
      </w:r>
      <w:r w:rsidR="00A44DCB" w:rsidRPr="0083113B">
        <w:rPr>
          <w:bCs/>
        </w:rPr>
        <w:t xml:space="preserve"> </w:t>
      </w:r>
      <w:r w:rsidR="00D62BF2" w:rsidRPr="0083113B">
        <w:rPr>
          <w:bCs/>
        </w:rPr>
        <w:t>S</w:t>
      </w:r>
      <w:r w:rsidR="006208B6" w:rsidRPr="0083113B">
        <w:rPr>
          <w:bCs/>
        </w:rPr>
        <w:t>mall business</w:t>
      </w:r>
      <w:r w:rsidR="00AE7388" w:rsidRPr="0083113B">
        <w:rPr>
          <w:bCs/>
        </w:rPr>
        <w:t xml:space="preserve"> </w:t>
      </w:r>
      <w:r w:rsidR="006208B6" w:rsidRPr="0083113B">
        <w:rPr>
          <w:bCs/>
        </w:rPr>
        <w:t xml:space="preserve">owners </w:t>
      </w:r>
      <w:r w:rsidR="00D62BF2" w:rsidRPr="0083113B">
        <w:rPr>
          <w:bCs/>
        </w:rPr>
        <w:t>detailed how</w:t>
      </w:r>
      <w:r w:rsidR="006208B6" w:rsidRPr="0083113B">
        <w:rPr>
          <w:bCs/>
        </w:rPr>
        <w:t xml:space="preserve"> cutting back on production costs </w:t>
      </w:r>
      <w:r w:rsidR="00E40F70" w:rsidRPr="0083113B">
        <w:rPr>
          <w:bCs/>
        </w:rPr>
        <w:t xml:space="preserve">allowed them to </w:t>
      </w:r>
      <w:r w:rsidR="00C66E38" w:rsidRPr="0083113B">
        <w:rPr>
          <w:bCs/>
        </w:rPr>
        <w:t>sustain their ventures</w:t>
      </w:r>
      <w:r w:rsidR="00D62BF2" w:rsidRPr="0083113B">
        <w:rPr>
          <w:bCs/>
        </w:rPr>
        <w:t xml:space="preserve">, citing increasing prices and loss of customers as primary </w:t>
      </w:r>
      <w:r w:rsidR="00C66E38" w:rsidRPr="0083113B">
        <w:rPr>
          <w:bCs/>
        </w:rPr>
        <w:t>burdens</w:t>
      </w:r>
      <w:r w:rsidR="00D62BF2" w:rsidRPr="0083113B">
        <w:rPr>
          <w:bCs/>
        </w:rPr>
        <w:t>.</w:t>
      </w:r>
      <w:r w:rsidR="00EF1975" w:rsidRPr="0083113B">
        <w:rPr>
          <w:bCs/>
        </w:rPr>
        <w:t xml:space="preserve"> </w:t>
      </w:r>
    </w:p>
    <w:p w14:paraId="08B1F02A" w14:textId="77777777" w:rsidR="00BD05D6" w:rsidRPr="0083113B" w:rsidRDefault="00BD05D6" w:rsidP="0083113B">
      <w:pPr>
        <w:jc w:val="both"/>
        <w:rPr>
          <w:bCs/>
        </w:rPr>
      </w:pPr>
    </w:p>
    <w:p w14:paraId="04863586" w14:textId="487B7AB6" w:rsidR="00BD05D6" w:rsidRDefault="00414063" w:rsidP="0049456A">
      <w:pPr>
        <w:jc w:val="both"/>
      </w:pPr>
      <w:r w:rsidRPr="0083113B">
        <w:rPr>
          <w:bCs/>
        </w:rPr>
        <w:t>Whilst several established businesses were negatively affected by both the lack of mobility and rising prices of imported products, several new</w:t>
      </w:r>
      <w:r w:rsidR="00EF1975" w:rsidRPr="0083113B">
        <w:rPr>
          <w:bCs/>
        </w:rPr>
        <w:t xml:space="preserve"> </w:t>
      </w:r>
      <w:r w:rsidRPr="0083113B">
        <w:rPr>
          <w:bCs/>
        </w:rPr>
        <w:t xml:space="preserve">micro- and small </w:t>
      </w:r>
      <w:r w:rsidR="00EF1975" w:rsidRPr="0083113B">
        <w:rPr>
          <w:bCs/>
        </w:rPr>
        <w:t xml:space="preserve">businesses </w:t>
      </w:r>
      <w:r w:rsidRPr="0083113B">
        <w:rPr>
          <w:bCs/>
        </w:rPr>
        <w:t xml:space="preserve">were also </w:t>
      </w:r>
      <w:r w:rsidR="00AE7388" w:rsidRPr="0083113B">
        <w:rPr>
          <w:bCs/>
        </w:rPr>
        <w:t>initiated</w:t>
      </w:r>
      <w:r w:rsidR="00EF1975" w:rsidRPr="0083113B">
        <w:rPr>
          <w:bCs/>
        </w:rPr>
        <w:t>. One participant started her own sewing business</w:t>
      </w:r>
      <w:r w:rsidRPr="0083113B">
        <w:rPr>
          <w:bCs/>
        </w:rPr>
        <w:t>, stating</w:t>
      </w:r>
      <w:r w:rsidR="00631311" w:rsidRPr="0083113B">
        <w:rPr>
          <w:bCs/>
        </w:rPr>
        <w:t>,</w:t>
      </w:r>
      <w:r w:rsidRPr="0083113B">
        <w:rPr>
          <w:bCs/>
        </w:rPr>
        <w:t xml:space="preserve"> </w:t>
      </w:r>
      <w:r w:rsidR="00D75E7E" w:rsidRPr="0083113B">
        <w:rPr>
          <w:bCs/>
        </w:rPr>
        <w:t>“</w:t>
      </w:r>
      <w:r w:rsidR="00EF1975" w:rsidRPr="0083113B">
        <w:rPr>
          <w:bCs/>
        </w:rPr>
        <w:t>I made more money working at home during the lockdown period than at my usual job working for another perso</w:t>
      </w:r>
      <w:r w:rsidRPr="0083113B">
        <w:rPr>
          <w:bCs/>
        </w:rPr>
        <w:t>n.</w:t>
      </w:r>
      <w:r w:rsidR="00D75E7E" w:rsidRPr="0083113B">
        <w:rPr>
          <w:bCs/>
        </w:rPr>
        <w:t>”</w:t>
      </w:r>
      <w:r w:rsidRPr="0083113B">
        <w:rPr>
          <w:bCs/>
          <w:i/>
          <w:iCs/>
        </w:rPr>
        <w:t xml:space="preserve"> </w:t>
      </w:r>
      <w:r w:rsidRPr="0083113B">
        <w:t xml:space="preserve">In addition to taking care of each other and spending more time in their yards gardening, about one-quarter of the respondents </w:t>
      </w:r>
      <w:r w:rsidR="00AE7388" w:rsidRPr="0083113B">
        <w:t>reported</w:t>
      </w:r>
      <w:r w:rsidRPr="0083113B">
        <w:t xml:space="preserve"> reaching out to various parliamentary representatives for support and assistance, both for themselves and other members of their community. Other individuals indicated supporting neighbours and families they knew who were struggling by running errands and/or providing groceries. </w:t>
      </w:r>
      <w:proofErr w:type="gramStart"/>
      <w:r w:rsidRPr="0083113B">
        <w:rPr>
          <w:bCs/>
        </w:rPr>
        <w:t>The vast majority of</w:t>
      </w:r>
      <w:proofErr w:type="gramEnd"/>
      <w:r w:rsidRPr="0083113B">
        <w:rPr>
          <w:bCs/>
        </w:rPr>
        <w:t xml:space="preserve"> participants noted</w:t>
      </w:r>
      <w:r w:rsidR="00A44DCB" w:rsidRPr="0083113B">
        <w:t xml:space="preserve"> that</w:t>
      </w:r>
      <w:r w:rsidRPr="0083113B">
        <w:t>,</w:t>
      </w:r>
      <w:r w:rsidR="00A44DCB" w:rsidRPr="0083113B">
        <w:t xml:space="preserve"> despite the challenges </w:t>
      </w:r>
      <w:r w:rsidRPr="0083113B">
        <w:t>and turmoil that</w:t>
      </w:r>
      <w:r w:rsidR="00A44DCB" w:rsidRPr="0083113B">
        <w:t xml:space="preserve"> came with the pandemic, they saw something in the community that </w:t>
      </w:r>
      <w:r w:rsidRPr="0083113B">
        <w:t>harkened back to solidarity they were familiar with from times past</w:t>
      </w:r>
      <w:r w:rsidR="00A44DCB" w:rsidRPr="0083113B">
        <w:t>.</w:t>
      </w:r>
      <w:r w:rsidRPr="0083113B">
        <w:t xml:space="preserve"> </w:t>
      </w:r>
      <w:r w:rsidR="00D75E7E" w:rsidRPr="0083113B">
        <w:t>“</w:t>
      </w:r>
      <w:r w:rsidR="00A44DCB" w:rsidRPr="0083113B">
        <w:t>I saw people sharing with each other,</w:t>
      </w:r>
      <w:r w:rsidR="00D75E7E" w:rsidRPr="0083113B">
        <w:t>”</w:t>
      </w:r>
      <w:r w:rsidRPr="0083113B">
        <w:t xml:space="preserve"> </w:t>
      </w:r>
      <w:r w:rsidR="00A44DCB" w:rsidRPr="0083113B">
        <w:t xml:space="preserve">and </w:t>
      </w:r>
      <w:r w:rsidR="00D75E7E" w:rsidRPr="0083113B">
        <w:t>“</w:t>
      </w:r>
      <w:r w:rsidR="00A44DCB" w:rsidRPr="0083113B">
        <w:t>community people share with each other,</w:t>
      </w:r>
      <w:r w:rsidR="00D75E7E" w:rsidRPr="0083113B">
        <w:t>”</w:t>
      </w:r>
      <w:r w:rsidR="00A44DCB" w:rsidRPr="0083113B">
        <w:t xml:space="preserve"> </w:t>
      </w:r>
      <w:r w:rsidRPr="0083113B">
        <w:t>are only two of</w:t>
      </w:r>
      <w:r w:rsidR="00A44DCB" w:rsidRPr="0083113B">
        <w:t xml:space="preserve"> the </w:t>
      </w:r>
      <w:r w:rsidRPr="0083113B">
        <w:t xml:space="preserve">dozens of statements participants offered about the solidarity, camaraderie, and mutual aid that emerged amongst </w:t>
      </w:r>
      <w:r w:rsidR="004E1846" w:rsidRPr="0083113B">
        <w:t>the</w:t>
      </w:r>
      <w:r w:rsidRPr="0083113B">
        <w:t xml:space="preserve"> rural communities and</w:t>
      </w:r>
      <w:r w:rsidR="007F1087" w:rsidRPr="0083113B">
        <w:t xml:space="preserve"> </w:t>
      </w:r>
      <w:r w:rsidRPr="0083113B">
        <w:t>working-class</w:t>
      </w:r>
      <w:r w:rsidR="007F1087" w:rsidRPr="0083113B">
        <w:t xml:space="preserve"> participants</w:t>
      </w:r>
      <w:r w:rsidRPr="0083113B">
        <w:t xml:space="preserve"> during the lockdown.</w:t>
      </w:r>
    </w:p>
    <w:p w14:paraId="24906D0A" w14:textId="2D572DD6" w:rsidR="00A44DCB" w:rsidRPr="0083113B" w:rsidRDefault="00414063" w:rsidP="0083113B">
      <w:pPr>
        <w:jc w:val="both"/>
        <w:rPr>
          <w:bCs/>
          <w:i/>
          <w:iCs/>
        </w:rPr>
      </w:pPr>
      <w:r w:rsidRPr="0083113B">
        <w:t xml:space="preserve"> </w:t>
      </w:r>
    </w:p>
    <w:p w14:paraId="2D068E22" w14:textId="5420150A" w:rsidR="009006A3" w:rsidRPr="0083113B" w:rsidRDefault="0022169F" w:rsidP="0083113B">
      <w:pPr>
        <w:pStyle w:val="Heading1"/>
        <w:spacing w:before="0" w:after="0" w:line="240" w:lineRule="auto"/>
        <w:jc w:val="center"/>
        <w:rPr>
          <w:rFonts w:ascii="Times New Roman" w:hAnsi="Times New Roman"/>
        </w:rPr>
      </w:pPr>
      <w:r w:rsidRPr="0083113B">
        <w:rPr>
          <w:rFonts w:ascii="Times New Roman" w:hAnsi="Times New Roman"/>
        </w:rPr>
        <w:t>Participant Solutions and Recommendations</w:t>
      </w:r>
    </w:p>
    <w:p w14:paraId="02C442D8" w14:textId="77777777" w:rsidR="00BD05D6" w:rsidRDefault="00BD05D6" w:rsidP="0049456A">
      <w:pPr>
        <w:jc w:val="both"/>
      </w:pPr>
    </w:p>
    <w:p w14:paraId="183A7D9B" w14:textId="371175EE" w:rsidR="004F7319" w:rsidRPr="0083113B" w:rsidRDefault="004F7319" w:rsidP="0083113B">
      <w:pPr>
        <w:jc w:val="both"/>
      </w:pPr>
      <w:r w:rsidRPr="0083113B">
        <w:t xml:space="preserve">In addition to sharing accounts of coping, struggles, and strategies for socially reproducing their families during the pandemic, participants offered a variety of grounded and practical </w:t>
      </w:r>
      <w:r w:rsidRPr="0083113B">
        <w:lastRenderedPageBreak/>
        <w:t xml:space="preserve">solutions. In so doing, </w:t>
      </w:r>
      <w:r w:rsidR="00D22349" w:rsidRPr="0083113B">
        <w:t>most</w:t>
      </w:r>
      <w:r w:rsidRPr="0083113B">
        <w:t xml:space="preserve"> respondents prioritised and often spoke first about offering solidarity and support to marginalised and disadvantaged families. </w:t>
      </w:r>
      <w:r w:rsidR="000B3B1E" w:rsidRPr="0083113B">
        <w:t>When asked</w:t>
      </w:r>
      <w:r w:rsidRPr="0083113B">
        <w:t xml:space="preserve"> what interventions the state could make to better assist the populace, assertions like</w:t>
      </w:r>
      <w:r w:rsidR="00631311" w:rsidRPr="0083113B">
        <w:t>,</w:t>
      </w:r>
      <w:r w:rsidRPr="0083113B">
        <w:t xml:space="preserve"> </w:t>
      </w:r>
      <w:r w:rsidR="00D75E7E" w:rsidRPr="0083113B">
        <w:t>“</w:t>
      </w:r>
      <w:r w:rsidRPr="0083113B">
        <w:t>f</w:t>
      </w:r>
      <w:r w:rsidR="00EE4AC1" w:rsidRPr="0083113B">
        <w:t>ood hampers to the needy and vulnerable</w:t>
      </w:r>
      <w:r w:rsidR="00D75E7E" w:rsidRPr="0083113B">
        <w:t>”</w:t>
      </w:r>
      <w:r w:rsidRPr="0083113B">
        <w:t xml:space="preserve"> and</w:t>
      </w:r>
      <w:r w:rsidR="00EE4AC1" w:rsidRPr="0083113B">
        <w:t xml:space="preserve"> </w:t>
      </w:r>
      <w:r w:rsidR="00D75E7E" w:rsidRPr="0083113B">
        <w:t>“</w:t>
      </w:r>
      <w:r w:rsidRPr="0083113B">
        <w:t>f</w:t>
      </w:r>
      <w:r w:rsidR="00EE4AC1" w:rsidRPr="0083113B">
        <w:t>ood baskets and finance for the need</w:t>
      </w:r>
      <w:r w:rsidR="00EF1975" w:rsidRPr="0083113B">
        <w:t>y</w:t>
      </w:r>
      <w:r w:rsidR="00D75E7E" w:rsidRPr="0083113B">
        <w:t>”</w:t>
      </w:r>
      <w:r w:rsidR="00A26B7A" w:rsidRPr="0083113B">
        <w:rPr>
          <w:i/>
          <w:iCs/>
        </w:rPr>
        <w:t xml:space="preserve"> </w:t>
      </w:r>
      <w:r w:rsidRPr="0083113B">
        <w:t>appeared frequently</w:t>
      </w:r>
      <w:r w:rsidR="00A26B7A" w:rsidRPr="0083113B">
        <w:t xml:space="preserve">. </w:t>
      </w:r>
      <w:r w:rsidRPr="0083113B">
        <w:t>Several</w:t>
      </w:r>
      <w:r w:rsidR="00B65819" w:rsidRPr="0083113B">
        <w:t xml:space="preserve"> participants believed</w:t>
      </w:r>
      <w:r w:rsidRPr="0083113B">
        <w:t xml:space="preserve"> allocating</w:t>
      </w:r>
      <w:r w:rsidR="00B65819" w:rsidRPr="0083113B">
        <w:t xml:space="preserve"> more days for shopping during the lockdown period would have </w:t>
      </w:r>
      <w:r w:rsidRPr="0083113B">
        <w:t>alleviated the negative impacts and several others noted that</w:t>
      </w:r>
      <w:r w:rsidR="00D75E7E" w:rsidRPr="0083113B">
        <w:t>,</w:t>
      </w:r>
      <w:r w:rsidRPr="0083113B">
        <w:t xml:space="preserve"> </w:t>
      </w:r>
      <w:r w:rsidR="00D75E7E" w:rsidRPr="0083113B">
        <w:t xml:space="preserve">“the </w:t>
      </w:r>
      <w:r w:rsidR="00B65819" w:rsidRPr="0083113B">
        <w:t>government should have reduced taxes on selected goods</w:t>
      </w:r>
      <w:r w:rsidRPr="0083113B">
        <w:t>,</w:t>
      </w:r>
      <w:r w:rsidR="00D75E7E" w:rsidRPr="0083113B">
        <w:t>”</w:t>
      </w:r>
      <w:r w:rsidRPr="0083113B">
        <w:t xml:space="preserve"> with others suggesting</w:t>
      </w:r>
      <w:r w:rsidR="00B65819" w:rsidRPr="0083113B">
        <w:t xml:space="preserve"> a tax waiver. </w:t>
      </w:r>
    </w:p>
    <w:p w14:paraId="7861262C" w14:textId="77777777" w:rsidR="00BD05D6" w:rsidRDefault="00BD05D6" w:rsidP="0049456A">
      <w:pPr>
        <w:jc w:val="both"/>
      </w:pPr>
    </w:p>
    <w:p w14:paraId="2861EDC3" w14:textId="034A3327" w:rsidR="00EE4AC1" w:rsidRPr="0083113B" w:rsidRDefault="004F7319" w:rsidP="0083113B">
      <w:pPr>
        <w:jc w:val="both"/>
      </w:pPr>
      <w:r w:rsidRPr="0083113B">
        <w:t xml:space="preserve">Several comments </w:t>
      </w:r>
      <w:r w:rsidR="00687533" w:rsidRPr="0083113B">
        <w:t xml:space="preserve">related to the distribution of the stimulus package. </w:t>
      </w:r>
      <w:proofErr w:type="gramStart"/>
      <w:r w:rsidR="00687533" w:rsidRPr="0083113B">
        <w:t>The majority of</w:t>
      </w:r>
      <w:proofErr w:type="gramEnd"/>
      <w:r w:rsidR="00687533" w:rsidRPr="0083113B">
        <w:t xml:space="preserve"> the participants</w:t>
      </w:r>
      <w:r w:rsidR="00EF1975" w:rsidRPr="0083113B">
        <w:t xml:space="preserve"> </w:t>
      </w:r>
      <w:r w:rsidR="00687533" w:rsidRPr="0083113B">
        <w:t>felt</w:t>
      </w:r>
      <w:r w:rsidR="00EF1975" w:rsidRPr="0083113B">
        <w:t xml:space="preserve"> a</w:t>
      </w:r>
      <w:r w:rsidR="00687533" w:rsidRPr="0083113B">
        <w:t xml:space="preserve"> more </w:t>
      </w:r>
      <w:r w:rsidR="00EF1975" w:rsidRPr="0083113B">
        <w:t xml:space="preserve">thorough assessment of </w:t>
      </w:r>
      <w:r w:rsidR="00687533" w:rsidRPr="0083113B">
        <w:t xml:space="preserve">individuals and families in need should have been put in place to </w:t>
      </w:r>
      <w:r w:rsidR="00EF1975" w:rsidRPr="0083113B">
        <w:t>ensure</w:t>
      </w:r>
      <w:r w:rsidR="00687533" w:rsidRPr="0083113B">
        <w:t xml:space="preserve"> transparency and</w:t>
      </w:r>
      <w:r w:rsidR="00EF1975" w:rsidRPr="0083113B">
        <w:t xml:space="preserve"> fairness in the </w:t>
      </w:r>
      <w:r w:rsidR="00687533" w:rsidRPr="0083113B">
        <w:t>allocation</w:t>
      </w:r>
      <w:r w:rsidR="00EF1975" w:rsidRPr="0083113B">
        <w:t xml:space="preserve"> of the stimulus packages.</w:t>
      </w:r>
      <w:r w:rsidR="00687533" w:rsidRPr="0083113B">
        <w:t xml:space="preserve"> An indicative quote offered by one respondent </w:t>
      </w:r>
      <w:r w:rsidR="00F20D51" w:rsidRPr="0083113B">
        <w:t>is</w:t>
      </w:r>
      <w:r w:rsidR="00687533" w:rsidRPr="0083113B">
        <w:t xml:space="preserve"> as follows, </w:t>
      </w:r>
      <w:r w:rsidR="00D75E7E" w:rsidRPr="0083113B">
        <w:t xml:space="preserve">“[a] </w:t>
      </w:r>
      <w:r w:rsidR="00687533" w:rsidRPr="0083113B">
        <w:rPr>
          <w:color w:val="000000"/>
        </w:rPr>
        <w:t>s</w:t>
      </w:r>
      <w:r w:rsidR="00EF1975" w:rsidRPr="0083113B">
        <w:rPr>
          <w:color w:val="000000"/>
        </w:rPr>
        <w:t>timulus package should have been distributed evenly, not only to those who have but also those who needed it</w:t>
      </w:r>
      <w:r w:rsidR="00687533" w:rsidRPr="0083113B">
        <w:rPr>
          <w:color w:val="000000"/>
        </w:rPr>
        <w:t>,</w:t>
      </w:r>
      <w:r w:rsidR="00D75E7E" w:rsidRPr="0083113B">
        <w:rPr>
          <w:color w:val="000000"/>
        </w:rPr>
        <w:t>”</w:t>
      </w:r>
      <w:r w:rsidR="00687533" w:rsidRPr="0083113B">
        <w:rPr>
          <w:i/>
          <w:iCs/>
          <w:color w:val="000000"/>
        </w:rPr>
        <w:t xml:space="preserve"> </w:t>
      </w:r>
      <w:r w:rsidR="00687533" w:rsidRPr="0083113B">
        <w:rPr>
          <w:color w:val="000000"/>
        </w:rPr>
        <w:t xml:space="preserve">with another participant </w:t>
      </w:r>
      <w:r w:rsidR="00D75E7E" w:rsidRPr="0083113B">
        <w:rPr>
          <w:color w:val="000000"/>
        </w:rPr>
        <w:t>suggesting to</w:t>
      </w:r>
      <w:r w:rsidR="00687533" w:rsidRPr="0083113B">
        <w:rPr>
          <w:i/>
          <w:iCs/>
          <w:color w:val="000000"/>
        </w:rPr>
        <w:t xml:space="preserve"> </w:t>
      </w:r>
      <w:r w:rsidR="00D75E7E" w:rsidRPr="0083113B">
        <w:rPr>
          <w:color w:val="000000"/>
        </w:rPr>
        <w:t>“</w:t>
      </w:r>
      <w:r w:rsidR="00687533" w:rsidRPr="0083113B">
        <w:rPr>
          <w:color w:val="000000"/>
        </w:rPr>
        <w:t>d</w:t>
      </w:r>
      <w:r w:rsidR="0058038A" w:rsidRPr="0083113B">
        <w:rPr>
          <w:color w:val="000000"/>
        </w:rPr>
        <w:t>o a survey to find out what exist and the needs</w:t>
      </w:r>
      <w:r w:rsidR="00687533" w:rsidRPr="0083113B">
        <w:rPr>
          <w:color w:val="000000"/>
        </w:rPr>
        <w:t xml:space="preserve"> …</w:t>
      </w:r>
      <w:r w:rsidR="00D75E7E" w:rsidRPr="0083113B">
        <w:rPr>
          <w:color w:val="000000"/>
        </w:rPr>
        <w:t xml:space="preserve"> </w:t>
      </w:r>
      <w:r w:rsidR="00687533" w:rsidRPr="0083113B">
        <w:rPr>
          <w:color w:val="000000"/>
        </w:rPr>
        <w:t>v</w:t>
      </w:r>
      <w:r w:rsidR="0058038A" w:rsidRPr="0083113B">
        <w:rPr>
          <w:color w:val="000000"/>
        </w:rPr>
        <w:t>ouchers could have been given to get foods from farmers and fishermen.</w:t>
      </w:r>
      <w:r w:rsidR="00BD3B07" w:rsidRPr="0083113B">
        <w:rPr>
          <w:color w:val="000000"/>
        </w:rPr>
        <w:t>”</w:t>
      </w:r>
      <w:r w:rsidR="00687533" w:rsidRPr="0083113B">
        <w:rPr>
          <w:i/>
          <w:iCs/>
          <w:color w:val="000000"/>
        </w:rPr>
        <w:t xml:space="preserve"> </w:t>
      </w:r>
      <w:r w:rsidR="00611874" w:rsidRPr="0083113B">
        <w:rPr>
          <w:color w:val="000000"/>
        </w:rPr>
        <w:t>The</w:t>
      </w:r>
      <w:r w:rsidR="00255E8F" w:rsidRPr="0083113B">
        <w:rPr>
          <w:color w:val="000000"/>
        </w:rPr>
        <w:t xml:space="preserve"> </w:t>
      </w:r>
      <w:r w:rsidR="00687533" w:rsidRPr="0083113B">
        <w:rPr>
          <w:color w:val="000000"/>
        </w:rPr>
        <w:t>argument from participants here is that the government</w:t>
      </w:r>
      <w:r w:rsidR="00255E8F" w:rsidRPr="0083113B">
        <w:rPr>
          <w:color w:val="000000"/>
        </w:rPr>
        <w:t xml:space="preserve"> should have collaborated with farmers</w:t>
      </w:r>
      <w:r w:rsidR="00687533" w:rsidRPr="0083113B">
        <w:rPr>
          <w:color w:val="000000"/>
        </w:rPr>
        <w:t xml:space="preserve"> and fisherfolk to</w:t>
      </w:r>
      <w:r w:rsidR="00255E8F" w:rsidRPr="0083113B">
        <w:rPr>
          <w:color w:val="000000"/>
        </w:rPr>
        <w:t xml:space="preserve"> purchase goods from them to avoid spoilage, </w:t>
      </w:r>
      <w:r w:rsidR="00687533" w:rsidRPr="0083113B">
        <w:rPr>
          <w:color w:val="000000"/>
        </w:rPr>
        <w:t>then</w:t>
      </w:r>
      <w:r w:rsidR="00255E8F" w:rsidRPr="0083113B">
        <w:rPr>
          <w:color w:val="000000"/>
        </w:rPr>
        <w:t xml:space="preserve"> use the goods</w:t>
      </w:r>
      <w:r w:rsidR="00687533" w:rsidRPr="0083113B">
        <w:rPr>
          <w:color w:val="000000"/>
        </w:rPr>
        <w:t xml:space="preserve"> that were</w:t>
      </w:r>
      <w:r w:rsidR="00255E8F" w:rsidRPr="0083113B">
        <w:rPr>
          <w:color w:val="000000"/>
        </w:rPr>
        <w:t xml:space="preserve"> purchased as part of </w:t>
      </w:r>
      <w:r w:rsidR="000B3B1E" w:rsidRPr="0083113B">
        <w:rPr>
          <w:color w:val="000000"/>
        </w:rPr>
        <w:t xml:space="preserve">the </w:t>
      </w:r>
      <w:r w:rsidR="00255E8F" w:rsidRPr="0083113B">
        <w:rPr>
          <w:color w:val="000000"/>
        </w:rPr>
        <w:t>distribution packages for t</w:t>
      </w:r>
      <w:r w:rsidR="00F20D51" w:rsidRPr="0083113B">
        <w:rPr>
          <w:color w:val="000000"/>
        </w:rPr>
        <w:t>hose in need</w:t>
      </w:r>
      <w:r w:rsidR="00255E8F" w:rsidRPr="0083113B">
        <w:rPr>
          <w:color w:val="000000"/>
        </w:rPr>
        <w:t xml:space="preserve">. </w:t>
      </w:r>
      <w:r w:rsidR="00F20D51" w:rsidRPr="0083113B">
        <w:rPr>
          <w:color w:val="000000"/>
        </w:rPr>
        <w:t>A</w:t>
      </w:r>
      <w:r w:rsidR="00687533" w:rsidRPr="0083113B">
        <w:rPr>
          <w:color w:val="000000"/>
        </w:rPr>
        <w:t xml:space="preserve">ll the participants </w:t>
      </w:r>
      <w:r w:rsidR="00255E8F" w:rsidRPr="0083113B">
        <w:rPr>
          <w:color w:val="000000"/>
        </w:rPr>
        <w:t>from farming communi</w:t>
      </w:r>
      <w:r w:rsidR="00687533" w:rsidRPr="0083113B">
        <w:rPr>
          <w:color w:val="000000"/>
        </w:rPr>
        <w:t>ties</w:t>
      </w:r>
      <w:r w:rsidR="00255E8F" w:rsidRPr="0083113B">
        <w:rPr>
          <w:color w:val="000000"/>
        </w:rPr>
        <w:t xml:space="preserve"> </w:t>
      </w:r>
      <w:r w:rsidR="00687533" w:rsidRPr="0083113B">
        <w:rPr>
          <w:color w:val="000000"/>
        </w:rPr>
        <w:t>agreed</w:t>
      </w:r>
      <w:r w:rsidR="00255E8F" w:rsidRPr="0083113B">
        <w:rPr>
          <w:color w:val="000000"/>
        </w:rPr>
        <w:t xml:space="preserve"> this w</w:t>
      </w:r>
      <w:r w:rsidR="00687533" w:rsidRPr="0083113B">
        <w:rPr>
          <w:color w:val="000000"/>
        </w:rPr>
        <w:t xml:space="preserve">ould have been an effective </w:t>
      </w:r>
      <w:r w:rsidR="00255E8F" w:rsidRPr="0083113B">
        <w:rPr>
          <w:color w:val="000000"/>
        </w:rPr>
        <w:t xml:space="preserve">strategy </w:t>
      </w:r>
      <w:r w:rsidR="000B3B1E" w:rsidRPr="0083113B">
        <w:rPr>
          <w:color w:val="000000"/>
        </w:rPr>
        <w:t>to</w:t>
      </w:r>
      <w:r w:rsidR="00255E8F" w:rsidRPr="0083113B">
        <w:rPr>
          <w:color w:val="000000"/>
        </w:rPr>
        <w:t xml:space="preserve"> assist farmers in gaining an income</w:t>
      </w:r>
      <w:r w:rsidR="00611874" w:rsidRPr="0083113B">
        <w:rPr>
          <w:color w:val="000000"/>
        </w:rPr>
        <w:t>, prevent</w:t>
      </w:r>
      <w:r w:rsidR="00687533" w:rsidRPr="0083113B">
        <w:rPr>
          <w:color w:val="000000"/>
        </w:rPr>
        <w:t xml:space="preserve"> the</w:t>
      </w:r>
      <w:r w:rsidR="00611874" w:rsidRPr="0083113B">
        <w:rPr>
          <w:color w:val="000000"/>
        </w:rPr>
        <w:t xml:space="preserve"> spoilage of produce,</w:t>
      </w:r>
      <w:r w:rsidR="00255E8F" w:rsidRPr="0083113B">
        <w:rPr>
          <w:color w:val="000000"/>
        </w:rPr>
        <w:t xml:space="preserve"> </w:t>
      </w:r>
      <w:r w:rsidR="00687533" w:rsidRPr="0083113B">
        <w:rPr>
          <w:color w:val="000000"/>
        </w:rPr>
        <w:t>and</w:t>
      </w:r>
      <w:r w:rsidR="00255E8F" w:rsidRPr="0083113B">
        <w:rPr>
          <w:color w:val="000000"/>
        </w:rPr>
        <w:t xml:space="preserve"> </w:t>
      </w:r>
      <w:r w:rsidR="00687533" w:rsidRPr="0083113B">
        <w:rPr>
          <w:color w:val="000000"/>
        </w:rPr>
        <w:t>aid</w:t>
      </w:r>
      <w:r w:rsidR="00255E8F" w:rsidRPr="0083113B">
        <w:rPr>
          <w:color w:val="000000"/>
        </w:rPr>
        <w:t xml:space="preserve"> the most vulnerable</w:t>
      </w:r>
      <w:r w:rsidR="00687533" w:rsidRPr="0083113B">
        <w:rPr>
          <w:color w:val="000000"/>
        </w:rPr>
        <w:t xml:space="preserve"> all at the same time. Nearly all the farmers</w:t>
      </w:r>
      <w:r w:rsidR="00D22349" w:rsidRPr="0083113B">
        <w:rPr>
          <w:color w:val="000000"/>
        </w:rPr>
        <w:t xml:space="preserve"> and fisherfolk</w:t>
      </w:r>
      <w:r w:rsidR="00687533" w:rsidRPr="0083113B">
        <w:rPr>
          <w:color w:val="000000"/>
        </w:rPr>
        <w:t xml:space="preserve"> we spoke with offered a quote like, </w:t>
      </w:r>
      <w:r w:rsidR="00BD3B07" w:rsidRPr="0083113B">
        <w:rPr>
          <w:color w:val="000000"/>
        </w:rPr>
        <w:t>“</w:t>
      </w:r>
      <w:r w:rsidR="00687533" w:rsidRPr="0083113B">
        <w:rPr>
          <w:color w:val="000000"/>
        </w:rPr>
        <w:t>g</w:t>
      </w:r>
      <w:r w:rsidR="00255E8F" w:rsidRPr="0083113B">
        <w:rPr>
          <w:color w:val="000000"/>
        </w:rPr>
        <w:t>overnment could have purchased from farmers and fisherfolks and distribute to the neediest</w:t>
      </w:r>
      <w:r w:rsidR="00BD3B07" w:rsidRPr="0083113B">
        <w:rPr>
          <w:color w:val="000000"/>
        </w:rPr>
        <w:t>”</w:t>
      </w:r>
      <w:r w:rsidR="00687533" w:rsidRPr="0083113B">
        <w:rPr>
          <w:i/>
          <w:iCs/>
          <w:color w:val="000000"/>
        </w:rPr>
        <w:t xml:space="preserve"> </w:t>
      </w:r>
      <w:r w:rsidR="00687533" w:rsidRPr="0083113B">
        <w:rPr>
          <w:color w:val="000000"/>
        </w:rPr>
        <w:t>when the topic of solutions and recommendations was broached.</w:t>
      </w:r>
    </w:p>
    <w:p w14:paraId="7239640B" w14:textId="77777777" w:rsidR="00BD05D6" w:rsidRDefault="00BD05D6" w:rsidP="0049456A">
      <w:pPr>
        <w:jc w:val="both"/>
      </w:pPr>
    </w:p>
    <w:p w14:paraId="7F86CF1F" w14:textId="46012B5E" w:rsidR="00F20D51" w:rsidRPr="0083113B" w:rsidRDefault="005E6A2F" w:rsidP="0083113B">
      <w:pPr>
        <w:jc w:val="both"/>
      </w:pPr>
      <w:r w:rsidRPr="0083113B">
        <w:t>P</w:t>
      </w:r>
      <w:r w:rsidR="00A44DCB" w:rsidRPr="0083113B">
        <w:t xml:space="preserve">articipants </w:t>
      </w:r>
      <w:r w:rsidRPr="0083113B">
        <w:t xml:space="preserve">also spoke about longer-term and structural changes that needed to be made. The vast majority, and all of those who were farmers and food producers, </w:t>
      </w:r>
      <w:r w:rsidR="00A44DCB" w:rsidRPr="0083113B">
        <w:t xml:space="preserve">thought </w:t>
      </w:r>
      <w:r w:rsidRPr="0083113B">
        <w:t>the government should place</w:t>
      </w:r>
      <w:r w:rsidR="00A44DCB" w:rsidRPr="0083113B">
        <w:t xml:space="preserve"> more emphasis on</w:t>
      </w:r>
      <w:r w:rsidR="00481DFD" w:rsidRPr="0083113B">
        <w:t xml:space="preserve"> local crops, self-sufficiency, and</w:t>
      </w:r>
      <w:r w:rsidR="00A44DCB" w:rsidRPr="0083113B">
        <w:t xml:space="preserve"> develop</w:t>
      </w:r>
      <w:r w:rsidRPr="0083113B">
        <w:t>ing</w:t>
      </w:r>
      <w:r w:rsidR="00A44DCB" w:rsidRPr="0083113B">
        <w:t xml:space="preserve"> the agriculture sector </w:t>
      </w:r>
      <w:proofErr w:type="gramStart"/>
      <w:r w:rsidRPr="0083113B">
        <w:t>in order to</w:t>
      </w:r>
      <w:proofErr w:type="gramEnd"/>
      <w:r w:rsidR="00A44DCB" w:rsidRPr="0083113B">
        <w:t xml:space="preserve"> prevent</w:t>
      </w:r>
      <w:r w:rsidRPr="0083113B">
        <w:t xml:space="preserve"> the food</w:t>
      </w:r>
      <w:r w:rsidR="002C06E1" w:rsidRPr="0083113B">
        <w:t xml:space="preserve"> insecurity and</w:t>
      </w:r>
      <w:r w:rsidRPr="0083113B">
        <w:t xml:space="preserve"> </w:t>
      </w:r>
      <w:r w:rsidR="002C06E1" w:rsidRPr="0083113B">
        <w:t>economic</w:t>
      </w:r>
      <w:r w:rsidR="00A44DCB" w:rsidRPr="0083113B">
        <w:t xml:space="preserve"> shock </w:t>
      </w:r>
      <w:r w:rsidRPr="0083113B">
        <w:t>the pandemic caused</w:t>
      </w:r>
      <w:r w:rsidR="00A44DCB" w:rsidRPr="0083113B">
        <w:t>.</w:t>
      </w:r>
      <w:r w:rsidR="00EC0D0B" w:rsidRPr="0083113B">
        <w:t xml:space="preserve"> </w:t>
      </w:r>
      <w:r w:rsidR="00E177FD" w:rsidRPr="0083113B">
        <w:t>One</w:t>
      </w:r>
      <w:r w:rsidR="00EC0D0B" w:rsidRPr="0083113B">
        <w:t xml:space="preserve"> bus driver even noted, </w:t>
      </w:r>
      <w:r w:rsidR="00BD3B07" w:rsidRPr="0083113B">
        <w:t>“</w:t>
      </w:r>
      <w:r w:rsidR="00EC0D0B" w:rsidRPr="0083113B">
        <w:t>g</w:t>
      </w:r>
      <w:r w:rsidR="00A44DCB" w:rsidRPr="0083113B">
        <w:t>overnment should invest more in agriculture</w:t>
      </w:r>
      <w:r w:rsidR="00481DFD" w:rsidRPr="0083113B">
        <w:t xml:space="preserve"> and local foods and crops</w:t>
      </w:r>
      <w:r w:rsidR="00A44DCB" w:rsidRPr="0083113B">
        <w:t xml:space="preserve"> now</w:t>
      </w:r>
      <w:r w:rsidR="00F20D51" w:rsidRPr="0083113B">
        <w:t>,</w:t>
      </w:r>
      <w:r w:rsidR="00A44DCB" w:rsidRPr="0083113B">
        <w:t xml:space="preserve"> and less in tourism because the industry is not stable presently</w:t>
      </w:r>
      <w:r w:rsidR="00EC0D0B" w:rsidRPr="0083113B">
        <w:t>,</w:t>
      </w:r>
      <w:r w:rsidR="00BD3B07" w:rsidRPr="0083113B">
        <w:t>”</w:t>
      </w:r>
      <w:r w:rsidR="00EC0D0B" w:rsidRPr="0083113B">
        <w:rPr>
          <w:i/>
          <w:iCs/>
        </w:rPr>
        <w:t xml:space="preserve"> </w:t>
      </w:r>
      <w:r w:rsidR="00EC0D0B" w:rsidRPr="0083113B">
        <w:t>which is a</w:t>
      </w:r>
      <w:r w:rsidR="00A44DCB" w:rsidRPr="0083113B">
        <w:t xml:space="preserve"> sentiment </w:t>
      </w:r>
      <w:r w:rsidR="00EC0D0B" w:rsidRPr="0083113B">
        <w:t>that was</w:t>
      </w:r>
      <w:r w:rsidR="00A44DCB" w:rsidRPr="0083113B">
        <w:t xml:space="preserve"> echoed by </w:t>
      </w:r>
      <w:r w:rsidR="00D22349" w:rsidRPr="0083113B">
        <w:t>many</w:t>
      </w:r>
      <w:r w:rsidR="00A44DCB" w:rsidRPr="0083113B">
        <w:t xml:space="preserve"> participants</w:t>
      </w:r>
      <w:r w:rsidR="00E177FD" w:rsidRPr="0083113B">
        <w:t xml:space="preserve">. </w:t>
      </w:r>
      <w:r w:rsidR="00EC0D0B" w:rsidRPr="0083113B">
        <w:t>Participants</w:t>
      </w:r>
      <w:r w:rsidR="00EE4AC1" w:rsidRPr="0083113B">
        <w:t xml:space="preserve"> </w:t>
      </w:r>
      <w:r w:rsidR="00EC0D0B" w:rsidRPr="0083113B">
        <w:t>noted the</w:t>
      </w:r>
      <w:r w:rsidR="00EE4AC1" w:rsidRPr="0083113B">
        <w:t xml:space="preserve"> </w:t>
      </w:r>
      <w:r w:rsidR="00EC0D0B" w:rsidRPr="0083113B">
        <w:t>state</w:t>
      </w:r>
      <w:r w:rsidR="00EE4AC1" w:rsidRPr="0083113B">
        <w:t xml:space="preserve"> should </w:t>
      </w:r>
      <w:r w:rsidR="00EC0D0B" w:rsidRPr="0083113B">
        <w:t>develop</w:t>
      </w:r>
      <w:r w:rsidR="00EE4AC1" w:rsidRPr="0083113B">
        <w:t xml:space="preserve"> policies directed at</w:t>
      </w:r>
      <w:r w:rsidR="00445FEF" w:rsidRPr="0083113B">
        <w:t xml:space="preserve"> food security</w:t>
      </w:r>
      <w:r w:rsidR="00481DFD" w:rsidRPr="0083113B">
        <w:t>, local foods,</w:t>
      </w:r>
      <w:r w:rsidR="00445FEF" w:rsidRPr="0083113B">
        <w:t xml:space="preserve"> and</w:t>
      </w:r>
      <w:r w:rsidR="00EE4AC1" w:rsidRPr="0083113B">
        <w:t xml:space="preserve"> encouraging young people to get involved in farming.</w:t>
      </w:r>
      <w:r w:rsidR="00EC0D0B" w:rsidRPr="0083113B">
        <w:t xml:space="preserve"> In advocating for youth in agriculture to be</w:t>
      </w:r>
      <w:r w:rsidR="00445FEF" w:rsidRPr="0083113B">
        <w:t>come</w:t>
      </w:r>
      <w:r w:rsidR="00EC0D0B" w:rsidRPr="0083113B">
        <w:t xml:space="preserve"> a national priority, </w:t>
      </w:r>
      <w:r w:rsidR="00445FEF" w:rsidRPr="0083113B">
        <w:t>respondents</w:t>
      </w:r>
      <w:r w:rsidR="00EC0D0B" w:rsidRPr="0083113B">
        <w:t xml:space="preserve"> offered statements to the effect of</w:t>
      </w:r>
      <w:r w:rsidR="00D22349" w:rsidRPr="0083113B">
        <w:t>,</w:t>
      </w:r>
      <w:r w:rsidR="00EC0D0B" w:rsidRPr="0083113B">
        <w:rPr>
          <w:i/>
          <w:iCs/>
        </w:rPr>
        <w:t xml:space="preserve"> </w:t>
      </w:r>
      <w:r w:rsidR="00BD3B07" w:rsidRPr="0083113B">
        <w:t>“</w:t>
      </w:r>
      <w:r w:rsidR="00EC0D0B" w:rsidRPr="0083113B">
        <w:t>y</w:t>
      </w:r>
      <w:r w:rsidR="00EE4AC1" w:rsidRPr="0083113B">
        <w:t>oung people should be assisted and encouraged to get into</w:t>
      </w:r>
      <w:r w:rsidR="00B55793" w:rsidRPr="0083113B">
        <w:t xml:space="preserve"> </w:t>
      </w:r>
      <w:r w:rsidR="00EE4AC1" w:rsidRPr="0083113B">
        <w:t>farming</w:t>
      </w:r>
      <w:r w:rsidR="00481DFD" w:rsidRPr="0083113B">
        <w:t>, especially local foods</w:t>
      </w:r>
      <w:r w:rsidR="00EC0D0B" w:rsidRPr="0083113B">
        <w:t>.</w:t>
      </w:r>
      <w:r w:rsidR="00BD3B07" w:rsidRPr="0083113B">
        <w:t>”</w:t>
      </w:r>
      <w:r w:rsidR="00EC0D0B" w:rsidRPr="0083113B">
        <w:t xml:space="preserve"> </w:t>
      </w:r>
    </w:p>
    <w:p w14:paraId="46BA5F2B" w14:textId="77777777" w:rsidR="00BD05D6" w:rsidRDefault="00BD05D6" w:rsidP="0049456A">
      <w:pPr>
        <w:jc w:val="both"/>
      </w:pPr>
    </w:p>
    <w:p w14:paraId="03D8B2AF" w14:textId="5E611796" w:rsidR="00F21985" w:rsidRPr="0083113B" w:rsidRDefault="00445FEF" w:rsidP="0083113B">
      <w:pPr>
        <w:jc w:val="both"/>
      </w:pPr>
      <w:r w:rsidRPr="0083113B">
        <w:t xml:space="preserve">Participants </w:t>
      </w:r>
      <w:r w:rsidR="00F20D51" w:rsidRPr="0083113B">
        <w:t xml:space="preserve">also </w:t>
      </w:r>
      <w:r w:rsidRPr="0083113B">
        <w:t>identified the need for a more concrete and committed</w:t>
      </w:r>
      <w:r w:rsidR="00B65819" w:rsidRPr="0083113B">
        <w:t xml:space="preserve"> national food security policy as a top priority.</w:t>
      </w:r>
      <w:r w:rsidRPr="0083113B">
        <w:t xml:space="preserve"> Speaking to the inefficacy of national policy, </w:t>
      </w:r>
      <w:r w:rsidR="00F20D51" w:rsidRPr="0083113B">
        <w:t>contributors</w:t>
      </w:r>
      <w:r w:rsidRPr="0083113B">
        <w:t xml:space="preserve"> offered statements like,</w:t>
      </w:r>
      <w:r w:rsidR="00B65819" w:rsidRPr="0083113B">
        <w:t xml:space="preserve"> </w:t>
      </w:r>
      <w:r w:rsidR="00BD3B07" w:rsidRPr="0083113B">
        <w:t>“</w:t>
      </w:r>
      <w:r w:rsidR="00B65819" w:rsidRPr="0083113B">
        <w:t>I think there is a National Food Security Policy, this should be revisited and if there isn’t an existing one, then one should be put in place and not just in name but ensure that is implemented.</w:t>
      </w:r>
      <w:r w:rsidR="00BD3B07" w:rsidRPr="0083113B">
        <w:t>”</w:t>
      </w:r>
      <w:r w:rsidRPr="0083113B">
        <w:rPr>
          <w:i/>
          <w:iCs/>
        </w:rPr>
        <w:t xml:space="preserve"> </w:t>
      </w:r>
      <w:r w:rsidRPr="0083113B">
        <w:t>In keeping to the topic of local food systems, nearly all the respondents</w:t>
      </w:r>
      <w:r w:rsidR="00834860" w:rsidRPr="0083113B">
        <w:t xml:space="preserve"> </w:t>
      </w:r>
      <w:r w:rsidRPr="0083113B">
        <w:t>advocated the</w:t>
      </w:r>
      <w:r w:rsidR="00834860" w:rsidRPr="0083113B">
        <w:t xml:space="preserve"> creation of manufacturing industries </w:t>
      </w:r>
      <w:r w:rsidRPr="0083113B">
        <w:t>that</w:t>
      </w:r>
      <w:r w:rsidR="00834860" w:rsidRPr="0083113B">
        <w:t xml:space="preserve"> would encourage </w:t>
      </w:r>
      <w:r w:rsidR="00FE5388" w:rsidRPr="0083113B">
        <w:t>increase</w:t>
      </w:r>
      <w:r w:rsidRPr="0083113B">
        <w:t>s</w:t>
      </w:r>
      <w:r w:rsidR="00FE5388" w:rsidRPr="0083113B">
        <w:t xml:space="preserve"> in domestic production</w:t>
      </w:r>
      <w:r w:rsidR="00481DFD" w:rsidRPr="0083113B">
        <w:t xml:space="preserve"> </w:t>
      </w:r>
      <w:proofErr w:type="gramStart"/>
      <w:r w:rsidR="00481DFD" w:rsidRPr="0083113B">
        <w:t>as a means to</w:t>
      </w:r>
      <w:proofErr w:type="gramEnd"/>
      <w:r w:rsidR="00481DFD" w:rsidRPr="0083113B">
        <w:t xml:space="preserve"> reduce food imports</w:t>
      </w:r>
      <w:r w:rsidR="00FE5388" w:rsidRPr="0083113B">
        <w:t>.</w:t>
      </w:r>
      <w:r w:rsidR="00EF1975" w:rsidRPr="0083113B">
        <w:t xml:space="preserve"> </w:t>
      </w:r>
      <w:r w:rsidR="00767998" w:rsidRPr="0083113B">
        <w:t>They</w:t>
      </w:r>
      <w:r w:rsidRPr="0083113B">
        <w:t xml:space="preserve"> also</w:t>
      </w:r>
      <w:r w:rsidR="00767998" w:rsidRPr="0083113B">
        <w:t xml:space="preserve"> believed that more should be invested in small businesses</w:t>
      </w:r>
      <w:r w:rsidRPr="0083113B">
        <w:t xml:space="preserve"> and cottage industries</w:t>
      </w:r>
      <w:r w:rsidR="00481DFD" w:rsidRPr="0083113B">
        <w:t xml:space="preserve"> for self-sufficiency</w:t>
      </w:r>
      <w:r w:rsidR="00767998" w:rsidRPr="0083113B">
        <w:t xml:space="preserve">. </w:t>
      </w:r>
      <w:r w:rsidRPr="0083113B">
        <w:t xml:space="preserve">Many </w:t>
      </w:r>
      <w:r w:rsidR="00EF1975" w:rsidRPr="0083113B">
        <w:t>emphasi</w:t>
      </w:r>
      <w:r w:rsidR="00481DFD" w:rsidRPr="0083113B">
        <w:t>s</w:t>
      </w:r>
      <w:r w:rsidR="00EF1975" w:rsidRPr="0083113B">
        <w:t>ed the need for proper management structures</w:t>
      </w:r>
      <w:r w:rsidRPr="0083113B">
        <w:t xml:space="preserve">, transparency, and mechanisms of accountability to be put in place </w:t>
      </w:r>
      <w:proofErr w:type="gramStart"/>
      <w:r w:rsidRPr="0083113B">
        <w:t>as a means to</w:t>
      </w:r>
      <w:proofErr w:type="gramEnd"/>
      <w:r w:rsidR="00EF1975" w:rsidRPr="0083113B">
        <w:t xml:space="preserve"> ensure </w:t>
      </w:r>
      <w:r w:rsidRPr="0083113B">
        <w:t>that the practical</w:t>
      </w:r>
      <w:r w:rsidR="00EF1975" w:rsidRPr="0083113B">
        <w:t xml:space="preserve"> implementation of polices </w:t>
      </w:r>
      <w:r w:rsidRPr="0083113B">
        <w:t>was</w:t>
      </w:r>
      <w:r w:rsidR="00EF1975" w:rsidRPr="0083113B">
        <w:t xml:space="preserve"> </w:t>
      </w:r>
      <w:r w:rsidR="00F20D51" w:rsidRPr="0083113B">
        <w:t xml:space="preserve">seen as being </w:t>
      </w:r>
      <w:r w:rsidR="00EF1975" w:rsidRPr="0083113B">
        <w:t>just as important as having the policies</w:t>
      </w:r>
      <w:r w:rsidRPr="0083113B">
        <w:t xml:space="preserve"> in place on paper</w:t>
      </w:r>
      <w:r w:rsidR="00EF1975" w:rsidRPr="0083113B">
        <w:t>.</w:t>
      </w:r>
    </w:p>
    <w:p w14:paraId="4E2508C6" w14:textId="77777777" w:rsidR="00BD05D6" w:rsidRDefault="00BD05D6" w:rsidP="0049456A">
      <w:pPr>
        <w:jc w:val="both"/>
      </w:pPr>
    </w:p>
    <w:p w14:paraId="4B5B45C0" w14:textId="4C07C0B4" w:rsidR="009A6563" w:rsidRPr="0083113B" w:rsidRDefault="00B34BB9" w:rsidP="0083113B">
      <w:pPr>
        <w:jc w:val="both"/>
        <w:rPr>
          <w:i/>
          <w:iCs/>
          <w:color w:val="000000"/>
        </w:rPr>
      </w:pPr>
      <w:r w:rsidRPr="0083113B">
        <w:t xml:space="preserve">A key suggestion on policy review emanating from the research was the need for policies that control price increases. </w:t>
      </w:r>
      <w:r w:rsidR="00445FEF" w:rsidRPr="0083113B">
        <w:t>Several</w:t>
      </w:r>
      <w:r w:rsidRPr="0083113B">
        <w:t xml:space="preserve"> participants </w:t>
      </w:r>
      <w:r w:rsidR="00445FEF" w:rsidRPr="0083113B">
        <w:t>felt</w:t>
      </w:r>
      <w:r w:rsidRPr="0083113B">
        <w:t xml:space="preserve"> that the </w:t>
      </w:r>
      <w:r w:rsidR="004265FD" w:rsidRPr="0083113B">
        <w:t>economic</w:t>
      </w:r>
      <w:r w:rsidR="00445FEF" w:rsidRPr="0083113B">
        <w:t xml:space="preserve"> shock</w:t>
      </w:r>
      <w:r w:rsidRPr="0083113B">
        <w:t xml:space="preserve"> was exploited by </w:t>
      </w:r>
      <w:r w:rsidR="00445FEF" w:rsidRPr="0083113B">
        <w:lastRenderedPageBreak/>
        <w:t xml:space="preserve">certain actors, which </w:t>
      </w:r>
      <w:r w:rsidR="00611874" w:rsidRPr="0083113B">
        <w:t>heightened</w:t>
      </w:r>
      <w:r w:rsidRPr="0083113B">
        <w:t xml:space="preserve"> an already difficult situation</w:t>
      </w:r>
      <w:r w:rsidR="00445FEF" w:rsidRPr="0083113B">
        <w:t xml:space="preserve">, with one interviewee capturing the common sentiment of respondents when they stated, </w:t>
      </w:r>
      <w:r w:rsidR="00BD3B07" w:rsidRPr="0083113B">
        <w:t>“</w:t>
      </w:r>
      <w:r w:rsidRPr="0083113B">
        <w:t>I think the government should revisit the price control act and enforce it so that in times like these no one will suffer or be taken advantage of.</w:t>
      </w:r>
      <w:r w:rsidR="00BD3B07" w:rsidRPr="0083113B">
        <w:t>”</w:t>
      </w:r>
      <w:r w:rsidR="00445FEF" w:rsidRPr="0083113B">
        <w:rPr>
          <w:i/>
          <w:iCs/>
        </w:rPr>
        <w:t xml:space="preserve"> </w:t>
      </w:r>
      <w:r w:rsidR="00445FEF" w:rsidRPr="0083113B">
        <w:t>In addition, t</w:t>
      </w:r>
      <w:r w:rsidRPr="0083113B">
        <w:t xml:space="preserve">here was a call by </w:t>
      </w:r>
      <w:r w:rsidR="00E10919" w:rsidRPr="0083113B">
        <w:t xml:space="preserve">several </w:t>
      </w:r>
      <w:r w:rsidRPr="0083113B">
        <w:t xml:space="preserve">participants for </w:t>
      </w:r>
      <w:r w:rsidR="00445FEF" w:rsidRPr="0083113B">
        <w:t xml:space="preserve">the </w:t>
      </w:r>
      <w:r w:rsidRPr="0083113B">
        <w:t xml:space="preserve">government to take a closer look at the policies guiding the country’s </w:t>
      </w:r>
      <w:r w:rsidR="00445FEF" w:rsidRPr="0083113B">
        <w:t>‘</w:t>
      </w:r>
      <w:r w:rsidRPr="0083113B">
        <w:t>Marketing and National Importing Board,</w:t>
      </w:r>
      <w:r w:rsidR="00445FEF" w:rsidRPr="0083113B">
        <w:t>’</w:t>
      </w:r>
      <w:r w:rsidRPr="0083113B">
        <w:t xml:space="preserve"> which they believe could assist greatly in proper guidelines for</w:t>
      </w:r>
      <w:r w:rsidR="00445FEF" w:rsidRPr="0083113B">
        <w:t xml:space="preserve"> the</w:t>
      </w:r>
      <w:r w:rsidRPr="0083113B">
        <w:t xml:space="preserve"> storage and distribution of produce</w:t>
      </w:r>
      <w:r w:rsidR="004265FD" w:rsidRPr="0083113B">
        <w:t xml:space="preserve"> </w:t>
      </w:r>
      <w:proofErr w:type="gramStart"/>
      <w:r w:rsidR="004265FD" w:rsidRPr="0083113B">
        <w:t>as a means to</w:t>
      </w:r>
      <w:proofErr w:type="gramEnd"/>
      <w:r w:rsidR="004265FD" w:rsidRPr="0083113B">
        <w:t xml:space="preserve"> secure food and provisions</w:t>
      </w:r>
      <w:r w:rsidRPr="0083113B">
        <w:t>.</w:t>
      </w:r>
      <w:r w:rsidR="00445FEF" w:rsidRPr="0083113B">
        <w:t xml:space="preserve"> A participant explained this when stating, </w:t>
      </w:r>
      <w:r w:rsidR="00BD3B07" w:rsidRPr="0083113B">
        <w:t>“</w:t>
      </w:r>
      <w:r w:rsidR="00445FEF" w:rsidRPr="0083113B">
        <w:rPr>
          <w:color w:val="000000"/>
        </w:rPr>
        <w:t>we need to r</w:t>
      </w:r>
      <w:r w:rsidRPr="0083113B">
        <w:rPr>
          <w:color w:val="000000"/>
        </w:rPr>
        <w:t>evisit the role of the Marketing and National Importing Board (MNIB)</w:t>
      </w:r>
      <w:r w:rsidR="00445FEF" w:rsidRPr="0083113B">
        <w:rPr>
          <w:color w:val="000000"/>
        </w:rPr>
        <w:t xml:space="preserve"> as</w:t>
      </w:r>
      <w:r w:rsidRPr="0083113B">
        <w:rPr>
          <w:color w:val="000000"/>
        </w:rPr>
        <w:t xml:space="preserve"> a better job could be done in purchasing, storing</w:t>
      </w:r>
      <w:r w:rsidR="00445FEF" w:rsidRPr="0083113B">
        <w:rPr>
          <w:color w:val="000000"/>
        </w:rPr>
        <w:t>,</w:t>
      </w:r>
      <w:r w:rsidRPr="0083113B">
        <w:rPr>
          <w:color w:val="000000"/>
        </w:rPr>
        <w:t xml:space="preserve"> and distribut</w:t>
      </w:r>
      <w:r w:rsidR="00445FEF" w:rsidRPr="0083113B">
        <w:rPr>
          <w:color w:val="000000"/>
        </w:rPr>
        <w:t>ing</w:t>
      </w:r>
      <w:r w:rsidRPr="0083113B">
        <w:rPr>
          <w:color w:val="000000"/>
        </w:rPr>
        <w:t xml:space="preserve"> food, which will help with food security</w:t>
      </w:r>
      <w:r w:rsidR="00445FEF" w:rsidRPr="0083113B">
        <w:rPr>
          <w:color w:val="000000"/>
        </w:rPr>
        <w:t>,</w:t>
      </w:r>
      <w:r w:rsidRPr="0083113B">
        <w:rPr>
          <w:color w:val="000000"/>
        </w:rPr>
        <w:t xml:space="preserve"> especially during times of crisis.”</w:t>
      </w:r>
      <w:r w:rsidRPr="0083113B">
        <w:rPr>
          <w:i/>
          <w:iCs/>
          <w:color w:val="000000"/>
        </w:rPr>
        <w:t xml:space="preserve"> </w:t>
      </w:r>
      <w:r w:rsidR="00E10919" w:rsidRPr="0083113B">
        <w:rPr>
          <w:color w:val="000000"/>
        </w:rPr>
        <w:t>Notably, this</w:t>
      </w:r>
      <w:r w:rsidRPr="0083113B">
        <w:rPr>
          <w:color w:val="000000"/>
        </w:rPr>
        <w:t xml:space="preserve"> </w:t>
      </w:r>
      <w:r w:rsidR="00E10919" w:rsidRPr="0083113B">
        <w:rPr>
          <w:color w:val="000000"/>
        </w:rPr>
        <w:t>argument</w:t>
      </w:r>
      <w:r w:rsidRPr="0083113B">
        <w:rPr>
          <w:color w:val="000000"/>
        </w:rPr>
        <w:t xml:space="preserve"> </w:t>
      </w:r>
      <w:r w:rsidR="00E10919" w:rsidRPr="0083113B">
        <w:rPr>
          <w:color w:val="000000"/>
        </w:rPr>
        <w:t>was</w:t>
      </w:r>
      <w:r w:rsidRPr="0083113B">
        <w:rPr>
          <w:color w:val="000000"/>
        </w:rPr>
        <w:t xml:space="preserve"> echoed by </w:t>
      </w:r>
      <w:r w:rsidR="00E10919" w:rsidRPr="0083113B">
        <w:rPr>
          <w:color w:val="000000"/>
        </w:rPr>
        <w:t xml:space="preserve">all </w:t>
      </w:r>
      <w:r w:rsidRPr="0083113B">
        <w:rPr>
          <w:color w:val="000000"/>
        </w:rPr>
        <w:t>the farmers and fisherfolk who participated in the research.</w:t>
      </w:r>
      <w:r w:rsidR="00C625CC" w:rsidRPr="0083113B">
        <w:rPr>
          <w:color w:val="000000"/>
        </w:rPr>
        <w:t xml:space="preserve"> </w:t>
      </w:r>
      <w:r w:rsidR="00E10919" w:rsidRPr="0083113B">
        <w:rPr>
          <w:color w:val="000000"/>
        </w:rPr>
        <w:t xml:space="preserve">There was consensus amongst the participants that adequate food storage, particularly in </w:t>
      </w:r>
      <w:r w:rsidR="00E10919" w:rsidRPr="0083113B">
        <w:rPr>
          <w:i/>
          <w:iCs/>
          <w:color w:val="000000"/>
        </w:rPr>
        <w:t>‘tough conditions</w:t>
      </w:r>
      <w:r w:rsidR="00E10919" w:rsidRPr="0083113B">
        <w:rPr>
          <w:color w:val="000000"/>
        </w:rPr>
        <w:t>’ like the pandemic, was a key factor for the island’s</w:t>
      </w:r>
      <w:r w:rsidR="00C625CC" w:rsidRPr="0083113B">
        <w:rPr>
          <w:color w:val="000000"/>
        </w:rPr>
        <w:t xml:space="preserve"> food </w:t>
      </w:r>
      <w:r w:rsidR="004265FD" w:rsidRPr="0083113B">
        <w:rPr>
          <w:color w:val="000000"/>
        </w:rPr>
        <w:t>in</w:t>
      </w:r>
      <w:r w:rsidR="00C625CC" w:rsidRPr="0083113B">
        <w:rPr>
          <w:color w:val="000000"/>
        </w:rPr>
        <w:t>security</w:t>
      </w:r>
      <w:r w:rsidR="00E10919" w:rsidRPr="0083113B">
        <w:rPr>
          <w:color w:val="000000"/>
        </w:rPr>
        <w:t>. One</w:t>
      </w:r>
      <w:r w:rsidR="00C625CC" w:rsidRPr="0083113B">
        <w:rPr>
          <w:color w:val="000000"/>
        </w:rPr>
        <w:t xml:space="preserve"> participant </w:t>
      </w:r>
      <w:r w:rsidR="00E10919" w:rsidRPr="0083113B">
        <w:rPr>
          <w:color w:val="000000"/>
        </w:rPr>
        <w:t xml:space="preserve">succinctly summed </w:t>
      </w:r>
      <w:r w:rsidR="00726D16" w:rsidRPr="0083113B">
        <w:rPr>
          <w:color w:val="000000"/>
        </w:rPr>
        <w:t>this</w:t>
      </w:r>
      <w:r w:rsidR="00076286" w:rsidRPr="0083113B">
        <w:rPr>
          <w:color w:val="000000"/>
        </w:rPr>
        <w:t xml:space="preserve"> up</w:t>
      </w:r>
      <w:r w:rsidR="00E10919" w:rsidRPr="0083113B">
        <w:rPr>
          <w:color w:val="000000"/>
        </w:rPr>
        <w:t xml:space="preserve"> stating, </w:t>
      </w:r>
      <w:r w:rsidR="00BD3B07" w:rsidRPr="0083113B">
        <w:rPr>
          <w:color w:val="000000"/>
        </w:rPr>
        <w:t>“</w:t>
      </w:r>
      <w:r w:rsidR="00C625CC" w:rsidRPr="0083113B">
        <w:rPr>
          <w:color w:val="000000"/>
        </w:rPr>
        <w:t xml:space="preserve">there is this old saying </w:t>
      </w:r>
      <w:r w:rsidR="00E10919" w:rsidRPr="0083113B">
        <w:rPr>
          <w:color w:val="000000"/>
        </w:rPr>
        <w:t xml:space="preserve">to </w:t>
      </w:r>
      <w:r w:rsidR="00BD3B07" w:rsidRPr="0083113B">
        <w:rPr>
          <w:color w:val="000000"/>
        </w:rPr>
        <w:t>‘</w:t>
      </w:r>
      <w:r w:rsidR="00C625CC" w:rsidRPr="0083113B">
        <w:rPr>
          <w:color w:val="000000"/>
        </w:rPr>
        <w:t>make hay while the sun shines</w:t>
      </w:r>
      <w:r w:rsidR="00E10919" w:rsidRPr="0083113B">
        <w:rPr>
          <w:color w:val="000000"/>
        </w:rPr>
        <w:t>,’ meaning, f</w:t>
      </w:r>
      <w:r w:rsidR="00C625CC" w:rsidRPr="0083113B">
        <w:rPr>
          <w:color w:val="000000"/>
        </w:rPr>
        <w:t>ood should be stored for hard times</w:t>
      </w:r>
      <w:r w:rsidR="00E10919" w:rsidRPr="0083113B">
        <w:rPr>
          <w:color w:val="000000"/>
        </w:rPr>
        <w:t>, which is</w:t>
      </w:r>
      <w:r w:rsidR="00C625CC" w:rsidRPr="0083113B">
        <w:rPr>
          <w:color w:val="000000"/>
        </w:rPr>
        <w:t xml:space="preserve"> something government should looked into.</w:t>
      </w:r>
      <w:r w:rsidR="00BD3B07" w:rsidRPr="0083113B">
        <w:rPr>
          <w:color w:val="000000"/>
        </w:rPr>
        <w:t>”</w:t>
      </w:r>
    </w:p>
    <w:p w14:paraId="741F272F" w14:textId="77777777" w:rsidR="00BD05D6" w:rsidRDefault="00BD05D6" w:rsidP="0049456A">
      <w:pPr>
        <w:jc w:val="both"/>
      </w:pPr>
    </w:p>
    <w:p w14:paraId="38795A74" w14:textId="2ACA8DB1" w:rsidR="00E177FD" w:rsidRPr="0083113B" w:rsidRDefault="00742D7F" w:rsidP="0083113B">
      <w:pPr>
        <w:jc w:val="both"/>
      </w:pPr>
      <w:r w:rsidRPr="0083113B">
        <w:t>Finally, participants</w:t>
      </w:r>
      <w:r w:rsidR="00E177FD" w:rsidRPr="0083113B">
        <w:t xml:space="preserve"> suggested that</w:t>
      </w:r>
      <w:r w:rsidR="00725F77" w:rsidRPr="0083113B">
        <w:t xml:space="preserve"> national</w:t>
      </w:r>
      <w:r w:rsidR="00E177FD" w:rsidRPr="0083113B">
        <w:t xml:space="preserve"> investment in</w:t>
      </w:r>
      <w:r w:rsidR="00481DFD" w:rsidRPr="0083113B">
        <w:t xml:space="preserve"> local crops and</w:t>
      </w:r>
      <w:r w:rsidR="00E177FD" w:rsidRPr="0083113B">
        <w:t xml:space="preserve"> backyard gardening would help </w:t>
      </w:r>
      <w:r w:rsidR="00725F77" w:rsidRPr="0083113B">
        <w:t>mitigate</w:t>
      </w:r>
      <w:r w:rsidR="00E177FD" w:rsidRPr="0083113B">
        <w:t xml:space="preserve"> dependence </w:t>
      </w:r>
      <w:r w:rsidR="00725F77" w:rsidRPr="0083113B">
        <w:t>upon imported</w:t>
      </w:r>
      <w:r w:rsidR="00E177FD" w:rsidRPr="0083113B">
        <w:t xml:space="preserve"> food</w:t>
      </w:r>
      <w:r w:rsidR="00725F77" w:rsidRPr="0083113B">
        <w:t>s</w:t>
      </w:r>
      <w:r w:rsidR="00E177FD" w:rsidRPr="0083113B">
        <w:t>, which many</w:t>
      </w:r>
      <w:r w:rsidR="00725F77" w:rsidRPr="0083113B">
        <w:t xml:space="preserve"> </w:t>
      </w:r>
      <w:r w:rsidR="00076286" w:rsidRPr="0083113B">
        <w:t>clearly stated</w:t>
      </w:r>
      <w:r w:rsidR="00725F77" w:rsidRPr="0083113B">
        <w:t xml:space="preserve"> was a grave detriment to both</w:t>
      </w:r>
      <w:r w:rsidR="00E177FD" w:rsidRPr="0083113B">
        <w:t xml:space="preserve"> the island and </w:t>
      </w:r>
      <w:r w:rsidR="00627FD4" w:rsidRPr="0083113B">
        <w:t xml:space="preserve">the </w:t>
      </w:r>
      <w:r w:rsidR="00E177FD" w:rsidRPr="0083113B">
        <w:t>Caribbean at large. In arguing that the state should prioritise and devote resources to local agroecological production</w:t>
      </w:r>
      <w:r w:rsidR="00481DFD" w:rsidRPr="0083113B">
        <w:t xml:space="preserve"> and free the country from foreign commodities and interests</w:t>
      </w:r>
      <w:r w:rsidR="00E177FD" w:rsidRPr="0083113B">
        <w:t xml:space="preserve">, participants offered statements like, </w:t>
      </w:r>
      <w:r w:rsidR="00DC7054" w:rsidRPr="0083113B">
        <w:t>“</w:t>
      </w:r>
      <w:r w:rsidR="00E177FD" w:rsidRPr="0083113B">
        <w:t>invest more in agriculture by helping farmers, encourage more backyard gardening to reduce importation,</w:t>
      </w:r>
      <w:r w:rsidR="00DC7054" w:rsidRPr="0083113B">
        <w:t>”</w:t>
      </w:r>
      <w:r w:rsidR="00E177FD" w:rsidRPr="0083113B">
        <w:t xml:space="preserve"> and </w:t>
      </w:r>
      <w:r w:rsidR="00DC7054" w:rsidRPr="0083113B">
        <w:t>“</w:t>
      </w:r>
      <w:r w:rsidR="00E177FD" w:rsidRPr="0083113B">
        <w:t>there should be a national backyard gardening programme.</w:t>
      </w:r>
      <w:r w:rsidR="00DC7054" w:rsidRPr="0083113B">
        <w:t>”</w:t>
      </w:r>
      <w:r w:rsidR="00E177FD" w:rsidRPr="0083113B">
        <w:rPr>
          <w:i/>
          <w:iCs/>
        </w:rPr>
        <w:t xml:space="preserve"> </w:t>
      </w:r>
      <w:r w:rsidR="00E177FD" w:rsidRPr="0083113B">
        <w:t xml:space="preserve">Across the board, respondents felt a national policy that supported backyard gardening </w:t>
      </w:r>
      <w:r w:rsidR="00725F77" w:rsidRPr="0083113B">
        <w:t xml:space="preserve">and local produce </w:t>
      </w:r>
      <w:r w:rsidR="00E177FD" w:rsidRPr="0083113B">
        <w:t>would be more environmentally sustainable</w:t>
      </w:r>
      <w:r w:rsidR="00F20D51" w:rsidRPr="0083113B">
        <w:t>;</w:t>
      </w:r>
      <w:r w:rsidR="00E177FD" w:rsidRPr="0083113B">
        <w:t xml:space="preserve"> reduce dependency upon foreign products</w:t>
      </w:r>
      <w:r w:rsidR="00F20D51" w:rsidRPr="0083113B">
        <w:t>;</w:t>
      </w:r>
      <w:r w:rsidR="00E177FD" w:rsidRPr="0083113B">
        <w:t xml:space="preserve"> make the island</w:t>
      </w:r>
      <w:r w:rsidR="00F20D51" w:rsidRPr="0083113B">
        <w:t>’s</w:t>
      </w:r>
      <w:r w:rsidR="00E177FD" w:rsidRPr="0083113B">
        <w:t xml:space="preserve"> food system more resilient</w:t>
      </w:r>
      <w:r w:rsidR="00F20D51" w:rsidRPr="0083113B">
        <w:t>;</w:t>
      </w:r>
      <w:r w:rsidR="00E177FD" w:rsidRPr="0083113B">
        <w:t xml:space="preserve"> benefit </w:t>
      </w:r>
      <w:r w:rsidR="00725F77" w:rsidRPr="0083113B">
        <w:t>small-scale</w:t>
      </w:r>
      <w:r w:rsidR="00E177FD" w:rsidRPr="0083113B">
        <w:t xml:space="preserve"> producers</w:t>
      </w:r>
      <w:r w:rsidR="00725F77" w:rsidRPr="0083113B">
        <w:t>, family farmers,</w:t>
      </w:r>
      <w:r w:rsidR="00E177FD" w:rsidRPr="0083113B">
        <w:t xml:space="preserve"> and workers</w:t>
      </w:r>
      <w:r w:rsidR="00F20D51" w:rsidRPr="0083113B">
        <w:t xml:space="preserve">; </w:t>
      </w:r>
      <w:r w:rsidR="00E177FD" w:rsidRPr="0083113B">
        <w:t>and improve both</w:t>
      </w:r>
      <w:r w:rsidR="00725F77" w:rsidRPr="0083113B">
        <w:t xml:space="preserve"> domestic</w:t>
      </w:r>
      <w:r w:rsidR="00E177FD" w:rsidRPr="0083113B">
        <w:t xml:space="preserve"> diets and health outcomes.</w:t>
      </w:r>
      <w:r w:rsidR="00726D16" w:rsidRPr="0083113B">
        <w:t xml:space="preserve"> In many respects, the participants were calling for more time, resources, and energy on the part of both the government and civil society to be dedicated to</w:t>
      </w:r>
      <w:r w:rsidR="00481DFD" w:rsidRPr="0083113B">
        <w:t xml:space="preserve"> 1)</w:t>
      </w:r>
      <w:r w:rsidR="00726D16" w:rsidRPr="0083113B">
        <w:t xml:space="preserve"> self-sufficiency</w:t>
      </w:r>
      <w:r w:rsidR="00481DFD" w:rsidRPr="0083113B">
        <w:t xml:space="preserve"> and food sovereignty;</w:t>
      </w:r>
      <w:r w:rsidR="00726D16" w:rsidRPr="0083113B">
        <w:t xml:space="preserve"> </w:t>
      </w:r>
      <w:r w:rsidR="00481DFD" w:rsidRPr="0083113B">
        <w:t xml:space="preserve">2) </w:t>
      </w:r>
      <w:r w:rsidR="00726D16" w:rsidRPr="0083113B">
        <w:t xml:space="preserve">the production of local crops and foods, teaching/training on </w:t>
      </w:r>
      <w:proofErr w:type="spellStart"/>
      <w:r w:rsidR="00726D16" w:rsidRPr="0083113B">
        <w:t>agro</w:t>
      </w:r>
      <w:proofErr w:type="spellEnd"/>
      <w:r w:rsidR="00726D16" w:rsidRPr="0083113B">
        <w:t>-ecological farming practices</w:t>
      </w:r>
      <w:r w:rsidR="00481DFD" w:rsidRPr="0083113B">
        <w:t xml:space="preserve">; </w:t>
      </w:r>
      <w:r w:rsidR="00726D16" w:rsidRPr="0083113B">
        <w:t xml:space="preserve">and </w:t>
      </w:r>
      <w:r w:rsidR="00481DFD" w:rsidRPr="0083113B">
        <w:t xml:space="preserve">3) </w:t>
      </w:r>
      <w:r w:rsidR="00726D16" w:rsidRPr="0083113B">
        <w:t xml:space="preserve">reinvesting in and scaling up domestic production. </w:t>
      </w:r>
      <w:proofErr w:type="gramStart"/>
      <w:r w:rsidR="003050F1" w:rsidRPr="0083113B">
        <w:t>All</w:t>
      </w:r>
      <w:r w:rsidR="00726D16" w:rsidRPr="0083113B">
        <w:t xml:space="preserve"> of</w:t>
      </w:r>
      <w:proofErr w:type="gramEnd"/>
      <w:r w:rsidR="00726D16" w:rsidRPr="0083113B">
        <w:t xml:space="preserve"> the participants</w:t>
      </w:r>
      <w:r w:rsidR="003050F1" w:rsidRPr="0083113B">
        <w:t>, in one way or another,</w:t>
      </w:r>
      <w:r w:rsidR="00726D16" w:rsidRPr="0083113B">
        <w:t xml:space="preserve"> explicitly noted these elements </w:t>
      </w:r>
      <w:r w:rsidR="003050F1" w:rsidRPr="0083113B">
        <w:t xml:space="preserve">as being necessary to </w:t>
      </w:r>
      <w:r w:rsidR="00726D16" w:rsidRPr="0083113B">
        <w:t xml:space="preserve">enable </w:t>
      </w:r>
      <w:r w:rsidR="003050F1" w:rsidRPr="0083113B">
        <w:t>Grenada</w:t>
      </w:r>
      <w:r w:rsidR="00726D16" w:rsidRPr="0083113B">
        <w:t xml:space="preserve"> to build a </w:t>
      </w:r>
      <w:r w:rsidR="003050F1" w:rsidRPr="0083113B">
        <w:t xml:space="preserve">more sustainable, resilient, and </w:t>
      </w:r>
      <w:r w:rsidR="00481DFD" w:rsidRPr="0083113B">
        <w:t>independent</w:t>
      </w:r>
      <w:r w:rsidR="003050F1" w:rsidRPr="0083113B">
        <w:t xml:space="preserve"> food system that not only secured food for all and was more ecologically and culturally appropriate for their unique Caribbean context</w:t>
      </w:r>
      <w:r w:rsidR="00F20D51" w:rsidRPr="0083113B">
        <w:t>––</w:t>
      </w:r>
      <w:r w:rsidR="003050F1" w:rsidRPr="0083113B">
        <w:t>but would also lead to a healthier and more just society.</w:t>
      </w:r>
    </w:p>
    <w:p w14:paraId="2D3436B8" w14:textId="77777777" w:rsidR="00BD05D6" w:rsidRDefault="00BD05D6" w:rsidP="0049456A">
      <w:pPr>
        <w:pStyle w:val="Heading1"/>
        <w:spacing w:before="0" w:after="0" w:line="240" w:lineRule="auto"/>
        <w:jc w:val="center"/>
        <w:rPr>
          <w:rFonts w:ascii="Times New Roman" w:hAnsi="Times New Roman"/>
        </w:rPr>
      </w:pPr>
    </w:p>
    <w:p w14:paraId="47377091" w14:textId="6A2F21E5" w:rsidR="00F21985" w:rsidRPr="0083113B" w:rsidRDefault="003050F1" w:rsidP="0083113B">
      <w:pPr>
        <w:pStyle w:val="Heading1"/>
        <w:spacing w:before="0" w:after="0" w:line="240" w:lineRule="auto"/>
        <w:jc w:val="center"/>
        <w:rPr>
          <w:rFonts w:ascii="Times New Roman" w:hAnsi="Times New Roman"/>
        </w:rPr>
      </w:pPr>
      <w:r w:rsidRPr="0083113B">
        <w:rPr>
          <w:rFonts w:ascii="Times New Roman" w:hAnsi="Times New Roman"/>
        </w:rPr>
        <w:t xml:space="preserve">A Coda </w:t>
      </w:r>
      <w:r w:rsidR="004D53BD" w:rsidRPr="0083113B">
        <w:rPr>
          <w:rFonts w:ascii="Times New Roman" w:hAnsi="Times New Roman"/>
        </w:rPr>
        <w:t>on</w:t>
      </w:r>
      <w:r w:rsidR="00F968E8" w:rsidRPr="0083113B">
        <w:rPr>
          <w:rFonts w:ascii="Times New Roman" w:hAnsi="Times New Roman"/>
        </w:rPr>
        <w:t>––</w:t>
      </w:r>
      <w:r w:rsidR="004D53BD" w:rsidRPr="0083113B">
        <w:rPr>
          <w:rFonts w:ascii="Times New Roman" w:hAnsi="Times New Roman"/>
        </w:rPr>
        <w:t>and</w:t>
      </w:r>
      <w:r w:rsidRPr="0083113B">
        <w:rPr>
          <w:rFonts w:ascii="Times New Roman" w:hAnsi="Times New Roman"/>
        </w:rPr>
        <w:t xml:space="preserve"> </w:t>
      </w:r>
      <w:proofErr w:type="gramStart"/>
      <w:r w:rsidRPr="0083113B">
        <w:rPr>
          <w:rFonts w:ascii="Times New Roman" w:hAnsi="Times New Roman"/>
        </w:rPr>
        <w:t>Call</w:t>
      </w:r>
      <w:proofErr w:type="gramEnd"/>
      <w:r w:rsidRPr="0083113B">
        <w:rPr>
          <w:rFonts w:ascii="Times New Roman" w:hAnsi="Times New Roman"/>
        </w:rPr>
        <w:t xml:space="preserve"> for</w:t>
      </w:r>
      <w:r w:rsidR="00F968E8" w:rsidRPr="0083113B">
        <w:rPr>
          <w:rFonts w:ascii="Times New Roman" w:hAnsi="Times New Roman"/>
        </w:rPr>
        <w:t>––</w:t>
      </w:r>
      <w:r w:rsidR="00F21985" w:rsidRPr="0083113B">
        <w:rPr>
          <w:rFonts w:ascii="Times New Roman" w:hAnsi="Times New Roman"/>
        </w:rPr>
        <w:t>Food Sovereignty</w:t>
      </w:r>
      <w:r w:rsidRPr="0083113B">
        <w:rPr>
          <w:rFonts w:ascii="Times New Roman" w:hAnsi="Times New Roman"/>
        </w:rPr>
        <w:t xml:space="preserve"> in the Caribbean</w:t>
      </w:r>
    </w:p>
    <w:p w14:paraId="4936F5BA" w14:textId="77777777" w:rsidR="00BD05D6" w:rsidRDefault="00BD05D6" w:rsidP="0049456A">
      <w:pPr>
        <w:jc w:val="both"/>
        <w:rPr>
          <w:color w:val="000000"/>
        </w:rPr>
      </w:pPr>
    </w:p>
    <w:p w14:paraId="0EE703A9" w14:textId="524DCBB3" w:rsidR="00AC3D72" w:rsidRPr="0083113B" w:rsidRDefault="00CE7133" w:rsidP="0083113B">
      <w:pPr>
        <w:jc w:val="both"/>
      </w:pPr>
      <w:r w:rsidRPr="0083113B">
        <w:rPr>
          <w:color w:val="000000"/>
        </w:rPr>
        <w:t>Our</w:t>
      </w:r>
      <w:r w:rsidR="007E5A98" w:rsidRPr="0083113B">
        <w:rPr>
          <w:color w:val="000000"/>
        </w:rPr>
        <w:t xml:space="preserve"> concluding</w:t>
      </w:r>
      <w:r w:rsidRPr="0083113B">
        <w:rPr>
          <w:color w:val="000000"/>
        </w:rPr>
        <w:t xml:space="preserve"> argument, </w:t>
      </w:r>
      <w:r w:rsidR="007E5A98" w:rsidRPr="0083113B">
        <w:rPr>
          <w:color w:val="000000"/>
        </w:rPr>
        <w:t xml:space="preserve">based upon a historical reading of the </w:t>
      </w:r>
      <w:r w:rsidR="00EA500E" w:rsidRPr="0083113B">
        <w:rPr>
          <w:color w:val="000000"/>
        </w:rPr>
        <w:t>Caribbean</w:t>
      </w:r>
      <w:r w:rsidR="007E5A98" w:rsidRPr="0083113B">
        <w:rPr>
          <w:color w:val="000000"/>
        </w:rPr>
        <w:t xml:space="preserve">, </w:t>
      </w:r>
      <w:r w:rsidR="00EA500E" w:rsidRPr="0083113B">
        <w:rPr>
          <w:color w:val="000000"/>
        </w:rPr>
        <w:t xml:space="preserve">our shared but unique </w:t>
      </w:r>
      <w:r w:rsidR="007E5A98" w:rsidRPr="0083113B">
        <w:rPr>
          <w:color w:val="000000"/>
        </w:rPr>
        <w:t>lived experiences</w:t>
      </w:r>
      <w:r w:rsidR="00EA500E" w:rsidRPr="0083113B">
        <w:rPr>
          <w:color w:val="000000"/>
        </w:rPr>
        <w:t xml:space="preserve"> in the region</w:t>
      </w:r>
      <w:r w:rsidR="007E5A98" w:rsidRPr="0083113B">
        <w:rPr>
          <w:color w:val="000000"/>
        </w:rPr>
        <w:t xml:space="preserve">, and the insights of the </w:t>
      </w:r>
      <w:r w:rsidR="00EA500E" w:rsidRPr="0083113B">
        <w:rPr>
          <w:color w:val="000000"/>
        </w:rPr>
        <w:t>rural workers</w:t>
      </w:r>
      <w:r w:rsidR="007E5A98" w:rsidRPr="0083113B">
        <w:rPr>
          <w:color w:val="000000"/>
        </w:rPr>
        <w:t xml:space="preserve"> who informed this piece, is </w:t>
      </w:r>
      <w:r w:rsidR="00F21985" w:rsidRPr="0083113B">
        <w:rPr>
          <w:color w:val="000000"/>
        </w:rPr>
        <w:t>that</w:t>
      </w:r>
      <w:r w:rsidR="007E5A98" w:rsidRPr="0083113B">
        <w:rPr>
          <w:color w:val="000000"/>
        </w:rPr>
        <w:t xml:space="preserve"> both Grenada</w:t>
      </w:r>
      <w:r w:rsidR="00677088" w:rsidRPr="0083113B">
        <w:rPr>
          <w:color w:val="000000"/>
        </w:rPr>
        <w:t>’s</w:t>
      </w:r>
      <w:r w:rsidR="007E5A98" w:rsidRPr="0083113B">
        <w:rPr>
          <w:color w:val="000000"/>
        </w:rPr>
        <w:t xml:space="preserve"> and</w:t>
      </w:r>
      <w:r w:rsidR="00F21985" w:rsidRPr="0083113B">
        <w:rPr>
          <w:color w:val="000000"/>
        </w:rPr>
        <w:t xml:space="preserve"> the</w:t>
      </w:r>
      <w:r w:rsidR="00677088" w:rsidRPr="0083113B">
        <w:rPr>
          <w:color w:val="000000"/>
        </w:rPr>
        <w:t xml:space="preserve"> </w:t>
      </w:r>
      <w:r w:rsidR="00F21985" w:rsidRPr="0083113B">
        <w:rPr>
          <w:color w:val="000000"/>
        </w:rPr>
        <w:t xml:space="preserve">Caribbean’s </w:t>
      </w:r>
      <w:r w:rsidR="007E5A98" w:rsidRPr="0083113B">
        <w:rPr>
          <w:color w:val="000000"/>
        </w:rPr>
        <w:t>ability to achieve</w:t>
      </w:r>
      <w:r w:rsidR="00F21985" w:rsidRPr="0083113B">
        <w:rPr>
          <w:color w:val="000000"/>
        </w:rPr>
        <w:t xml:space="preserve"> food sovereignty has been </w:t>
      </w:r>
      <w:r w:rsidR="007E5A98" w:rsidRPr="0083113B">
        <w:rPr>
          <w:color w:val="000000"/>
        </w:rPr>
        <w:t xml:space="preserve">severely </w:t>
      </w:r>
      <w:r w:rsidR="00F21985" w:rsidRPr="0083113B">
        <w:rPr>
          <w:color w:val="000000"/>
        </w:rPr>
        <w:t>hindered by</w:t>
      </w:r>
      <w:r w:rsidR="00EA500E" w:rsidRPr="0083113B">
        <w:rPr>
          <w:color w:val="000000"/>
        </w:rPr>
        <w:t xml:space="preserve"> imperial-racial violence,</w:t>
      </w:r>
      <w:r w:rsidR="007E5A98" w:rsidRPr="0083113B">
        <w:rPr>
          <w:color w:val="000000"/>
        </w:rPr>
        <w:t xml:space="preserve"> enduring</w:t>
      </w:r>
      <w:r w:rsidR="00F21985" w:rsidRPr="0083113B">
        <w:rPr>
          <w:color w:val="000000"/>
        </w:rPr>
        <w:t xml:space="preserve"> colonial </w:t>
      </w:r>
      <w:r w:rsidR="00826316" w:rsidRPr="0083113B">
        <w:rPr>
          <w:color w:val="000000"/>
        </w:rPr>
        <w:t>legacies</w:t>
      </w:r>
      <w:r w:rsidR="00EA500E" w:rsidRPr="0083113B">
        <w:rPr>
          <w:color w:val="000000"/>
        </w:rPr>
        <w:t>,</w:t>
      </w:r>
      <w:r w:rsidR="007E5A98" w:rsidRPr="0083113B">
        <w:rPr>
          <w:color w:val="000000"/>
        </w:rPr>
        <w:t xml:space="preserve"> </w:t>
      </w:r>
      <w:r w:rsidR="00F21985" w:rsidRPr="0083113B">
        <w:rPr>
          <w:color w:val="000000"/>
        </w:rPr>
        <w:t>the</w:t>
      </w:r>
      <w:r w:rsidR="007E5A98" w:rsidRPr="0083113B">
        <w:rPr>
          <w:color w:val="000000"/>
        </w:rPr>
        <w:t xml:space="preserve"> ongoing upshots of the</w:t>
      </w:r>
      <w:r w:rsidR="00F21985" w:rsidRPr="0083113B">
        <w:rPr>
          <w:color w:val="000000"/>
        </w:rPr>
        <w:t xml:space="preserve"> plantation system</w:t>
      </w:r>
      <w:r w:rsidR="00677088" w:rsidRPr="0083113B">
        <w:rPr>
          <w:color w:val="000000"/>
        </w:rPr>
        <w:t xml:space="preserve"> and patriarchal norms</w:t>
      </w:r>
      <w:r w:rsidR="00EA500E" w:rsidRPr="0083113B">
        <w:rPr>
          <w:color w:val="000000"/>
        </w:rPr>
        <w:t xml:space="preserve">, and </w:t>
      </w:r>
      <w:r w:rsidR="00F21985" w:rsidRPr="0083113B">
        <w:rPr>
          <w:color w:val="000000"/>
        </w:rPr>
        <w:t xml:space="preserve">the </w:t>
      </w:r>
      <w:r w:rsidR="007E5A98" w:rsidRPr="0083113B">
        <w:rPr>
          <w:color w:val="000000"/>
        </w:rPr>
        <w:t>imposition/</w:t>
      </w:r>
      <w:r w:rsidR="00F21985" w:rsidRPr="0083113B">
        <w:rPr>
          <w:color w:val="000000"/>
        </w:rPr>
        <w:t>adoption of neoliberal structural adjustment policies</w:t>
      </w:r>
      <w:r w:rsidR="007E5A98" w:rsidRPr="0083113B">
        <w:rPr>
          <w:color w:val="000000"/>
        </w:rPr>
        <w:t xml:space="preserve"> </w:t>
      </w:r>
      <w:r w:rsidR="004F48A7" w:rsidRPr="0083113B">
        <w:rPr>
          <w:color w:val="000000"/>
        </w:rPr>
        <w:t>in the</w:t>
      </w:r>
      <w:r w:rsidR="007E5A98" w:rsidRPr="0083113B">
        <w:rPr>
          <w:color w:val="000000"/>
        </w:rPr>
        <w:t xml:space="preserve"> years</w:t>
      </w:r>
      <w:r w:rsidR="004F48A7" w:rsidRPr="0083113B">
        <w:rPr>
          <w:color w:val="000000"/>
        </w:rPr>
        <w:t xml:space="preserve"> after independence</w:t>
      </w:r>
      <w:r w:rsidR="00EA500E" w:rsidRPr="0083113B">
        <w:rPr>
          <w:color w:val="000000"/>
        </w:rPr>
        <w:t>. D</w:t>
      </w:r>
      <w:r w:rsidR="007E5A98" w:rsidRPr="0083113B">
        <w:rPr>
          <w:color w:val="000000"/>
        </w:rPr>
        <w:t>eeply embedded capitalist rationales</w:t>
      </w:r>
      <w:r w:rsidR="00EA500E" w:rsidRPr="0083113B">
        <w:rPr>
          <w:color w:val="000000"/>
        </w:rPr>
        <w:t xml:space="preserve">, </w:t>
      </w:r>
      <w:r w:rsidR="007E5A98" w:rsidRPr="0083113B">
        <w:rPr>
          <w:color w:val="000000"/>
        </w:rPr>
        <w:t>bourgeois respectability politics in state institutions</w:t>
      </w:r>
      <w:r w:rsidR="00EA500E" w:rsidRPr="0083113B">
        <w:rPr>
          <w:color w:val="000000"/>
        </w:rPr>
        <w:t>,</w:t>
      </w:r>
      <w:r w:rsidR="007E5A98" w:rsidRPr="0083113B">
        <w:rPr>
          <w:color w:val="000000"/>
        </w:rPr>
        <w:t xml:space="preserve"> and the</w:t>
      </w:r>
      <w:r w:rsidR="00677088" w:rsidRPr="0083113B">
        <w:rPr>
          <w:color w:val="000000"/>
        </w:rPr>
        <w:t xml:space="preserve"> classist</w:t>
      </w:r>
      <w:r w:rsidR="007E5A98" w:rsidRPr="0083113B">
        <w:rPr>
          <w:color w:val="000000"/>
        </w:rPr>
        <w:t xml:space="preserve"> marginalisation and exclusion of local small-scale farmers, food producers,</w:t>
      </w:r>
      <w:r w:rsidR="00D03648" w:rsidRPr="0083113B">
        <w:rPr>
          <w:color w:val="000000"/>
        </w:rPr>
        <w:t xml:space="preserve"> fisherfolk,</w:t>
      </w:r>
      <w:r w:rsidR="007E5A98" w:rsidRPr="0083113B">
        <w:rPr>
          <w:color w:val="000000"/>
        </w:rPr>
        <w:t xml:space="preserve"> and workers</w:t>
      </w:r>
      <w:r w:rsidR="00EA500E" w:rsidRPr="0083113B">
        <w:rPr>
          <w:color w:val="000000"/>
        </w:rPr>
        <w:t xml:space="preserve"> have also been impediments to exercising collective self-determination over both food and governance</w:t>
      </w:r>
      <w:r w:rsidR="00F21985" w:rsidRPr="0083113B">
        <w:rPr>
          <w:color w:val="000000"/>
        </w:rPr>
        <w:t>.</w:t>
      </w:r>
      <w:r w:rsidR="00826316" w:rsidRPr="0083113B">
        <w:rPr>
          <w:color w:val="000000"/>
        </w:rPr>
        <w:t xml:space="preserve"> </w:t>
      </w:r>
      <w:r w:rsidR="00677088" w:rsidRPr="0083113B">
        <w:rPr>
          <w:color w:val="000000"/>
        </w:rPr>
        <w:t>In short,</w:t>
      </w:r>
      <w:r w:rsidR="00826316" w:rsidRPr="0083113B">
        <w:rPr>
          <w:color w:val="000000"/>
        </w:rPr>
        <w:t xml:space="preserve"> </w:t>
      </w:r>
      <w:r w:rsidR="00677088" w:rsidRPr="0083113B">
        <w:rPr>
          <w:color w:val="000000"/>
        </w:rPr>
        <w:t xml:space="preserve">this constellation of </w:t>
      </w:r>
      <w:r w:rsidR="00826316" w:rsidRPr="0083113B">
        <w:rPr>
          <w:color w:val="000000"/>
        </w:rPr>
        <w:t xml:space="preserve">dynamics </w:t>
      </w:r>
      <w:r w:rsidR="00677088" w:rsidRPr="0083113B">
        <w:rPr>
          <w:color w:val="000000"/>
        </w:rPr>
        <w:t>has</w:t>
      </w:r>
      <w:r w:rsidR="00826316" w:rsidRPr="0083113B">
        <w:rPr>
          <w:color w:val="000000"/>
        </w:rPr>
        <w:t xml:space="preserve"> </w:t>
      </w:r>
      <w:r w:rsidR="00677088" w:rsidRPr="0083113B">
        <w:rPr>
          <w:color w:val="000000"/>
        </w:rPr>
        <w:t>conspired to</w:t>
      </w:r>
      <w:r w:rsidR="00EA500E" w:rsidRPr="0083113B">
        <w:rPr>
          <w:color w:val="000000"/>
        </w:rPr>
        <w:t xml:space="preserve"> set the Caribbean up for crisis and</w:t>
      </w:r>
      <w:r w:rsidR="00826316" w:rsidRPr="0083113B">
        <w:rPr>
          <w:color w:val="000000"/>
        </w:rPr>
        <w:t xml:space="preserve"> foreclose</w:t>
      </w:r>
      <w:r w:rsidR="00EA500E" w:rsidRPr="0083113B">
        <w:rPr>
          <w:color w:val="000000"/>
        </w:rPr>
        <w:t>d</w:t>
      </w:r>
      <w:r w:rsidR="00826316" w:rsidRPr="0083113B">
        <w:rPr>
          <w:color w:val="000000"/>
        </w:rPr>
        <w:t xml:space="preserve"> possibilities for</w:t>
      </w:r>
      <w:r w:rsidR="00677088" w:rsidRPr="0083113B">
        <w:rPr>
          <w:color w:val="000000"/>
        </w:rPr>
        <w:t xml:space="preserve"> both emancipatory politics and</w:t>
      </w:r>
      <w:r w:rsidR="00826316" w:rsidRPr="0083113B">
        <w:rPr>
          <w:color w:val="000000"/>
        </w:rPr>
        <w:t xml:space="preserve"> food sovereignty</w:t>
      </w:r>
      <w:r w:rsidR="00677088" w:rsidRPr="0083113B">
        <w:rPr>
          <w:color w:val="000000"/>
        </w:rPr>
        <w:t xml:space="preserve">, which is </w:t>
      </w:r>
      <w:r w:rsidR="00EA500E" w:rsidRPr="0083113B">
        <w:rPr>
          <w:color w:val="000000"/>
        </w:rPr>
        <w:t>especially</w:t>
      </w:r>
      <w:r w:rsidR="00677088" w:rsidRPr="0083113B">
        <w:rPr>
          <w:color w:val="000000"/>
        </w:rPr>
        <w:t xml:space="preserve"> true for</w:t>
      </w:r>
      <w:r w:rsidR="00EA500E" w:rsidRPr="0083113B">
        <w:rPr>
          <w:color w:val="000000"/>
        </w:rPr>
        <w:t xml:space="preserve"> the</w:t>
      </w:r>
      <w:r w:rsidR="00677088" w:rsidRPr="0083113B">
        <w:rPr>
          <w:color w:val="000000"/>
        </w:rPr>
        <w:t xml:space="preserve"> Anglo-Caribbean (Thompson 2019)</w:t>
      </w:r>
      <w:r w:rsidR="00826316" w:rsidRPr="0083113B">
        <w:rPr>
          <w:color w:val="000000"/>
        </w:rPr>
        <w:t>.</w:t>
      </w:r>
      <w:r w:rsidR="007E5400" w:rsidRPr="0083113B">
        <w:rPr>
          <w:color w:val="000000"/>
        </w:rPr>
        <w:t xml:space="preserve"> </w:t>
      </w:r>
      <w:r w:rsidR="00AC3D72" w:rsidRPr="0083113B">
        <w:rPr>
          <w:color w:val="000000"/>
        </w:rPr>
        <w:t xml:space="preserve">Even so, </w:t>
      </w:r>
      <w:r w:rsidR="00AC3D72" w:rsidRPr="0083113B">
        <w:t xml:space="preserve">as </w:t>
      </w:r>
      <w:r w:rsidR="00EA500E" w:rsidRPr="0083113B">
        <w:rPr>
          <w:color w:val="000000"/>
        </w:rPr>
        <w:t xml:space="preserve">one of the largest social </w:t>
      </w:r>
      <w:r w:rsidR="00EA500E" w:rsidRPr="0083113B">
        <w:rPr>
          <w:color w:val="000000"/>
        </w:rPr>
        <w:lastRenderedPageBreak/>
        <w:t xml:space="preserve">movements in history, </w:t>
      </w:r>
      <w:r w:rsidR="00EA500E" w:rsidRPr="0083113B">
        <w:rPr>
          <w:i/>
          <w:iCs/>
          <w:color w:val="000000"/>
        </w:rPr>
        <w:t xml:space="preserve">La Vía </w:t>
      </w:r>
      <w:proofErr w:type="spellStart"/>
      <w:r w:rsidR="00EA500E" w:rsidRPr="0083113B">
        <w:rPr>
          <w:i/>
          <w:iCs/>
          <w:color w:val="000000"/>
        </w:rPr>
        <w:t>Campesina</w:t>
      </w:r>
      <w:proofErr w:type="spellEnd"/>
      <w:r w:rsidR="00EA500E" w:rsidRPr="0083113B">
        <w:rPr>
          <w:i/>
          <w:iCs/>
          <w:color w:val="000000"/>
        </w:rPr>
        <w:t xml:space="preserve"> </w:t>
      </w:r>
      <w:r w:rsidR="00EA500E" w:rsidRPr="0083113B">
        <w:rPr>
          <w:color w:val="000000"/>
        </w:rPr>
        <w:t xml:space="preserve">(LVC 2013) </w:t>
      </w:r>
      <w:r w:rsidR="00AC3D72" w:rsidRPr="0083113B">
        <w:t>explains</w:t>
      </w:r>
      <w:r w:rsidR="00295B8E">
        <w:t xml:space="preserve"> that</w:t>
      </w:r>
      <w:r w:rsidR="00AC3D72" w:rsidRPr="0083113B">
        <w:t xml:space="preserve"> </w:t>
      </w:r>
      <w:r w:rsidR="00DC7054" w:rsidRPr="0083113B">
        <w:t>“</w:t>
      </w:r>
      <w:r w:rsidR="00AC3D72" w:rsidRPr="0083113B">
        <w:t>food sovereignty of the people is the best defence against any economic shock</w:t>
      </w:r>
      <w:r w:rsidR="00DC7054" w:rsidRPr="0083113B">
        <w:t>”</w:t>
      </w:r>
      <w:r w:rsidR="00C4170C" w:rsidRPr="0083113B">
        <w:t xml:space="preserve"> </w:t>
      </w:r>
      <w:r w:rsidR="00AC3D72" w:rsidRPr="0083113B">
        <w:t>(Kim and Pokharel 2020).</w:t>
      </w:r>
    </w:p>
    <w:p w14:paraId="5C29198D" w14:textId="77777777" w:rsidR="00BD05D6" w:rsidRDefault="00BD05D6" w:rsidP="0049456A">
      <w:pPr>
        <w:jc w:val="both"/>
        <w:rPr>
          <w:color w:val="000000"/>
        </w:rPr>
      </w:pPr>
    </w:p>
    <w:p w14:paraId="74EB9477" w14:textId="462E4757" w:rsidR="00826316" w:rsidRDefault="00C4170C" w:rsidP="0049456A">
      <w:pPr>
        <w:jc w:val="both"/>
        <w:rPr>
          <w:color w:val="000000"/>
        </w:rPr>
      </w:pPr>
      <w:r w:rsidRPr="0083113B">
        <w:rPr>
          <w:color w:val="000000"/>
        </w:rPr>
        <w:t>Defined in 1996 by</w:t>
      </w:r>
      <w:r w:rsidR="00EA500E" w:rsidRPr="0083113B">
        <w:rPr>
          <w:color w:val="000000"/>
        </w:rPr>
        <w:t xml:space="preserve"> LVC</w:t>
      </w:r>
      <w:r w:rsidRPr="0083113B">
        <w:rPr>
          <w:color w:val="000000"/>
        </w:rPr>
        <w:t xml:space="preserve">, food sovereignty is </w:t>
      </w:r>
      <w:r w:rsidR="00DC7054" w:rsidRPr="0083113B">
        <w:rPr>
          <w:color w:val="000000"/>
        </w:rPr>
        <w:t>“</w:t>
      </w:r>
      <w:r w:rsidRPr="0083113B">
        <w:rPr>
          <w:color w:val="000000"/>
        </w:rPr>
        <w:t>the right of peoples to healthy and culturally appropriate food produced through sustainable methods and their right to define their own food and agriculture systems</w:t>
      </w:r>
      <w:r w:rsidR="00DC7054" w:rsidRPr="0083113B">
        <w:rPr>
          <w:color w:val="000000"/>
        </w:rPr>
        <w:t>”</w:t>
      </w:r>
      <w:r w:rsidRPr="0083113B">
        <w:rPr>
          <w:color w:val="000000"/>
        </w:rPr>
        <w:t xml:space="preserve"> (</w:t>
      </w:r>
      <w:r w:rsidRPr="0083113B">
        <w:rPr>
          <w:rFonts w:eastAsia="Calibri"/>
        </w:rPr>
        <w:t>Martinez-Torres and Rosset 2010).</w:t>
      </w:r>
      <w:r w:rsidRPr="0083113B">
        <w:rPr>
          <w:color w:val="000000"/>
        </w:rPr>
        <w:t xml:space="preserve"> </w:t>
      </w:r>
      <w:r w:rsidR="00677088" w:rsidRPr="0083113B">
        <w:rPr>
          <w:color w:val="000000"/>
        </w:rPr>
        <w:t>Put differently</w:t>
      </w:r>
      <w:r w:rsidRPr="0083113B">
        <w:rPr>
          <w:color w:val="000000"/>
        </w:rPr>
        <w:t xml:space="preserve">, food sovereignty organises food systems according to local needs and consumption patterns while </w:t>
      </w:r>
      <w:r w:rsidR="00EA500E" w:rsidRPr="0083113B">
        <w:rPr>
          <w:color w:val="000000"/>
        </w:rPr>
        <w:t>concurrently</w:t>
      </w:r>
      <w:r w:rsidRPr="0083113B">
        <w:rPr>
          <w:color w:val="000000"/>
        </w:rPr>
        <w:t xml:space="preserve"> being aimed at protecting domestic and local markets and food producers from the importation and dumping of low</w:t>
      </w:r>
      <w:r w:rsidR="00677088" w:rsidRPr="0083113B">
        <w:rPr>
          <w:color w:val="000000"/>
        </w:rPr>
        <w:t>er</w:t>
      </w:r>
      <w:r w:rsidRPr="0083113B">
        <w:rPr>
          <w:color w:val="000000"/>
        </w:rPr>
        <w:t xml:space="preserve">-priced </w:t>
      </w:r>
      <w:r w:rsidR="00677088" w:rsidRPr="0083113B">
        <w:rPr>
          <w:color w:val="000000"/>
        </w:rPr>
        <w:t xml:space="preserve">commodities and subsidised </w:t>
      </w:r>
      <w:r w:rsidRPr="0083113B">
        <w:rPr>
          <w:color w:val="000000"/>
        </w:rPr>
        <w:t>agricultural surplus from other countries and multinational corporations (Patel 20</w:t>
      </w:r>
      <w:r w:rsidR="00561FDA" w:rsidRPr="0083113B">
        <w:rPr>
          <w:color w:val="000000"/>
        </w:rPr>
        <w:t>12</w:t>
      </w:r>
      <w:r w:rsidRPr="0083113B">
        <w:rPr>
          <w:color w:val="000000"/>
        </w:rPr>
        <w:t xml:space="preserve">). In </w:t>
      </w:r>
      <w:r w:rsidR="00653D8B">
        <w:rPr>
          <w:color w:val="000000"/>
        </w:rPr>
        <w:t xml:space="preserve">a joint effort with other organizations gathered in </w:t>
      </w:r>
      <w:proofErr w:type="spellStart"/>
      <w:r w:rsidR="00653D8B" w:rsidRPr="00FB2EC3">
        <w:rPr>
          <w:color w:val="000000"/>
        </w:rPr>
        <w:t>Nyéleni</w:t>
      </w:r>
      <w:proofErr w:type="spellEnd"/>
      <w:r w:rsidR="00653D8B">
        <w:rPr>
          <w:color w:val="000000"/>
        </w:rPr>
        <w:t xml:space="preserve">, Mali in </w:t>
      </w:r>
      <w:r w:rsidRPr="0083113B">
        <w:rPr>
          <w:color w:val="000000"/>
        </w:rPr>
        <w:t>2007, LVC</w:t>
      </w:r>
      <w:r w:rsidR="00CF0A95" w:rsidRPr="0083113B">
        <w:rPr>
          <w:color w:val="000000"/>
        </w:rPr>
        <w:t xml:space="preserve"> (2007)</w:t>
      </w:r>
      <w:r w:rsidRPr="0083113B">
        <w:rPr>
          <w:color w:val="000000"/>
        </w:rPr>
        <w:t xml:space="preserve"> expanded </w:t>
      </w:r>
      <w:r w:rsidR="00677088" w:rsidRPr="0083113B">
        <w:rPr>
          <w:color w:val="000000"/>
        </w:rPr>
        <w:t xml:space="preserve">the concept of food sovereignty </w:t>
      </w:r>
      <w:r w:rsidRPr="0083113B">
        <w:rPr>
          <w:color w:val="000000"/>
        </w:rPr>
        <w:t>by outlining six basic pillars</w:t>
      </w:r>
      <w:r w:rsidR="00677088" w:rsidRPr="0083113B">
        <w:rPr>
          <w:color w:val="000000"/>
        </w:rPr>
        <w:t xml:space="preserve"> that define it in practice</w:t>
      </w:r>
      <w:r w:rsidRPr="0083113B">
        <w:rPr>
          <w:color w:val="000000"/>
        </w:rPr>
        <w:t xml:space="preserve">: 1) food for people; 2) valuing food providers; 3) localising food systems; 4) putting control locally; 5) building knowledge and skills; 6) and working with nature. In addition, </w:t>
      </w:r>
      <w:r w:rsidR="00653D8B">
        <w:rPr>
          <w:color w:val="000000"/>
        </w:rPr>
        <w:t>the</w:t>
      </w:r>
      <w:r w:rsidRPr="0083113B">
        <w:rPr>
          <w:color w:val="000000"/>
        </w:rPr>
        <w:t xml:space="preserve"> </w:t>
      </w:r>
      <w:proofErr w:type="spellStart"/>
      <w:r w:rsidRPr="0083113B">
        <w:rPr>
          <w:color w:val="000000"/>
        </w:rPr>
        <w:t>Nyéleni</w:t>
      </w:r>
      <w:proofErr w:type="spellEnd"/>
      <w:r w:rsidRPr="0083113B">
        <w:rPr>
          <w:color w:val="000000"/>
        </w:rPr>
        <w:t xml:space="preserve"> Declaration </w:t>
      </w:r>
      <w:r w:rsidR="00653D8B">
        <w:rPr>
          <w:color w:val="000000"/>
        </w:rPr>
        <w:t xml:space="preserve">(LVC 2007) </w:t>
      </w:r>
      <w:r w:rsidRPr="0083113B">
        <w:rPr>
          <w:color w:val="000000"/>
        </w:rPr>
        <w:t xml:space="preserve">recognised that </w:t>
      </w:r>
      <w:r w:rsidR="00DC7054" w:rsidRPr="0083113B">
        <w:rPr>
          <w:color w:val="000000"/>
        </w:rPr>
        <w:t>“</w:t>
      </w:r>
      <w:r w:rsidRPr="0083113B">
        <w:rPr>
          <w:color w:val="000000"/>
        </w:rPr>
        <w:t>food sovereignty is only possible if it takes place at the same time as the political sovereignty of peoples.</w:t>
      </w:r>
      <w:r w:rsidR="00DC7054" w:rsidRPr="0083113B">
        <w:rPr>
          <w:color w:val="000000"/>
        </w:rPr>
        <w:t>”</w:t>
      </w:r>
      <w:r w:rsidR="00D03648" w:rsidRPr="0083113B">
        <w:rPr>
          <w:color w:val="000000"/>
        </w:rPr>
        <w:t xml:space="preserve"> </w:t>
      </w:r>
      <w:r w:rsidR="007E5400" w:rsidRPr="0083113B">
        <w:rPr>
          <w:color w:val="000000"/>
        </w:rPr>
        <w:t xml:space="preserve">Notably, whilst not using the term </w:t>
      </w:r>
      <w:r w:rsidR="00DC7054" w:rsidRPr="0083113B">
        <w:rPr>
          <w:color w:val="000000"/>
        </w:rPr>
        <w:t>“</w:t>
      </w:r>
      <w:r w:rsidR="007E5400" w:rsidRPr="0083113B">
        <w:rPr>
          <w:color w:val="000000"/>
        </w:rPr>
        <w:t>food sovereignty</w:t>
      </w:r>
      <w:r w:rsidR="00DC7054" w:rsidRPr="0083113B">
        <w:rPr>
          <w:color w:val="000000"/>
        </w:rPr>
        <w:t>”</w:t>
      </w:r>
      <w:r w:rsidR="007E5400" w:rsidRPr="0083113B">
        <w:rPr>
          <w:color w:val="000000"/>
        </w:rPr>
        <w:t xml:space="preserve"> specifically, Grenada’s New JEWEL (Joint Endeavor for Welfare, Education, and Liberation) Movement </w:t>
      </w:r>
      <w:r w:rsidR="00926B29" w:rsidRPr="0083113B">
        <w:rPr>
          <w:color w:val="000000"/>
        </w:rPr>
        <w:t xml:space="preserve">(NJM) </w:t>
      </w:r>
      <w:r w:rsidR="007E5400" w:rsidRPr="0083113B">
        <w:rPr>
          <w:color w:val="000000"/>
        </w:rPr>
        <w:t>implemented agricultural, health, women’s empowerment, and youth programmes</w:t>
      </w:r>
      <w:r w:rsidR="00EA699E" w:rsidRPr="0083113B">
        <w:rPr>
          <w:color w:val="000000"/>
        </w:rPr>
        <w:t xml:space="preserve"> (Grenade 2015)</w:t>
      </w:r>
      <w:r w:rsidR="007E5400" w:rsidRPr="0083113B">
        <w:rPr>
          <w:color w:val="000000"/>
        </w:rPr>
        <w:t xml:space="preserve"> that were all dedicated to self-sufficiency and local agroecology, many of which mirror the anti-capitalist </w:t>
      </w:r>
      <w:r w:rsidR="0088523C" w:rsidRPr="0083113B">
        <w:rPr>
          <w:color w:val="000000"/>
        </w:rPr>
        <w:t>ethos</w:t>
      </w:r>
      <w:r w:rsidR="007E5400" w:rsidRPr="0083113B">
        <w:rPr>
          <w:color w:val="000000"/>
        </w:rPr>
        <w:t xml:space="preserve"> of LVC and </w:t>
      </w:r>
      <w:r w:rsidR="00677088" w:rsidRPr="0083113B">
        <w:rPr>
          <w:color w:val="000000"/>
        </w:rPr>
        <w:t xml:space="preserve">echo the </w:t>
      </w:r>
      <w:r w:rsidR="0088523C" w:rsidRPr="0083113B">
        <w:rPr>
          <w:color w:val="000000"/>
        </w:rPr>
        <w:t>principles of food sovereignty</w:t>
      </w:r>
      <w:r w:rsidR="007E5400" w:rsidRPr="0083113B">
        <w:rPr>
          <w:color w:val="000000"/>
        </w:rPr>
        <w:t>.</w:t>
      </w:r>
      <w:r w:rsidR="0088523C" w:rsidRPr="0083113B">
        <w:rPr>
          <w:color w:val="000000"/>
        </w:rPr>
        <w:t xml:space="preserve"> Regrettably, lateral hostility and an </w:t>
      </w:r>
      <w:r w:rsidR="00677088" w:rsidRPr="0083113B">
        <w:rPr>
          <w:color w:val="000000"/>
        </w:rPr>
        <w:t xml:space="preserve">imperialistic </w:t>
      </w:r>
      <w:r w:rsidR="0088523C" w:rsidRPr="0083113B">
        <w:rPr>
          <w:color w:val="000000"/>
        </w:rPr>
        <w:t>eventual invasion by the United States</w:t>
      </w:r>
      <w:r w:rsidR="00677088" w:rsidRPr="0083113B">
        <w:rPr>
          <w:color w:val="000000"/>
        </w:rPr>
        <w:t xml:space="preserve"> military</w:t>
      </w:r>
      <w:r w:rsidR="0088523C" w:rsidRPr="0083113B">
        <w:rPr>
          <w:color w:val="000000"/>
        </w:rPr>
        <w:t xml:space="preserve"> thwarted the anti-colonial gains</w:t>
      </w:r>
      <w:r w:rsidR="00677088" w:rsidRPr="0083113B">
        <w:rPr>
          <w:color w:val="000000"/>
        </w:rPr>
        <w:t xml:space="preserve"> the</w:t>
      </w:r>
      <w:r w:rsidR="0088523C" w:rsidRPr="0083113B">
        <w:rPr>
          <w:color w:val="000000"/>
        </w:rPr>
        <w:t xml:space="preserve"> NJM was making with respect to </w:t>
      </w:r>
      <w:r w:rsidR="00677088" w:rsidRPr="0083113B">
        <w:rPr>
          <w:color w:val="000000"/>
        </w:rPr>
        <w:t>liberatory</w:t>
      </w:r>
      <w:r w:rsidR="0088523C" w:rsidRPr="0083113B">
        <w:rPr>
          <w:color w:val="000000"/>
        </w:rPr>
        <w:t xml:space="preserve"> praxis and self-determination in </w:t>
      </w:r>
      <w:r w:rsidR="00FB64EC" w:rsidRPr="0083113B">
        <w:rPr>
          <w:color w:val="000000"/>
        </w:rPr>
        <w:t>Grenada</w:t>
      </w:r>
      <w:r w:rsidR="0088523C" w:rsidRPr="0083113B">
        <w:rPr>
          <w:color w:val="000000"/>
        </w:rPr>
        <w:t>.</w:t>
      </w:r>
      <w:r w:rsidR="00677088" w:rsidRPr="0083113B">
        <w:rPr>
          <w:color w:val="000000"/>
        </w:rPr>
        <w:t xml:space="preserve"> Nevertheless, we would still propose </w:t>
      </w:r>
      <w:r w:rsidR="00FB64EC" w:rsidRPr="0083113B">
        <w:rPr>
          <w:color w:val="000000"/>
        </w:rPr>
        <w:t xml:space="preserve">that </w:t>
      </w:r>
      <w:r w:rsidR="00677088" w:rsidRPr="0083113B">
        <w:rPr>
          <w:color w:val="000000"/>
        </w:rPr>
        <w:t xml:space="preserve">there remains much to be learned––and returned to in the </w:t>
      </w:r>
      <w:r w:rsidR="00FB64EC" w:rsidRPr="0083113B">
        <w:rPr>
          <w:color w:val="000000"/>
        </w:rPr>
        <w:t>Anglo-Caribbean</w:t>
      </w:r>
      <w:r w:rsidR="00677088" w:rsidRPr="0083113B">
        <w:rPr>
          <w:color w:val="000000"/>
        </w:rPr>
        <w:t>––apropos the policies, principles</w:t>
      </w:r>
      <w:r w:rsidR="00FB64EC" w:rsidRPr="0083113B">
        <w:rPr>
          <w:color w:val="000000"/>
        </w:rPr>
        <w:t xml:space="preserve">, and politics </w:t>
      </w:r>
      <w:r w:rsidR="00677088" w:rsidRPr="0083113B">
        <w:rPr>
          <w:color w:val="000000"/>
        </w:rPr>
        <w:t>of the NJM, not to mention LVC.</w:t>
      </w:r>
    </w:p>
    <w:p w14:paraId="5E7C8F4D" w14:textId="77777777" w:rsidR="00BD05D6" w:rsidRPr="0083113B" w:rsidRDefault="00BD05D6" w:rsidP="0083113B">
      <w:pPr>
        <w:jc w:val="both"/>
        <w:rPr>
          <w:color w:val="000000"/>
        </w:rPr>
      </w:pPr>
    </w:p>
    <w:p w14:paraId="784159A9" w14:textId="0DAA9149" w:rsidR="0089504B" w:rsidRPr="0083113B" w:rsidRDefault="00A00965" w:rsidP="0083113B">
      <w:pPr>
        <w:jc w:val="both"/>
        <w:rPr>
          <w:color w:val="000000"/>
        </w:rPr>
      </w:pPr>
      <w:r w:rsidRPr="0083113B">
        <w:rPr>
          <w:color w:val="000000"/>
        </w:rPr>
        <w:t>W</w:t>
      </w:r>
      <w:r w:rsidR="007E5A98" w:rsidRPr="0083113B">
        <w:rPr>
          <w:color w:val="000000"/>
        </w:rPr>
        <w:t>hen</w:t>
      </w:r>
      <w:r w:rsidR="00F21985" w:rsidRPr="0083113B">
        <w:rPr>
          <w:color w:val="000000"/>
        </w:rPr>
        <w:t xml:space="preserve"> looking at the </w:t>
      </w:r>
      <w:r w:rsidR="007E5A98" w:rsidRPr="0083113B">
        <w:rPr>
          <w:color w:val="000000"/>
        </w:rPr>
        <w:t>LVC</w:t>
      </w:r>
      <w:r w:rsidR="00F21985" w:rsidRPr="0083113B">
        <w:rPr>
          <w:color w:val="000000"/>
        </w:rPr>
        <w:t xml:space="preserve"> membership list as a proxy, it is obvious that </w:t>
      </w:r>
      <w:r w:rsidR="007E5400" w:rsidRPr="0083113B">
        <w:rPr>
          <w:color w:val="000000"/>
        </w:rPr>
        <w:t>organised</w:t>
      </w:r>
      <w:r w:rsidR="00F21985" w:rsidRPr="0083113B">
        <w:rPr>
          <w:color w:val="000000"/>
        </w:rPr>
        <w:t xml:space="preserve"> move</w:t>
      </w:r>
      <w:r w:rsidR="007E5400" w:rsidRPr="0083113B">
        <w:rPr>
          <w:color w:val="000000"/>
        </w:rPr>
        <w:t>ments</w:t>
      </w:r>
      <w:r w:rsidR="00F21985" w:rsidRPr="0083113B">
        <w:rPr>
          <w:color w:val="000000"/>
        </w:rPr>
        <w:t xml:space="preserve"> </w:t>
      </w:r>
      <w:r w:rsidR="007E5400" w:rsidRPr="0083113B">
        <w:rPr>
          <w:color w:val="000000"/>
        </w:rPr>
        <w:t>for</w:t>
      </w:r>
      <w:r w:rsidR="00F21985" w:rsidRPr="0083113B">
        <w:rPr>
          <w:color w:val="000000"/>
        </w:rPr>
        <w:t xml:space="preserve"> food sovereignty</w:t>
      </w:r>
      <w:r w:rsidR="0088523C" w:rsidRPr="0083113B">
        <w:rPr>
          <w:color w:val="000000"/>
        </w:rPr>
        <w:t xml:space="preserve"> against neoliberal thinking</w:t>
      </w:r>
      <w:r w:rsidR="00FB64EC" w:rsidRPr="0083113B">
        <w:rPr>
          <w:color w:val="000000"/>
        </w:rPr>
        <w:t xml:space="preserve"> and corporate </w:t>
      </w:r>
      <w:proofErr w:type="spellStart"/>
      <w:r w:rsidR="00FB64EC" w:rsidRPr="0083113B">
        <w:rPr>
          <w:color w:val="000000"/>
        </w:rPr>
        <w:t>agri</w:t>
      </w:r>
      <w:proofErr w:type="spellEnd"/>
      <w:r w:rsidR="00FB64EC" w:rsidRPr="0083113B">
        <w:rPr>
          <w:color w:val="000000"/>
        </w:rPr>
        <w:t>-imperialism</w:t>
      </w:r>
      <w:r w:rsidR="00F21985" w:rsidRPr="0083113B">
        <w:rPr>
          <w:color w:val="000000"/>
        </w:rPr>
        <w:t xml:space="preserve"> have been more prevalent in Latin America and the </w:t>
      </w:r>
      <w:proofErr w:type="spellStart"/>
      <w:r w:rsidR="00F21985" w:rsidRPr="0083113B">
        <w:rPr>
          <w:color w:val="000000"/>
        </w:rPr>
        <w:t>Hispanophone</w:t>
      </w:r>
      <w:proofErr w:type="spellEnd"/>
      <w:r w:rsidR="00F21985" w:rsidRPr="0083113B">
        <w:rPr>
          <w:color w:val="000000"/>
        </w:rPr>
        <w:t xml:space="preserve"> Caribbean</w:t>
      </w:r>
      <w:r w:rsidR="00677088" w:rsidRPr="0083113B">
        <w:rPr>
          <w:color w:val="000000"/>
        </w:rPr>
        <w:t xml:space="preserve"> than in the English-speaking Caribbean</w:t>
      </w:r>
      <w:r w:rsidR="00F21985" w:rsidRPr="0083113B">
        <w:rPr>
          <w:color w:val="000000"/>
        </w:rPr>
        <w:t xml:space="preserve">. Currently, almost every South and Central American country has </w:t>
      </w:r>
      <w:r w:rsidR="00FB64EC" w:rsidRPr="0083113B">
        <w:rPr>
          <w:color w:val="000000"/>
        </w:rPr>
        <w:t>various</w:t>
      </w:r>
      <w:r w:rsidR="0088523C" w:rsidRPr="0083113B">
        <w:rPr>
          <w:color w:val="000000"/>
        </w:rPr>
        <w:t xml:space="preserve"> groups</w:t>
      </w:r>
      <w:r w:rsidR="007E5400" w:rsidRPr="0083113B">
        <w:rPr>
          <w:color w:val="000000"/>
        </w:rPr>
        <w:t xml:space="preserve"> </w:t>
      </w:r>
      <w:r w:rsidR="0088523C" w:rsidRPr="0083113B">
        <w:rPr>
          <w:color w:val="000000"/>
        </w:rPr>
        <w:t>represented</w:t>
      </w:r>
      <w:r w:rsidR="00826316" w:rsidRPr="0083113B">
        <w:rPr>
          <w:color w:val="000000"/>
        </w:rPr>
        <w:t xml:space="preserve"> in LVC</w:t>
      </w:r>
      <w:r w:rsidR="00F21985" w:rsidRPr="0083113B">
        <w:rPr>
          <w:color w:val="000000"/>
        </w:rPr>
        <w:t>. Furthermore, in the Caribbean</w:t>
      </w:r>
      <w:r w:rsidR="00826316" w:rsidRPr="0083113B">
        <w:rPr>
          <w:color w:val="000000"/>
        </w:rPr>
        <w:t xml:space="preserve"> islands</w:t>
      </w:r>
      <w:r w:rsidR="00F21985" w:rsidRPr="0083113B">
        <w:rPr>
          <w:color w:val="000000"/>
        </w:rPr>
        <w:t xml:space="preserve">, </w:t>
      </w:r>
      <w:r w:rsidR="00826316" w:rsidRPr="0083113B">
        <w:rPr>
          <w:color w:val="000000"/>
        </w:rPr>
        <w:t xml:space="preserve">the </w:t>
      </w:r>
      <w:r w:rsidR="00F21985" w:rsidRPr="0083113B">
        <w:rPr>
          <w:color w:val="000000"/>
        </w:rPr>
        <w:t xml:space="preserve">countries </w:t>
      </w:r>
      <w:r w:rsidR="00826316" w:rsidRPr="0083113B">
        <w:rPr>
          <w:color w:val="000000"/>
        </w:rPr>
        <w:t xml:space="preserve">of Cuba, the Dominican Republic, and Puerto Rico </w:t>
      </w:r>
      <w:r w:rsidR="007E5400" w:rsidRPr="0083113B">
        <w:rPr>
          <w:color w:val="000000"/>
        </w:rPr>
        <w:t xml:space="preserve">all </w:t>
      </w:r>
      <w:r w:rsidR="00F21985" w:rsidRPr="0083113B">
        <w:rPr>
          <w:color w:val="000000"/>
        </w:rPr>
        <w:t>have</w:t>
      </w:r>
      <w:r w:rsidR="007E5400" w:rsidRPr="0083113B">
        <w:rPr>
          <w:color w:val="000000"/>
        </w:rPr>
        <w:t xml:space="preserve"> </w:t>
      </w:r>
      <w:r w:rsidR="00677088" w:rsidRPr="0083113B">
        <w:rPr>
          <w:color w:val="000000"/>
        </w:rPr>
        <w:t>multiple</w:t>
      </w:r>
      <w:r w:rsidR="00F21985" w:rsidRPr="0083113B">
        <w:rPr>
          <w:color w:val="000000"/>
        </w:rPr>
        <w:t xml:space="preserve"> individual member groups</w:t>
      </w:r>
      <w:r w:rsidR="0088523C" w:rsidRPr="0083113B">
        <w:rPr>
          <w:color w:val="000000"/>
        </w:rPr>
        <w:t xml:space="preserve"> in LVC</w:t>
      </w:r>
      <w:r w:rsidR="00F21985" w:rsidRPr="0083113B">
        <w:rPr>
          <w:color w:val="000000"/>
        </w:rPr>
        <w:t xml:space="preserve">, </w:t>
      </w:r>
      <w:r w:rsidR="007E5400" w:rsidRPr="0083113B">
        <w:rPr>
          <w:color w:val="000000"/>
        </w:rPr>
        <w:t>as does Haiti</w:t>
      </w:r>
      <w:r w:rsidR="00F21985" w:rsidRPr="0083113B">
        <w:rPr>
          <w:color w:val="000000"/>
        </w:rPr>
        <w:t>.</w:t>
      </w:r>
      <w:r w:rsidR="007E5400" w:rsidRPr="0083113B">
        <w:rPr>
          <w:color w:val="000000"/>
        </w:rPr>
        <w:t xml:space="preserve"> Whilst food sovereignty is not being promoted as much across the Anglo-Caribbean, particularly in government ministries</w:t>
      </w:r>
      <w:r w:rsidR="0088523C" w:rsidRPr="0083113B">
        <w:rPr>
          <w:color w:val="000000"/>
        </w:rPr>
        <w:t xml:space="preserve">, </w:t>
      </w:r>
      <w:r w:rsidR="007E5400" w:rsidRPr="0083113B">
        <w:rPr>
          <w:color w:val="000000"/>
        </w:rPr>
        <w:t>state policies,</w:t>
      </w:r>
      <w:r w:rsidR="0088523C" w:rsidRPr="0083113B">
        <w:rPr>
          <w:color w:val="000000"/>
        </w:rPr>
        <w:t xml:space="preserve"> and education systems,</w:t>
      </w:r>
      <w:r w:rsidR="007E5400" w:rsidRPr="0083113B">
        <w:rPr>
          <w:color w:val="000000"/>
        </w:rPr>
        <w:t xml:space="preserve"> </w:t>
      </w:r>
      <w:r w:rsidR="00F21985" w:rsidRPr="0083113B">
        <w:rPr>
          <w:color w:val="000000"/>
        </w:rPr>
        <w:t>there is some pride in the fact that Dominica, Grenada, St. Lucia</w:t>
      </w:r>
      <w:r w:rsidR="007E5400" w:rsidRPr="0083113B">
        <w:rPr>
          <w:color w:val="000000"/>
        </w:rPr>
        <w:t>,</w:t>
      </w:r>
      <w:r w:rsidR="00F21985" w:rsidRPr="0083113B">
        <w:rPr>
          <w:color w:val="000000"/>
        </w:rPr>
        <w:t xml:space="preserve"> and St. Vincent and the Grenadines are all </w:t>
      </w:r>
      <w:r w:rsidR="0088523C" w:rsidRPr="0083113B">
        <w:rPr>
          <w:color w:val="000000"/>
        </w:rPr>
        <w:t>a part of</w:t>
      </w:r>
      <w:r w:rsidR="00F21985" w:rsidRPr="0083113B">
        <w:rPr>
          <w:color w:val="000000"/>
        </w:rPr>
        <w:t xml:space="preserve"> LVC </w:t>
      </w:r>
      <w:r w:rsidR="0088523C" w:rsidRPr="0083113B">
        <w:rPr>
          <w:color w:val="000000"/>
        </w:rPr>
        <w:t>via</w:t>
      </w:r>
      <w:r w:rsidR="00F21985" w:rsidRPr="0083113B">
        <w:rPr>
          <w:color w:val="000000"/>
        </w:rPr>
        <w:t xml:space="preserve"> the Windward Islands Farmers Association (WINFA)</w:t>
      </w:r>
      <w:r w:rsidR="007E5400" w:rsidRPr="0083113B">
        <w:rPr>
          <w:color w:val="000000"/>
        </w:rPr>
        <w:t xml:space="preserve">, which was </w:t>
      </w:r>
      <w:r w:rsidR="00F21985" w:rsidRPr="0083113B">
        <w:rPr>
          <w:color w:val="000000"/>
        </w:rPr>
        <w:t>established in 1987.</w:t>
      </w:r>
      <w:r w:rsidRPr="0083113B">
        <w:rPr>
          <w:color w:val="000000"/>
        </w:rPr>
        <w:t xml:space="preserve"> </w:t>
      </w:r>
      <w:r w:rsidR="00FB64EC" w:rsidRPr="0083113B">
        <w:rPr>
          <w:color w:val="000000"/>
        </w:rPr>
        <w:t>Markedly, o</w:t>
      </w:r>
      <w:r w:rsidR="00F21985" w:rsidRPr="0083113B">
        <w:rPr>
          <w:color w:val="000000"/>
        </w:rPr>
        <w:t>ne of WINFA’s member</w:t>
      </w:r>
      <w:r w:rsidR="007E5400" w:rsidRPr="0083113B">
        <w:rPr>
          <w:color w:val="000000"/>
        </w:rPr>
        <w:t xml:space="preserve"> organisations, </w:t>
      </w:r>
      <w:r w:rsidR="00F21985" w:rsidRPr="0083113B">
        <w:rPr>
          <w:color w:val="000000"/>
        </w:rPr>
        <w:t>the Grenada Cane Farmers Association (GCFA</w:t>
      </w:r>
      <w:r w:rsidR="007E5400" w:rsidRPr="0083113B">
        <w:rPr>
          <w:color w:val="000000"/>
        </w:rPr>
        <w:t>),</w:t>
      </w:r>
      <w:r w:rsidR="00F21985" w:rsidRPr="0083113B">
        <w:rPr>
          <w:color w:val="000000"/>
        </w:rPr>
        <w:t xml:space="preserve"> has actively</w:t>
      </w:r>
      <w:r w:rsidR="002632DB" w:rsidRPr="0083113B">
        <w:rPr>
          <w:color w:val="000000"/>
        </w:rPr>
        <w:t xml:space="preserve"> been pursuing </w:t>
      </w:r>
      <w:r w:rsidR="00F21985" w:rsidRPr="0083113B">
        <w:rPr>
          <w:color w:val="000000"/>
        </w:rPr>
        <w:t>food sovereignty</w:t>
      </w:r>
      <w:r w:rsidR="00520AC8" w:rsidRPr="0083113B">
        <w:rPr>
          <w:color w:val="000000"/>
        </w:rPr>
        <w:t xml:space="preserve"> for the island</w:t>
      </w:r>
      <w:r w:rsidR="00F21985" w:rsidRPr="0083113B">
        <w:rPr>
          <w:color w:val="000000"/>
        </w:rPr>
        <w:t xml:space="preserve">. One of </w:t>
      </w:r>
      <w:r w:rsidR="00520AC8" w:rsidRPr="0083113B">
        <w:rPr>
          <w:color w:val="000000"/>
        </w:rPr>
        <w:t>the organisation’s</w:t>
      </w:r>
      <w:r w:rsidR="00F21985" w:rsidRPr="0083113B">
        <w:rPr>
          <w:color w:val="000000"/>
        </w:rPr>
        <w:t xml:space="preserve"> key goals </w:t>
      </w:r>
      <w:r w:rsidR="002632DB" w:rsidRPr="0083113B">
        <w:rPr>
          <w:color w:val="000000"/>
        </w:rPr>
        <w:t>is</w:t>
      </w:r>
      <w:r w:rsidR="00F21985" w:rsidRPr="0083113B">
        <w:rPr>
          <w:color w:val="000000"/>
        </w:rPr>
        <w:t xml:space="preserve"> to transform Grenada’s sugarcane sector through </w:t>
      </w:r>
      <w:r w:rsidR="00DC7054" w:rsidRPr="0083113B">
        <w:rPr>
          <w:color w:val="000000"/>
        </w:rPr>
        <w:t>“</w:t>
      </w:r>
      <w:r w:rsidR="00F21985" w:rsidRPr="0083113B">
        <w:rPr>
          <w:color w:val="000000"/>
        </w:rPr>
        <w:t>the refinement of traditional intercropping techniques and collective labour methods of their for</w:t>
      </w:r>
      <w:r w:rsidR="00706E09" w:rsidRPr="0083113B">
        <w:rPr>
          <w:color w:val="000000"/>
        </w:rPr>
        <w:t>e</w:t>
      </w:r>
      <w:r w:rsidR="00F21985" w:rsidRPr="0083113B">
        <w:rPr>
          <w:color w:val="000000"/>
        </w:rPr>
        <w:t>bearers</w:t>
      </w:r>
      <w:r w:rsidR="00DC7054" w:rsidRPr="0083113B">
        <w:rPr>
          <w:color w:val="000000"/>
        </w:rPr>
        <w:t>”</w:t>
      </w:r>
      <w:r w:rsidR="00180405" w:rsidRPr="0083113B">
        <w:rPr>
          <w:color w:val="000000"/>
        </w:rPr>
        <w:t xml:space="preserve"> </w:t>
      </w:r>
      <w:r w:rsidR="00F21985" w:rsidRPr="0083113B">
        <w:rPr>
          <w:color w:val="000000"/>
        </w:rPr>
        <w:t>(</w:t>
      </w:r>
      <w:proofErr w:type="spellStart"/>
      <w:r w:rsidR="00F21985" w:rsidRPr="0083113B">
        <w:rPr>
          <w:color w:val="000000"/>
        </w:rPr>
        <w:t>Kopka</w:t>
      </w:r>
      <w:proofErr w:type="spellEnd"/>
      <w:r w:rsidR="00F21985" w:rsidRPr="0083113B">
        <w:rPr>
          <w:color w:val="000000"/>
        </w:rPr>
        <w:t xml:space="preserve"> 2013). </w:t>
      </w:r>
      <w:r w:rsidR="002632DB" w:rsidRPr="0083113B">
        <w:rPr>
          <w:color w:val="000000"/>
        </w:rPr>
        <w:t>Along the way</w:t>
      </w:r>
      <w:r w:rsidR="00F21985" w:rsidRPr="0083113B">
        <w:rPr>
          <w:color w:val="000000"/>
        </w:rPr>
        <w:t xml:space="preserve">, </w:t>
      </w:r>
      <w:r w:rsidR="002632DB" w:rsidRPr="0083113B">
        <w:rPr>
          <w:color w:val="000000"/>
        </w:rPr>
        <w:t>the organisation has</w:t>
      </w:r>
      <w:r w:rsidR="00F21985" w:rsidRPr="0083113B">
        <w:rPr>
          <w:color w:val="000000"/>
        </w:rPr>
        <w:t xml:space="preserve"> experienced </w:t>
      </w:r>
      <w:r w:rsidR="002632DB" w:rsidRPr="0083113B">
        <w:rPr>
          <w:color w:val="000000"/>
        </w:rPr>
        <w:t>a series of</w:t>
      </w:r>
      <w:r w:rsidR="00F21985" w:rsidRPr="0083113B">
        <w:rPr>
          <w:color w:val="000000"/>
        </w:rPr>
        <w:t xml:space="preserve"> internal and external challenges to this</w:t>
      </w:r>
      <w:r w:rsidR="002632DB" w:rsidRPr="0083113B">
        <w:rPr>
          <w:color w:val="000000"/>
        </w:rPr>
        <w:t xml:space="preserve"> stated</w:t>
      </w:r>
      <w:r w:rsidR="00F21985" w:rsidRPr="0083113B">
        <w:rPr>
          <w:color w:val="000000"/>
        </w:rPr>
        <w:t xml:space="preserve"> mission,</w:t>
      </w:r>
      <w:r w:rsidR="00520AC8" w:rsidRPr="0083113B">
        <w:rPr>
          <w:color w:val="000000"/>
        </w:rPr>
        <w:t xml:space="preserve"> though,</w:t>
      </w:r>
      <w:r w:rsidR="00F21985" w:rsidRPr="0083113B">
        <w:rPr>
          <w:color w:val="000000"/>
        </w:rPr>
        <w:t xml:space="preserve"> including but not limited to </w:t>
      </w:r>
      <w:r w:rsidR="002632DB" w:rsidRPr="0083113B">
        <w:rPr>
          <w:color w:val="000000"/>
        </w:rPr>
        <w:t>the government’s</w:t>
      </w:r>
      <w:r w:rsidR="00F21985" w:rsidRPr="0083113B">
        <w:rPr>
          <w:color w:val="000000"/>
        </w:rPr>
        <w:t xml:space="preserve"> focus on tourism </w:t>
      </w:r>
      <w:r w:rsidR="00520AC8" w:rsidRPr="0083113B">
        <w:rPr>
          <w:color w:val="000000"/>
        </w:rPr>
        <w:t>‘</w:t>
      </w:r>
      <w:r w:rsidR="00F21985" w:rsidRPr="0083113B">
        <w:rPr>
          <w:color w:val="000000"/>
        </w:rPr>
        <w:t>development,</w:t>
      </w:r>
      <w:r w:rsidR="00520AC8" w:rsidRPr="0083113B">
        <w:rPr>
          <w:color w:val="000000"/>
        </w:rPr>
        <w:t>’</w:t>
      </w:r>
      <w:r w:rsidR="00F21985" w:rsidRPr="0083113B">
        <w:rPr>
          <w:color w:val="000000"/>
        </w:rPr>
        <w:t xml:space="preserve"> cuts in </w:t>
      </w:r>
      <w:r w:rsidR="00520AC8" w:rsidRPr="0083113B">
        <w:rPr>
          <w:color w:val="000000"/>
        </w:rPr>
        <w:t xml:space="preserve">public spending </w:t>
      </w:r>
      <w:r w:rsidR="002632DB" w:rsidRPr="0083113B">
        <w:rPr>
          <w:color w:val="000000"/>
        </w:rPr>
        <w:t>for local agricultural and agroecolog</w:t>
      </w:r>
      <w:r w:rsidR="00520AC8" w:rsidRPr="0083113B">
        <w:rPr>
          <w:color w:val="000000"/>
        </w:rPr>
        <w:t>ical initiatives</w:t>
      </w:r>
      <w:r w:rsidR="00F21985" w:rsidRPr="0083113B">
        <w:rPr>
          <w:color w:val="000000"/>
        </w:rPr>
        <w:t xml:space="preserve">, and </w:t>
      </w:r>
      <w:r w:rsidR="002632DB" w:rsidRPr="0083113B">
        <w:rPr>
          <w:color w:val="000000"/>
        </w:rPr>
        <w:t xml:space="preserve">both the </w:t>
      </w:r>
      <w:proofErr w:type="gramStart"/>
      <w:r w:rsidR="002632DB" w:rsidRPr="0083113B">
        <w:rPr>
          <w:color w:val="000000"/>
        </w:rPr>
        <w:t>state</w:t>
      </w:r>
      <w:r w:rsidR="00520AC8" w:rsidRPr="0083113B">
        <w:rPr>
          <w:color w:val="000000"/>
        </w:rPr>
        <w:t>’s</w:t>
      </w:r>
      <w:proofErr w:type="gramEnd"/>
      <w:r w:rsidR="002632DB" w:rsidRPr="0083113B">
        <w:rPr>
          <w:color w:val="000000"/>
        </w:rPr>
        <w:t xml:space="preserve"> and global economy’s tendency to look for </w:t>
      </w:r>
      <w:r w:rsidR="00F21985" w:rsidRPr="0083113B">
        <w:rPr>
          <w:color w:val="000000"/>
        </w:rPr>
        <w:t xml:space="preserve">neoliberal </w:t>
      </w:r>
      <w:r w:rsidR="002632DB" w:rsidRPr="0083113B">
        <w:rPr>
          <w:color w:val="000000"/>
        </w:rPr>
        <w:t xml:space="preserve">solutions to local and regional food </w:t>
      </w:r>
      <w:r w:rsidR="00520AC8" w:rsidRPr="0083113B">
        <w:rPr>
          <w:color w:val="000000"/>
        </w:rPr>
        <w:t>(in)</w:t>
      </w:r>
      <w:r w:rsidR="002632DB" w:rsidRPr="0083113B">
        <w:rPr>
          <w:color w:val="000000"/>
        </w:rPr>
        <w:t>security challenges</w:t>
      </w:r>
      <w:r w:rsidR="00F21985" w:rsidRPr="0083113B">
        <w:rPr>
          <w:color w:val="000000"/>
        </w:rPr>
        <w:t xml:space="preserve"> (</w:t>
      </w:r>
      <w:proofErr w:type="spellStart"/>
      <w:r w:rsidR="00F21985" w:rsidRPr="0083113B">
        <w:rPr>
          <w:color w:val="000000"/>
        </w:rPr>
        <w:t>Kopka</w:t>
      </w:r>
      <w:proofErr w:type="spellEnd"/>
      <w:r w:rsidR="00F21985" w:rsidRPr="0083113B">
        <w:rPr>
          <w:color w:val="000000"/>
        </w:rPr>
        <w:t xml:space="preserve"> 2013). </w:t>
      </w:r>
      <w:r w:rsidR="002632DB" w:rsidRPr="0083113B">
        <w:rPr>
          <w:color w:val="000000"/>
        </w:rPr>
        <w:t>In turn</w:t>
      </w:r>
      <w:r w:rsidR="00F21985" w:rsidRPr="0083113B">
        <w:rPr>
          <w:color w:val="000000"/>
        </w:rPr>
        <w:t xml:space="preserve">, </w:t>
      </w:r>
      <w:r w:rsidR="00520AC8" w:rsidRPr="0083113B">
        <w:rPr>
          <w:color w:val="000000"/>
        </w:rPr>
        <w:t>while</w:t>
      </w:r>
      <w:r w:rsidR="00F21985" w:rsidRPr="0083113B">
        <w:rPr>
          <w:color w:val="000000"/>
        </w:rPr>
        <w:t xml:space="preserve"> </w:t>
      </w:r>
      <w:r w:rsidR="002632DB" w:rsidRPr="0083113B">
        <w:rPr>
          <w:color w:val="000000"/>
        </w:rPr>
        <w:t>the GCFA</w:t>
      </w:r>
      <w:r w:rsidR="00F21985" w:rsidRPr="0083113B">
        <w:rPr>
          <w:color w:val="000000"/>
        </w:rPr>
        <w:t xml:space="preserve"> ha</w:t>
      </w:r>
      <w:r w:rsidR="002632DB" w:rsidRPr="0083113B">
        <w:rPr>
          <w:color w:val="000000"/>
        </w:rPr>
        <w:t>s had</w:t>
      </w:r>
      <w:r w:rsidR="00F21985" w:rsidRPr="0083113B">
        <w:rPr>
          <w:color w:val="000000"/>
        </w:rPr>
        <w:t xml:space="preserve"> a positive impact on food </w:t>
      </w:r>
      <w:r w:rsidR="003851EF" w:rsidRPr="0083113B">
        <w:rPr>
          <w:color w:val="000000"/>
        </w:rPr>
        <w:t>justice</w:t>
      </w:r>
      <w:r w:rsidR="00F21985" w:rsidRPr="0083113B">
        <w:rPr>
          <w:color w:val="000000"/>
        </w:rPr>
        <w:t xml:space="preserve"> and the wellbeing of small farmers, they </w:t>
      </w:r>
      <w:r w:rsidR="003851EF" w:rsidRPr="0083113B">
        <w:rPr>
          <w:color w:val="000000"/>
        </w:rPr>
        <w:t>have been unable to get</w:t>
      </w:r>
      <w:r w:rsidR="00F21985" w:rsidRPr="0083113B">
        <w:rPr>
          <w:color w:val="000000"/>
        </w:rPr>
        <w:t xml:space="preserve"> food sovereignty </w:t>
      </w:r>
      <w:r w:rsidR="003851EF" w:rsidRPr="0083113B">
        <w:rPr>
          <w:color w:val="000000"/>
        </w:rPr>
        <w:t>mainstreamed</w:t>
      </w:r>
      <w:r w:rsidR="00520AC8" w:rsidRPr="0083113B">
        <w:rPr>
          <w:color w:val="000000"/>
        </w:rPr>
        <w:t xml:space="preserve"> and taken seriously</w:t>
      </w:r>
      <w:r w:rsidR="003851EF" w:rsidRPr="0083113B">
        <w:rPr>
          <w:color w:val="000000"/>
        </w:rPr>
        <w:t xml:space="preserve"> </w:t>
      </w:r>
      <w:r w:rsidR="00F21985" w:rsidRPr="0083113B">
        <w:rPr>
          <w:color w:val="000000"/>
        </w:rPr>
        <w:t xml:space="preserve">in national discussions </w:t>
      </w:r>
      <w:r w:rsidR="003851EF" w:rsidRPr="0083113B">
        <w:rPr>
          <w:color w:val="000000"/>
        </w:rPr>
        <w:t xml:space="preserve">and policies related to </w:t>
      </w:r>
      <w:r w:rsidR="00520AC8" w:rsidRPr="0083113B">
        <w:rPr>
          <w:color w:val="000000"/>
        </w:rPr>
        <w:t xml:space="preserve">the </w:t>
      </w:r>
      <w:r w:rsidR="00F21985" w:rsidRPr="0083113B">
        <w:rPr>
          <w:color w:val="000000"/>
        </w:rPr>
        <w:t>agricultur</w:t>
      </w:r>
      <w:r w:rsidR="00520AC8" w:rsidRPr="0083113B">
        <w:rPr>
          <w:color w:val="000000"/>
        </w:rPr>
        <w:t>al sector</w:t>
      </w:r>
      <w:r w:rsidR="003851EF" w:rsidRPr="0083113B">
        <w:rPr>
          <w:color w:val="000000"/>
        </w:rPr>
        <w:t xml:space="preserve"> and economic development</w:t>
      </w:r>
      <w:r w:rsidR="00F21985" w:rsidRPr="0083113B">
        <w:rPr>
          <w:color w:val="000000"/>
        </w:rPr>
        <w:t>. This mean</w:t>
      </w:r>
      <w:r w:rsidR="003851EF" w:rsidRPr="0083113B">
        <w:rPr>
          <w:color w:val="000000"/>
        </w:rPr>
        <w:t xml:space="preserve">s </w:t>
      </w:r>
      <w:r w:rsidR="00F21985" w:rsidRPr="0083113B">
        <w:rPr>
          <w:color w:val="000000"/>
        </w:rPr>
        <w:t>that</w:t>
      </w:r>
      <w:r w:rsidR="00D33740">
        <w:rPr>
          <w:color w:val="000000"/>
        </w:rPr>
        <w:t>,</w:t>
      </w:r>
      <w:r w:rsidR="00F21985" w:rsidRPr="0083113B">
        <w:rPr>
          <w:color w:val="000000"/>
        </w:rPr>
        <w:t xml:space="preserve"> while </w:t>
      </w:r>
      <w:r w:rsidR="003851EF" w:rsidRPr="0083113B">
        <w:rPr>
          <w:color w:val="000000"/>
        </w:rPr>
        <w:t xml:space="preserve">some </w:t>
      </w:r>
      <w:r w:rsidR="00F21985" w:rsidRPr="0083113B">
        <w:rPr>
          <w:color w:val="000000"/>
        </w:rPr>
        <w:t>local farmers</w:t>
      </w:r>
      <w:r w:rsidR="003851EF" w:rsidRPr="0083113B">
        <w:rPr>
          <w:color w:val="000000"/>
        </w:rPr>
        <w:t xml:space="preserve"> in Grenada</w:t>
      </w:r>
      <w:r w:rsidR="00F21985" w:rsidRPr="0083113B">
        <w:rPr>
          <w:color w:val="000000"/>
        </w:rPr>
        <w:t xml:space="preserve"> continue to </w:t>
      </w:r>
      <w:r w:rsidR="00520AC8" w:rsidRPr="0083113B">
        <w:rPr>
          <w:color w:val="000000"/>
        </w:rPr>
        <w:t>advance the cause of</w:t>
      </w:r>
      <w:r w:rsidR="00F21985" w:rsidRPr="0083113B">
        <w:rPr>
          <w:color w:val="000000"/>
        </w:rPr>
        <w:t xml:space="preserve"> </w:t>
      </w:r>
      <w:r w:rsidR="003851EF" w:rsidRPr="0083113B">
        <w:rPr>
          <w:color w:val="000000"/>
        </w:rPr>
        <w:t>food sovereignty</w:t>
      </w:r>
      <w:r w:rsidR="00F21985" w:rsidRPr="0083113B">
        <w:rPr>
          <w:color w:val="000000"/>
        </w:rPr>
        <w:t>, government policy continue</w:t>
      </w:r>
      <w:r w:rsidR="003851EF" w:rsidRPr="0083113B">
        <w:rPr>
          <w:color w:val="000000"/>
        </w:rPr>
        <w:t>s</w:t>
      </w:r>
      <w:r w:rsidR="00F21985" w:rsidRPr="0083113B">
        <w:rPr>
          <w:color w:val="000000"/>
        </w:rPr>
        <w:t xml:space="preserve"> to prioritise </w:t>
      </w:r>
      <w:r w:rsidR="003851EF" w:rsidRPr="0083113B">
        <w:rPr>
          <w:color w:val="000000"/>
        </w:rPr>
        <w:t>corporate agricultural</w:t>
      </w:r>
      <w:r w:rsidR="00520AC8" w:rsidRPr="0083113B">
        <w:rPr>
          <w:color w:val="000000"/>
        </w:rPr>
        <w:t>, tourism,</w:t>
      </w:r>
      <w:r w:rsidR="003851EF" w:rsidRPr="0083113B">
        <w:rPr>
          <w:color w:val="000000"/>
        </w:rPr>
        <w:t xml:space="preserve"> and </w:t>
      </w:r>
      <w:r w:rsidR="003851EF" w:rsidRPr="0083113B">
        <w:rPr>
          <w:color w:val="000000"/>
        </w:rPr>
        <w:lastRenderedPageBreak/>
        <w:t xml:space="preserve">industrial </w:t>
      </w:r>
      <w:r w:rsidR="00F21985" w:rsidRPr="0083113B">
        <w:rPr>
          <w:color w:val="000000"/>
        </w:rPr>
        <w:t xml:space="preserve">commercial farms over </w:t>
      </w:r>
      <w:r w:rsidR="003851EF" w:rsidRPr="0083113B">
        <w:rPr>
          <w:color w:val="000000"/>
        </w:rPr>
        <w:t xml:space="preserve">small-scale, </w:t>
      </w:r>
      <w:r w:rsidR="00F21985" w:rsidRPr="0083113B">
        <w:rPr>
          <w:color w:val="000000"/>
        </w:rPr>
        <w:t>subsistence</w:t>
      </w:r>
      <w:r w:rsidR="003851EF" w:rsidRPr="0083113B">
        <w:rPr>
          <w:color w:val="000000"/>
        </w:rPr>
        <w:t>, and family</w:t>
      </w:r>
      <w:r w:rsidR="00F21985" w:rsidRPr="0083113B">
        <w:rPr>
          <w:color w:val="000000"/>
        </w:rPr>
        <w:t xml:space="preserve"> farmers</w:t>
      </w:r>
      <w:r w:rsidR="00520AC8" w:rsidRPr="0083113B">
        <w:rPr>
          <w:color w:val="000000"/>
        </w:rPr>
        <w:t xml:space="preserve"> and landworkers</w:t>
      </w:r>
      <w:r w:rsidR="00F21985" w:rsidRPr="0083113B">
        <w:rPr>
          <w:color w:val="000000"/>
        </w:rPr>
        <w:t>.</w:t>
      </w:r>
    </w:p>
    <w:p w14:paraId="6786A1D4" w14:textId="77777777" w:rsidR="00BD05D6" w:rsidRDefault="00BD05D6" w:rsidP="0049456A">
      <w:pPr>
        <w:jc w:val="both"/>
      </w:pPr>
    </w:p>
    <w:p w14:paraId="391A857B" w14:textId="6B9252FD" w:rsidR="00407F43" w:rsidRPr="0083113B" w:rsidRDefault="003851EF" w:rsidP="0083113B">
      <w:pPr>
        <w:jc w:val="both"/>
      </w:pPr>
      <w:r w:rsidRPr="0083113B">
        <w:t xml:space="preserve">In concluding this piece and reflecting upon our time with the </w:t>
      </w:r>
      <w:r w:rsidR="00FB64EC" w:rsidRPr="0083113B">
        <w:t>participants</w:t>
      </w:r>
      <w:r w:rsidRPr="0083113B">
        <w:t xml:space="preserve"> who contributed to </w:t>
      </w:r>
      <w:r w:rsidR="00520AC8" w:rsidRPr="0083113B">
        <w:t>t</w:t>
      </w:r>
      <w:r w:rsidR="00040BF3" w:rsidRPr="0083113B">
        <w:t>his</w:t>
      </w:r>
      <w:r w:rsidRPr="0083113B">
        <w:t xml:space="preserve"> research, it is </w:t>
      </w:r>
      <w:r w:rsidR="00520AC8" w:rsidRPr="0083113B">
        <w:t xml:space="preserve">patently obvious </w:t>
      </w:r>
      <w:r w:rsidRPr="0083113B">
        <w:t>that t</w:t>
      </w:r>
      <w:r w:rsidR="00F21985" w:rsidRPr="0083113B">
        <w:t xml:space="preserve">he COVID-19 pandemic has prompted numerous societies to acknowledge both the importance and exigency of endorsing and achieving food sovereignty. </w:t>
      </w:r>
      <w:r w:rsidR="00D03648" w:rsidRPr="0083113B">
        <w:t>There is also a need to</w:t>
      </w:r>
      <w:r w:rsidR="00040BF3" w:rsidRPr="0083113B">
        <w:t xml:space="preserve"> develop economic policies that account for </w:t>
      </w:r>
      <w:r w:rsidR="00D03648" w:rsidRPr="0083113B">
        <w:t>disaggregated data</w:t>
      </w:r>
      <w:r w:rsidR="00040BF3" w:rsidRPr="0083113B">
        <w:t xml:space="preserve"> along lines of gender, socio-economic status, and dis/ability. Given the results in this article are preliminary and stem from a</w:t>
      </w:r>
      <w:r w:rsidR="00407F43" w:rsidRPr="0083113B">
        <w:t>n exploratory</w:t>
      </w:r>
      <w:r w:rsidR="00040BF3" w:rsidRPr="0083113B">
        <w:t xml:space="preserve"> rapid response pilot project, future publications will include more </w:t>
      </w:r>
      <w:r w:rsidR="000515E6" w:rsidRPr="0083113B">
        <w:t>detailed</w:t>
      </w:r>
      <w:r w:rsidR="00F606ED" w:rsidRPr="0083113B">
        <w:t xml:space="preserve"> intersectional</w:t>
      </w:r>
      <w:r w:rsidR="00040BF3" w:rsidRPr="0083113B">
        <w:t xml:space="preserve"> analyses and participant accounts of the differential experiences of the pandemic. </w:t>
      </w:r>
      <w:r w:rsidR="00F606ED" w:rsidRPr="0083113B">
        <w:t>Despite the limited scope of this study</w:t>
      </w:r>
      <w:r w:rsidR="00407F43" w:rsidRPr="0083113B">
        <w:t>, more meaningful participation in policy design and</w:t>
      </w:r>
      <w:r w:rsidR="00F606ED" w:rsidRPr="0083113B">
        <w:t xml:space="preserve"> a deeper commitment to democratic process and</w:t>
      </w:r>
      <w:r w:rsidR="00407F43" w:rsidRPr="0083113B">
        <w:t xml:space="preserve"> collective self-determination</w:t>
      </w:r>
      <w:r w:rsidR="00F606ED" w:rsidRPr="0083113B">
        <w:t xml:space="preserve"> on the part of political officials </w:t>
      </w:r>
      <w:r w:rsidR="00407F43" w:rsidRPr="0083113B">
        <w:t>were common themes that emerged throughout our fieldwork. And</w:t>
      </w:r>
      <w:r w:rsidR="000515E6" w:rsidRPr="0083113B">
        <w:t>,</w:t>
      </w:r>
      <w:r w:rsidR="00407F43" w:rsidRPr="0083113B">
        <w:t xml:space="preserve"> w</w:t>
      </w:r>
      <w:r w:rsidR="00F21985" w:rsidRPr="0083113B">
        <w:t xml:space="preserve">hilst often unnoticed </w:t>
      </w:r>
      <w:r w:rsidR="00407F43" w:rsidRPr="0083113B">
        <w:t>or</w:t>
      </w:r>
      <w:r w:rsidR="00F21985" w:rsidRPr="0083113B">
        <w:t xml:space="preserve"> even a non-starter at the level of national </w:t>
      </w:r>
      <w:r w:rsidR="00520AC8" w:rsidRPr="0083113B">
        <w:t>development</w:t>
      </w:r>
      <w:r w:rsidR="00F21985" w:rsidRPr="0083113B">
        <w:t xml:space="preserve"> and state </w:t>
      </w:r>
      <w:r w:rsidR="00520AC8" w:rsidRPr="0083113B">
        <w:t>policy</w:t>
      </w:r>
      <w:r w:rsidR="00F21985" w:rsidRPr="0083113B">
        <w:t xml:space="preserve"> across the Anglo-Caribbean, the </w:t>
      </w:r>
      <w:r w:rsidR="00520AC8" w:rsidRPr="0083113B">
        <w:t>freedom and support (or lack thereof)</w:t>
      </w:r>
      <w:r w:rsidR="00F21985" w:rsidRPr="0083113B">
        <w:t xml:space="preserve"> communities </w:t>
      </w:r>
      <w:proofErr w:type="gramStart"/>
      <w:r w:rsidR="00F21985" w:rsidRPr="0083113B">
        <w:t>have to</w:t>
      </w:r>
      <w:proofErr w:type="gramEnd"/>
      <w:r w:rsidR="00F21985" w:rsidRPr="0083113B">
        <w:t xml:space="preserve"> determine their own agricultural, nutrition</w:t>
      </w:r>
      <w:r w:rsidRPr="0083113B">
        <w:t>al</w:t>
      </w:r>
      <w:r w:rsidR="00F21985" w:rsidRPr="0083113B">
        <w:t>, and food systems is one of the region’s most pressing and urgent challenges.</w:t>
      </w:r>
      <w:r w:rsidR="00A00965" w:rsidRPr="0083113B">
        <w:t xml:space="preserve"> </w:t>
      </w:r>
    </w:p>
    <w:p w14:paraId="691A5331" w14:textId="77777777" w:rsidR="00BD05D6" w:rsidRDefault="00BD05D6" w:rsidP="0049456A">
      <w:pPr>
        <w:jc w:val="both"/>
      </w:pPr>
    </w:p>
    <w:p w14:paraId="2BED1D52" w14:textId="32FB2DD7" w:rsidR="00F21985" w:rsidRPr="0083113B" w:rsidRDefault="00D232A4" w:rsidP="0083113B">
      <w:pPr>
        <w:jc w:val="both"/>
      </w:pPr>
      <w:r w:rsidRPr="0083113B">
        <w:t xml:space="preserve">Indeed, the </w:t>
      </w:r>
      <w:r w:rsidR="003851EF" w:rsidRPr="0083113B">
        <w:t>people</w:t>
      </w:r>
      <w:r w:rsidRPr="0083113B">
        <w:t xml:space="preserve"> of the Caribbean’s</w:t>
      </w:r>
      <w:r w:rsidR="003851EF" w:rsidRPr="0083113B">
        <w:t xml:space="preserve"> right to food sovereignty </w:t>
      </w:r>
      <w:r w:rsidRPr="0083113B">
        <w:t>must</w:t>
      </w:r>
      <w:r w:rsidR="003851EF" w:rsidRPr="0083113B">
        <w:t xml:space="preserve"> be enshrined in national constitutions and the concept and its principles</w:t>
      </w:r>
      <w:r w:rsidRPr="0083113B">
        <w:t xml:space="preserve">, </w:t>
      </w:r>
      <w:r w:rsidR="003851EF" w:rsidRPr="0083113B">
        <w:t xml:space="preserve">alongside local </w:t>
      </w:r>
      <w:proofErr w:type="spellStart"/>
      <w:r w:rsidR="003851EF" w:rsidRPr="0083113B">
        <w:t>agro</w:t>
      </w:r>
      <w:proofErr w:type="spellEnd"/>
      <w:r w:rsidR="003851EF" w:rsidRPr="0083113B">
        <w:t>-ecolog</w:t>
      </w:r>
      <w:r w:rsidRPr="0083113B">
        <w:t xml:space="preserve">ical </w:t>
      </w:r>
      <w:proofErr w:type="gramStart"/>
      <w:r w:rsidRPr="0083113B">
        <w:t>training</w:t>
      </w:r>
      <w:proofErr w:type="gramEnd"/>
      <w:r w:rsidRPr="0083113B">
        <w:t xml:space="preserve"> and knowledge,</w:t>
      </w:r>
      <w:r w:rsidR="003851EF" w:rsidRPr="0083113B">
        <w:t xml:space="preserve"> need to be </w:t>
      </w:r>
      <w:r w:rsidRPr="0083113B">
        <w:t xml:space="preserve">incorporated into the curricula of </w:t>
      </w:r>
      <w:r w:rsidR="003851EF" w:rsidRPr="0083113B">
        <w:t xml:space="preserve">schools and universities. When it comes to food sovereignty, the </w:t>
      </w:r>
      <w:r w:rsidR="00F21985" w:rsidRPr="0083113B">
        <w:t>Caribbean</w:t>
      </w:r>
      <w:r w:rsidRPr="0083113B">
        <w:softHyphen/>
      </w:r>
      <w:r w:rsidRPr="0083113B">
        <w:softHyphen/>
        <w:t xml:space="preserve">––especially </w:t>
      </w:r>
      <w:r w:rsidR="00520AC8" w:rsidRPr="0083113B">
        <w:t>given</w:t>
      </w:r>
      <w:r w:rsidRPr="0083113B">
        <w:t xml:space="preserve"> the region’s rich biodiversity and</w:t>
      </w:r>
      <w:r w:rsidR="00407F43" w:rsidRPr="0083113B">
        <w:t xml:space="preserve"> </w:t>
      </w:r>
      <w:r w:rsidRPr="0083113B">
        <w:t>vibrant plurality of regional-local food cultures––</w:t>
      </w:r>
      <w:r w:rsidR="003851EF" w:rsidRPr="0083113B">
        <w:t>is primed to become a shining example of what possibilities exist and just how innovative and resilient formerly</w:t>
      </w:r>
      <w:r w:rsidR="00FB64EC" w:rsidRPr="0083113B">
        <w:t>-</w:t>
      </w:r>
      <w:r w:rsidR="003851EF" w:rsidRPr="0083113B">
        <w:t>colonised</w:t>
      </w:r>
      <w:r w:rsidR="00FB64EC" w:rsidRPr="0083113B">
        <w:t>,</w:t>
      </w:r>
      <w:r w:rsidR="00520AC8" w:rsidRPr="0083113B">
        <w:t xml:space="preserve"> now</w:t>
      </w:r>
      <w:r w:rsidR="00FB64EC" w:rsidRPr="0083113B">
        <w:t>-</w:t>
      </w:r>
      <w:r w:rsidR="00520AC8" w:rsidRPr="0083113B">
        <w:t>independent</w:t>
      </w:r>
      <w:r w:rsidR="003851EF" w:rsidRPr="0083113B">
        <w:t xml:space="preserve"> nations like Grenada can become if</w:t>
      </w:r>
      <w:r w:rsidR="00407F43" w:rsidRPr="0083113B">
        <w:t xml:space="preserve"> they are able</w:t>
      </w:r>
      <w:r w:rsidR="003851EF" w:rsidRPr="0083113B">
        <w:t xml:space="preserve"> </w:t>
      </w:r>
      <w:r w:rsidR="000515E6" w:rsidRPr="0083113B">
        <w:t xml:space="preserve">to </w:t>
      </w:r>
      <w:r w:rsidR="003851EF" w:rsidRPr="0083113B">
        <w:t xml:space="preserve">let go of </w:t>
      </w:r>
      <w:r w:rsidR="00407F43" w:rsidRPr="0083113B">
        <w:t>enduring</w:t>
      </w:r>
      <w:r w:rsidR="003851EF" w:rsidRPr="0083113B">
        <w:t xml:space="preserve"> colonial institutions</w:t>
      </w:r>
      <w:r w:rsidR="00407F43" w:rsidRPr="0083113B">
        <w:t xml:space="preserve">, </w:t>
      </w:r>
      <w:r w:rsidR="003851EF" w:rsidRPr="0083113B">
        <w:t>ways of thinking</w:t>
      </w:r>
      <w:r w:rsidR="00407F43" w:rsidRPr="0083113B">
        <w:t>, and class stratifications</w:t>
      </w:r>
      <w:r w:rsidR="00F21985" w:rsidRPr="0083113B">
        <w:t xml:space="preserve">. </w:t>
      </w:r>
      <w:r w:rsidR="00520AC8" w:rsidRPr="0083113B">
        <w:t xml:space="preserve">The reality of the crisis at hand, be it exacerbated by </w:t>
      </w:r>
      <w:r w:rsidR="00FB64EC" w:rsidRPr="0083113B">
        <w:t xml:space="preserve">a pandemic </w:t>
      </w:r>
      <w:r w:rsidR="00520AC8" w:rsidRPr="0083113B">
        <w:t xml:space="preserve">or not, </w:t>
      </w:r>
      <w:r w:rsidR="000515E6" w:rsidRPr="0083113B">
        <w:t xml:space="preserve">is </w:t>
      </w:r>
      <w:r w:rsidR="00520AC8" w:rsidRPr="0083113B">
        <w:t xml:space="preserve">that the </w:t>
      </w:r>
      <w:r w:rsidR="00FB64EC" w:rsidRPr="0083113B">
        <w:t>rural workers</w:t>
      </w:r>
      <w:r w:rsidR="00520AC8" w:rsidRPr="0083113B">
        <w:t xml:space="preserve"> of Grenada we spoke to not only have solutions </w:t>
      </w:r>
      <w:r w:rsidR="00F606ED" w:rsidRPr="0083113B">
        <w:t>to</w:t>
      </w:r>
      <w:r w:rsidR="002E56A4" w:rsidRPr="0083113B">
        <w:t>,</w:t>
      </w:r>
      <w:r w:rsidR="00F606ED" w:rsidRPr="0083113B">
        <w:t xml:space="preserve"> but</w:t>
      </w:r>
      <w:r w:rsidR="00520AC8" w:rsidRPr="0083113B">
        <w:t xml:space="preserve"> are addressing in their everyday lives</w:t>
      </w:r>
      <w:r w:rsidR="002E56A4" w:rsidRPr="0083113B">
        <w:t>,</w:t>
      </w:r>
      <w:r w:rsidR="00520AC8" w:rsidRPr="0083113B">
        <w:t xml:space="preserve"> despite the seemingly impossible circumstances </w:t>
      </w:r>
      <w:r w:rsidR="0076481A" w:rsidRPr="0083113B">
        <w:t>posed by</w:t>
      </w:r>
      <w:r w:rsidR="00520AC8" w:rsidRPr="0083113B">
        <w:t xml:space="preserve"> COVID-19, colonial-capitalism, and the corporate food regime.</w:t>
      </w:r>
    </w:p>
    <w:p w14:paraId="53E40F8A" w14:textId="77777777" w:rsidR="00BD05D6" w:rsidRDefault="00BD05D6" w:rsidP="0049456A">
      <w:pPr>
        <w:pStyle w:val="Heading1"/>
        <w:spacing w:before="0" w:after="0" w:line="240" w:lineRule="auto"/>
        <w:jc w:val="center"/>
        <w:rPr>
          <w:rFonts w:ascii="Times New Roman" w:hAnsi="Times New Roman"/>
        </w:rPr>
      </w:pPr>
    </w:p>
    <w:p w14:paraId="776DF51E" w14:textId="31F66095" w:rsidR="00266F24" w:rsidRPr="0083113B" w:rsidRDefault="00266F24" w:rsidP="0083113B">
      <w:pPr>
        <w:pStyle w:val="Heading1"/>
        <w:spacing w:before="0" w:after="0" w:line="240" w:lineRule="auto"/>
        <w:jc w:val="center"/>
        <w:rPr>
          <w:rFonts w:ascii="Times New Roman" w:hAnsi="Times New Roman"/>
        </w:rPr>
      </w:pPr>
      <w:r w:rsidRPr="0083113B">
        <w:rPr>
          <w:rFonts w:ascii="Times New Roman" w:hAnsi="Times New Roman"/>
        </w:rPr>
        <w:t>Funding Statement</w:t>
      </w:r>
    </w:p>
    <w:p w14:paraId="62024C4B" w14:textId="77777777" w:rsidR="00BD05D6" w:rsidRDefault="00BD05D6" w:rsidP="007A2047"/>
    <w:p w14:paraId="471D69C5" w14:textId="6F35120C" w:rsidR="00266F24" w:rsidRPr="0049456A" w:rsidRDefault="00BA7AE0" w:rsidP="007A2047">
      <w:r w:rsidRPr="007A2047">
        <w:t>Th</w:t>
      </w:r>
      <w:r w:rsidRPr="0049456A">
        <w:t>is research was supported by a grant from the UKRI-AHRC, ID AH/V00056X/1, as part of the Global Challenges Research Fund</w:t>
      </w:r>
      <w:r w:rsidR="00266F24" w:rsidRPr="0049456A">
        <w:t>.</w:t>
      </w:r>
    </w:p>
    <w:p w14:paraId="6559E8A8" w14:textId="77777777" w:rsidR="00BD05D6" w:rsidRDefault="00BD05D6" w:rsidP="0049456A">
      <w:pPr>
        <w:pStyle w:val="Heading1"/>
        <w:spacing w:before="0" w:after="0" w:line="240" w:lineRule="auto"/>
        <w:jc w:val="center"/>
        <w:rPr>
          <w:rFonts w:ascii="Times New Roman" w:hAnsi="Times New Roman"/>
        </w:rPr>
      </w:pPr>
    </w:p>
    <w:p w14:paraId="6C0D2B9B" w14:textId="0D35D5DB" w:rsidR="00AC3D72" w:rsidRPr="0083113B" w:rsidRDefault="00AC3D72" w:rsidP="0083113B">
      <w:pPr>
        <w:pStyle w:val="Heading1"/>
        <w:spacing w:before="0" w:after="0" w:line="240" w:lineRule="auto"/>
        <w:jc w:val="center"/>
        <w:rPr>
          <w:rFonts w:ascii="Times New Roman" w:hAnsi="Times New Roman"/>
        </w:rPr>
      </w:pPr>
      <w:r w:rsidRPr="0083113B">
        <w:rPr>
          <w:rFonts w:ascii="Times New Roman" w:hAnsi="Times New Roman"/>
        </w:rPr>
        <w:t>References</w:t>
      </w:r>
    </w:p>
    <w:p w14:paraId="2996491D" w14:textId="77777777" w:rsidR="00BD05D6" w:rsidRDefault="00BD05D6" w:rsidP="0049456A">
      <w:pPr>
        <w:ind w:left="720" w:hanging="720"/>
        <w:jc w:val="both"/>
        <w:rPr>
          <w:rFonts w:eastAsia="Calibri"/>
          <w:color w:val="000000" w:themeColor="text1"/>
          <w:lang w:val="en-US"/>
        </w:rPr>
      </w:pPr>
    </w:p>
    <w:p w14:paraId="5097F6E3" w14:textId="6034A5A2" w:rsidR="009A08EA" w:rsidRPr="0049456A" w:rsidRDefault="009A08EA" w:rsidP="0083113B">
      <w:pPr>
        <w:ind w:left="720" w:hanging="720"/>
        <w:jc w:val="both"/>
        <w:rPr>
          <w:lang w:val="en-AU"/>
        </w:rPr>
      </w:pPr>
      <w:r w:rsidRPr="0083113B">
        <w:rPr>
          <w:rFonts w:eastAsia="Calibri"/>
          <w:color w:val="000000" w:themeColor="text1"/>
          <w:lang w:val="en-US"/>
        </w:rPr>
        <w:t xml:space="preserve">Barclay, J., </w:t>
      </w:r>
      <w:r w:rsidR="00EE09D0" w:rsidRPr="0083113B">
        <w:rPr>
          <w:rFonts w:eastAsia="Calibri"/>
          <w:color w:val="000000" w:themeColor="text1"/>
          <w:lang w:val="en-US"/>
        </w:rPr>
        <w:t xml:space="preserve">E. </w:t>
      </w:r>
      <w:r w:rsidRPr="0083113B">
        <w:rPr>
          <w:rFonts w:eastAsia="Calibri"/>
          <w:color w:val="000000" w:themeColor="text1"/>
          <w:lang w:val="en-US"/>
        </w:rPr>
        <w:t xml:space="preserve">Wilkinson, </w:t>
      </w:r>
      <w:r w:rsidR="00EE09D0" w:rsidRPr="0083113B">
        <w:rPr>
          <w:rFonts w:eastAsia="Calibri"/>
          <w:color w:val="000000" w:themeColor="text1"/>
          <w:lang w:val="en-US"/>
        </w:rPr>
        <w:t xml:space="preserve">C.S. </w:t>
      </w:r>
      <w:r w:rsidRPr="0083113B">
        <w:rPr>
          <w:rFonts w:eastAsia="Calibri"/>
          <w:color w:val="000000" w:themeColor="text1"/>
          <w:lang w:val="en-US"/>
        </w:rPr>
        <w:t xml:space="preserve">White, </w:t>
      </w:r>
      <w:r w:rsidR="00EE09D0" w:rsidRPr="0083113B">
        <w:rPr>
          <w:rFonts w:eastAsia="Calibri"/>
          <w:color w:val="000000" w:themeColor="text1"/>
          <w:lang w:val="en-US"/>
        </w:rPr>
        <w:t xml:space="preserve">C. </w:t>
      </w:r>
      <w:r w:rsidRPr="0083113B">
        <w:rPr>
          <w:rFonts w:eastAsia="Calibri"/>
          <w:color w:val="000000" w:themeColor="text1"/>
          <w:lang w:val="en-US"/>
        </w:rPr>
        <w:t xml:space="preserve">Shelton, </w:t>
      </w:r>
      <w:r w:rsidR="00EE09D0" w:rsidRPr="0083113B">
        <w:rPr>
          <w:rFonts w:eastAsia="Calibri"/>
          <w:color w:val="000000" w:themeColor="text1"/>
          <w:lang w:val="en-US"/>
        </w:rPr>
        <w:t xml:space="preserve">J. </w:t>
      </w:r>
      <w:r w:rsidRPr="0083113B">
        <w:rPr>
          <w:rFonts w:eastAsia="Calibri"/>
          <w:color w:val="000000" w:themeColor="text1"/>
          <w:lang w:val="en-US"/>
        </w:rPr>
        <w:t xml:space="preserve">Forster, </w:t>
      </w:r>
      <w:r w:rsidR="00EE09D0" w:rsidRPr="0083113B">
        <w:rPr>
          <w:rFonts w:eastAsia="Calibri"/>
          <w:color w:val="000000" w:themeColor="text1"/>
          <w:lang w:val="en-US"/>
        </w:rPr>
        <w:t xml:space="preserve">R. </w:t>
      </w:r>
      <w:r w:rsidRPr="0083113B">
        <w:rPr>
          <w:rFonts w:eastAsia="Calibri"/>
          <w:color w:val="000000" w:themeColor="text1"/>
          <w:lang w:val="en-US"/>
        </w:rPr>
        <w:t xml:space="preserve">Few, </w:t>
      </w:r>
      <w:r w:rsidR="00EE09D0" w:rsidRPr="0083113B">
        <w:rPr>
          <w:rFonts w:eastAsia="Calibri"/>
          <w:color w:val="000000" w:themeColor="text1"/>
          <w:lang w:val="en-US"/>
        </w:rPr>
        <w:t xml:space="preserve">I. </w:t>
      </w:r>
      <w:proofErr w:type="spellStart"/>
      <w:r w:rsidRPr="0083113B">
        <w:rPr>
          <w:rFonts w:eastAsia="Calibri"/>
          <w:color w:val="000000" w:themeColor="text1"/>
          <w:lang w:val="en-US"/>
        </w:rPr>
        <w:t>Lorenzoni</w:t>
      </w:r>
      <w:proofErr w:type="spellEnd"/>
      <w:r w:rsidRPr="0083113B">
        <w:rPr>
          <w:rFonts w:eastAsia="Calibri"/>
          <w:color w:val="000000" w:themeColor="text1"/>
          <w:lang w:val="en-US"/>
        </w:rPr>
        <w:t xml:space="preserve">, </w:t>
      </w:r>
      <w:r w:rsidR="00EE09D0" w:rsidRPr="0083113B">
        <w:rPr>
          <w:rFonts w:eastAsia="Calibri"/>
          <w:color w:val="000000" w:themeColor="text1"/>
          <w:lang w:val="en-US"/>
        </w:rPr>
        <w:t xml:space="preserve">G. </w:t>
      </w:r>
      <w:proofErr w:type="spellStart"/>
      <w:r w:rsidRPr="0083113B">
        <w:rPr>
          <w:rFonts w:eastAsia="Calibri"/>
          <w:color w:val="000000" w:themeColor="text1"/>
          <w:lang w:val="en-US"/>
        </w:rPr>
        <w:t>Woolhouse</w:t>
      </w:r>
      <w:proofErr w:type="spellEnd"/>
      <w:r w:rsidRPr="0083113B">
        <w:rPr>
          <w:rFonts w:eastAsia="Calibri"/>
          <w:color w:val="000000" w:themeColor="text1"/>
          <w:lang w:val="en-US"/>
        </w:rPr>
        <w:t xml:space="preserve">, </w:t>
      </w:r>
      <w:r w:rsidR="00EE09D0" w:rsidRPr="0083113B">
        <w:rPr>
          <w:rFonts w:eastAsia="Calibri"/>
          <w:color w:val="000000" w:themeColor="text1"/>
          <w:lang w:val="en-US"/>
        </w:rPr>
        <w:t xml:space="preserve">C. </w:t>
      </w:r>
      <w:proofErr w:type="spellStart"/>
      <w:r w:rsidRPr="0083113B">
        <w:rPr>
          <w:rFonts w:eastAsia="Calibri"/>
          <w:color w:val="000000" w:themeColor="text1"/>
          <w:lang w:val="en-US"/>
        </w:rPr>
        <w:t>Jowitt</w:t>
      </w:r>
      <w:proofErr w:type="spellEnd"/>
      <w:r w:rsidRPr="0083113B">
        <w:rPr>
          <w:rFonts w:eastAsia="Calibri"/>
          <w:color w:val="000000" w:themeColor="text1"/>
          <w:lang w:val="en-US"/>
        </w:rPr>
        <w:t xml:space="preserve">, </w:t>
      </w:r>
      <w:r w:rsidR="00EE09D0" w:rsidRPr="0083113B">
        <w:rPr>
          <w:rFonts w:eastAsia="Calibri"/>
          <w:color w:val="000000" w:themeColor="text1"/>
          <w:lang w:val="en-US"/>
        </w:rPr>
        <w:t xml:space="preserve">H. </w:t>
      </w:r>
      <w:r w:rsidRPr="0083113B">
        <w:rPr>
          <w:rFonts w:eastAsia="Calibri"/>
          <w:color w:val="000000" w:themeColor="text1"/>
          <w:lang w:val="en-US"/>
        </w:rPr>
        <w:t xml:space="preserve">Stone, and </w:t>
      </w:r>
      <w:r w:rsidR="00EE09D0" w:rsidRPr="0083113B">
        <w:rPr>
          <w:rFonts w:eastAsia="Calibri"/>
          <w:color w:val="000000" w:themeColor="text1"/>
          <w:lang w:val="en-US"/>
        </w:rPr>
        <w:t xml:space="preserve">L. </w:t>
      </w:r>
      <w:proofErr w:type="spellStart"/>
      <w:r w:rsidRPr="0083113B">
        <w:rPr>
          <w:rFonts w:eastAsia="Calibri"/>
          <w:color w:val="000000" w:themeColor="text1"/>
          <w:lang w:val="en-US"/>
        </w:rPr>
        <w:t>Honychurch</w:t>
      </w:r>
      <w:proofErr w:type="spellEnd"/>
      <w:r w:rsidRPr="0083113B">
        <w:rPr>
          <w:rFonts w:eastAsia="Calibri"/>
          <w:color w:val="000000" w:themeColor="text1"/>
          <w:lang w:val="en-US"/>
        </w:rPr>
        <w:t xml:space="preserve">. </w:t>
      </w:r>
      <w:r w:rsidR="00B10BF3" w:rsidRPr="0083113B">
        <w:rPr>
          <w:rFonts w:eastAsia="Calibri"/>
          <w:color w:val="000000" w:themeColor="text1"/>
          <w:lang w:val="en-US"/>
        </w:rPr>
        <w:t>“</w:t>
      </w:r>
      <w:r w:rsidRPr="0083113B">
        <w:rPr>
          <w:rFonts w:eastAsia="Calibri"/>
          <w:color w:val="000000" w:themeColor="text1"/>
          <w:lang w:val="en-US"/>
        </w:rPr>
        <w:t xml:space="preserve">Historical </w:t>
      </w:r>
      <w:r w:rsidR="004F48A7" w:rsidRPr="0083113B">
        <w:rPr>
          <w:rFonts w:eastAsia="Calibri"/>
          <w:color w:val="000000" w:themeColor="text1"/>
          <w:lang w:val="en-US"/>
        </w:rPr>
        <w:t>T</w:t>
      </w:r>
      <w:r w:rsidRPr="0083113B">
        <w:rPr>
          <w:rFonts w:eastAsia="Calibri"/>
          <w:color w:val="000000" w:themeColor="text1"/>
          <w:lang w:val="en-US"/>
        </w:rPr>
        <w:t xml:space="preserve">rajectories of </w:t>
      </w:r>
      <w:r w:rsidR="004F48A7" w:rsidRPr="0083113B">
        <w:rPr>
          <w:rFonts w:eastAsia="Calibri"/>
          <w:color w:val="000000" w:themeColor="text1"/>
          <w:lang w:val="en-US"/>
        </w:rPr>
        <w:t>D</w:t>
      </w:r>
      <w:r w:rsidRPr="0083113B">
        <w:rPr>
          <w:rFonts w:eastAsia="Calibri"/>
          <w:color w:val="000000" w:themeColor="text1"/>
          <w:lang w:val="en-US"/>
        </w:rPr>
        <w:t xml:space="preserve">isaster </w:t>
      </w:r>
      <w:r w:rsidR="004F48A7" w:rsidRPr="0083113B">
        <w:rPr>
          <w:rFonts w:eastAsia="Calibri"/>
          <w:color w:val="000000" w:themeColor="text1"/>
          <w:lang w:val="en-US"/>
        </w:rPr>
        <w:t>R</w:t>
      </w:r>
      <w:r w:rsidRPr="0083113B">
        <w:rPr>
          <w:rFonts w:eastAsia="Calibri"/>
          <w:color w:val="000000" w:themeColor="text1"/>
          <w:lang w:val="en-US"/>
        </w:rPr>
        <w:t>isk in Dominica</w:t>
      </w:r>
      <w:r w:rsidR="005A3253" w:rsidRPr="0083113B">
        <w:rPr>
          <w:rFonts w:eastAsia="Calibri"/>
          <w:color w:val="000000" w:themeColor="text1"/>
          <w:lang w:val="en-US"/>
        </w:rPr>
        <w:t>.</w:t>
      </w:r>
      <w:r w:rsidR="00B10BF3" w:rsidRPr="0083113B">
        <w:rPr>
          <w:rFonts w:eastAsia="Calibri"/>
          <w:color w:val="000000" w:themeColor="text1"/>
          <w:lang w:val="en-US"/>
        </w:rPr>
        <w:t>”</w:t>
      </w:r>
      <w:r w:rsidRPr="0083113B">
        <w:rPr>
          <w:rFonts w:eastAsia="Calibri"/>
          <w:color w:val="000000" w:themeColor="text1"/>
          <w:lang w:val="en-US"/>
        </w:rPr>
        <w:t> </w:t>
      </w:r>
      <w:r w:rsidRPr="0083113B">
        <w:rPr>
          <w:rFonts w:eastAsia="Calibri"/>
          <w:i/>
          <w:iCs/>
          <w:color w:val="000000" w:themeColor="text1"/>
          <w:lang w:val="en-US"/>
        </w:rPr>
        <w:t>International Journal of Disaster Risk Science</w:t>
      </w:r>
      <w:r w:rsidRPr="0083113B">
        <w:rPr>
          <w:rFonts w:eastAsia="Calibri"/>
          <w:color w:val="000000" w:themeColor="text1"/>
          <w:lang w:val="en-US"/>
        </w:rPr>
        <w:t> 10</w:t>
      </w:r>
      <w:r w:rsidR="005A3253" w:rsidRPr="0083113B">
        <w:rPr>
          <w:rFonts w:eastAsia="Calibri"/>
          <w:color w:val="000000" w:themeColor="text1"/>
          <w:lang w:val="en-US"/>
        </w:rPr>
        <w:t xml:space="preserve">, no. </w:t>
      </w:r>
      <w:r w:rsidRPr="0083113B">
        <w:rPr>
          <w:rFonts w:eastAsia="Calibri"/>
          <w:color w:val="000000" w:themeColor="text1"/>
          <w:lang w:val="en-US"/>
        </w:rPr>
        <w:t>2</w:t>
      </w:r>
      <w:r w:rsidR="00B10BF3" w:rsidRPr="0083113B">
        <w:rPr>
          <w:rFonts w:eastAsia="Calibri"/>
          <w:color w:val="000000" w:themeColor="text1"/>
          <w:lang w:val="en-US"/>
        </w:rPr>
        <w:t xml:space="preserve"> (2019)</w:t>
      </w:r>
      <w:r w:rsidR="00EE09D0" w:rsidRPr="0083113B">
        <w:rPr>
          <w:rFonts w:eastAsia="Calibri"/>
          <w:color w:val="000000" w:themeColor="text1"/>
          <w:lang w:val="en-US"/>
        </w:rPr>
        <w:t>:</w:t>
      </w:r>
      <w:r w:rsidRPr="0083113B">
        <w:rPr>
          <w:rFonts w:eastAsia="Calibri"/>
          <w:color w:val="000000" w:themeColor="text1"/>
          <w:lang w:val="en-US"/>
        </w:rPr>
        <w:t xml:space="preserve"> 149-165.</w:t>
      </w:r>
      <w:r w:rsidR="00BF3154" w:rsidRPr="0083113B">
        <w:rPr>
          <w:rFonts w:eastAsia="Calibri"/>
          <w:color w:val="000000" w:themeColor="text1"/>
          <w:lang w:val="en-US"/>
        </w:rPr>
        <w:t xml:space="preserve"> </w:t>
      </w:r>
      <w:hyperlink r:id="rId7" w:history="1">
        <w:r w:rsidR="00BF3154" w:rsidRPr="0049456A">
          <w:rPr>
            <w:rStyle w:val="Hyperlink"/>
            <w:lang w:val="en-AU"/>
          </w:rPr>
          <w:t>https://doi.org/10.1007/s13753-019-0215-z</w:t>
        </w:r>
      </w:hyperlink>
      <w:r w:rsidR="005A3253" w:rsidRPr="007A2047">
        <w:rPr>
          <w:lang w:val="en-AU"/>
        </w:rPr>
        <w:t>.</w:t>
      </w:r>
      <w:r w:rsidR="00BF3154" w:rsidRPr="0049456A">
        <w:rPr>
          <w:lang w:val="en-AU"/>
        </w:rPr>
        <w:t xml:space="preserve"> </w:t>
      </w:r>
    </w:p>
    <w:p w14:paraId="49F029E2" w14:textId="77777777" w:rsidR="00BF3154" w:rsidRPr="0083113B" w:rsidRDefault="00BF3154" w:rsidP="0083113B">
      <w:pPr>
        <w:rPr>
          <w:lang w:val="en-AU"/>
        </w:rPr>
      </w:pPr>
    </w:p>
    <w:p w14:paraId="4A9321DD" w14:textId="5EC31DAD" w:rsidR="007204A1" w:rsidRPr="0083113B" w:rsidRDefault="007204A1" w:rsidP="0083113B">
      <w:pPr>
        <w:ind w:left="720" w:hanging="720"/>
        <w:jc w:val="both"/>
        <w:rPr>
          <w:rFonts w:eastAsia="Calibri"/>
          <w:color w:val="000000" w:themeColor="text1"/>
        </w:rPr>
      </w:pPr>
      <w:proofErr w:type="spellStart"/>
      <w:r w:rsidRPr="0083113B">
        <w:rPr>
          <w:rFonts w:eastAsia="Calibri"/>
          <w:color w:val="000000" w:themeColor="text1"/>
        </w:rPr>
        <w:t>Barriteau</w:t>
      </w:r>
      <w:proofErr w:type="spellEnd"/>
      <w:r w:rsidRPr="0083113B">
        <w:rPr>
          <w:rFonts w:eastAsia="Calibri"/>
          <w:color w:val="000000" w:themeColor="text1"/>
        </w:rPr>
        <w:t>, E. </w:t>
      </w:r>
      <w:r w:rsidRPr="0083113B">
        <w:rPr>
          <w:rFonts w:eastAsia="Calibri"/>
          <w:i/>
          <w:iCs/>
          <w:color w:val="000000" w:themeColor="text1"/>
        </w:rPr>
        <w:t>The Political Economy of Gender in the Twentieth Century Caribbean</w:t>
      </w:r>
      <w:r w:rsidRPr="0083113B">
        <w:rPr>
          <w:rFonts w:eastAsia="Calibri"/>
          <w:color w:val="000000" w:themeColor="text1"/>
        </w:rPr>
        <w:t>. New York: Palgrave</w:t>
      </w:r>
      <w:r w:rsidR="00B10BF3" w:rsidRPr="0083113B">
        <w:rPr>
          <w:rFonts w:eastAsia="Calibri"/>
          <w:color w:val="000000" w:themeColor="text1"/>
        </w:rPr>
        <w:t>, 2001</w:t>
      </w:r>
      <w:r w:rsidRPr="0083113B">
        <w:rPr>
          <w:rFonts w:eastAsia="Calibri"/>
          <w:color w:val="000000" w:themeColor="text1"/>
        </w:rPr>
        <w:t>.</w:t>
      </w:r>
    </w:p>
    <w:p w14:paraId="0FE42CF7" w14:textId="77777777" w:rsidR="00BD05D6" w:rsidRDefault="00BD05D6" w:rsidP="0049456A">
      <w:pPr>
        <w:ind w:left="720" w:hanging="720"/>
        <w:jc w:val="both"/>
        <w:rPr>
          <w:rFonts w:eastAsia="Calibri"/>
          <w:color w:val="000000" w:themeColor="text1"/>
          <w:lang w:val="en-US"/>
        </w:rPr>
      </w:pPr>
    </w:p>
    <w:p w14:paraId="0C1D0226" w14:textId="1A850CBC" w:rsidR="00355C4D" w:rsidRPr="0083113B" w:rsidRDefault="00355C4D" w:rsidP="0083113B">
      <w:pPr>
        <w:ind w:left="720" w:hanging="720"/>
        <w:jc w:val="both"/>
        <w:rPr>
          <w:rFonts w:eastAsia="Calibri"/>
          <w:color w:val="000000" w:themeColor="text1"/>
          <w:lang w:val="en-US"/>
        </w:rPr>
      </w:pPr>
      <w:r w:rsidRPr="0083113B">
        <w:rPr>
          <w:rFonts w:eastAsia="Calibri"/>
          <w:color w:val="000000" w:themeColor="text1"/>
          <w:lang w:val="en-US"/>
        </w:rPr>
        <w:t xml:space="preserve">Barry, T., and </w:t>
      </w:r>
      <w:r w:rsidR="00EE09D0" w:rsidRPr="0083113B">
        <w:rPr>
          <w:rFonts w:eastAsia="Calibri"/>
          <w:color w:val="000000" w:themeColor="text1"/>
          <w:lang w:val="en-US"/>
        </w:rPr>
        <w:t xml:space="preserve">L. </w:t>
      </w:r>
      <w:r w:rsidRPr="0083113B">
        <w:rPr>
          <w:rFonts w:eastAsia="Calibri"/>
          <w:color w:val="000000" w:themeColor="text1"/>
          <w:lang w:val="en-US"/>
        </w:rPr>
        <w:t xml:space="preserve">Gahman. </w:t>
      </w:r>
      <w:r w:rsidR="00B10BF3" w:rsidRPr="0083113B">
        <w:rPr>
          <w:rFonts w:eastAsia="Calibri"/>
          <w:color w:val="000000" w:themeColor="text1"/>
          <w:lang w:val="en-US"/>
        </w:rPr>
        <w:t>“</w:t>
      </w:r>
      <w:r w:rsidRPr="0083113B">
        <w:rPr>
          <w:rFonts w:eastAsia="Calibri"/>
          <w:color w:val="000000" w:themeColor="text1"/>
          <w:lang w:val="en-US"/>
        </w:rPr>
        <w:t xml:space="preserve">Food </w:t>
      </w:r>
      <w:r w:rsidR="00B10BF3" w:rsidRPr="0083113B">
        <w:rPr>
          <w:rFonts w:eastAsia="Calibri"/>
          <w:color w:val="000000" w:themeColor="text1"/>
          <w:lang w:val="en-US"/>
        </w:rPr>
        <w:t>S</w:t>
      </w:r>
      <w:r w:rsidRPr="0083113B">
        <w:rPr>
          <w:rFonts w:eastAsia="Calibri"/>
          <w:color w:val="000000" w:themeColor="text1"/>
          <w:lang w:val="en-US"/>
        </w:rPr>
        <w:t xml:space="preserve">ystem and </w:t>
      </w:r>
      <w:r w:rsidR="00B10BF3" w:rsidRPr="0083113B">
        <w:rPr>
          <w:rFonts w:eastAsia="Calibri"/>
          <w:color w:val="000000" w:themeColor="text1"/>
          <w:lang w:val="en-US"/>
        </w:rPr>
        <w:t>S</w:t>
      </w:r>
      <w:r w:rsidRPr="0083113B">
        <w:rPr>
          <w:rFonts w:eastAsia="Calibri"/>
          <w:color w:val="000000" w:themeColor="text1"/>
          <w:lang w:val="en-US"/>
        </w:rPr>
        <w:t xml:space="preserve">ocial </w:t>
      </w:r>
      <w:r w:rsidR="00B10BF3" w:rsidRPr="0083113B">
        <w:rPr>
          <w:rFonts w:eastAsia="Calibri"/>
          <w:color w:val="000000" w:themeColor="text1"/>
          <w:lang w:val="en-US"/>
        </w:rPr>
        <w:t>R</w:t>
      </w:r>
      <w:r w:rsidRPr="0083113B">
        <w:rPr>
          <w:rFonts w:eastAsia="Calibri"/>
          <w:color w:val="000000" w:themeColor="text1"/>
          <w:lang w:val="en-US"/>
        </w:rPr>
        <w:t xml:space="preserve">eproduction </w:t>
      </w:r>
      <w:r w:rsidR="00B10BF3" w:rsidRPr="0083113B">
        <w:rPr>
          <w:rFonts w:eastAsia="Calibri"/>
          <w:color w:val="000000" w:themeColor="text1"/>
          <w:lang w:val="en-US"/>
        </w:rPr>
        <w:t>R</w:t>
      </w:r>
      <w:r w:rsidRPr="0083113B">
        <w:rPr>
          <w:rFonts w:eastAsia="Calibri"/>
          <w:color w:val="000000" w:themeColor="text1"/>
          <w:lang w:val="en-US"/>
        </w:rPr>
        <w:t xml:space="preserve">ealities for </w:t>
      </w:r>
      <w:r w:rsidR="00B10BF3" w:rsidRPr="0083113B">
        <w:rPr>
          <w:rFonts w:eastAsia="Calibri"/>
          <w:color w:val="000000" w:themeColor="text1"/>
          <w:lang w:val="en-US"/>
        </w:rPr>
        <w:t>W</w:t>
      </w:r>
      <w:r w:rsidRPr="0083113B">
        <w:rPr>
          <w:rFonts w:eastAsia="Calibri"/>
          <w:color w:val="000000" w:themeColor="text1"/>
          <w:lang w:val="en-US"/>
        </w:rPr>
        <w:t xml:space="preserve">omen in </w:t>
      </w:r>
      <w:r w:rsidR="00B10BF3" w:rsidRPr="0083113B">
        <w:rPr>
          <w:rFonts w:eastAsia="Calibri"/>
          <w:color w:val="000000" w:themeColor="text1"/>
          <w:lang w:val="en-US"/>
        </w:rPr>
        <w:t>A</w:t>
      </w:r>
      <w:r w:rsidRPr="0083113B">
        <w:rPr>
          <w:rFonts w:eastAsia="Calibri"/>
          <w:color w:val="000000" w:themeColor="text1"/>
          <w:lang w:val="en-US"/>
        </w:rPr>
        <w:t>griculture across the Caribbean: Evidence from Grenada, St. Lucia, and St. Vincent and the Grenadines</w:t>
      </w:r>
      <w:r w:rsidR="005A3253" w:rsidRPr="0083113B">
        <w:rPr>
          <w:rFonts w:eastAsia="Calibri"/>
          <w:color w:val="000000" w:themeColor="text1"/>
          <w:lang w:val="en-US"/>
        </w:rPr>
        <w:t>.</w:t>
      </w:r>
      <w:r w:rsidR="00B10BF3" w:rsidRPr="0083113B">
        <w:rPr>
          <w:rFonts w:eastAsia="Calibri"/>
          <w:color w:val="000000" w:themeColor="text1"/>
          <w:lang w:val="en-US"/>
        </w:rPr>
        <w:t>”</w:t>
      </w:r>
      <w:r w:rsidRPr="0083113B">
        <w:rPr>
          <w:rFonts w:eastAsia="Calibri"/>
          <w:color w:val="000000" w:themeColor="text1"/>
          <w:lang w:val="en-US"/>
        </w:rPr>
        <w:t> </w:t>
      </w:r>
      <w:r w:rsidRPr="0083113B">
        <w:rPr>
          <w:rFonts w:eastAsia="Calibri"/>
          <w:i/>
          <w:iCs/>
          <w:color w:val="000000" w:themeColor="text1"/>
          <w:lang w:val="en-US"/>
        </w:rPr>
        <w:t>Journal of Agrarian Change</w:t>
      </w:r>
      <w:r w:rsidR="00B10BF3" w:rsidRPr="0083113B">
        <w:rPr>
          <w:rFonts w:eastAsia="Calibri"/>
          <w:i/>
          <w:iCs/>
          <w:color w:val="000000" w:themeColor="text1"/>
          <w:lang w:val="en-US"/>
        </w:rPr>
        <w:t xml:space="preserve"> </w:t>
      </w:r>
      <w:r w:rsidR="00EE09D0" w:rsidRPr="0083113B">
        <w:rPr>
          <w:rFonts w:eastAsia="Calibri"/>
          <w:color w:val="000000" w:themeColor="text1"/>
          <w:lang w:val="en-US"/>
        </w:rPr>
        <w:t xml:space="preserve">21, no. 4 </w:t>
      </w:r>
      <w:r w:rsidR="00B10BF3" w:rsidRPr="0083113B">
        <w:rPr>
          <w:rFonts w:eastAsia="Calibri"/>
          <w:color w:val="000000" w:themeColor="text1"/>
          <w:lang w:val="en-US"/>
        </w:rPr>
        <w:t>(</w:t>
      </w:r>
      <w:r w:rsidR="00EE09D0" w:rsidRPr="0083113B">
        <w:rPr>
          <w:rFonts w:eastAsia="Calibri"/>
          <w:color w:val="000000" w:themeColor="text1"/>
          <w:lang w:val="en-US"/>
        </w:rPr>
        <w:t xml:space="preserve">October </w:t>
      </w:r>
      <w:r w:rsidR="00B10BF3" w:rsidRPr="0083113B">
        <w:rPr>
          <w:rFonts w:eastAsia="Calibri"/>
          <w:color w:val="000000" w:themeColor="text1"/>
          <w:lang w:val="en-US"/>
        </w:rPr>
        <w:t>2021)</w:t>
      </w:r>
      <w:r w:rsidR="00EE09D0" w:rsidRPr="0083113B">
        <w:rPr>
          <w:rFonts w:eastAsia="Calibri"/>
          <w:color w:val="000000" w:themeColor="text1"/>
          <w:lang w:val="en-US"/>
        </w:rPr>
        <w:t>: 815-833.</w:t>
      </w:r>
      <w:r w:rsidRPr="0083113B">
        <w:rPr>
          <w:rFonts w:eastAsia="Calibri"/>
          <w:color w:val="000000" w:themeColor="text1"/>
          <w:lang w:val="en-US"/>
        </w:rPr>
        <w:t xml:space="preserve"> </w:t>
      </w:r>
      <w:hyperlink r:id="rId8" w:history="1">
        <w:r w:rsidR="00EE09D0" w:rsidRPr="0083113B">
          <w:rPr>
            <w:rStyle w:val="Hyperlink"/>
            <w:rFonts w:eastAsia="Calibri"/>
            <w:lang w:val="en-US"/>
          </w:rPr>
          <w:t>http://doi.org/10.1111/joac.12426</w:t>
        </w:r>
      </w:hyperlink>
      <w:r w:rsidRPr="0083113B">
        <w:rPr>
          <w:rFonts w:eastAsia="Calibri"/>
          <w:color w:val="000000" w:themeColor="text1"/>
          <w:lang w:val="en-US"/>
        </w:rPr>
        <w:t>.</w:t>
      </w:r>
      <w:r w:rsidR="00EE09D0" w:rsidRPr="0083113B">
        <w:rPr>
          <w:rFonts w:eastAsia="Calibri"/>
          <w:color w:val="000000" w:themeColor="text1"/>
          <w:lang w:val="en-US"/>
        </w:rPr>
        <w:t xml:space="preserve"> </w:t>
      </w:r>
    </w:p>
    <w:p w14:paraId="1F051488" w14:textId="77777777" w:rsidR="00BD05D6" w:rsidRDefault="00BD05D6" w:rsidP="0049456A">
      <w:pPr>
        <w:ind w:left="720" w:hanging="720"/>
        <w:jc w:val="both"/>
        <w:rPr>
          <w:rFonts w:eastAsia="Calibri"/>
          <w:color w:val="000000" w:themeColor="text1"/>
          <w:lang w:val="en-US"/>
        </w:rPr>
      </w:pPr>
    </w:p>
    <w:p w14:paraId="34DCE704" w14:textId="6B2ABF56" w:rsidR="00EE259C" w:rsidRPr="0083113B" w:rsidRDefault="00DD0669" w:rsidP="0083113B">
      <w:pPr>
        <w:ind w:left="720" w:hanging="720"/>
        <w:jc w:val="both"/>
        <w:rPr>
          <w:rFonts w:eastAsia="Calibri"/>
          <w:color w:val="000000" w:themeColor="text1"/>
          <w:lang w:val="en-US"/>
        </w:rPr>
      </w:pPr>
      <w:r w:rsidRPr="0083113B">
        <w:rPr>
          <w:rFonts w:eastAsia="Calibri"/>
          <w:color w:val="000000" w:themeColor="text1"/>
          <w:lang w:val="en-US"/>
        </w:rPr>
        <w:lastRenderedPageBreak/>
        <w:t xml:space="preserve">Barry, T., </w:t>
      </w:r>
      <w:r w:rsidR="00EE259C" w:rsidRPr="0083113B">
        <w:rPr>
          <w:rFonts w:eastAsia="Calibri"/>
          <w:color w:val="000000" w:themeColor="text1"/>
          <w:lang w:val="en-US"/>
        </w:rPr>
        <w:t>and</w:t>
      </w:r>
      <w:r w:rsidRPr="0083113B">
        <w:rPr>
          <w:rFonts w:eastAsia="Calibri"/>
          <w:color w:val="000000" w:themeColor="text1"/>
          <w:lang w:val="en-US"/>
        </w:rPr>
        <w:t xml:space="preserve"> </w:t>
      </w:r>
      <w:r w:rsidR="00EE09D0" w:rsidRPr="0083113B">
        <w:rPr>
          <w:rFonts w:eastAsia="Calibri"/>
          <w:color w:val="000000" w:themeColor="text1"/>
          <w:lang w:val="en-US"/>
        </w:rPr>
        <w:t xml:space="preserve">L. </w:t>
      </w:r>
      <w:r w:rsidRPr="0083113B">
        <w:rPr>
          <w:rFonts w:eastAsia="Calibri"/>
          <w:color w:val="000000" w:themeColor="text1"/>
          <w:lang w:val="en-US"/>
        </w:rPr>
        <w:t xml:space="preserve">Gahman. </w:t>
      </w:r>
      <w:r w:rsidR="00B10BF3" w:rsidRPr="0083113B">
        <w:rPr>
          <w:rFonts w:eastAsia="Calibri"/>
          <w:color w:val="000000" w:themeColor="text1"/>
          <w:lang w:val="en-US"/>
        </w:rPr>
        <w:t>“</w:t>
      </w:r>
      <w:r w:rsidRPr="0083113B">
        <w:rPr>
          <w:rFonts w:eastAsia="Calibri"/>
          <w:color w:val="000000" w:themeColor="text1"/>
          <w:lang w:val="en-US"/>
        </w:rPr>
        <w:t xml:space="preserve">Agrarian </w:t>
      </w:r>
      <w:r w:rsidR="00683B88" w:rsidRPr="0083113B">
        <w:rPr>
          <w:rFonts w:eastAsia="Calibri"/>
          <w:color w:val="000000" w:themeColor="text1"/>
          <w:lang w:val="en-US"/>
        </w:rPr>
        <w:t>S</w:t>
      </w:r>
      <w:r w:rsidRPr="0083113B">
        <w:rPr>
          <w:rFonts w:eastAsia="Calibri"/>
          <w:color w:val="000000" w:themeColor="text1"/>
          <w:lang w:val="en-US"/>
        </w:rPr>
        <w:t xml:space="preserve">truggle and </w:t>
      </w:r>
      <w:r w:rsidR="00683B88" w:rsidRPr="0083113B">
        <w:rPr>
          <w:rFonts w:eastAsia="Calibri"/>
          <w:color w:val="000000" w:themeColor="text1"/>
          <w:lang w:val="en-US"/>
        </w:rPr>
        <w:t>F</w:t>
      </w:r>
      <w:r w:rsidRPr="0083113B">
        <w:rPr>
          <w:rFonts w:eastAsia="Calibri"/>
          <w:color w:val="000000" w:themeColor="text1"/>
          <w:lang w:val="en-US"/>
        </w:rPr>
        <w:t xml:space="preserve">ood </w:t>
      </w:r>
      <w:r w:rsidR="00683B88" w:rsidRPr="0083113B">
        <w:rPr>
          <w:rFonts w:eastAsia="Calibri"/>
          <w:color w:val="000000" w:themeColor="text1"/>
          <w:lang w:val="en-US"/>
        </w:rPr>
        <w:t>S</w:t>
      </w:r>
      <w:r w:rsidRPr="0083113B">
        <w:rPr>
          <w:rFonts w:eastAsia="Calibri"/>
          <w:color w:val="000000" w:themeColor="text1"/>
          <w:lang w:val="en-US"/>
        </w:rPr>
        <w:t xml:space="preserve">ystem </w:t>
      </w:r>
      <w:r w:rsidR="00683B88" w:rsidRPr="0083113B">
        <w:rPr>
          <w:rFonts w:eastAsia="Calibri"/>
          <w:color w:val="000000" w:themeColor="text1"/>
          <w:lang w:val="en-US"/>
        </w:rPr>
        <w:t>I</w:t>
      </w:r>
      <w:r w:rsidRPr="0083113B">
        <w:rPr>
          <w:rFonts w:eastAsia="Calibri"/>
          <w:color w:val="000000" w:themeColor="text1"/>
          <w:lang w:val="en-US"/>
        </w:rPr>
        <w:t xml:space="preserve">njustice in the Anglo-Caribbean: </w:t>
      </w:r>
      <w:r w:rsidR="00683B88" w:rsidRPr="0083113B">
        <w:rPr>
          <w:rFonts w:eastAsia="Calibri"/>
          <w:color w:val="000000" w:themeColor="text1"/>
          <w:lang w:val="en-US"/>
        </w:rPr>
        <w:t>C</w:t>
      </w:r>
      <w:r w:rsidRPr="0083113B">
        <w:rPr>
          <w:rFonts w:eastAsia="Calibri"/>
          <w:color w:val="000000" w:themeColor="text1"/>
          <w:lang w:val="en-US"/>
        </w:rPr>
        <w:t xml:space="preserve">entering </w:t>
      </w:r>
      <w:r w:rsidR="00683B88" w:rsidRPr="0083113B">
        <w:rPr>
          <w:rFonts w:eastAsia="Calibri"/>
          <w:color w:val="000000" w:themeColor="text1"/>
          <w:lang w:val="en-US"/>
        </w:rPr>
        <w:t>S</w:t>
      </w:r>
      <w:r w:rsidRPr="0083113B">
        <w:rPr>
          <w:rFonts w:eastAsia="Calibri"/>
          <w:color w:val="000000" w:themeColor="text1"/>
          <w:lang w:val="en-US"/>
        </w:rPr>
        <w:t xml:space="preserve">ocial </w:t>
      </w:r>
      <w:r w:rsidR="00683B88" w:rsidRPr="0083113B">
        <w:rPr>
          <w:rFonts w:eastAsia="Calibri"/>
          <w:color w:val="000000" w:themeColor="text1"/>
          <w:lang w:val="en-US"/>
        </w:rPr>
        <w:t>R</w:t>
      </w:r>
      <w:r w:rsidRPr="0083113B">
        <w:rPr>
          <w:rFonts w:eastAsia="Calibri"/>
          <w:color w:val="000000" w:themeColor="text1"/>
          <w:lang w:val="en-US"/>
        </w:rPr>
        <w:t>eproduction by (</w:t>
      </w:r>
      <w:r w:rsidR="0083113B">
        <w:rPr>
          <w:rFonts w:eastAsia="Calibri"/>
          <w:color w:val="000000" w:themeColor="text1"/>
          <w:lang w:val="en-US"/>
        </w:rPr>
        <w:t>R</w:t>
      </w:r>
      <w:r w:rsidRPr="0083113B">
        <w:rPr>
          <w:rFonts w:eastAsia="Calibri"/>
          <w:color w:val="000000" w:themeColor="text1"/>
          <w:lang w:val="en-US"/>
        </w:rPr>
        <w:t xml:space="preserve">e)turning to </w:t>
      </w:r>
      <w:proofErr w:type="spellStart"/>
      <w:r w:rsidRPr="0083113B">
        <w:rPr>
          <w:rFonts w:eastAsia="Calibri"/>
          <w:color w:val="000000" w:themeColor="text1"/>
          <w:lang w:val="en-US"/>
        </w:rPr>
        <w:t>Creft</w:t>
      </w:r>
      <w:proofErr w:type="spellEnd"/>
      <w:r w:rsidRPr="0083113B">
        <w:rPr>
          <w:rFonts w:eastAsia="Calibri"/>
          <w:color w:val="000000" w:themeColor="text1"/>
          <w:lang w:val="en-US"/>
        </w:rPr>
        <w:t xml:space="preserve"> and Fanon</w:t>
      </w:r>
      <w:r w:rsidR="00EE09D0" w:rsidRPr="0083113B">
        <w:rPr>
          <w:rFonts w:eastAsia="Calibri"/>
          <w:color w:val="000000" w:themeColor="text1"/>
          <w:lang w:val="en-US"/>
        </w:rPr>
        <w:t>.</w:t>
      </w:r>
      <w:r w:rsidR="00B10BF3" w:rsidRPr="0083113B">
        <w:rPr>
          <w:rFonts w:eastAsia="Calibri"/>
          <w:color w:val="000000" w:themeColor="text1"/>
          <w:lang w:val="en-US"/>
        </w:rPr>
        <w:t>”</w:t>
      </w:r>
      <w:r w:rsidRPr="0083113B">
        <w:rPr>
          <w:rFonts w:eastAsia="Calibri"/>
          <w:color w:val="000000" w:themeColor="text1"/>
          <w:lang w:val="en-US"/>
        </w:rPr>
        <w:t> </w:t>
      </w:r>
      <w:r w:rsidRPr="0083113B">
        <w:rPr>
          <w:rFonts w:eastAsia="Calibri"/>
          <w:i/>
          <w:iCs/>
          <w:color w:val="000000" w:themeColor="text1"/>
          <w:lang w:val="en-US"/>
        </w:rPr>
        <w:t>Human Geography</w:t>
      </w:r>
      <w:r w:rsidR="00EE259C" w:rsidRPr="0083113B">
        <w:rPr>
          <w:rFonts w:eastAsia="Calibri"/>
          <w:color w:val="000000" w:themeColor="text1"/>
          <w:lang w:val="en-US"/>
        </w:rPr>
        <w:t xml:space="preserve"> </w:t>
      </w:r>
      <w:r w:rsidRPr="0083113B">
        <w:rPr>
          <w:rFonts w:eastAsia="Calibri"/>
          <w:color w:val="000000" w:themeColor="text1"/>
          <w:lang w:val="en-US"/>
        </w:rPr>
        <w:t>13</w:t>
      </w:r>
      <w:r w:rsidR="00EE09D0" w:rsidRPr="0083113B">
        <w:rPr>
          <w:rFonts w:eastAsia="Calibri"/>
          <w:color w:val="000000" w:themeColor="text1"/>
          <w:lang w:val="en-US"/>
        </w:rPr>
        <w:t xml:space="preserve">, no. </w:t>
      </w:r>
      <w:r w:rsidRPr="0083113B">
        <w:rPr>
          <w:rFonts w:eastAsia="Calibri"/>
          <w:color w:val="000000" w:themeColor="text1"/>
          <w:lang w:val="en-US"/>
        </w:rPr>
        <w:t>2</w:t>
      </w:r>
      <w:r w:rsidR="00B10BF3" w:rsidRPr="0083113B">
        <w:rPr>
          <w:rFonts w:eastAsia="Calibri"/>
          <w:color w:val="000000" w:themeColor="text1"/>
          <w:lang w:val="en-US"/>
        </w:rPr>
        <w:t xml:space="preserve"> (2020)</w:t>
      </w:r>
      <w:r w:rsidR="00EE09D0" w:rsidRPr="0083113B">
        <w:rPr>
          <w:rFonts w:eastAsia="Calibri"/>
          <w:color w:val="000000" w:themeColor="text1"/>
          <w:lang w:val="en-US"/>
        </w:rPr>
        <w:t>:</w:t>
      </w:r>
      <w:r w:rsidRPr="0083113B">
        <w:rPr>
          <w:rFonts w:eastAsia="Calibri"/>
          <w:color w:val="000000" w:themeColor="text1"/>
          <w:lang w:val="en-US"/>
        </w:rPr>
        <w:t xml:space="preserve"> 174-178.</w:t>
      </w:r>
    </w:p>
    <w:p w14:paraId="6A807302" w14:textId="77777777" w:rsidR="00BD05D6" w:rsidRDefault="00BD05D6" w:rsidP="0049456A">
      <w:pPr>
        <w:ind w:left="720" w:hanging="720"/>
        <w:jc w:val="both"/>
        <w:rPr>
          <w:rFonts w:eastAsia="Calibri"/>
          <w:color w:val="000000" w:themeColor="text1"/>
          <w:lang w:val="en-US"/>
        </w:rPr>
      </w:pPr>
    </w:p>
    <w:p w14:paraId="1D52BF00" w14:textId="2AD20304" w:rsidR="00EE259C" w:rsidRPr="0083113B" w:rsidRDefault="00EE259C" w:rsidP="0083113B">
      <w:pPr>
        <w:ind w:left="720" w:hanging="720"/>
        <w:jc w:val="both"/>
        <w:rPr>
          <w:rFonts w:eastAsia="Calibri"/>
          <w:color w:val="000000" w:themeColor="text1"/>
          <w:lang w:val="en-US"/>
        </w:rPr>
      </w:pPr>
      <w:r w:rsidRPr="0083113B">
        <w:rPr>
          <w:rFonts w:eastAsia="Calibri"/>
          <w:color w:val="000000" w:themeColor="text1"/>
          <w:lang w:val="en-US"/>
        </w:rPr>
        <w:t xml:space="preserve">Barry, T., </w:t>
      </w:r>
      <w:r w:rsidR="00EE6874" w:rsidRPr="0083113B">
        <w:rPr>
          <w:rFonts w:eastAsia="Calibri"/>
          <w:color w:val="000000" w:themeColor="text1"/>
          <w:lang w:val="en-US"/>
        </w:rPr>
        <w:t xml:space="preserve">L. </w:t>
      </w:r>
      <w:r w:rsidRPr="0083113B">
        <w:rPr>
          <w:rFonts w:eastAsia="Calibri"/>
          <w:color w:val="000000" w:themeColor="text1"/>
          <w:lang w:val="en-US"/>
        </w:rPr>
        <w:t xml:space="preserve">Gahman, </w:t>
      </w:r>
      <w:r w:rsidR="00EE6874" w:rsidRPr="0083113B">
        <w:rPr>
          <w:rFonts w:eastAsia="Calibri"/>
          <w:color w:val="000000" w:themeColor="text1"/>
          <w:lang w:val="en-US"/>
        </w:rPr>
        <w:t xml:space="preserve">A. </w:t>
      </w:r>
      <w:r w:rsidRPr="0083113B">
        <w:rPr>
          <w:rFonts w:eastAsia="Calibri"/>
          <w:color w:val="000000" w:themeColor="text1"/>
          <w:lang w:val="en-US"/>
        </w:rPr>
        <w:t xml:space="preserve">Greenidge, and </w:t>
      </w:r>
      <w:r w:rsidR="00EE6874" w:rsidRPr="0083113B">
        <w:rPr>
          <w:rFonts w:eastAsia="Calibri"/>
          <w:color w:val="000000" w:themeColor="text1"/>
          <w:lang w:val="en-US"/>
        </w:rPr>
        <w:t xml:space="preserve">A. </w:t>
      </w:r>
      <w:r w:rsidRPr="0083113B">
        <w:rPr>
          <w:rFonts w:eastAsia="Calibri"/>
          <w:color w:val="000000" w:themeColor="text1"/>
          <w:lang w:val="en-US"/>
        </w:rPr>
        <w:t xml:space="preserve">Mohamed. </w:t>
      </w:r>
      <w:r w:rsidR="00683B88" w:rsidRPr="0083113B">
        <w:rPr>
          <w:rFonts w:eastAsia="Calibri"/>
          <w:color w:val="000000" w:themeColor="text1"/>
          <w:lang w:val="en-US"/>
        </w:rPr>
        <w:t>“</w:t>
      </w:r>
      <w:r w:rsidRPr="0083113B">
        <w:rPr>
          <w:rFonts w:eastAsia="Calibri"/>
          <w:color w:val="000000" w:themeColor="text1"/>
          <w:lang w:val="en-US"/>
        </w:rPr>
        <w:t xml:space="preserve">Wrestling with </w:t>
      </w:r>
      <w:r w:rsidR="00683B88" w:rsidRPr="0083113B">
        <w:rPr>
          <w:rFonts w:eastAsia="Calibri"/>
          <w:color w:val="000000" w:themeColor="text1"/>
          <w:lang w:val="en-US"/>
        </w:rPr>
        <w:t>R</w:t>
      </w:r>
      <w:r w:rsidRPr="0083113B">
        <w:rPr>
          <w:rFonts w:eastAsia="Calibri"/>
          <w:color w:val="000000" w:themeColor="text1"/>
          <w:lang w:val="en-US"/>
        </w:rPr>
        <w:t xml:space="preserve">ace and </w:t>
      </w:r>
      <w:r w:rsidR="00683B88" w:rsidRPr="0083113B">
        <w:rPr>
          <w:rFonts w:eastAsia="Calibri"/>
          <w:color w:val="000000" w:themeColor="text1"/>
          <w:lang w:val="en-US"/>
        </w:rPr>
        <w:t>C</w:t>
      </w:r>
      <w:r w:rsidRPr="0083113B">
        <w:rPr>
          <w:rFonts w:eastAsia="Calibri"/>
          <w:color w:val="000000" w:themeColor="text1"/>
          <w:lang w:val="en-US"/>
        </w:rPr>
        <w:t xml:space="preserve">olonialism in Caribbean </w:t>
      </w:r>
      <w:r w:rsidR="00683B88" w:rsidRPr="0083113B">
        <w:rPr>
          <w:rFonts w:eastAsia="Calibri"/>
          <w:color w:val="000000" w:themeColor="text1"/>
          <w:lang w:val="en-US"/>
        </w:rPr>
        <w:t>A</w:t>
      </w:r>
      <w:r w:rsidRPr="0083113B">
        <w:rPr>
          <w:rFonts w:eastAsia="Calibri"/>
          <w:color w:val="000000" w:themeColor="text1"/>
          <w:lang w:val="en-US"/>
        </w:rPr>
        <w:t>griculture: Toward a (</w:t>
      </w:r>
      <w:r w:rsidR="00683B88" w:rsidRPr="0083113B">
        <w:rPr>
          <w:rFonts w:eastAsia="Calibri"/>
          <w:color w:val="000000" w:themeColor="text1"/>
          <w:lang w:val="en-US"/>
        </w:rPr>
        <w:t>F</w:t>
      </w:r>
      <w:r w:rsidRPr="0083113B">
        <w:rPr>
          <w:rFonts w:eastAsia="Calibri"/>
          <w:color w:val="000000" w:themeColor="text1"/>
          <w:lang w:val="en-US"/>
        </w:rPr>
        <w:t xml:space="preserve">ood) </w:t>
      </w:r>
      <w:r w:rsidR="00683B88" w:rsidRPr="0083113B">
        <w:rPr>
          <w:rFonts w:eastAsia="Calibri"/>
          <w:color w:val="000000" w:themeColor="text1"/>
          <w:lang w:val="en-US"/>
        </w:rPr>
        <w:t>S</w:t>
      </w:r>
      <w:r w:rsidRPr="0083113B">
        <w:rPr>
          <w:rFonts w:eastAsia="Calibri"/>
          <w:color w:val="000000" w:themeColor="text1"/>
          <w:lang w:val="en-US"/>
        </w:rPr>
        <w:t>overeign and (</w:t>
      </w:r>
      <w:r w:rsidR="00683B88" w:rsidRPr="0083113B">
        <w:rPr>
          <w:rFonts w:eastAsia="Calibri"/>
          <w:color w:val="000000" w:themeColor="text1"/>
          <w:lang w:val="en-US"/>
        </w:rPr>
        <w:t>G</w:t>
      </w:r>
      <w:r w:rsidRPr="0083113B">
        <w:rPr>
          <w:rFonts w:eastAsia="Calibri"/>
          <w:color w:val="000000" w:themeColor="text1"/>
          <w:lang w:val="en-US"/>
        </w:rPr>
        <w:t xml:space="preserve">ender) </w:t>
      </w:r>
      <w:r w:rsidR="00683B88" w:rsidRPr="0083113B">
        <w:rPr>
          <w:rFonts w:eastAsia="Calibri"/>
          <w:color w:val="000000" w:themeColor="text1"/>
          <w:lang w:val="en-US"/>
        </w:rPr>
        <w:t>J</w:t>
      </w:r>
      <w:r w:rsidRPr="0083113B">
        <w:rPr>
          <w:rFonts w:eastAsia="Calibri"/>
          <w:color w:val="000000" w:themeColor="text1"/>
          <w:lang w:val="en-US"/>
        </w:rPr>
        <w:t xml:space="preserve">ust </w:t>
      </w:r>
      <w:r w:rsidR="00683B88" w:rsidRPr="0083113B">
        <w:rPr>
          <w:rFonts w:eastAsia="Calibri"/>
          <w:color w:val="000000" w:themeColor="text1"/>
          <w:lang w:val="en-US"/>
        </w:rPr>
        <w:t>F</w:t>
      </w:r>
      <w:r w:rsidRPr="0083113B">
        <w:rPr>
          <w:rFonts w:eastAsia="Calibri"/>
          <w:color w:val="000000" w:themeColor="text1"/>
          <w:lang w:val="en-US"/>
        </w:rPr>
        <w:t>uture</w:t>
      </w:r>
      <w:r w:rsidR="00EE6874" w:rsidRPr="0083113B">
        <w:rPr>
          <w:rFonts w:eastAsia="Calibri"/>
          <w:color w:val="000000" w:themeColor="text1"/>
          <w:lang w:val="en-US"/>
        </w:rPr>
        <w:t>.</w:t>
      </w:r>
      <w:r w:rsidR="00683B88" w:rsidRPr="0083113B">
        <w:rPr>
          <w:rFonts w:eastAsia="Calibri"/>
          <w:color w:val="000000" w:themeColor="text1"/>
          <w:lang w:val="en-US"/>
        </w:rPr>
        <w:t>”</w:t>
      </w:r>
      <w:r w:rsidRPr="0083113B">
        <w:rPr>
          <w:rFonts w:eastAsia="Calibri"/>
          <w:color w:val="000000" w:themeColor="text1"/>
          <w:lang w:val="en-US"/>
        </w:rPr>
        <w:t xml:space="preserve"> </w:t>
      </w:r>
      <w:proofErr w:type="spellStart"/>
      <w:r w:rsidRPr="0083113B">
        <w:rPr>
          <w:rFonts w:eastAsia="Calibri"/>
          <w:i/>
          <w:iCs/>
          <w:color w:val="000000" w:themeColor="text1"/>
          <w:lang w:val="en-US"/>
        </w:rPr>
        <w:t>Geoforum</w:t>
      </w:r>
      <w:proofErr w:type="spellEnd"/>
      <w:r w:rsidRPr="0083113B">
        <w:rPr>
          <w:rFonts w:eastAsia="Calibri"/>
          <w:color w:val="000000" w:themeColor="text1"/>
          <w:lang w:val="en-US"/>
        </w:rPr>
        <w:t> 109</w:t>
      </w:r>
      <w:r w:rsidR="00683B88" w:rsidRPr="0083113B">
        <w:rPr>
          <w:rFonts w:eastAsia="Calibri"/>
          <w:color w:val="000000" w:themeColor="text1"/>
          <w:lang w:val="en-US"/>
        </w:rPr>
        <w:t xml:space="preserve"> (</w:t>
      </w:r>
      <w:r w:rsidR="0084470C" w:rsidRPr="0083113B">
        <w:rPr>
          <w:rFonts w:eastAsia="Calibri"/>
          <w:color w:val="000000" w:themeColor="text1"/>
          <w:lang w:val="en-US"/>
        </w:rPr>
        <w:t xml:space="preserve">February </w:t>
      </w:r>
      <w:r w:rsidR="00683B88" w:rsidRPr="0083113B">
        <w:rPr>
          <w:rFonts w:eastAsia="Calibri"/>
          <w:color w:val="000000" w:themeColor="text1"/>
          <w:lang w:val="en-US"/>
        </w:rPr>
        <w:t>2020)</w:t>
      </w:r>
      <w:r w:rsidR="0084470C" w:rsidRPr="0083113B">
        <w:rPr>
          <w:rFonts w:eastAsia="Calibri"/>
          <w:color w:val="000000" w:themeColor="text1"/>
          <w:lang w:val="en-US"/>
        </w:rPr>
        <w:t>:</w:t>
      </w:r>
      <w:r w:rsidRPr="0083113B">
        <w:rPr>
          <w:rFonts w:eastAsia="Calibri"/>
          <w:color w:val="000000" w:themeColor="text1"/>
          <w:lang w:val="en-US"/>
        </w:rPr>
        <w:t xml:space="preserve"> 106-110.</w:t>
      </w:r>
    </w:p>
    <w:p w14:paraId="243A5ABF" w14:textId="77777777" w:rsidR="00BD05D6" w:rsidRDefault="00BD05D6" w:rsidP="0049456A">
      <w:pPr>
        <w:ind w:left="720" w:hanging="720"/>
        <w:jc w:val="both"/>
        <w:rPr>
          <w:rFonts w:eastAsia="Calibri"/>
          <w:color w:val="000000" w:themeColor="text1"/>
        </w:rPr>
      </w:pPr>
    </w:p>
    <w:p w14:paraId="39140A7D" w14:textId="5322F3B5" w:rsidR="00EE564F" w:rsidRPr="0083113B" w:rsidRDefault="00EE564F" w:rsidP="0083113B">
      <w:pPr>
        <w:ind w:left="720" w:hanging="720"/>
        <w:jc w:val="both"/>
        <w:rPr>
          <w:rFonts w:eastAsia="Calibri"/>
          <w:color w:val="000000" w:themeColor="text1"/>
          <w:lang w:val="en-US"/>
        </w:rPr>
      </w:pPr>
      <w:r w:rsidRPr="0083113B">
        <w:rPr>
          <w:rFonts w:eastAsia="Calibri"/>
          <w:color w:val="000000" w:themeColor="text1"/>
        </w:rPr>
        <w:t>Beckford, G.L. </w:t>
      </w:r>
      <w:r w:rsidRPr="0083113B">
        <w:rPr>
          <w:rFonts w:eastAsia="Calibri"/>
          <w:i/>
          <w:iCs/>
          <w:color w:val="000000" w:themeColor="text1"/>
        </w:rPr>
        <w:t>Persistent Poverty: Underdevelopment in Plantation Economies of the Third World</w:t>
      </w:r>
      <w:r w:rsidRPr="0083113B">
        <w:rPr>
          <w:rFonts w:eastAsia="Calibri"/>
          <w:color w:val="000000" w:themeColor="text1"/>
        </w:rPr>
        <w:t xml:space="preserve">. </w:t>
      </w:r>
      <w:r w:rsidR="00174773" w:rsidRPr="0083113B">
        <w:rPr>
          <w:rFonts w:eastAsia="Calibri"/>
          <w:color w:val="000000" w:themeColor="text1"/>
        </w:rPr>
        <w:t>Kingston</w:t>
      </w:r>
      <w:r w:rsidRPr="0083113B">
        <w:rPr>
          <w:rFonts w:eastAsia="Calibri"/>
          <w:color w:val="000000" w:themeColor="text1"/>
        </w:rPr>
        <w:t>: University of West Indies Press</w:t>
      </w:r>
      <w:r w:rsidR="00FD03E2" w:rsidRPr="0083113B">
        <w:rPr>
          <w:rFonts w:eastAsia="Calibri"/>
          <w:color w:val="000000" w:themeColor="text1"/>
        </w:rPr>
        <w:t>, 1999</w:t>
      </w:r>
      <w:r w:rsidRPr="0083113B">
        <w:rPr>
          <w:rFonts w:eastAsia="Calibri"/>
          <w:color w:val="000000" w:themeColor="text1"/>
        </w:rPr>
        <w:t>.</w:t>
      </w:r>
    </w:p>
    <w:p w14:paraId="48A7D80F" w14:textId="77777777" w:rsidR="00BD05D6" w:rsidRDefault="00BD05D6" w:rsidP="0049456A">
      <w:pPr>
        <w:ind w:left="720" w:hanging="720"/>
        <w:jc w:val="both"/>
        <w:rPr>
          <w:rFonts w:eastAsia="Calibri"/>
          <w:color w:val="000000" w:themeColor="text1"/>
        </w:rPr>
      </w:pPr>
    </w:p>
    <w:p w14:paraId="7F37B175" w14:textId="47CD4085" w:rsidR="009D1842" w:rsidRPr="0083113B" w:rsidRDefault="009D1842" w:rsidP="0083113B">
      <w:pPr>
        <w:ind w:left="720" w:hanging="720"/>
        <w:jc w:val="both"/>
        <w:rPr>
          <w:rFonts w:eastAsia="Calibri"/>
          <w:color w:val="000000" w:themeColor="text1"/>
        </w:rPr>
      </w:pPr>
      <w:r w:rsidRPr="0083113B">
        <w:rPr>
          <w:rFonts w:eastAsia="Calibri"/>
          <w:color w:val="000000" w:themeColor="text1"/>
        </w:rPr>
        <w:t>Beckford</w:t>
      </w:r>
      <w:r w:rsidR="000314C9" w:rsidRPr="0083113B">
        <w:rPr>
          <w:rFonts w:eastAsia="Calibri"/>
          <w:color w:val="000000" w:themeColor="text1"/>
        </w:rPr>
        <w:t>,</w:t>
      </w:r>
      <w:r w:rsidRPr="0083113B">
        <w:rPr>
          <w:rFonts w:eastAsia="Calibri"/>
          <w:color w:val="000000" w:themeColor="text1"/>
        </w:rPr>
        <w:t xml:space="preserve"> C., and </w:t>
      </w:r>
      <w:r w:rsidR="000314C9" w:rsidRPr="0083113B">
        <w:rPr>
          <w:rFonts w:eastAsia="Calibri"/>
          <w:color w:val="000000" w:themeColor="text1"/>
        </w:rPr>
        <w:t xml:space="preserve">D. </w:t>
      </w:r>
      <w:r w:rsidRPr="0083113B">
        <w:rPr>
          <w:rFonts w:eastAsia="Calibri"/>
          <w:color w:val="000000" w:themeColor="text1"/>
        </w:rPr>
        <w:t xml:space="preserve">Campbell. </w:t>
      </w:r>
      <w:r w:rsidRPr="0083113B">
        <w:rPr>
          <w:rFonts w:eastAsia="Calibri"/>
          <w:i/>
          <w:iCs/>
          <w:color w:val="000000" w:themeColor="text1"/>
        </w:rPr>
        <w:t>Domestic Food Production and Food Security in the Caribbean: Building Capacity and Strengthening Local Food Production Systems</w:t>
      </w:r>
      <w:r w:rsidRPr="0083113B">
        <w:rPr>
          <w:rFonts w:eastAsia="Calibri"/>
          <w:color w:val="000000" w:themeColor="text1"/>
        </w:rPr>
        <w:t>. New York: Palgrave Macmillan</w:t>
      </w:r>
      <w:r w:rsidR="00FD03E2" w:rsidRPr="0083113B">
        <w:rPr>
          <w:rFonts w:eastAsia="Calibri"/>
          <w:color w:val="000000" w:themeColor="text1"/>
        </w:rPr>
        <w:t>, 2013</w:t>
      </w:r>
      <w:r w:rsidRPr="0083113B">
        <w:rPr>
          <w:rFonts w:eastAsia="Calibri"/>
          <w:color w:val="000000" w:themeColor="text1"/>
        </w:rPr>
        <w:t>.</w:t>
      </w:r>
    </w:p>
    <w:p w14:paraId="4C2B8E50" w14:textId="77777777" w:rsidR="00BD05D6" w:rsidRDefault="00BD05D6" w:rsidP="0049456A">
      <w:pPr>
        <w:ind w:left="720" w:hanging="720"/>
        <w:jc w:val="both"/>
        <w:rPr>
          <w:rFonts w:eastAsia="Calibri"/>
          <w:color w:val="000000" w:themeColor="text1"/>
        </w:rPr>
      </w:pPr>
    </w:p>
    <w:p w14:paraId="4DC3E696" w14:textId="7DF5A279" w:rsidR="007204A1" w:rsidRPr="0083113B" w:rsidRDefault="007204A1" w:rsidP="0083113B">
      <w:pPr>
        <w:ind w:left="720" w:hanging="720"/>
        <w:jc w:val="both"/>
        <w:rPr>
          <w:rFonts w:eastAsia="Calibri"/>
          <w:color w:val="000000" w:themeColor="text1"/>
        </w:rPr>
      </w:pPr>
      <w:r w:rsidRPr="0083113B">
        <w:rPr>
          <w:rFonts w:eastAsia="Calibri"/>
          <w:color w:val="000000" w:themeColor="text1"/>
        </w:rPr>
        <w:t xml:space="preserve">Best, L., and </w:t>
      </w:r>
      <w:r w:rsidR="000314C9" w:rsidRPr="0083113B">
        <w:rPr>
          <w:rFonts w:eastAsia="Calibri"/>
          <w:color w:val="000000" w:themeColor="text1"/>
        </w:rPr>
        <w:t xml:space="preserve">K. </w:t>
      </w:r>
      <w:r w:rsidRPr="0083113B">
        <w:rPr>
          <w:rFonts w:eastAsia="Calibri"/>
          <w:color w:val="000000" w:themeColor="text1"/>
        </w:rPr>
        <w:t xml:space="preserve">Levitt. </w:t>
      </w:r>
      <w:r w:rsidRPr="0083113B">
        <w:rPr>
          <w:rFonts w:eastAsia="Calibri"/>
          <w:i/>
          <w:iCs/>
          <w:color w:val="000000" w:themeColor="text1"/>
        </w:rPr>
        <w:t>Essays on the Theory of Plantation Economy: A Historical and Institutional Approach to Caribbean Economic Development</w:t>
      </w:r>
      <w:r w:rsidRPr="0083113B">
        <w:rPr>
          <w:rFonts w:eastAsia="Calibri"/>
          <w:color w:val="000000" w:themeColor="text1"/>
        </w:rPr>
        <w:t>. Kingston: University of West Indies Press</w:t>
      </w:r>
      <w:r w:rsidR="00B75B06" w:rsidRPr="0083113B">
        <w:rPr>
          <w:rFonts w:eastAsia="Calibri"/>
          <w:color w:val="000000" w:themeColor="text1"/>
        </w:rPr>
        <w:t>, 2009</w:t>
      </w:r>
      <w:r w:rsidRPr="0083113B">
        <w:rPr>
          <w:rFonts w:eastAsia="Calibri"/>
          <w:color w:val="000000" w:themeColor="text1"/>
        </w:rPr>
        <w:t xml:space="preserve">. </w:t>
      </w:r>
    </w:p>
    <w:p w14:paraId="0AD96D67" w14:textId="77777777" w:rsidR="00BD05D6" w:rsidRDefault="00BD05D6" w:rsidP="0049456A">
      <w:pPr>
        <w:ind w:left="720" w:hanging="720"/>
        <w:jc w:val="both"/>
        <w:rPr>
          <w:rFonts w:eastAsia="Calibri"/>
          <w:color w:val="000000" w:themeColor="text1"/>
          <w:lang w:val="en-US"/>
        </w:rPr>
      </w:pPr>
    </w:p>
    <w:p w14:paraId="6934B240" w14:textId="321011C4" w:rsidR="00B67281" w:rsidRPr="0083113B" w:rsidRDefault="00B67281" w:rsidP="0083113B">
      <w:pPr>
        <w:ind w:left="720" w:hanging="720"/>
        <w:jc w:val="both"/>
        <w:rPr>
          <w:rFonts w:eastAsia="Calibri"/>
          <w:color w:val="000000" w:themeColor="text1"/>
          <w:lang w:val="en-US"/>
        </w:rPr>
      </w:pPr>
      <w:proofErr w:type="spellStart"/>
      <w:r w:rsidRPr="0083113B">
        <w:rPr>
          <w:rFonts w:eastAsia="Calibri"/>
          <w:color w:val="000000" w:themeColor="text1"/>
          <w:lang w:val="en-US"/>
        </w:rPr>
        <w:t>Blazy</w:t>
      </w:r>
      <w:proofErr w:type="spellEnd"/>
      <w:r w:rsidRPr="0083113B">
        <w:rPr>
          <w:rFonts w:eastAsia="Calibri"/>
          <w:color w:val="000000" w:themeColor="text1"/>
          <w:lang w:val="en-US"/>
        </w:rPr>
        <w:t xml:space="preserve">, J. M., </w:t>
      </w:r>
      <w:r w:rsidR="000314C9" w:rsidRPr="0083113B">
        <w:rPr>
          <w:rFonts w:eastAsia="Calibri"/>
          <w:color w:val="000000" w:themeColor="text1"/>
          <w:lang w:val="en-US"/>
        </w:rPr>
        <w:t xml:space="preserve">F. </w:t>
      </w:r>
      <w:proofErr w:type="spellStart"/>
      <w:r w:rsidRPr="0083113B">
        <w:rPr>
          <w:rFonts w:eastAsia="Calibri"/>
          <w:color w:val="000000" w:themeColor="text1"/>
          <w:lang w:val="en-US"/>
        </w:rPr>
        <w:t>Causeret</w:t>
      </w:r>
      <w:proofErr w:type="spellEnd"/>
      <w:r w:rsidRPr="0083113B">
        <w:rPr>
          <w:rFonts w:eastAsia="Calibri"/>
          <w:color w:val="000000" w:themeColor="text1"/>
          <w:lang w:val="en-US"/>
        </w:rPr>
        <w:t xml:space="preserve">, and </w:t>
      </w:r>
      <w:r w:rsidR="000314C9" w:rsidRPr="0083113B">
        <w:rPr>
          <w:rFonts w:eastAsia="Calibri"/>
          <w:color w:val="000000" w:themeColor="text1"/>
          <w:lang w:val="en-US"/>
        </w:rPr>
        <w:t xml:space="preserve">S. </w:t>
      </w:r>
      <w:proofErr w:type="spellStart"/>
      <w:r w:rsidRPr="0083113B">
        <w:rPr>
          <w:rFonts w:eastAsia="Calibri"/>
          <w:color w:val="000000" w:themeColor="text1"/>
          <w:lang w:val="en-US"/>
        </w:rPr>
        <w:t>Guyader</w:t>
      </w:r>
      <w:proofErr w:type="spellEnd"/>
      <w:r w:rsidRPr="0083113B">
        <w:rPr>
          <w:rFonts w:eastAsia="Calibri"/>
          <w:color w:val="000000" w:themeColor="text1"/>
          <w:lang w:val="en-US"/>
        </w:rPr>
        <w:t xml:space="preserve">. </w:t>
      </w:r>
      <w:r w:rsidR="00B75B06" w:rsidRPr="0083113B">
        <w:rPr>
          <w:rFonts w:eastAsia="Calibri"/>
          <w:color w:val="000000" w:themeColor="text1"/>
          <w:lang w:val="en-US"/>
        </w:rPr>
        <w:t>“</w:t>
      </w:r>
      <w:r w:rsidRPr="0083113B">
        <w:rPr>
          <w:rFonts w:eastAsia="Calibri"/>
          <w:color w:val="000000" w:themeColor="text1"/>
          <w:lang w:val="en-US"/>
        </w:rPr>
        <w:t xml:space="preserve">Immediate </w:t>
      </w:r>
      <w:r w:rsidR="00B75B06" w:rsidRPr="0083113B">
        <w:rPr>
          <w:rFonts w:eastAsia="Calibri"/>
          <w:color w:val="000000" w:themeColor="text1"/>
          <w:lang w:val="en-US"/>
        </w:rPr>
        <w:t>I</w:t>
      </w:r>
      <w:r w:rsidRPr="0083113B">
        <w:rPr>
          <w:rFonts w:eastAsia="Calibri"/>
          <w:color w:val="000000" w:themeColor="text1"/>
          <w:lang w:val="en-US"/>
        </w:rPr>
        <w:t xml:space="preserve">mpacts of COVID-19 </w:t>
      </w:r>
      <w:r w:rsidR="00B75B06" w:rsidRPr="0083113B">
        <w:rPr>
          <w:rFonts w:eastAsia="Calibri"/>
          <w:color w:val="000000" w:themeColor="text1"/>
          <w:lang w:val="en-US"/>
        </w:rPr>
        <w:t>C</w:t>
      </w:r>
      <w:r w:rsidRPr="0083113B">
        <w:rPr>
          <w:rFonts w:eastAsia="Calibri"/>
          <w:color w:val="000000" w:themeColor="text1"/>
          <w:lang w:val="en-US"/>
        </w:rPr>
        <w:t xml:space="preserve">risis on </w:t>
      </w:r>
      <w:r w:rsidR="00B75B06" w:rsidRPr="0083113B">
        <w:rPr>
          <w:rFonts w:eastAsia="Calibri"/>
          <w:color w:val="000000" w:themeColor="text1"/>
          <w:lang w:val="en-US"/>
        </w:rPr>
        <w:t>A</w:t>
      </w:r>
      <w:r w:rsidRPr="0083113B">
        <w:rPr>
          <w:rFonts w:eastAsia="Calibri"/>
          <w:color w:val="000000" w:themeColor="text1"/>
          <w:lang w:val="en-US"/>
        </w:rPr>
        <w:t xml:space="preserve">gricultural and </w:t>
      </w:r>
      <w:r w:rsidR="00B75B06" w:rsidRPr="0083113B">
        <w:rPr>
          <w:rFonts w:eastAsia="Calibri"/>
          <w:color w:val="000000" w:themeColor="text1"/>
          <w:lang w:val="en-US"/>
        </w:rPr>
        <w:t>F</w:t>
      </w:r>
      <w:r w:rsidRPr="0083113B">
        <w:rPr>
          <w:rFonts w:eastAsia="Calibri"/>
          <w:color w:val="000000" w:themeColor="text1"/>
          <w:lang w:val="en-US"/>
        </w:rPr>
        <w:t xml:space="preserve">ood </w:t>
      </w:r>
      <w:r w:rsidR="00B75B06" w:rsidRPr="0083113B">
        <w:rPr>
          <w:rFonts w:eastAsia="Calibri"/>
          <w:color w:val="000000" w:themeColor="text1"/>
          <w:lang w:val="en-US"/>
        </w:rPr>
        <w:t>S</w:t>
      </w:r>
      <w:r w:rsidRPr="0083113B">
        <w:rPr>
          <w:rFonts w:eastAsia="Calibri"/>
          <w:color w:val="000000" w:themeColor="text1"/>
          <w:lang w:val="en-US"/>
        </w:rPr>
        <w:t>ystems in the Caribbean</w:t>
      </w:r>
      <w:r w:rsidR="000314C9" w:rsidRPr="0083113B">
        <w:rPr>
          <w:rFonts w:eastAsia="Calibri"/>
          <w:color w:val="000000" w:themeColor="text1"/>
          <w:lang w:val="en-US"/>
        </w:rPr>
        <w:t>.</w:t>
      </w:r>
      <w:r w:rsidR="00B75B06" w:rsidRPr="0083113B">
        <w:rPr>
          <w:rFonts w:eastAsia="Calibri"/>
          <w:color w:val="000000" w:themeColor="text1"/>
          <w:lang w:val="en-US"/>
        </w:rPr>
        <w:t>”</w:t>
      </w:r>
      <w:r w:rsidRPr="0083113B">
        <w:rPr>
          <w:rFonts w:eastAsia="Calibri"/>
          <w:color w:val="000000" w:themeColor="text1"/>
          <w:lang w:val="en-US"/>
        </w:rPr>
        <w:t> </w:t>
      </w:r>
      <w:r w:rsidRPr="0083113B">
        <w:rPr>
          <w:rFonts w:eastAsia="Calibri"/>
          <w:i/>
          <w:iCs/>
          <w:color w:val="000000" w:themeColor="text1"/>
          <w:lang w:val="en-US"/>
        </w:rPr>
        <w:t>Agricultural Systems</w:t>
      </w:r>
      <w:r w:rsidRPr="0083113B">
        <w:rPr>
          <w:rFonts w:eastAsia="Calibri"/>
          <w:color w:val="000000" w:themeColor="text1"/>
          <w:lang w:val="en-US"/>
        </w:rPr>
        <w:t> 190</w:t>
      </w:r>
      <w:r w:rsidR="00B75B06" w:rsidRPr="0083113B">
        <w:rPr>
          <w:rFonts w:eastAsia="Calibri"/>
          <w:color w:val="000000" w:themeColor="text1"/>
          <w:lang w:val="en-US"/>
        </w:rPr>
        <w:t xml:space="preserve"> (</w:t>
      </w:r>
      <w:r w:rsidR="000314C9" w:rsidRPr="0083113B">
        <w:rPr>
          <w:rFonts w:eastAsia="Calibri"/>
          <w:color w:val="000000" w:themeColor="text1"/>
          <w:lang w:val="en-US"/>
        </w:rPr>
        <w:t xml:space="preserve">May </w:t>
      </w:r>
      <w:r w:rsidR="00B75B06" w:rsidRPr="0083113B">
        <w:rPr>
          <w:rFonts w:eastAsia="Calibri"/>
          <w:color w:val="000000" w:themeColor="text1"/>
          <w:lang w:val="en-US"/>
        </w:rPr>
        <w:t>2021)</w:t>
      </w:r>
      <w:r w:rsidR="000314C9" w:rsidRPr="0083113B">
        <w:rPr>
          <w:rFonts w:eastAsia="Calibri"/>
          <w:color w:val="000000" w:themeColor="text1"/>
          <w:lang w:val="en-US"/>
        </w:rPr>
        <w:t>:</w:t>
      </w:r>
      <w:r w:rsidRPr="0083113B">
        <w:rPr>
          <w:rFonts w:eastAsia="Calibri"/>
          <w:color w:val="000000" w:themeColor="text1"/>
          <w:lang w:val="en-US"/>
        </w:rPr>
        <w:t xml:space="preserve"> 103</w:t>
      </w:r>
      <w:r w:rsidR="00B75B06" w:rsidRPr="0083113B">
        <w:rPr>
          <w:rFonts w:eastAsia="Calibri"/>
          <w:color w:val="000000" w:themeColor="text1"/>
          <w:lang w:val="en-US"/>
        </w:rPr>
        <w:t>-</w:t>
      </w:r>
      <w:r w:rsidRPr="0083113B">
        <w:rPr>
          <w:rFonts w:eastAsia="Calibri"/>
          <w:color w:val="000000" w:themeColor="text1"/>
          <w:lang w:val="en-US"/>
        </w:rPr>
        <w:t>106.</w:t>
      </w:r>
    </w:p>
    <w:p w14:paraId="01777147" w14:textId="77777777" w:rsidR="00BD05D6" w:rsidRDefault="00BD05D6" w:rsidP="0049456A">
      <w:pPr>
        <w:ind w:left="720" w:hanging="720"/>
        <w:jc w:val="both"/>
        <w:rPr>
          <w:rFonts w:eastAsia="Calibri"/>
          <w:color w:val="000000" w:themeColor="text1"/>
          <w:lang w:val="en-US"/>
        </w:rPr>
      </w:pPr>
    </w:p>
    <w:p w14:paraId="5931207D" w14:textId="32CF8729" w:rsidR="00DD34D8" w:rsidRPr="0083113B" w:rsidRDefault="00DD34D8" w:rsidP="0083113B">
      <w:pPr>
        <w:ind w:left="720" w:hanging="720"/>
        <w:jc w:val="both"/>
        <w:rPr>
          <w:rFonts w:eastAsia="Calibri"/>
          <w:color w:val="000000" w:themeColor="text1"/>
          <w:lang w:val="en-US"/>
        </w:rPr>
      </w:pPr>
      <w:r w:rsidRPr="0083113B">
        <w:rPr>
          <w:rFonts w:eastAsia="Calibri"/>
          <w:color w:val="000000" w:themeColor="text1"/>
          <w:lang w:val="en-US"/>
        </w:rPr>
        <w:t xml:space="preserve">Carducci, B., </w:t>
      </w:r>
      <w:r w:rsidR="000314C9" w:rsidRPr="0083113B">
        <w:rPr>
          <w:rFonts w:eastAsia="Calibri"/>
          <w:color w:val="000000" w:themeColor="text1"/>
          <w:lang w:val="en-US"/>
        </w:rPr>
        <w:t xml:space="preserve">E.C. </w:t>
      </w:r>
      <w:r w:rsidRPr="0083113B">
        <w:rPr>
          <w:rFonts w:eastAsia="Calibri"/>
          <w:color w:val="000000" w:themeColor="text1"/>
          <w:lang w:val="en-US"/>
        </w:rPr>
        <w:t xml:space="preserve">Keats, </w:t>
      </w:r>
      <w:r w:rsidR="000314C9" w:rsidRPr="0083113B">
        <w:rPr>
          <w:rFonts w:eastAsia="Calibri"/>
          <w:color w:val="000000" w:themeColor="text1"/>
          <w:lang w:val="en-US"/>
        </w:rPr>
        <w:t xml:space="preserve">M. </w:t>
      </w:r>
      <w:r w:rsidRPr="0083113B">
        <w:rPr>
          <w:rFonts w:eastAsia="Calibri"/>
          <w:color w:val="000000" w:themeColor="text1"/>
          <w:lang w:val="en-US"/>
        </w:rPr>
        <w:t xml:space="preserve">Ruel, </w:t>
      </w:r>
      <w:r w:rsidR="000314C9" w:rsidRPr="0083113B">
        <w:rPr>
          <w:rFonts w:eastAsia="Calibri"/>
          <w:color w:val="000000" w:themeColor="text1"/>
          <w:lang w:val="en-US"/>
        </w:rPr>
        <w:t xml:space="preserve">L. </w:t>
      </w:r>
      <w:r w:rsidRPr="0083113B">
        <w:rPr>
          <w:rFonts w:eastAsia="Calibri"/>
          <w:color w:val="000000" w:themeColor="text1"/>
          <w:lang w:val="en-US"/>
        </w:rPr>
        <w:t xml:space="preserve">Haddad, </w:t>
      </w:r>
      <w:r w:rsidR="000314C9" w:rsidRPr="0083113B">
        <w:rPr>
          <w:rFonts w:eastAsia="Calibri"/>
          <w:color w:val="000000" w:themeColor="text1"/>
          <w:lang w:val="en-US"/>
        </w:rPr>
        <w:t xml:space="preserve">S.J.M. </w:t>
      </w:r>
      <w:proofErr w:type="spellStart"/>
      <w:r w:rsidRPr="0083113B">
        <w:rPr>
          <w:rFonts w:eastAsia="Calibri"/>
          <w:color w:val="000000" w:themeColor="text1"/>
          <w:lang w:val="en-US"/>
        </w:rPr>
        <w:t>Osendarp</w:t>
      </w:r>
      <w:proofErr w:type="spellEnd"/>
      <w:r w:rsidRPr="0083113B">
        <w:rPr>
          <w:rFonts w:eastAsia="Calibri"/>
          <w:color w:val="000000" w:themeColor="text1"/>
          <w:lang w:val="en-US"/>
        </w:rPr>
        <w:t xml:space="preserve">, and </w:t>
      </w:r>
      <w:r w:rsidR="000314C9" w:rsidRPr="0083113B">
        <w:rPr>
          <w:rFonts w:eastAsia="Calibri"/>
          <w:color w:val="000000" w:themeColor="text1"/>
          <w:lang w:val="en-US"/>
        </w:rPr>
        <w:t xml:space="preserve">Z.A. </w:t>
      </w:r>
      <w:proofErr w:type="spellStart"/>
      <w:r w:rsidRPr="0083113B">
        <w:rPr>
          <w:rFonts w:eastAsia="Calibri"/>
          <w:color w:val="000000" w:themeColor="text1"/>
          <w:lang w:val="en-US"/>
        </w:rPr>
        <w:t>Bhutta</w:t>
      </w:r>
      <w:proofErr w:type="spellEnd"/>
      <w:r w:rsidRPr="0083113B">
        <w:rPr>
          <w:rFonts w:eastAsia="Calibri"/>
          <w:color w:val="000000" w:themeColor="text1"/>
          <w:lang w:val="en-US"/>
        </w:rPr>
        <w:t xml:space="preserve">. </w:t>
      </w:r>
      <w:r w:rsidR="00B75B06" w:rsidRPr="0083113B">
        <w:rPr>
          <w:rFonts w:eastAsia="Calibri"/>
          <w:color w:val="000000" w:themeColor="text1"/>
          <w:lang w:val="en-US"/>
        </w:rPr>
        <w:t>“</w:t>
      </w:r>
      <w:r w:rsidRPr="0083113B">
        <w:rPr>
          <w:rFonts w:eastAsia="Calibri"/>
          <w:color w:val="000000" w:themeColor="text1"/>
          <w:lang w:val="en-US"/>
        </w:rPr>
        <w:t xml:space="preserve">Food </w:t>
      </w:r>
      <w:r w:rsidR="00B75B06" w:rsidRPr="0083113B">
        <w:rPr>
          <w:rFonts w:eastAsia="Calibri"/>
          <w:color w:val="000000" w:themeColor="text1"/>
          <w:lang w:val="en-US"/>
        </w:rPr>
        <w:t>S</w:t>
      </w:r>
      <w:r w:rsidRPr="0083113B">
        <w:rPr>
          <w:rFonts w:eastAsia="Calibri"/>
          <w:color w:val="000000" w:themeColor="text1"/>
          <w:lang w:val="en-US"/>
        </w:rPr>
        <w:t xml:space="preserve">ystems, </w:t>
      </w:r>
      <w:r w:rsidR="00B75B06" w:rsidRPr="0083113B">
        <w:rPr>
          <w:rFonts w:eastAsia="Calibri"/>
          <w:color w:val="000000" w:themeColor="text1"/>
          <w:lang w:val="en-US"/>
        </w:rPr>
        <w:t>D</w:t>
      </w:r>
      <w:r w:rsidRPr="0083113B">
        <w:rPr>
          <w:rFonts w:eastAsia="Calibri"/>
          <w:color w:val="000000" w:themeColor="text1"/>
          <w:lang w:val="en-US"/>
        </w:rPr>
        <w:t xml:space="preserve">iets and </w:t>
      </w:r>
      <w:r w:rsidR="00B75B06" w:rsidRPr="0083113B">
        <w:rPr>
          <w:rFonts w:eastAsia="Calibri"/>
          <w:color w:val="000000" w:themeColor="text1"/>
          <w:lang w:val="en-US"/>
        </w:rPr>
        <w:t>N</w:t>
      </w:r>
      <w:r w:rsidRPr="0083113B">
        <w:rPr>
          <w:rFonts w:eastAsia="Calibri"/>
          <w:color w:val="000000" w:themeColor="text1"/>
          <w:lang w:val="en-US"/>
        </w:rPr>
        <w:t xml:space="preserve">utrition in the </w:t>
      </w:r>
      <w:r w:rsidR="00B75B06" w:rsidRPr="0083113B">
        <w:rPr>
          <w:rFonts w:eastAsia="Calibri"/>
          <w:color w:val="000000" w:themeColor="text1"/>
          <w:lang w:val="en-US"/>
        </w:rPr>
        <w:t>W</w:t>
      </w:r>
      <w:r w:rsidRPr="0083113B">
        <w:rPr>
          <w:rFonts w:eastAsia="Calibri"/>
          <w:color w:val="000000" w:themeColor="text1"/>
          <w:lang w:val="en-US"/>
        </w:rPr>
        <w:t>ake of COVID-19</w:t>
      </w:r>
      <w:r w:rsidR="000314C9" w:rsidRPr="0083113B">
        <w:rPr>
          <w:rFonts w:eastAsia="Calibri"/>
          <w:color w:val="000000" w:themeColor="text1"/>
          <w:lang w:val="en-US"/>
        </w:rPr>
        <w:t>.</w:t>
      </w:r>
      <w:r w:rsidR="00B75B06" w:rsidRPr="0083113B">
        <w:rPr>
          <w:rFonts w:eastAsia="Calibri"/>
          <w:color w:val="000000" w:themeColor="text1"/>
          <w:lang w:val="en-US"/>
        </w:rPr>
        <w:t>”</w:t>
      </w:r>
      <w:r w:rsidRPr="0083113B">
        <w:rPr>
          <w:rFonts w:eastAsia="Calibri"/>
          <w:color w:val="000000" w:themeColor="text1"/>
          <w:lang w:val="en-US"/>
        </w:rPr>
        <w:t> </w:t>
      </w:r>
      <w:r w:rsidRPr="0083113B">
        <w:rPr>
          <w:rFonts w:eastAsia="Calibri"/>
          <w:i/>
          <w:iCs/>
          <w:color w:val="000000" w:themeColor="text1"/>
          <w:lang w:val="en-US"/>
        </w:rPr>
        <w:t>Nature Food</w:t>
      </w:r>
      <w:r w:rsidRPr="0083113B">
        <w:rPr>
          <w:rFonts w:eastAsia="Calibri"/>
          <w:color w:val="000000" w:themeColor="text1"/>
          <w:lang w:val="en-US"/>
        </w:rPr>
        <w:t> 2</w:t>
      </w:r>
      <w:r w:rsidR="000314C9" w:rsidRPr="0083113B">
        <w:rPr>
          <w:rFonts w:eastAsia="Calibri"/>
          <w:color w:val="000000" w:themeColor="text1"/>
          <w:lang w:val="en-US"/>
        </w:rPr>
        <w:t xml:space="preserve">, no. </w:t>
      </w:r>
      <w:r w:rsidRPr="0083113B">
        <w:rPr>
          <w:rFonts w:eastAsia="Calibri"/>
          <w:color w:val="000000" w:themeColor="text1"/>
          <w:lang w:val="en-US"/>
        </w:rPr>
        <w:t>2</w:t>
      </w:r>
      <w:r w:rsidR="00B75B06" w:rsidRPr="0083113B">
        <w:rPr>
          <w:rFonts w:eastAsia="Calibri"/>
          <w:color w:val="000000" w:themeColor="text1"/>
          <w:lang w:val="en-US"/>
        </w:rPr>
        <w:t xml:space="preserve"> (2021)</w:t>
      </w:r>
      <w:r w:rsidR="00CE0D1E" w:rsidRPr="0083113B">
        <w:rPr>
          <w:rFonts w:eastAsia="Calibri"/>
          <w:color w:val="000000" w:themeColor="text1"/>
          <w:lang w:val="en-US"/>
        </w:rPr>
        <w:t>:</w:t>
      </w:r>
      <w:r w:rsidRPr="0083113B">
        <w:rPr>
          <w:rFonts w:eastAsia="Calibri"/>
          <w:color w:val="000000" w:themeColor="text1"/>
          <w:lang w:val="en-US"/>
        </w:rPr>
        <w:t xml:space="preserve"> 68-70.</w:t>
      </w:r>
    </w:p>
    <w:p w14:paraId="0D37C22D" w14:textId="77777777" w:rsidR="00BD05D6" w:rsidRDefault="00BD05D6" w:rsidP="0049456A">
      <w:pPr>
        <w:ind w:left="720" w:hanging="720"/>
        <w:jc w:val="both"/>
        <w:rPr>
          <w:rFonts w:eastAsia="Calibri"/>
          <w:color w:val="000000" w:themeColor="text1"/>
        </w:rPr>
      </w:pPr>
    </w:p>
    <w:p w14:paraId="6FE731DC" w14:textId="00535484" w:rsidR="005B1140" w:rsidRPr="0083113B" w:rsidRDefault="005B1140" w:rsidP="0083113B">
      <w:pPr>
        <w:ind w:left="720" w:hanging="720"/>
        <w:jc w:val="both"/>
        <w:rPr>
          <w:rFonts w:eastAsia="Calibri"/>
          <w:color w:val="000000" w:themeColor="text1"/>
        </w:rPr>
      </w:pPr>
      <w:r w:rsidRPr="0083113B">
        <w:rPr>
          <w:rFonts w:eastAsia="Calibri"/>
          <w:color w:val="000000" w:themeColor="text1"/>
        </w:rPr>
        <w:t xml:space="preserve">Clapp, J., and </w:t>
      </w:r>
      <w:r w:rsidR="00F60984" w:rsidRPr="0083113B">
        <w:rPr>
          <w:rFonts w:eastAsia="Calibri"/>
          <w:color w:val="000000" w:themeColor="text1"/>
        </w:rPr>
        <w:t xml:space="preserve">W.G. </w:t>
      </w:r>
      <w:r w:rsidRPr="0083113B">
        <w:rPr>
          <w:rFonts w:eastAsia="Calibri"/>
          <w:color w:val="000000" w:themeColor="text1"/>
        </w:rPr>
        <w:t xml:space="preserve">Moseley. </w:t>
      </w:r>
      <w:r w:rsidR="00B75B06" w:rsidRPr="0083113B">
        <w:rPr>
          <w:rFonts w:eastAsia="Calibri"/>
          <w:color w:val="000000" w:themeColor="text1"/>
        </w:rPr>
        <w:t>“</w:t>
      </w:r>
      <w:r w:rsidRPr="0083113B">
        <w:rPr>
          <w:rFonts w:eastAsia="Calibri"/>
          <w:color w:val="000000" w:themeColor="text1"/>
        </w:rPr>
        <w:t xml:space="preserve">This </w:t>
      </w:r>
      <w:r w:rsidR="00B75B06" w:rsidRPr="0083113B">
        <w:rPr>
          <w:rFonts w:eastAsia="Calibri"/>
          <w:color w:val="000000" w:themeColor="text1"/>
        </w:rPr>
        <w:t>F</w:t>
      </w:r>
      <w:r w:rsidRPr="0083113B">
        <w:rPr>
          <w:rFonts w:eastAsia="Calibri"/>
          <w:color w:val="000000" w:themeColor="text1"/>
        </w:rPr>
        <w:t xml:space="preserve">ood </w:t>
      </w:r>
      <w:r w:rsidR="00B75B06" w:rsidRPr="0083113B">
        <w:rPr>
          <w:rFonts w:eastAsia="Calibri"/>
          <w:color w:val="000000" w:themeColor="text1"/>
        </w:rPr>
        <w:t>C</w:t>
      </w:r>
      <w:r w:rsidRPr="0083113B">
        <w:rPr>
          <w:rFonts w:eastAsia="Calibri"/>
          <w:color w:val="000000" w:themeColor="text1"/>
        </w:rPr>
        <w:t xml:space="preserve">risis is </w:t>
      </w:r>
      <w:r w:rsidR="00B75B06" w:rsidRPr="0083113B">
        <w:rPr>
          <w:rFonts w:eastAsia="Calibri"/>
          <w:color w:val="000000" w:themeColor="text1"/>
        </w:rPr>
        <w:t>D</w:t>
      </w:r>
      <w:r w:rsidRPr="0083113B">
        <w:rPr>
          <w:rFonts w:eastAsia="Calibri"/>
          <w:color w:val="000000" w:themeColor="text1"/>
        </w:rPr>
        <w:t xml:space="preserve">ifferent: COVID-19 and the </w:t>
      </w:r>
      <w:r w:rsidR="00B75B06" w:rsidRPr="0083113B">
        <w:rPr>
          <w:rFonts w:eastAsia="Calibri"/>
          <w:color w:val="000000" w:themeColor="text1"/>
        </w:rPr>
        <w:t>F</w:t>
      </w:r>
      <w:r w:rsidRPr="0083113B">
        <w:rPr>
          <w:rFonts w:eastAsia="Calibri"/>
          <w:color w:val="000000" w:themeColor="text1"/>
        </w:rPr>
        <w:t xml:space="preserve">ragility of the </w:t>
      </w:r>
      <w:r w:rsidR="00B75B06" w:rsidRPr="0083113B">
        <w:rPr>
          <w:rFonts w:eastAsia="Calibri"/>
          <w:color w:val="000000" w:themeColor="text1"/>
        </w:rPr>
        <w:t>N</w:t>
      </w:r>
      <w:r w:rsidRPr="0083113B">
        <w:rPr>
          <w:rFonts w:eastAsia="Calibri"/>
          <w:color w:val="000000" w:themeColor="text1"/>
        </w:rPr>
        <w:t xml:space="preserve">eoliberal </w:t>
      </w:r>
      <w:r w:rsidR="00B75B06" w:rsidRPr="0083113B">
        <w:rPr>
          <w:rFonts w:eastAsia="Calibri"/>
          <w:color w:val="000000" w:themeColor="text1"/>
        </w:rPr>
        <w:t>F</w:t>
      </w:r>
      <w:r w:rsidRPr="0083113B">
        <w:rPr>
          <w:rFonts w:eastAsia="Calibri"/>
          <w:color w:val="000000" w:themeColor="text1"/>
        </w:rPr>
        <w:t xml:space="preserve">ood </w:t>
      </w:r>
      <w:r w:rsidR="00B75B06" w:rsidRPr="0083113B">
        <w:rPr>
          <w:rFonts w:eastAsia="Calibri"/>
          <w:color w:val="000000" w:themeColor="text1"/>
        </w:rPr>
        <w:t>S</w:t>
      </w:r>
      <w:r w:rsidRPr="0083113B">
        <w:rPr>
          <w:rFonts w:eastAsia="Calibri"/>
          <w:color w:val="000000" w:themeColor="text1"/>
        </w:rPr>
        <w:t xml:space="preserve">ecurity </w:t>
      </w:r>
      <w:r w:rsidR="00B75B06" w:rsidRPr="0083113B">
        <w:rPr>
          <w:rFonts w:eastAsia="Calibri"/>
          <w:color w:val="000000" w:themeColor="text1"/>
        </w:rPr>
        <w:t>O</w:t>
      </w:r>
      <w:r w:rsidRPr="0083113B">
        <w:rPr>
          <w:rFonts w:eastAsia="Calibri"/>
          <w:color w:val="000000" w:themeColor="text1"/>
        </w:rPr>
        <w:t>rder</w:t>
      </w:r>
      <w:r w:rsidR="00F60984" w:rsidRPr="0083113B">
        <w:rPr>
          <w:rFonts w:eastAsia="Calibri"/>
          <w:color w:val="000000" w:themeColor="text1"/>
        </w:rPr>
        <w:t>.</w:t>
      </w:r>
      <w:r w:rsidR="00B75B06"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The Journal of Peasant Studies</w:t>
      </w:r>
      <w:r w:rsidRPr="0083113B">
        <w:rPr>
          <w:rFonts w:eastAsia="Calibri"/>
          <w:color w:val="000000" w:themeColor="text1"/>
        </w:rPr>
        <w:t> 47</w:t>
      </w:r>
      <w:r w:rsidR="00F60984" w:rsidRPr="0083113B">
        <w:rPr>
          <w:rFonts w:eastAsia="Calibri"/>
          <w:color w:val="000000" w:themeColor="text1"/>
        </w:rPr>
        <w:t xml:space="preserve">, no. </w:t>
      </w:r>
      <w:r w:rsidRPr="0083113B">
        <w:rPr>
          <w:rFonts w:eastAsia="Calibri"/>
          <w:color w:val="000000" w:themeColor="text1"/>
        </w:rPr>
        <w:t>7</w:t>
      </w:r>
      <w:r w:rsidR="00B75B06" w:rsidRPr="0083113B">
        <w:rPr>
          <w:rFonts w:eastAsia="Calibri"/>
          <w:color w:val="000000" w:themeColor="text1"/>
        </w:rPr>
        <w:t xml:space="preserve"> (2020)</w:t>
      </w:r>
      <w:r w:rsidR="00F60984" w:rsidRPr="0083113B">
        <w:rPr>
          <w:rFonts w:eastAsia="Calibri"/>
          <w:color w:val="000000" w:themeColor="text1"/>
        </w:rPr>
        <w:t>:</w:t>
      </w:r>
      <w:r w:rsidRPr="0083113B">
        <w:rPr>
          <w:rFonts w:eastAsia="Calibri"/>
          <w:color w:val="000000" w:themeColor="text1"/>
        </w:rPr>
        <w:t xml:space="preserve"> 1393-1417.</w:t>
      </w:r>
    </w:p>
    <w:p w14:paraId="1BDBBCA6" w14:textId="77777777" w:rsidR="00BD05D6" w:rsidRPr="00FA7E36" w:rsidRDefault="00BD05D6" w:rsidP="0049456A">
      <w:pPr>
        <w:ind w:left="720" w:hanging="720"/>
        <w:jc w:val="both"/>
        <w:rPr>
          <w:color w:val="000000" w:themeColor="text1"/>
          <w:lang w:val="en-US"/>
        </w:rPr>
      </w:pPr>
    </w:p>
    <w:p w14:paraId="762BA256" w14:textId="14064252" w:rsidR="00B67281" w:rsidRPr="0083113B" w:rsidRDefault="00B67281" w:rsidP="0083113B">
      <w:pPr>
        <w:ind w:left="720" w:hanging="720"/>
        <w:jc w:val="both"/>
        <w:rPr>
          <w:color w:val="000000" w:themeColor="text1"/>
          <w:lang w:val="en-US"/>
        </w:rPr>
      </w:pPr>
      <w:r w:rsidRPr="00FA7E36">
        <w:rPr>
          <w:color w:val="000000" w:themeColor="text1"/>
          <w:lang w:val="en-US"/>
        </w:rPr>
        <w:t xml:space="preserve">Díaz-Bonilla, E., </w:t>
      </w:r>
      <w:r w:rsidR="00F44DAB" w:rsidRPr="00FA7E36">
        <w:rPr>
          <w:color w:val="000000" w:themeColor="text1"/>
          <w:lang w:val="en-US"/>
        </w:rPr>
        <w:t xml:space="preserve">V. </w:t>
      </w:r>
      <w:proofErr w:type="spellStart"/>
      <w:r w:rsidRPr="00FA7E36">
        <w:rPr>
          <w:color w:val="000000" w:themeColor="text1"/>
          <w:lang w:val="en-US"/>
        </w:rPr>
        <w:t>Piñeiro</w:t>
      </w:r>
      <w:proofErr w:type="spellEnd"/>
      <w:r w:rsidRPr="00FA7E36">
        <w:rPr>
          <w:color w:val="000000" w:themeColor="text1"/>
          <w:lang w:val="en-US"/>
        </w:rPr>
        <w:t xml:space="preserve">, and </w:t>
      </w:r>
      <w:r w:rsidR="00F44DAB" w:rsidRPr="00FA7E36">
        <w:rPr>
          <w:color w:val="000000" w:themeColor="text1"/>
          <w:lang w:val="en-US"/>
        </w:rPr>
        <w:t xml:space="preserve">D. </w:t>
      </w:r>
      <w:r w:rsidRPr="00FA7E36">
        <w:rPr>
          <w:color w:val="000000" w:themeColor="text1"/>
          <w:lang w:val="en-US"/>
        </w:rPr>
        <w:t xml:space="preserve">Laborde. </w:t>
      </w:r>
      <w:r w:rsidR="00685F02" w:rsidRPr="0083113B">
        <w:rPr>
          <w:color w:val="000000" w:themeColor="text1"/>
          <w:lang w:val="en-US"/>
        </w:rPr>
        <w:t>“</w:t>
      </w:r>
      <w:r w:rsidRPr="0083113B">
        <w:rPr>
          <w:color w:val="000000" w:themeColor="text1"/>
          <w:lang w:val="en-US"/>
        </w:rPr>
        <w:t xml:space="preserve">Latin America and the Caribbean: Food </w:t>
      </w:r>
      <w:r w:rsidR="00685F02" w:rsidRPr="0083113B">
        <w:rPr>
          <w:color w:val="000000" w:themeColor="text1"/>
          <w:lang w:val="en-US"/>
        </w:rPr>
        <w:t>S</w:t>
      </w:r>
      <w:r w:rsidRPr="0083113B">
        <w:rPr>
          <w:color w:val="000000" w:themeColor="text1"/>
          <w:lang w:val="en-US"/>
        </w:rPr>
        <w:t xml:space="preserve">ystems in </w:t>
      </w:r>
      <w:r w:rsidR="00685F02" w:rsidRPr="0083113B">
        <w:rPr>
          <w:color w:val="000000" w:themeColor="text1"/>
          <w:lang w:val="en-US"/>
        </w:rPr>
        <w:t>T</w:t>
      </w:r>
      <w:r w:rsidRPr="0083113B">
        <w:rPr>
          <w:color w:val="000000" w:themeColor="text1"/>
          <w:lang w:val="en-US"/>
        </w:rPr>
        <w:t xml:space="preserve">imes of the </w:t>
      </w:r>
      <w:r w:rsidR="00685F02" w:rsidRPr="0083113B">
        <w:rPr>
          <w:color w:val="000000" w:themeColor="text1"/>
          <w:lang w:val="en-US"/>
        </w:rPr>
        <w:t>P</w:t>
      </w:r>
      <w:r w:rsidRPr="0083113B">
        <w:rPr>
          <w:color w:val="000000" w:themeColor="text1"/>
          <w:lang w:val="en-US"/>
        </w:rPr>
        <w:t>andemic</w:t>
      </w:r>
      <w:r w:rsidR="00685F02" w:rsidRPr="0083113B">
        <w:rPr>
          <w:color w:val="000000" w:themeColor="text1"/>
          <w:lang w:val="en-US"/>
        </w:rPr>
        <w:t>,</w:t>
      </w:r>
      <w:r w:rsidR="000B7BAA" w:rsidRPr="0083113B">
        <w:rPr>
          <w:color w:val="000000" w:themeColor="text1"/>
          <w:lang w:val="en-US"/>
        </w:rPr>
        <w:t>”</w:t>
      </w:r>
      <w:r w:rsidRPr="0083113B">
        <w:rPr>
          <w:color w:val="000000" w:themeColor="text1"/>
          <w:lang w:val="en-US"/>
        </w:rPr>
        <w:t xml:space="preserve"> In </w:t>
      </w:r>
      <w:r w:rsidRPr="0083113B">
        <w:rPr>
          <w:i/>
          <w:iCs/>
          <w:color w:val="000000" w:themeColor="text1"/>
          <w:lang w:val="en-US"/>
        </w:rPr>
        <w:t>Advances in Food Security and Sustainability</w:t>
      </w:r>
      <w:r w:rsidRPr="0083113B">
        <w:rPr>
          <w:color w:val="000000" w:themeColor="text1"/>
          <w:lang w:val="en-US"/>
        </w:rPr>
        <w:t xml:space="preserve">, </w:t>
      </w:r>
      <w:r w:rsidR="00AF18E7" w:rsidRPr="0083113B">
        <w:rPr>
          <w:color w:val="000000" w:themeColor="text1"/>
          <w:lang w:val="en-US"/>
        </w:rPr>
        <w:t>v</w:t>
      </w:r>
      <w:r w:rsidR="000B7BAA" w:rsidRPr="0083113B">
        <w:rPr>
          <w:color w:val="000000" w:themeColor="text1"/>
          <w:lang w:val="en-US"/>
        </w:rPr>
        <w:t xml:space="preserve">ol. </w:t>
      </w:r>
      <w:r w:rsidRPr="0083113B">
        <w:rPr>
          <w:color w:val="000000" w:themeColor="text1"/>
          <w:lang w:val="en-US"/>
        </w:rPr>
        <w:t xml:space="preserve">6, </w:t>
      </w:r>
      <w:r w:rsidR="00AF18E7" w:rsidRPr="0083113B">
        <w:rPr>
          <w:color w:val="000000" w:themeColor="text1"/>
          <w:lang w:val="en-US"/>
        </w:rPr>
        <w:t xml:space="preserve">edited by Marc J. Cohen, </w:t>
      </w:r>
      <w:r w:rsidRPr="0083113B">
        <w:rPr>
          <w:color w:val="000000" w:themeColor="text1"/>
          <w:lang w:val="en-US"/>
        </w:rPr>
        <w:t>263-288</w:t>
      </w:r>
      <w:r w:rsidR="00AF18E7" w:rsidRPr="0083113B">
        <w:rPr>
          <w:color w:val="000000" w:themeColor="text1"/>
          <w:lang w:val="en-US"/>
        </w:rPr>
        <w:t>. Cambridge, Massachusetts: Academic Press, 2021</w:t>
      </w:r>
      <w:r w:rsidRPr="0083113B">
        <w:rPr>
          <w:color w:val="000000" w:themeColor="text1"/>
          <w:lang w:val="en-US"/>
        </w:rPr>
        <w:t>.</w:t>
      </w:r>
    </w:p>
    <w:p w14:paraId="47AD1DA5" w14:textId="77777777" w:rsidR="00B67281" w:rsidRPr="0083113B" w:rsidRDefault="00B67281" w:rsidP="007A2047">
      <w:pPr>
        <w:rPr>
          <w:color w:val="000000" w:themeColor="text1"/>
        </w:rPr>
      </w:pPr>
    </w:p>
    <w:p w14:paraId="1C8581CD" w14:textId="10CBE4E9" w:rsidR="00E03E1B" w:rsidRPr="0083113B" w:rsidRDefault="000E310F" w:rsidP="0083113B">
      <w:pPr>
        <w:ind w:left="720" w:hanging="720"/>
        <w:jc w:val="both"/>
        <w:rPr>
          <w:color w:val="000000" w:themeColor="text1"/>
        </w:rPr>
      </w:pPr>
      <w:r w:rsidRPr="0083113B">
        <w:rPr>
          <w:color w:val="000000" w:themeColor="text1"/>
        </w:rPr>
        <w:t>ECLAC (</w:t>
      </w:r>
      <w:r w:rsidR="00E03E1B" w:rsidRPr="0083113B">
        <w:rPr>
          <w:color w:val="000000" w:themeColor="text1"/>
        </w:rPr>
        <w:t>Economic Commission for Latin America and the Caribbean</w:t>
      </w:r>
      <w:r w:rsidRPr="0083113B">
        <w:rPr>
          <w:color w:val="000000" w:themeColor="text1"/>
        </w:rPr>
        <w:t>)</w:t>
      </w:r>
      <w:r w:rsidR="00E03E1B" w:rsidRPr="0083113B">
        <w:rPr>
          <w:color w:val="000000" w:themeColor="text1"/>
        </w:rPr>
        <w:t xml:space="preserve">. </w:t>
      </w:r>
      <w:r w:rsidR="00E03E1B" w:rsidRPr="0083113B">
        <w:rPr>
          <w:i/>
          <w:iCs/>
          <w:color w:val="000000" w:themeColor="text1"/>
        </w:rPr>
        <w:t xml:space="preserve">The </w:t>
      </w:r>
      <w:r w:rsidR="000B7BAA" w:rsidRPr="0083113B">
        <w:rPr>
          <w:i/>
          <w:iCs/>
          <w:color w:val="000000" w:themeColor="text1"/>
        </w:rPr>
        <w:t>R</w:t>
      </w:r>
      <w:r w:rsidR="00E03E1B" w:rsidRPr="0083113B">
        <w:rPr>
          <w:i/>
          <w:iCs/>
          <w:color w:val="000000" w:themeColor="text1"/>
        </w:rPr>
        <w:t xml:space="preserve">ecovery </w:t>
      </w:r>
      <w:r w:rsidR="000B7BAA" w:rsidRPr="0083113B">
        <w:rPr>
          <w:i/>
          <w:iCs/>
          <w:color w:val="000000" w:themeColor="text1"/>
        </w:rPr>
        <w:t>P</w:t>
      </w:r>
      <w:r w:rsidR="00E03E1B" w:rsidRPr="0083113B">
        <w:rPr>
          <w:i/>
          <w:iCs/>
          <w:color w:val="000000" w:themeColor="text1"/>
        </w:rPr>
        <w:t xml:space="preserve">aradox in Latin America and the Caribbean: Growth amid </w:t>
      </w:r>
      <w:r w:rsidR="000B7BAA" w:rsidRPr="0083113B">
        <w:rPr>
          <w:i/>
          <w:iCs/>
          <w:color w:val="000000" w:themeColor="text1"/>
        </w:rPr>
        <w:t>P</w:t>
      </w:r>
      <w:r w:rsidR="00E03E1B" w:rsidRPr="0083113B">
        <w:rPr>
          <w:i/>
          <w:iCs/>
          <w:color w:val="000000" w:themeColor="text1"/>
        </w:rPr>
        <w:t xml:space="preserve">ersisting </w:t>
      </w:r>
      <w:r w:rsidR="000B7BAA" w:rsidRPr="0083113B">
        <w:rPr>
          <w:i/>
          <w:iCs/>
          <w:color w:val="000000" w:themeColor="text1"/>
        </w:rPr>
        <w:t>S</w:t>
      </w:r>
      <w:r w:rsidR="00E03E1B" w:rsidRPr="0083113B">
        <w:rPr>
          <w:i/>
          <w:iCs/>
          <w:color w:val="000000" w:themeColor="text1"/>
        </w:rPr>
        <w:t xml:space="preserve">tructural </w:t>
      </w:r>
      <w:r w:rsidR="000B7BAA" w:rsidRPr="0083113B">
        <w:rPr>
          <w:i/>
          <w:iCs/>
          <w:color w:val="000000" w:themeColor="text1"/>
        </w:rPr>
        <w:t>P</w:t>
      </w:r>
      <w:r w:rsidR="00E03E1B" w:rsidRPr="0083113B">
        <w:rPr>
          <w:i/>
          <w:iCs/>
          <w:color w:val="000000" w:themeColor="text1"/>
        </w:rPr>
        <w:t xml:space="preserve">roblems: </w:t>
      </w:r>
      <w:r w:rsidR="000B7BAA" w:rsidRPr="0083113B">
        <w:rPr>
          <w:i/>
          <w:iCs/>
          <w:color w:val="000000" w:themeColor="text1"/>
        </w:rPr>
        <w:t>I</w:t>
      </w:r>
      <w:r w:rsidR="00E03E1B" w:rsidRPr="0083113B">
        <w:rPr>
          <w:i/>
          <w:iCs/>
          <w:color w:val="000000" w:themeColor="text1"/>
        </w:rPr>
        <w:t xml:space="preserve">nequality, </w:t>
      </w:r>
      <w:r w:rsidR="000B7BAA" w:rsidRPr="0083113B">
        <w:rPr>
          <w:i/>
          <w:iCs/>
          <w:color w:val="000000" w:themeColor="text1"/>
        </w:rPr>
        <w:t>P</w:t>
      </w:r>
      <w:r w:rsidR="00E03E1B" w:rsidRPr="0083113B">
        <w:rPr>
          <w:i/>
          <w:iCs/>
          <w:color w:val="000000" w:themeColor="text1"/>
        </w:rPr>
        <w:t xml:space="preserve">overty and </w:t>
      </w:r>
      <w:r w:rsidR="000B7BAA" w:rsidRPr="0083113B">
        <w:rPr>
          <w:i/>
          <w:iCs/>
          <w:color w:val="000000" w:themeColor="text1"/>
        </w:rPr>
        <w:t>L</w:t>
      </w:r>
      <w:r w:rsidR="00E03E1B" w:rsidRPr="0083113B">
        <w:rPr>
          <w:i/>
          <w:iCs/>
          <w:color w:val="000000" w:themeColor="text1"/>
        </w:rPr>
        <w:t xml:space="preserve">ow </w:t>
      </w:r>
      <w:r w:rsidR="000B7BAA" w:rsidRPr="0083113B">
        <w:rPr>
          <w:i/>
          <w:iCs/>
          <w:color w:val="000000" w:themeColor="text1"/>
        </w:rPr>
        <w:t>I</w:t>
      </w:r>
      <w:r w:rsidR="00E03E1B" w:rsidRPr="0083113B">
        <w:rPr>
          <w:i/>
          <w:iCs/>
          <w:color w:val="000000" w:themeColor="text1"/>
        </w:rPr>
        <w:t xml:space="preserve">nvestment and </w:t>
      </w:r>
      <w:r w:rsidR="000B7BAA" w:rsidRPr="0083113B">
        <w:rPr>
          <w:i/>
          <w:iCs/>
          <w:color w:val="000000" w:themeColor="text1"/>
        </w:rPr>
        <w:t>P</w:t>
      </w:r>
      <w:r w:rsidR="00E03E1B" w:rsidRPr="0083113B">
        <w:rPr>
          <w:i/>
          <w:iCs/>
          <w:color w:val="000000" w:themeColor="text1"/>
        </w:rPr>
        <w:t>roductivity</w:t>
      </w:r>
      <w:r w:rsidR="00E03E1B" w:rsidRPr="0083113B">
        <w:rPr>
          <w:color w:val="000000" w:themeColor="text1"/>
        </w:rPr>
        <w:t>.</w:t>
      </w:r>
      <w:r w:rsidRPr="0083113B">
        <w:rPr>
          <w:color w:val="000000" w:themeColor="text1"/>
        </w:rPr>
        <w:t xml:space="preserve"> Santiago, Chile: ECLAC, 2021</w:t>
      </w:r>
      <w:r w:rsidR="00091338" w:rsidRPr="0083113B">
        <w:rPr>
          <w:color w:val="000000" w:themeColor="text1"/>
        </w:rPr>
        <w:t xml:space="preserve">. </w:t>
      </w:r>
      <w:hyperlink r:id="rId9" w:history="1">
        <w:r w:rsidR="00C62C9B" w:rsidRPr="0083113B">
          <w:rPr>
            <w:rStyle w:val="Hyperlink"/>
          </w:rPr>
          <w:t>https://www.cepal.org/en/pressreleases/growth-latin-america-and-caribbean-2021-will-not-manage-reverse-adverse-effects</w:t>
        </w:r>
      </w:hyperlink>
      <w:r w:rsidR="00E03E1B" w:rsidRPr="0083113B">
        <w:rPr>
          <w:color w:val="000000" w:themeColor="text1"/>
        </w:rPr>
        <w:t>.</w:t>
      </w:r>
      <w:r w:rsidR="00C62C9B" w:rsidRPr="0083113B">
        <w:rPr>
          <w:color w:val="000000" w:themeColor="text1"/>
        </w:rPr>
        <w:t xml:space="preserve"> </w:t>
      </w:r>
    </w:p>
    <w:p w14:paraId="18266BCA" w14:textId="77777777" w:rsidR="001B1E99" w:rsidRPr="0083113B" w:rsidRDefault="001B1E99" w:rsidP="007A2047">
      <w:pPr>
        <w:jc w:val="both"/>
        <w:rPr>
          <w:color w:val="000000" w:themeColor="text1"/>
        </w:rPr>
      </w:pPr>
    </w:p>
    <w:p w14:paraId="015D2B6B" w14:textId="4354B70A" w:rsidR="00B34490" w:rsidRPr="0083113B" w:rsidRDefault="00B34490" w:rsidP="0083113B">
      <w:pPr>
        <w:ind w:left="720" w:hanging="720"/>
        <w:jc w:val="both"/>
        <w:rPr>
          <w:rFonts w:eastAsia="Calibri"/>
          <w:color w:val="000000" w:themeColor="text1"/>
        </w:rPr>
      </w:pPr>
      <w:r w:rsidRPr="0083113B">
        <w:rPr>
          <w:rFonts w:eastAsia="Calibri"/>
          <w:color w:val="000000" w:themeColor="text1"/>
        </w:rPr>
        <w:t xml:space="preserve">Ellis, P. </w:t>
      </w:r>
      <w:r w:rsidRPr="0083113B">
        <w:rPr>
          <w:rFonts w:eastAsia="Calibri"/>
          <w:i/>
          <w:iCs/>
          <w:color w:val="000000" w:themeColor="text1"/>
        </w:rPr>
        <w:t xml:space="preserve">Women, </w:t>
      </w:r>
      <w:proofErr w:type="gramStart"/>
      <w:r w:rsidRPr="0083113B">
        <w:rPr>
          <w:rFonts w:eastAsia="Calibri"/>
          <w:i/>
          <w:iCs/>
          <w:color w:val="000000" w:themeColor="text1"/>
        </w:rPr>
        <w:t>Gender</w:t>
      </w:r>
      <w:proofErr w:type="gramEnd"/>
      <w:r w:rsidRPr="0083113B">
        <w:rPr>
          <w:rFonts w:eastAsia="Calibri"/>
          <w:i/>
          <w:iCs/>
          <w:color w:val="000000" w:themeColor="text1"/>
        </w:rPr>
        <w:t xml:space="preserve"> and Development in the Caribbean: Reflections and Projections. </w:t>
      </w:r>
      <w:r w:rsidRPr="0083113B">
        <w:rPr>
          <w:rFonts w:eastAsia="Calibri"/>
          <w:color w:val="000000" w:themeColor="text1"/>
        </w:rPr>
        <w:t>Kingston: Ian Randle</w:t>
      </w:r>
      <w:r w:rsidR="00875532" w:rsidRPr="0083113B">
        <w:rPr>
          <w:rFonts w:eastAsia="Calibri"/>
          <w:color w:val="000000" w:themeColor="text1"/>
        </w:rPr>
        <w:t xml:space="preserve"> Publishers</w:t>
      </w:r>
      <w:r w:rsidR="00B408BE" w:rsidRPr="0083113B">
        <w:rPr>
          <w:rFonts w:eastAsia="Calibri"/>
          <w:color w:val="000000" w:themeColor="text1"/>
        </w:rPr>
        <w:t>, 2003</w:t>
      </w:r>
      <w:r w:rsidRPr="0083113B">
        <w:rPr>
          <w:rFonts w:eastAsia="Calibri"/>
          <w:color w:val="000000" w:themeColor="text1"/>
        </w:rPr>
        <w:t xml:space="preserve">. </w:t>
      </w:r>
    </w:p>
    <w:p w14:paraId="674A4FFB" w14:textId="77777777" w:rsidR="00BD05D6" w:rsidRDefault="00BD05D6" w:rsidP="0049456A">
      <w:pPr>
        <w:ind w:left="720" w:hanging="720"/>
        <w:jc w:val="both"/>
        <w:rPr>
          <w:rFonts w:eastAsia="Calibri"/>
          <w:color w:val="000000" w:themeColor="text1"/>
        </w:rPr>
      </w:pPr>
    </w:p>
    <w:p w14:paraId="1295FD67" w14:textId="5A4013F4" w:rsidR="00AE0FFE" w:rsidRPr="0083113B" w:rsidRDefault="00AE0FFE" w:rsidP="0083113B">
      <w:pPr>
        <w:ind w:left="720" w:hanging="720"/>
        <w:jc w:val="both"/>
        <w:rPr>
          <w:rFonts w:eastAsia="Calibri"/>
          <w:color w:val="000000" w:themeColor="text1"/>
        </w:rPr>
      </w:pPr>
      <w:r w:rsidRPr="0083113B">
        <w:rPr>
          <w:rFonts w:eastAsia="Calibri"/>
          <w:color w:val="000000" w:themeColor="text1"/>
        </w:rPr>
        <w:t>FAO (Food and Agriculture Organization of the United Nations)</w:t>
      </w:r>
      <w:r w:rsidRPr="0083113B" w:rsidDel="00B408BE">
        <w:rPr>
          <w:rFonts w:eastAsia="Calibri"/>
          <w:color w:val="000000" w:themeColor="text1"/>
        </w:rPr>
        <w:t xml:space="preserve">. </w:t>
      </w:r>
      <w:r w:rsidRPr="0083113B">
        <w:rPr>
          <w:rFonts w:eastAsia="Calibri"/>
          <w:i/>
          <w:iCs/>
          <w:color w:val="000000" w:themeColor="text1"/>
        </w:rPr>
        <w:t>Grenada Country Report: Ministry of Agriculture, Lands, Forestry and Labour</w:t>
      </w:r>
      <w:r w:rsidRPr="0083113B">
        <w:rPr>
          <w:rFonts w:eastAsia="Calibri"/>
          <w:color w:val="000000" w:themeColor="text1"/>
        </w:rPr>
        <w:t xml:space="preserve">. </w:t>
      </w:r>
      <w:r w:rsidR="00186F04" w:rsidRPr="0083113B">
        <w:rPr>
          <w:rFonts w:eastAsia="Calibri"/>
          <w:color w:val="000000" w:themeColor="text1"/>
        </w:rPr>
        <w:t xml:space="preserve">Managua, Nicaragua: </w:t>
      </w:r>
      <w:r w:rsidRPr="0083113B">
        <w:rPr>
          <w:rFonts w:eastAsia="Calibri"/>
          <w:color w:val="000000" w:themeColor="text1"/>
        </w:rPr>
        <w:t>FAO Regional Conference for Latin America and the Caribbean</w:t>
      </w:r>
      <w:r w:rsidR="00186F04" w:rsidRPr="0083113B">
        <w:rPr>
          <w:rFonts w:eastAsia="Calibri"/>
          <w:color w:val="000000" w:themeColor="text1"/>
        </w:rPr>
        <w:t>, 2020</w:t>
      </w:r>
      <w:r w:rsidRPr="0083113B">
        <w:rPr>
          <w:rFonts w:eastAsia="Calibri"/>
          <w:color w:val="000000" w:themeColor="text1"/>
        </w:rPr>
        <w:t>.</w:t>
      </w:r>
      <w:r w:rsidR="00186F04" w:rsidRPr="0083113B">
        <w:rPr>
          <w:rFonts w:eastAsia="Calibri"/>
          <w:color w:val="000000" w:themeColor="text1"/>
        </w:rPr>
        <w:t xml:space="preserve"> </w:t>
      </w:r>
      <w:hyperlink r:id="rId10" w:history="1">
        <w:r w:rsidR="00186F04" w:rsidRPr="0083113B">
          <w:rPr>
            <w:rStyle w:val="Hyperlink"/>
            <w:rFonts w:eastAsia="Calibri"/>
          </w:rPr>
          <w:t>https://www.fao.org/fileadmin/user_upload/rlc/larc36/comentarios/Comentarios_Granada.pdf</w:t>
        </w:r>
      </w:hyperlink>
      <w:r w:rsidR="00186F04" w:rsidRPr="0083113B">
        <w:rPr>
          <w:rFonts w:eastAsia="Calibri"/>
          <w:color w:val="000000" w:themeColor="text1"/>
        </w:rPr>
        <w:t xml:space="preserve"> </w:t>
      </w:r>
    </w:p>
    <w:p w14:paraId="619B0FA2" w14:textId="77777777" w:rsidR="00BD05D6" w:rsidRPr="0083113B" w:rsidDel="00E611C9" w:rsidRDefault="00BD05D6" w:rsidP="007A2047">
      <w:pPr>
        <w:ind w:left="720" w:hanging="720"/>
        <w:jc w:val="both"/>
        <w:rPr>
          <w:color w:val="000000" w:themeColor="text1"/>
        </w:rPr>
      </w:pPr>
    </w:p>
    <w:p w14:paraId="3DD1B984" w14:textId="7C89B3A3" w:rsidR="00AE0FFE" w:rsidRPr="0083113B" w:rsidRDefault="00AE0FFE" w:rsidP="0083113B">
      <w:pPr>
        <w:ind w:left="720" w:hanging="720"/>
        <w:jc w:val="both"/>
        <w:rPr>
          <w:rFonts w:eastAsia="Calibri"/>
          <w:color w:val="000000" w:themeColor="text1"/>
        </w:rPr>
      </w:pPr>
      <w:r w:rsidRPr="0083113B">
        <w:rPr>
          <w:rFonts w:eastAsia="Calibri"/>
          <w:color w:val="000000" w:themeColor="text1"/>
        </w:rPr>
        <w:lastRenderedPageBreak/>
        <w:t>FAO (Food and Agriculture Organization of the United Nations) and CELAC (Community of Latin American and Caribbean States</w:t>
      </w:r>
      <w:r w:rsidRPr="0083113B">
        <w:rPr>
          <w:color w:val="000000" w:themeColor="text1"/>
        </w:rPr>
        <w:t>)</w:t>
      </w:r>
      <w:r w:rsidRPr="0083113B">
        <w:rPr>
          <w:rFonts w:eastAsia="Calibri"/>
          <w:color w:val="000000" w:themeColor="text1"/>
        </w:rPr>
        <w:t>.</w:t>
      </w:r>
      <w:r w:rsidRPr="0083113B" w:rsidDel="00B408BE">
        <w:rPr>
          <w:rFonts w:eastAsia="Calibri"/>
          <w:color w:val="000000" w:themeColor="text1"/>
        </w:rPr>
        <w:t xml:space="preserve"> </w:t>
      </w:r>
      <w:r w:rsidRPr="0083113B">
        <w:rPr>
          <w:rFonts w:eastAsia="Calibri"/>
          <w:i/>
          <w:iCs/>
          <w:color w:val="000000" w:themeColor="text1"/>
        </w:rPr>
        <w:t>Food Security under the COVID-19 Pandemic</w:t>
      </w:r>
      <w:r w:rsidRPr="0083113B">
        <w:rPr>
          <w:rFonts w:eastAsia="Calibri"/>
          <w:color w:val="000000" w:themeColor="text1"/>
        </w:rPr>
        <w:t>.</w:t>
      </w:r>
      <w:r w:rsidR="00A77F9F" w:rsidRPr="0083113B">
        <w:rPr>
          <w:rFonts w:eastAsia="Calibri"/>
          <w:color w:val="000000" w:themeColor="text1"/>
        </w:rPr>
        <w:t xml:space="preserve"> </w:t>
      </w:r>
      <w:r w:rsidRPr="0083113B">
        <w:rPr>
          <w:rFonts w:eastAsia="Calibri"/>
          <w:color w:val="000000" w:themeColor="text1"/>
        </w:rPr>
        <w:t>Rome</w:t>
      </w:r>
      <w:r w:rsidR="00A77F9F" w:rsidRPr="0083113B">
        <w:rPr>
          <w:rFonts w:eastAsia="Calibri"/>
          <w:color w:val="000000" w:themeColor="text1"/>
        </w:rPr>
        <w:t>: FAO</w:t>
      </w:r>
      <w:r w:rsidRPr="0083113B">
        <w:rPr>
          <w:rFonts w:eastAsia="Calibri"/>
          <w:color w:val="000000" w:themeColor="text1"/>
        </w:rPr>
        <w:t>, 2020.</w:t>
      </w:r>
      <w:r w:rsidR="00A77F9F" w:rsidRPr="0083113B">
        <w:rPr>
          <w:rFonts w:eastAsia="Calibri"/>
          <w:color w:val="000000" w:themeColor="text1"/>
        </w:rPr>
        <w:t xml:space="preserve"> </w:t>
      </w:r>
      <w:hyperlink r:id="rId11" w:history="1">
        <w:r w:rsidR="00A77F9F" w:rsidRPr="0083113B">
          <w:rPr>
            <w:rStyle w:val="Hyperlink"/>
            <w:rFonts w:eastAsia="Calibri"/>
          </w:rPr>
          <w:t>https://doi.org/10.4060/ca8873en</w:t>
        </w:r>
      </w:hyperlink>
      <w:r w:rsidRPr="0083113B">
        <w:rPr>
          <w:rFonts w:eastAsia="Calibri"/>
          <w:color w:val="000000" w:themeColor="text1"/>
        </w:rPr>
        <w:t>.</w:t>
      </w:r>
      <w:r w:rsidR="00A77F9F" w:rsidRPr="0083113B">
        <w:rPr>
          <w:rFonts w:eastAsia="Calibri"/>
          <w:color w:val="000000" w:themeColor="text1"/>
        </w:rPr>
        <w:t xml:space="preserve"> </w:t>
      </w:r>
    </w:p>
    <w:p w14:paraId="55744F08" w14:textId="77777777" w:rsidR="00BD05D6" w:rsidRPr="0083113B" w:rsidRDefault="00BD05D6" w:rsidP="0083113B">
      <w:pPr>
        <w:rPr>
          <w:color w:val="000000" w:themeColor="text1"/>
        </w:rPr>
      </w:pPr>
    </w:p>
    <w:p w14:paraId="7E4E2CA6" w14:textId="77777777" w:rsidR="00E611C9" w:rsidRPr="0083113B" w:rsidDel="00AE0FFE" w:rsidRDefault="00E611C9" w:rsidP="007A2047">
      <w:pPr>
        <w:ind w:left="720" w:hanging="720"/>
        <w:jc w:val="both"/>
        <w:rPr>
          <w:color w:val="000000" w:themeColor="text1"/>
        </w:rPr>
      </w:pPr>
      <w:r w:rsidRPr="0083113B">
        <w:rPr>
          <w:color w:val="000000" w:themeColor="text1"/>
        </w:rPr>
        <w:t>FAO (</w:t>
      </w:r>
      <w:r w:rsidRPr="0083113B">
        <w:rPr>
          <w:rFonts w:eastAsia="Calibri"/>
          <w:color w:val="000000" w:themeColor="text1"/>
        </w:rPr>
        <w:t>Food and Agriculture Organization of the United Nations</w:t>
      </w:r>
      <w:r w:rsidRPr="0083113B">
        <w:rPr>
          <w:color w:val="000000" w:themeColor="text1"/>
        </w:rPr>
        <w:t xml:space="preserve">) and ECLAC (Economic Commission for Latin America and the Caribbean). </w:t>
      </w:r>
      <w:r w:rsidRPr="0083113B">
        <w:rPr>
          <w:i/>
          <w:iCs/>
          <w:color w:val="000000" w:themeColor="text1"/>
        </w:rPr>
        <w:t>Analysis and Responses of Latin America and the Caribbean to the Effects of COVID-19 on Food Systems</w:t>
      </w:r>
      <w:r w:rsidRPr="0083113B">
        <w:rPr>
          <w:color w:val="000000" w:themeColor="text1"/>
        </w:rPr>
        <w:t xml:space="preserve">. Santiago, Chile: FAO, 2020. </w:t>
      </w:r>
      <w:hyperlink r:id="rId12" w:history="1">
        <w:r w:rsidRPr="0083113B">
          <w:rPr>
            <w:rStyle w:val="Hyperlink"/>
          </w:rPr>
          <w:t>https://www.cepal.org/en/publications/45526-analysis-and-responses-latin-america-and-caribbean-effects-covid-19-food-systems</w:t>
        </w:r>
      </w:hyperlink>
      <w:r w:rsidRPr="0083113B">
        <w:rPr>
          <w:color w:val="000000" w:themeColor="text1"/>
        </w:rPr>
        <w:t>.</w:t>
      </w:r>
    </w:p>
    <w:p w14:paraId="2339DFDF" w14:textId="77777777" w:rsidR="00E611C9" w:rsidRPr="0083113B" w:rsidRDefault="00E611C9">
      <w:pPr>
        <w:ind w:left="720" w:hanging="720"/>
        <w:jc w:val="both"/>
        <w:rPr>
          <w:color w:val="000000" w:themeColor="text1"/>
        </w:rPr>
      </w:pPr>
    </w:p>
    <w:p w14:paraId="402B6E23" w14:textId="67D4E591" w:rsidR="00F20082" w:rsidRPr="0083113B" w:rsidRDefault="00F20082" w:rsidP="0083113B">
      <w:pPr>
        <w:ind w:left="720" w:hanging="720"/>
        <w:jc w:val="both"/>
        <w:rPr>
          <w:rFonts w:eastAsia="Calibri"/>
          <w:color w:val="000000" w:themeColor="text1"/>
          <w:lang w:val="en-US"/>
        </w:rPr>
      </w:pPr>
      <w:r w:rsidRPr="0083113B">
        <w:rPr>
          <w:rFonts w:eastAsia="Calibri"/>
          <w:color w:val="000000" w:themeColor="text1"/>
        </w:rPr>
        <w:t xml:space="preserve">Food Security Information Network. </w:t>
      </w:r>
      <w:r w:rsidRPr="0083113B">
        <w:rPr>
          <w:rFonts w:eastAsia="Calibri"/>
          <w:i/>
          <w:iCs/>
          <w:color w:val="000000" w:themeColor="text1"/>
        </w:rPr>
        <w:t>Global Report on Food Crises: Joint Analysis for Better Decisions.</w:t>
      </w:r>
      <w:r w:rsidR="004F0EB4" w:rsidRPr="0083113B">
        <w:rPr>
          <w:rFonts w:eastAsia="Calibri"/>
          <w:color w:val="000000" w:themeColor="text1"/>
        </w:rPr>
        <w:t xml:space="preserve"> </w:t>
      </w:r>
      <w:r w:rsidR="004F0EB4" w:rsidRPr="0083113B">
        <w:rPr>
          <w:rFonts w:eastAsia="Calibri"/>
          <w:color w:val="000000" w:themeColor="text1"/>
          <w:lang w:val="en-US"/>
        </w:rPr>
        <w:t xml:space="preserve">Rome: </w:t>
      </w:r>
      <w:r w:rsidRPr="0083113B">
        <w:rPr>
          <w:rFonts w:eastAsia="Calibri"/>
          <w:color w:val="000000" w:themeColor="text1"/>
          <w:lang w:val="en-US"/>
        </w:rPr>
        <w:t xml:space="preserve"> </w:t>
      </w:r>
      <w:r w:rsidR="004F0EB4" w:rsidRPr="0083113B">
        <w:rPr>
          <w:rFonts w:eastAsia="Calibri"/>
          <w:color w:val="000000" w:themeColor="text1"/>
          <w:lang w:val="en-US"/>
        </w:rPr>
        <w:t xml:space="preserve">Food Security Information Network, 2020. </w:t>
      </w:r>
      <w:hyperlink r:id="rId13" w:history="1">
        <w:r w:rsidR="004F0EB4" w:rsidRPr="0083113B">
          <w:rPr>
            <w:rStyle w:val="Hyperlink"/>
            <w:rFonts w:eastAsia="Calibri"/>
            <w:lang w:val="en-US"/>
          </w:rPr>
          <w:t>https://www.fsinplatform.org/sites/default/files/resources/files/GRFC_2020_ONLINE_200420.pdf</w:t>
        </w:r>
      </w:hyperlink>
      <w:r w:rsidR="004F0EB4" w:rsidRPr="0083113B">
        <w:rPr>
          <w:rFonts w:eastAsia="Calibri"/>
          <w:color w:val="000000" w:themeColor="text1"/>
          <w:lang w:val="en-US"/>
        </w:rPr>
        <w:t xml:space="preserve">. </w:t>
      </w:r>
    </w:p>
    <w:p w14:paraId="3463B0DC" w14:textId="77777777" w:rsidR="00BD05D6" w:rsidRDefault="00BD05D6" w:rsidP="0049456A">
      <w:pPr>
        <w:ind w:left="720" w:hanging="720"/>
        <w:jc w:val="both"/>
        <w:rPr>
          <w:rFonts w:eastAsia="Calibri"/>
          <w:color w:val="000000" w:themeColor="text1"/>
          <w:lang w:val="en-US"/>
        </w:rPr>
      </w:pPr>
    </w:p>
    <w:p w14:paraId="2F5D805E" w14:textId="26728ABB" w:rsidR="002F2FAA" w:rsidRPr="0083113B" w:rsidRDefault="002F2FAA" w:rsidP="0083113B">
      <w:pPr>
        <w:ind w:left="720" w:hanging="720"/>
        <w:jc w:val="both"/>
        <w:rPr>
          <w:rFonts w:eastAsia="Calibri"/>
          <w:color w:val="000000" w:themeColor="text1"/>
          <w:lang w:val="en-US"/>
        </w:rPr>
      </w:pPr>
      <w:r w:rsidRPr="0083113B">
        <w:rPr>
          <w:rFonts w:eastAsia="Calibri"/>
          <w:color w:val="000000" w:themeColor="text1"/>
          <w:lang w:val="en-US"/>
        </w:rPr>
        <w:t xml:space="preserve">Gahman, L., and </w:t>
      </w:r>
      <w:r w:rsidR="004F0EB4" w:rsidRPr="0083113B">
        <w:rPr>
          <w:rFonts w:eastAsia="Calibri"/>
          <w:color w:val="000000" w:themeColor="text1"/>
          <w:lang w:val="en-US"/>
        </w:rPr>
        <w:t xml:space="preserve">G. </w:t>
      </w:r>
      <w:r w:rsidRPr="0083113B">
        <w:rPr>
          <w:rFonts w:eastAsia="Calibri"/>
          <w:color w:val="000000" w:themeColor="text1"/>
          <w:lang w:val="en-US"/>
        </w:rPr>
        <w:t xml:space="preserve">Thongs. </w:t>
      </w:r>
      <w:r w:rsidR="00B05813" w:rsidRPr="0083113B">
        <w:rPr>
          <w:rFonts w:eastAsia="Calibri"/>
          <w:color w:val="000000" w:themeColor="text1"/>
          <w:lang w:val="en-US"/>
        </w:rPr>
        <w:t>“</w:t>
      </w:r>
      <w:r w:rsidRPr="0083113B">
        <w:rPr>
          <w:rFonts w:eastAsia="Calibri"/>
          <w:color w:val="000000" w:themeColor="text1"/>
          <w:lang w:val="en-US"/>
        </w:rPr>
        <w:t xml:space="preserve">Development </w:t>
      </w:r>
      <w:r w:rsidR="00B05813" w:rsidRPr="0083113B">
        <w:rPr>
          <w:rFonts w:eastAsia="Calibri"/>
          <w:color w:val="000000" w:themeColor="text1"/>
          <w:lang w:val="en-US"/>
        </w:rPr>
        <w:t>J</w:t>
      </w:r>
      <w:r w:rsidRPr="0083113B">
        <w:rPr>
          <w:rFonts w:eastAsia="Calibri"/>
          <w:color w:val="000000" w:themeColor="text1"/>
          <w:lang w:val="en-US"/>
        </w:rPr>
        <w:t xml:space="preserve">ustice, a </w:t>
      </w:r>
      <w:r w:rsidR="00B05813" w:rsidRPr="0083113B">
        <w:rPr>
          <w:rFonts w:eastAsia="Calibri"/>
          <w:color w:val="000000" w:themeColor="text1"/>
          <w:lang w:val="en-US"/>
        </w:rPr>
        <w:t>P</w:t>
      </w:r>
      <w:r w:rsidRPr="0083113B">
        <w:rPr>
          <w:rFonts w:eastAsia="Calibri"/>
          <w:color w:val="000000" w:themeColor="text1"/>
          <w:lang w:val="en-US"/>
        </w:rPr>
        <w:t xml:space="preserve">roposal: Reckoning with </w:t>
      </w:r>
      <w:r w:rsidR="00B05813" w:rsidRPr="0083113B">
        <w:rPr>
          <w:rFonts w:eastAsia="Calibri"/>
          <w:color w:val="000000" w:themeColor="text1"/>
          <w:lang w:val="en-US"/>
        </w:rPr>
        <w:t>D</w:t>
      </w:r>
      <w:r w:rsidRPr="0083113B">
        <w:rPr>
          <w:rFonts w:eastAsia="Calibri"/>
          <w:color w:val="000000" w:themeColor="text1"/>
          <w:lang w:val="en-US"/>
        </w:rPr>
        <w:t xml:space="preserve">isaster, </w:t>
      </w:r>
      <w:r w:rsidR="00B05813" w:rsidRPr="0083113B">
        <w:rPr>
          <w:rFonts w:eastAsia="Calibri"/>
          <w:color w:val="000000" w:themeColor="text1"/>
          <w:lang w:val="en-US"/>
        </w:rPr>
        <w:t>C</w:t>
      </w:r>
      <w:r w:rsidRPr="0083113B">
        <w:rPr>
          <w:rFonts w:eastAsia="Calibri"/>
          <w:color w:val="000000" w:themeColor="text1"/>
          <w:lang w:val="en-US"/>
        </w:rPr>
        <w:t xml:space="preserve">atastrophe, and </w:t>
      </w:r>
      <w:r w:rsidR="00B05813" w:rsidRPr="0083113B">
        <w:rPr>
          <w:rFonts w:eastAsia="Calibri"/>
          <w:color w:val="000000" w:themeColor="text1"/>
          <w:lang w:val="en-US"/>
        </w:rPr>
        <w:t>C</w:t>
      </w:r>
      <w:r w:rsidRPr="0083113B">
        <w:rPr>
          <w:rFonts w:eastAsia="Calibri"/>
          <w:color w:val="000000" w:themeColor="text1"/>
          <w:lang w:val="en-US"/>
        </w:rPr>
        <w:t xml:space="preserve">limate </w:t>
      </w:r>
      <w:r w:rsidR="00B05813" w:rsidRPr="0083113B">
        <w:rPr>
          <w:rFonts w:eastAsia="Calibri"/>
          <w:color w:val="000000" w:themeColor="text1"/>
          <w:lang w:val="en-US"/>
        </w:rPr>
        <w:t>C</w:t>
      </w:r>
      <w:r w:rsidRPr="0083113B">
        <w:rPr>
          <w:rFonts w:eastAsia="Calibri"/>
          <w:color w:val="000000" w:themeColor="text1"/>
          <w:lang w:val="en-US"/>
        </w:rPr>
        <w:t>hange in the Caribbean</w:t>
      </w:r>
      <w:r w:rsidR="004F0EB4" w:rsidRPr="0083113B">
        <w:rPr>
          <w:rFonts w:eastAsia="Calibri"/>
          <w:color w:val="000000" w:themeColor="text1"/>
          <w:lang w:val="en-US"/>
        </w:rPr>
        <w:t>.</w:t>
      </w:r>
      <w:r w:rsidR="00B05813" w:rsidRPr="0083113B">
        <w:rPr>
          <w:rFonts w:eastAsia="Calibri"/>
          <w:color w:val="000000" w:themeColor="text1"/>
          <w:lang w:val="en-US"/>
        </w:rPr>
        <w:t>”</w:t>
      </w:r>
      <w:r w:rsidRPr="0083113B">
        <w:rPr>
          <w:rFonts w:eastAsia="Calibri"/>
          <w:color w:val="000000" w:themeColor="text1"/>
          <w:lang w:val="en-US"/>
        </w:rPr>
        <w:t> </w:t>
      </w:r>
      <w:r w:rsidRPr="0083113B">
        <w:rPr>
          <w:rFonts w:eastAsia="Calibri"/>
          <w:i/>
          <w:iCs/>
          <w:color w:val="000000" w:themeColor="text1"/>
          <w:lang w:val="en-US"/>
        </w:rPr>
        <w:t>Transactions of the Institute of British Geographers</w:t>
      </w:r>
      <w:r w:rsidRPr="0083113B">
        <w:rPr>
          <w:rFonts w:eastAsia="Calibri"/>
          <w:color w:val="000000" w:themeColor="text1"/>
          <w:lang w:val="en-US"/>
        </w:rPr>
        <w:t> 45</w:t>
      </w:r>
      <w:r w:rsidR="004F0EB4" w:rsidRPr="0083113B">
        <w:rPr>
          <w:rFonts w:eastAsia="Calibri"/>
          <w:color w:val="000000" w:themeColor="text1"/>
          <w:lang w:val="en-US"/>
        </w:rPr>
        <w:t xml:space="preserve">, no. </w:t>
      </w:r>
      <w:r w:rsidRPr="0083113B">
        <w:rPr>
          <w:rFonts w:eastAsia="Calibri"/>
          <w:color w:val="000000" w:themeColor="text1"/>
          <w:lang w:val="en-US"/>
        </w:rPr>
        <w:t>4</w:t>
      </w:r>
      <w:r w:rsidR="00B05813" w:rsidRPr="0083113B">
        <w:rPr>
          <w:rFonts w:eastAsia="Calibri"/>
          <w:color w:val="000000" w:themeColor="text1"/>
          <w:lang w:val="en-US"/>
        </w:rPr>
        <w:t xml:space="preserve"> (2020)</w:t>
      </w:r>
      <w:r w:rsidR="00ED3DFC" w:rsidRPr="0083113B">
        <w:rPr>
          <w:rFonts w:eastAsia="Calibri"/>
          <w:color w:val="000000" w:themeColor="text1"/>
          <w:lang w:val="en-US"/>
        </w:rPr>
        <w:t>:</w:t>
      </w:r>
      <w:r w:rsidRPr="0083113B">
        <w:rPr>
          <w:rFonts w:eastAsia="Calibri"/>
          <w:color w:val="000000" w:themeColor="text1"/>
          <w:lang w:val="en-US"/>
        </w:rPr>
        <w:t xml:space="preserve"> 763-778.</w:t>
      </w:r>
    </w:p>
    <w:p w14:paraId="5066A5E7" w14:textId="77777777" w:rsidR="00BD05D6" w:rsidRDefault="00BD05D6" w:rsidP="0049456A">
      <w:pPr>
        <w:ind w:left="720" w:hanging="720"/>
        <w:jc w:val="both"/>
        <w:rPr>
          <w:rFonts w:eastAsia="Calibri"/>
          <w:color w:val="000000" w:themeColor="text1"/>
          <w:lang w:val="en-US"/>
        </w:rPr>
      </w:pPr>
    </w:p>
    <w:p w14:paraId="71C1B1BD" w14:textId="4A365724" w:rsidR="00F0387E" w:rsidRPr="0083113B" w:rsidRDefault="00F0387E" w:rsidP="0083113B">
      <w:pPr>
        <w:ind w:left="720" w:hanging="720"/>
        <w:jc w:val="both"/>
        <w:rPr>
          <w:rFonts w:eastAsia="Calibri"/>
          <w:color w:val="000000" w:themeColor="text1"/>
          <w:lang w:val="en-US"/>
        </w:rPr>
      </w:pPr>
      <w:r w:rsidRPr="0083113B">
        <w:rPr>
          <w:rFonts w:eastAsia="Calibri"/>
          <w:color w:val="000000" w:themeColor="text1"/>
          <w:lang w:val="en-US"/>
        </w:rPr>
        <w:t xml:space="preserve">Gahman, L., </w:t>
      </w:r>
      <w:r w:rsidR="00ED3DFC" w:rsidRPr="0083113B">
        <w:rPr>
          <w:rFonts w:eastAsia="Calibri"/>
          <w:color w:val="000000" w:themeColor="text1"/>
          <w:lang w:val="en-US"/>
        </w:rPr>
        <w:t xml:space="preserve">G. </w:t>
      </w:r>
      <w:r w:rsidRPr="0083113B">
        <w:rPr>
          <w:rFonts w:eastAsia="Calibri"/>
          <w:color w:val="000000" w:themeColor="text1"/>
          <w:lang w:val="en-US"/>
        </w:rPr>
        <w:t xml:space="preserve">Thongs, and </w:t>
      </w:r>
      <w:r w:rsidR="00ED3DFC" w:rsidRPr="0083113B">
        <w:rPr>
          <w:rFonts w:eastAsia="Calibri"/>
          <w:color w:val="000000" w:themeColor="text1"/>
          <w:lang w:val="en-US"/>
        </w:rPr>
        <w:t xml:space="preserve">A. </w:t>
      </w:r>
      <w:r w:rsidRPr="0083113B">
        <w:rPr>
          <w:rFonts w:eastAsia="Calibri"/>
          <w:color w:val="000000" w:themeColor="text1"/>
          <w:lang w:val="en-US"/>
        </w:rPr>
        <w:t xml:space="preserve">Greenidge. </w:t>
      </w:r>
      <w:r w:rsidR="00B05813" w:rsidRPr="0083113B">
        <w:rPr>
          <w:rFonts w:eastAsia="Calibri"/>
          <w:color w:val="000000" w:themeColor="text1"/>
          <w:lang w:val="en-US"/>
        </w:rPr>
        <w:t>“</w:t>
      </w:r>
      <w:r w:rsidRPr="0083113B">
        <w:rPr>
          <w:rFonts w:eastAsia="Calibri"/>
          <w:color w:val="000000" w:themeColor="text1"/>
          <w:lang w:val="en-US"/>
        </w:rPr>
        <w:t xml:space="preserve">Disaster, </w:t>
      </w:r>
      <w:r w:rsidR="00B05813" w:rsidRPr="0083113B">
        <w:rPr>
          <w:rFonts w:eastAsia="Calibri"/>
          <w:color w:val="000000" w:themeColor="text1"/>
          <w:lang w:val="en-US"/>
        </w:rPr>
        <w:t>D</w:t>
      </w:r>
      <w:r w:rsidRPr="0083113B">
        <w:rPr>
          <w:rFonts w:eastAsia="Calibri"/>
          <w:color w:val="000000" w:themeColor="text1"/>
          <w:lang w:val="en-US"/>
        </w:rPr>
        <w:t>ebt, and ‘</w:t>
      </w:r>
      <w:r w:rsidR="00B05813" w:rsidRPr="0083113B">
        <w:rPr>
          <w:rFonts w:eastAsia="Calibri"/>
          <w:color w:val="000000" w:themeColor="text1"/>
          <w:lang w:val="en-US"/>
        </w:rPr>
        <w:t>U</w:t>
      </w:r>
      <w:r w:rsidRPr="0083113B">
        <w:rPr>
          <w:rFonts w:eastAsia="Calibri"/>
          <w:color w:val="000000" w:themeColor="text1"/>
          <w:lang w:val="en-US"/>
        </w:rPr>
        <w:t>nderdevelopment</w:t>
      </w:r>
      <w:r w:rsidR="00357580" w:rsidRPr="0083113B">
        <w:rPr>
          <w:rFonts w:eastAsia="Calibri"/>
          <w:color w:val="000000" w:themeColor="text1"/>
          <w:lang w:val="en-US"/>
        </w:rPr>
        <w:t>:’</w:t>
      </w:r>
      <w:r w:rsidRPr="0083113B">
        <w:rPr>
          <w:rFonts w:eastAsia="Calibri"/>
          <w:color w:val="000000" w:themeColor="text1"/>
          <w:lang w:val="en-US"/>
        </w:rPr>
        <w:t xml:space="preserve"> The </w:t>
      </w:r>
      <w:r w:rsidR="00357580" w:rsidRPr="0083113B">
        <w:rPr>
          <w:rFonts w:eastAsia="Calibri"/>
          <w:color w:val="000000" w:themeColor="text1"/>
          <w:lang w:val="en-US"/>
        </w:rPr>
        <w:t>C</w:t>
      </w:r>
      <w:r w:rsidRPr="0083113B">
        <w:rPr>
          <w:rFonts w:eastAsia="Calibri"/>
          <w:color w:val="000000" w:themeColor="text1"/>
          <w:lang w:val="en-US"/>
        </w:rPr>
        <w:t xml:space="preserve">unning of </w:t>
      </w:r>
      <w:r w:rsidR="00357580" w:rsidRPr="0083113B">
        <w:rPr>
          <w:rFonts w:eastAsia="Calibri"/>
          <w:color w:val="000000" w:themeColor="text1"/>
          <w:lang w:val="en-US"/>
        </w:rPr>
        <w:t>C</w:t>
      </w:r>
      <w:r w:rsidRPr="0083113B">
        <w:rPr>
          <w:rFonts w:eastAsia="Calibri"/>
          <w:color w:val="000000" w:themeColor="text1"/>
          <w:lang w:val="en-US"/>
        </w:rPr>
        <w:t>olonial-</w:t>
      </w:r>
      <w:r w:rsidR="00357580" w:rsidRPr="0083113B">
        <w:rPr>
          <w:rFonts w:eastAsia="Calibri"/>
          <w:color w:val="000000" w:themeColor="text1"/>
          <w:lang w:val="en-US"/>
        </w:rPr>
        <w:t>C</w:t>
      </w:r>
      <w:r w:rsidRPr="0083113B">
        <w:rPr>
          <w:rFonts w:eastAsia="Calibri"/>
          <w:color w:val="000000" w:themeColor="text1"/>
          <w:lang w:val="en-US"/>
        </w:rPr>
        <w:t>apitalism in the Caribbean</w:t>
      </w:r>
      <w:r w:rsidR="00ED3DFC" w:rsidRPr="0083113B">
        <w:rPr>
          <w:rFonts w:eastAsia="Calibri"/>
          <w:color w:val="000000" w:themeColor="text1"/>
          <w:lang w:val="en-US"/>
        </w:rPr>
        <w:t>.</w:t>
      </w:r>
      <w:r w:rsidR="00357580" w:rsidRPr="0083113B">
        <w:rPr>
          <w:rFonts w:eastAsia="Calibri"/>
          <w:color w:val="000000" w:themeColor="text1"/>
          <w:lang w:val="en-US"/>
        </w:rPr>
        <w:t>”</w:t>
      </w:r>
      <w:r w:rsidRPr="0083113B">
        <w:rPr>
          <w:rFonts w:eastAsia="Calibri"/>
          <w:color w:val="000000" w:themeColor="text1"/>
          <w:lang w:val="en-US"/>
        </w:rPr>
        <w:t> </w:t>
      </w:r>
      <w:r w:rsidRPr="0083113B">
        <w:rPr>
          <w:rFonts w:eastAsia="Calibri"/>
          <w:i/>
          <w:iCs/>
          <w:color w:val="000000" w:themeColor="text1"/>
          <w:lang w:val="en-US"/>
        </w:rPr>
        <w:t>Development</w:t>
      </w:r>
      <w:r w:rsidRPr="0083113B">
        <w:rPr>
          <w:rFonts w:eastAsia="Calibri"/>
          <w:color w:val="000000" w:themeColor="text1"/>
          <w:lang w:val="en-US"/>
        </w:rPr>
        <w:t xml:space="preserve"> 64</w:t>
      </w:r>
      <w:r w:rsidR="00ED3DFC" w:rsidRPr="0083113B">
        <w:rPr>
          <w:rFonts w:eastAsia="Calibri"/>
          <w:color w:val="000000" w:themeColor="text1"/>
          <w:lang w:val="en-US"/>
        </w:rPr>
        <w:t xml:space="preserve">, no. </w:t>
      </w:r>
      <w:r w:rsidRPr="0083113B">
        <w:rPr>
          <w:rFonts w:eastAsia="Calibri"/>
          <w:color w:val="000000" w:themeColor="text1"/>
          <w:lang w:val="en-US"/>
        </w:rPr>
        <w:t>1</w:t>
      </w:r>
      <w:r w:rsidR="00B05813" w:rsidRPr="0083113B">
        <w:rPr>
          <w:rFonts w:eastAsia="Calibri"/>
          <w:color w:val="000000" w:themeColor="text1"/>
          <w:lang w:val="en-US"/>
        </w:rPr>
        <w:t xml:space="preserve"> (2021)</w:t>
      </w:r>
      <w:r w:rsidR="00ED3DFC" w:rsidRPr="0083113B">
        <w:rPr>
          <w:rFonts w:eastAsia="Calibri"/>
          <w:color w:val="000000" w:themeColor="text1"/>
          <w:lang w:val="en-US"/>
        </w:rPr>
        <w:t>:</w:t>
      </w:r>
      <w:r w:rsidRPr="0083113B">
        <w:rPr>
          <w:rFonts w:eastAsia="Calibri"/>
          <w:color w:val="000000" w:themeColor="text1"/>
          <w:lang w:val="en-US"/>
        </w:rPr>
        <w:t xml:space="preserve"> 118.</w:t>
      </w:r>
    </w:p>
    <w:p w14:paraId="0BD39CA2" w14:textId="77777777" w:rsidR="00BD05D6" w:rsidRDefault="00BD05D6" w:rsidP="0049456A">
      <w:pPr>
        <w:ind w:left="720" w:hanging="720"/>
        <w:jc w:val="both"/>
        <w:rPr>
          <w:rFonts w:eastAsia="Calibri"/>
          <w:color w:val="000000" w:themeColor="text1"/>
        </w:rPr>
      </w:pPr>
    </w:p>
    <w:p w14:paraId="7F837ADD" w14:textId="21B9E9A7" w:rsidR="002905C0" w:rsidRPr="0083113B" w:rsidRDefault="002905C0" w:rsidP="0083113B">
      <w:pPr>
        <w:ind w:left="720" w:hanging="720"/>
        <w:jc w:val="both"/>
        <w:rPr>
          <w:rFonts w:eastAsia="Calibri"/>
          <w:color w:val="000000" w:themeColor="text1"/>
          <w:lang w:val="en-US"/>
        </w:rPr>
      </w:pPr>
      <w:r w:rsidRPr="0083113B">
        <w:rPr>
          <w:rFonts w:eastAsia="Calibri"/>
          <w:color w:val="000000" w:themeColor="text1"/>
        </w:rPr>
        <w:t>Jackson, S.N. </w:t>
      </w:r>
      <w:r w:rsidRPr="0083113B">
        <w:rPr>
          <w:rFonts w:eastAsia="Calibri"/>
          <w:i/>
          <w:iCs/>
          <w:color w:val="000000" w:themeColor="text1"/>
        </w:rPr>
        <w:t>Creole Indigeneity: Between Myth and Nation in the Caribbean</w:t>
      </w:r>
      <w:r w:rsidRPr="0083113B">
        <w:rPr>
          <w:rFonts w:eastAsia="Calibri"/>
          <w:color w:val="000000" w:themeColor="text1"/>
        </w:rPr>
        <w:t>. Minneapolis: University of Minnesota Press</w:t>
      </w:r>
      <w:r w:rsidR="00357580" w:rsidRPr="0083113B">
        <w:rPr>
          <w:rFonts w:eastAsia="Calibri"/>
          <w:color w:val="000000" w:themeColor="text1"/>
        </w:rPr>
        <w:t>, 2012</w:t>
      </w:r>
      <w:r w:rsidRPr="0083113B">
        <w:rPr>
          <w:rFonts w:eastAsia="Calibri"/>
          <w:color w:val="000000" w:themeColor="text1"/>
        </w:rPr>
        <w:t>.</w:t>
      </w:r>
    </w:p>
    <w:p w14:paraId="5C856FB8" w14:textId="77777777" w:rsidR="00BD05D6" w:rsidRDefault="00BD05D6" w:rsidP="0049456A">
      <w:pPr>
        <w:ind w:left="720" w:hanging="720"/>
        <w:jc w:val="both"/>
        <w:rPr>
          <w:rFonts w:eastAsia="Calibri"/>
          <w:color w:val="000000" w:themeColor="text1"/>
        </w:rPr>
      </w:pPr>
    </w:p>
    <w:p w14:paraId="45CCA3CB" w14:textId="7E8186B0" w:rsidR="003509F7" w:rsidRPr="00FA7E36" w:rsidRDefault="00AC3D72" w:rsidP="0083113B">
      <w:pPr>
        <w:ind w:left="720" w:hanging="720"/>
        <w:jc w:val="both"/>
        <w:rPr>
          <w:rFonts w:eastAsia="Calibri"/>
          <w:color w:val="000000" w:themeColor="text1"/>
          <w:lang w:val="es-PR"/>
        </w:rPr>
      </w:pPr>
      <w:r w:rsidRPr="0083113B">
        <w:rPr>
          <w:rFonts w:eastAsia="Calibri"/>
          <w:color w:val="000000" w:themeColor="text1"/>
        </w:rPr>
        <w:t xml:space="preserve">Kim, </w:t>
      </w:r>
      <w:proofErr w:type="gramStart"/>
      <w:r w:rsidRPr="0083113B">
        <w:rPr>
          <w:rFonts w:eastAsia="Calibri"/>
          <w:color w:val="000000" w:themeColor="text1"/>
        </w:rPr>
        <w:t>J.</w:t>
      </w:r>
      <w:proofErr w:type="gramEnd"/>
      <w:r w:rsidRPr="0083113B">
        <w:rPr>
          <w:rFonts w:eastAsia="Calibri"/>
          <w:color w:val="000000" w:themeColor="text1"/>
        </w:rPr>
        <w:t xml:space="preserve"> and </w:t>
      </w:r>
      <w:r w:rsidR="00ED3DFC" w:rsidRPr="0083113B">
        <w:rPr>
          <w:rFonts w:eastAsia="Calibri"/>
          <w:color w:val="000000" w:themeColor="text1"/>
        </w:rPr>
        <w:t xml:space="preserve">P. </w:t>
      </w:r>
      <w:r w:rsidRPr="0083113B">
        <w:rPr>
          <w:rFonts w:eastAsia="Calibri"/>
          <w:color w:val="000000" w:themeColor="text1"/>
        </w:rPr>
        <w:t xml:space="preserve">Pokharel. </w:t>
      </w:r>
      <w:r w:rsidR="00357580" w:rsidRPr="0083113B">
        <w:rPr>
          <w:rFonts w:eastAsia="Calibri"/>
          <w:color w:val="000000" w:themeColor="text1"/>
        </w:rPr>
        <w:t>“</w:t>
      </w:r>
      <w:r w:rsidRPr="0083113B">
        <w:rPr>
          <w:rFonts w:eastAsia="Calibri"/>
          <w:color w:val="000000" w:themeColor="text1"/>
        </w:rPr>
        <w:t xml:space="preserve">The </w:t>
      </w:r>
      <w:r w:rsidR="00ED3DFC" w:rsidRPr="0083113B">
        <w:rPr>
          <w:rFonts w:eastAsia="Calibri"/>
          <w:color w:val="000000" w:themeColor="text1"/>
        </w:rPr>
        <w:t>S</w:t>
      </w:r>
      <w:r w:rsidRPr="0083113B">
        <w:rPr>
          <w:rFonts w:eastAsia="Calibri"/>
          <w:color w:val="000000" w:themeColor="text1"/>
        </w:rPr>
        <w:t xml:space="preserve">olution to </w:t>
      </w:r>
      <w:r w:rsidR="00ED3DFC" w:rsidRPr="0083113B">
        <w:rPr>
          <w:rFonts w:eastAsia="Calibri"/>
          <w:color w:val="000000" w:themeColor="text1"/>
        </w:rPr>
        <w:t>F</w:t>
      </w:r>
      <w:r w:rsidRPr="0083113B">
        <w:rPr>
          <w:rFonts w:eastAsia="Calibri"/>
          <w:color w:val="000000" w:themeColor="text1"/>
        </w:rPr>
        <w:t xml:space="preserve">ood </w:t>
      </w:r>
      <w:r w:rsidR="00ED3DFC" w:rsidRPr="0083113B">
        <w:rPr>
          <w:rFonts w:eastAsia="Calibri"/>
          <w:color w:val="000000" w:themeColor="text1"/>
        </w:rPr>
        <w:t>I</w:t>
      </w:r>
      <w:r w:rsidRPr="0083113B">
        <w:rPr>
          <w:rFonts w:eastAsia="Calibri"/>
          <w:color w:val="000000" w:themeColor="text1"/>
        </w:rPr>
        <w:t xml:space="preserve">nsecurity </w:t>
      </w:r>
      <w:r w:rsidR="00ED3DFC" w:rsidRPr="0083113B">
        <w:rPr>
          <w:rFonts w:eastAsia="Calibri"/>
          <w:color w:val="000000" w:themeColor="text1"/>
        </w:rPr>
        <w:t>I</w:t>
      </w:r>
      <w:r w:rsidRPr="0083113B">
        <w:rPr>
          <w:rFonts w:eastAsia="Calibri"/>
          <w:color w:val="000000" w:themeColor="text1"/>
        </w:rPr>
        <w:t xml:space="preserve">s </w:t>
      </w:r>
      <w:r w:rsidR="00ED3DFC" w:rsidRPr="0083113B">
        <w:rPr>
          <w:rFonts w:eastAsia="Calibri"/>
          <w:color w:val="000000" w:themeColor="text1"/>
        </w:rPr>
        <w:t>F</w:t>
      </w:r>
      <w:r w:rsidRPr="0083113B">
        <w:rPr>
          <w:rFonts w:eastAsia="Calibri"/>
          <w:color w:val="000000" w:themeColor="text1"/>
        </w:rPr>
        <w:t xml:space="preserve">ood </w:t>
      </w:r>
      <w:r w:rsidR="00ED3DFC" w:rsidRPr="0083113B">
        <w:rPr>
          <w:rFonts w:eastAsia="Calibri"/>
          <w:color w:val="000000" w:themeColor="text1"/>
        </w:rPr>
        <w:t>S</w:t>
      </w:r>
      <w:r w:rsidRPr="0083113B">
        <w:rPr>
          <w:rFonts w:eastAsia="Calibri"/>
          <w:color w:val="000000" w:themeColor="text1"/>
        </w:rPr>
        <w:t>overeignty</w:t>
      </w:r>
      <w:r w:rsidR="00ED3DFC" w:rsidRPr="0083113B">
        <w:rPr>
          <w:rFonts w:eastAsia="Calibri"/>
          <w:color w:val="000000" w:themeColor="text1"/>
        </w:rPr>
        <w:t>.</w:t>
      </w:r>
      <w:r w:rsidR="00357580" w:rsidRPr="0083113B">
        <w:rPr>
          <w:rFonts w:eastAsia="Calibri"/>
          <w:color w:val="000000" w:themeColor="text1"/>
        </w:rPr>
        <w:t>”</w:t>
      </w:r>
      <w:r w:rsidRPr="0083113B">
        <w:rPr>
          <w:rFonts w:eastAsia="Calibri"/>
          <w:color w:val="000000" w:themeColor="text1"/>
        </w:rPr>
        <w:t xml:space="preserve"> </w:t>
      </w:r>
      <w:r w:rsidRPr="00FA7E36">
        <w:rPr>
          <w:rFonts w:eastAsia="Calibri"/>
          <w:i/>
          <w:iCs/>
          <w:color w:val="000000" w:themeColor="text1"/>
          <w:lang w:val="es-PR"/>
        </w:rPr>
        <w:t>Al Jazeera</w:t>
      </w:r>
      <w:r w:rsidR="00ED3DFC" w:rsidRPr="00FA7E36">
        <w:rPr>
          <w:rFonts w:eastAsia="Calibri"/>
          <w:color w:val="000000" w:themeColor="text1"/>
          <w:lang w:val="es-PR"/>
        </w:rPr>
        <w:t xml:space="preserve">, </w:t>
      </w:r>
      <w:r w:rsidR="00357580" w:rsidRPr="00FA7E36">
        <w:rPr>
          <w:rFonts w:eastAsia="Calibri"/>
          <w:color w:val="000000" w:themeColor="text1"/>
          <w:lang w:val="es-PR"/>
        </w:rPr>
        <w:t>April 25, 2020</w:t>
      </w:r>
      <w:r w:rsidRPr="00FA7E36">
        <w:rPr>
          <w:rFonts w:eastAsia="Calibri"/>
          <w:i/>
          <w:iCs/>
          <w:color w:val="000000" w:themeColor="text1"/>
          <w:lang w:val="es-PR"/>
        </w:rPr>
        <w:t xml:space="preserve">. </w:t>
      </w:r>
      <w:r w:rsidR="008A6F61">
        <w:fldChar w:fldCharType="begin"/>
      </w:r>
      <w:r w:rsidR="008A6F61">
        <w:instrText xml:space="preserve"> HYPERLINK "https://www.aljazeera.com/opinions/2020/4/25/the-solution-to-food-insecurity-is-food-sovereignty" </w:instrText>
      </w:r>
      <w:r w:rsidR="008A6F61">
        <w:fldChar w:fldCharType="separate"/>
      </w:r>
      <w:r w:rsidR="00ED3DFC" w:rsidRPr="00FA7E36">
        <w:rPr>
          <w:rStyle w:val="Hyperlink"/>
          <w:rFonts w:eastAsia="Calibri"/>
          <w:lang w:val="es-PR"/>
        </w:rPr>
        <w:t>https://www.aljazeera.com/opinions/2020/4/25/the-solution-to-food-insecurity-is-food-sovereignty</w:t>
      </w:r>
      <w:r w:rsidR="008A6F61">
        <w:rPr>
          <w:rStyle w:val="Hyperlink"/>
          <w:rFonts w:eastAsia="Calibri"/>
          <w:lang w:val="es-PR"/>
        </w:rPr>
        <w:fldChar w:fldCharType="end"/>
      </w:r>
      <w:r w:rsidR="003509F7" w:rsidRPr="00FA7E36">
        <w:rPr>
          <w:rFonts w:eastAsia="Calibri"/>
          <w:color w:val="000000" w:themeColor="text1"/>
          <w:lang w:val="es-PR"/>
        </w:rPr>
        <w:t>.</w:t>
      </w:r>
      <w:r w:rsidR="00ED3DFC" w:rsidRPr="00FA7E36">
        <w:rPr>
          <w:rFonts w:eastAsia="Calibri"/>
          <w:color w:val="000000" w:themeColor="text1"/>
          <w:lang w:val="es-PR"/>
        </w:rPr>
        <w:t xml:space="preserve"> </w:t>
      </w:r>
    </w:p>
    <w:p w14:paraId="7521C560" w14:textId="77777777" w:rsidR="00BD05D6" w:rsidRPr="00FA7E36" w:rsidRDefault="00BD05D6" w:rsidP="0049456A">
      <w:pPr>
        <w:ind w:left="720" w:hanging="720"/>
        <w:jc w:val="both"/>
        <w:rPr>
          <w:rFonts w:eastAsia="Calibri"/>
          <w:color w:val="000000" w:themeColor="text1"/>
          <w:lang w:val="es-PR"/>
        </w:rPr>
      </w:pPr>
    </w:p>
    <w:p w14:paraId="437A9969" w14:textId="523E2585" w:rsidR="0033610F" w:rsidRPr="0083113B" w:rsidRDefault="0033610F" w:rsidP="0083113B">
      <w:pPr>
        <w:ind w:left="720" w:hanging="720"/>
        <w:jc w:val="both"/>
        <w:rPr>
          <w:rFonts w:eastAsia="Calibri"/>
          <w:color w:val="000000" w:themeColor="text1"/>
        </w:rPr>
      </w:pPr>
      <w:proofErr w:type="spellStart"/>
      <w:r w:rsidRPr="0083113B">
        <w:rPr>
          <w:rFonts w:eastAsia="Calibri"/>
          <w:color w:val="000000" w:themeColor="text1"/>
        </w:rPr>
        <w:t>Kopka</w:t>
      </w:r>
      <w:proofErr w:type="spellEnd"/>
      <w:r w:rsidRPr="0083113B">
        <w:rPr>
          <w:rFonts w:eastAsia="Calibri"/>
          <w:color w:val="000000" w:themeColor="text1"/>
        </w:rPr>
        <w:t xml:space="preserve">, M. </w:t>
      </w:r>
      <w:r w:rsidR="00EA2BD8">
        <w:rPr>
          <w:rFonts w:eastAsia="Calibri"/>
          <w:color w:val="000000" w:themeColor="text1"/>
        </w:rPr>
        <w:t>“</w:t>
      </w:r>
      <w:r w:rsidRPr="00FA7E36">
        <w:rPr>
          <w:rFonts w:eastAsia="Calibri"/>
          <w:color w:val="000000" w:themeColor="text1"/>
        </w:rPr>
        <w:t>Freedom in the Making Food Sovereignty and Small Farmer Culture in Grenada from Slavery to Neoliberalism and Beyond</w:t>
      </w:r>
      <w:r w:rsidRPr="0083113B">
        <w:rPr>
          <w:rFonts w:eastAsia="Calibri"/>
          <w:color w:val="000000" w:themeColor="text1"/>
        </w:rPr>
        <w:t>.</w:t>
      </w:r>
      <w:r w:rsidR="00EA2BD8">
        <w:rPr>
          <w:rFonts w:eastAsia="Calibri"/>
          <w:color w:val="000000" w:themeColor="text1"/>
        </w:rPr>
        <w:t>”</w:t>
      </w:r>
      <w:r w:rsidRPr="0083113B">
        <w:rPr>
          <w:rFonts w:eastAsia="Calibri"/>
          <w:color w:val="000000" w:themeColor="text1"/>
        </w:rPr>
        <w:t xml:space="preserve"> </w:t>
      </w:r>
      <w:r w:rsidR="00ED3DFC" w:rsidRPr="0083113B">
        <w:rPr>
          <w:rFonts w:eastAsia="Calibri"/>
          <w:color w:val="000000" w:themeColor="text1"/>
        </w:rPr>
        <w:t xml:space="preserve">PhD </w:t>
      </w:r>
      <w:r w:rsidRPr="0083113B">
        <w:rPr>
          <w:rFonts w:eastAsia="Calibri"/>
          <w:color w:val="000000" w:themeColor="text1"/>
        </w:rPr>
        <w:t>dissertation</w:t>
      </w:r>
      <w:r w:rsidR="00ED3DFC" w:rsidRPr="0083113B">
        <w:rPr>
          <w:rFonts w:eastAsia="Calibri"/>
          <w:color w:val="000000" w:themeColor="text1"/>
        </w:rPr>
        <w:t>,</w:t>
      </w:r>
      <w:r w:rsidRPr="0083113B">
        <w:rPr>
          <w:rFonts w:eastAsia="Calibri"/>
          <w:color w:val="000000" w:themeColor="text1"/>
        </w:rPr>
        <w:t xml:space="preserve"> University of Florida</w:t>
      </w:r>
      <w:r w:rsidR="00DD1E80" w:rsidRPr="0083113B">
        <w:rPr>
          <w:rFonts w:eastAsia="Calibri"/>
          <w:color w:val="000000" w:themeColor="text1"/>
        </w:rPr>
        <w:t>, 2013</w:t>
      </w:r>
      <w:r w:rsidRPr="0083113B">
        <w:rPr>
          <w:rFonts w:eastAsia="Calibri"/>
          <w:color w:val="000000" w:themeColor="text1"/>
        </w:rPr>
        <w:t>.</w:t>
      </w:r>
    </w:p>
    <w:p w14:paraId="65E8B22A" w14:textId="77777777" w:rsidR="00BD05D6" w:rsidRDefault="00BD05D6" w:rsidP="0049456A">
      <w:pPr>
        <w:ind w:left="720" w:hanging="720"/>
        <w:jc w:val="both"/>
        <w:rPr>
          <w:rFonts w:eastAsia="Calibri"/>
          <w:color w:val="000000" w:themeColor="text1"/>
        </w:rPr>
      </w:pPr>
    </w:p>
    <w:p w14:paraId="5F9695E5" w14:textId="5BA14185" w:rsidR="0054385F" w:rsidRPr="0083113B" w:rsidRDefault="0054385F" w:rsidP="0083113B">
      <w:pPr>
        <w:ind w:left="720" w:hanging="720"/>
        <w:jc w:val="both"/>
        <w:rPr>
          <w:rFonts w:eastAsia="Calibri"/>
          <w:color w:val="000000" w:themeColor="text1"/>
        </w:rPr>
      </w:pPr>
      <w:r w:rsidRPr="0083113B">
        <w:rPr>
          <w:rFonts w:eastAsia="Calibri"/>
          <w:color w:val="000000" w:themeColor="text1"/>
        </w:rPr>
        <w:t xml:space="preserve">Girvan, N. </w:t>
      </w:r>
      <w:r w:rsidR="00DD1E80" w:rsidRPr="0083113B">
        <w:rPr>
          <w:rFonts w:eastAsia="Calibri"/>
          <w:color w:val="000000" w:themeColor="text1"/>
        </w:rPr>
        <w:t>“</w:t>
      </w:r>
      <w:r w:rsidRPr="0083113B">
        <w:rPr>
          <w:rFonts w:eastAsia="Calibri"/>
          <w:color w:val="000000" w:themeColor="text1"/>
        </w:rPr>
        <w:t xml:space="preserve">Assessing Westminster in the Caribbean: </w:t>
      </w:r>
      <w:r w:rsidR="00DD1E80" w:rsidRPr="0083113B">
        <w:rPr>
          <w:rFonts w:eastAsia="Calibri"/>
          <w:color w:val="000000" w:themeColor="text1"/>
        </w:rPr>
        <w:t>T</w:t>
      </w:r>
      <w:r w:rsidRPr="0083113B">
        <w:rPr>
          <w:rFonts w:eastAsia="Calibri"/>
          <w:color w:val="000000" w:themeColor="text1"/>
        </w:rPr>
        <w:t xml:space="preserve">hen and </w:t>
      </w:r>
      <w:r w:rsidR="00DD1E80" w:rsidRPr="0083113B">
        <w:rPr>
          <w:rFonts w:eastAsia="Calibri"/>
          <w:color w:val="000000" w:themeColor="text1"/>
        </w:rPr>
        <w:t>N</w:t>
      </w:r>
      <w:r w:rsidRPr="0083113B">
        <w:rPr>
          <w:rFonts w:eastAsia="Calibri"/>
          <w:color w:val="000000" w:themeColor="text1"/>
        </w:rPr>
        <w:t>ow</w:t>
      </w:r>
      <w:r w:rsidR="00ED3DFC" w:rsidRPr="0083113B">
        <w:rPr>
          <w:rFonts w:eastAsia="Calibri"/>
          <w:color w:val="000000" w:themeColor="text1"/>
        </w:rPr>
        <w:t>.</w:t>
      </w:r>
      <w:r w:rsidR="00DD1E80"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Commonwealth and Comparative Politics</w:t>
      </w:r>
      <w:r w:rsidRPr="0083113B">
        <w:rPr>
          <w:rFonts w:eastAsia="Calibri"/>
          <w:color w:val="000000" w:themeColor="text1"/>
        </w:rPr>
        <w:t> 53</w:t>
      </w:r>
      <w:r w:rsidR="00ED3DFC" w:rsidRPr="0083113B">
        <w:rPr>
          <w:rFonts w:eastAsia="Calibri"/>
          <w:color w:val="000000" w:themeColor="text1"/>
        </w:rPr>
        <w:t xml:space="preserve">, no. </w:t>
      </w:r>
      <w:r w:rsidRPr="0083113B">
        <w:rPr>
          <w:rFonts w:eastAsia="Calibri"/>
          <w:color w:val="000000" w:themeColor="text1"/>
        </w:rPr>
        <w:t>1</w:t>
      </w:r>
      <w:r w:rsidR="00DD1E80" w:rsidRPr="0083113B">
        <w:rPr>
          <w:rFonts w:eastAsia="Calibri"/>
          <w:color w:val="000000" w:themeColor="text1"/>
        </w:rPr>
        <w:t xml:space="preserve"> (2015)</w:t>
      </w:r>
      <w:r w:rsidR="00ED3DFC" w:rsidRPr="0083113B">
        <w:rPr>
          <w:rFonts w:eastAsia="Calibri"/>
          <w:color w:val="000000" w:themeColor="text1"/>
        </w:rPr>
        <w:t>:</w:t>
      </w:r>
      <w:r w:rsidRPr="0083113B">
        <w:rPr>
          <w:rFonts w:eastAsia="Calibri"/>
          <w:color w:val="000000" w:themeColor="text1"/>
        </w:rPr>
        <w:t xml:space="preserve"> 95-107.</w:t>
      </w:r>
    </w:p>
    <w:p w14:paraId="6A43EE57" w14:textId="77777777" w:rsidR="00BD05D6" w:rsidRDefault="00BD05D6" w:rsidP="0049456A">
      <w:pPr>
        <w:ind w:left="720" w:hanging="720"/>
        <w:jc w:val="both"/>
        <w:rPr>
          <w:rFonts w:eastAsia="Calibri"/>
          <w:color w:val="000000" w:themeColor="text1"/>
        </w:rPr>
      </w:pPr>
    </w:p>
    <w:p w14:paraId="1F1EA311" w14:textId="617E3CDE" w:rsidR="00BC1D15" w:rsidRPr="0083113B" w:rsidRDefault="0054385F" w:rsidP="0083113B">
      <w:pPr>
        <w:ind w:left="720" w:hanging="720"/>
        <w:jc w:val="both"/>
        <w:rPr>
          <w:rFonts w:eastAsia="Calibri"/>
          <w:color w:val="000000" w:themeColor="text1"/>
        </w:rPr>
      </w:pPr>
      <w:r w:rsidRPr="0083113B">
        <w:rPr>
          <w:rFonts w:eastAsia="Calibri"/>
          <w:color w:val="000000" w:themeColor="text1"/>
        </w:rPr>
        <w:t xml:space="preserve">Girvan, N. </w:t>
      </w:r>
      <w:r w:rsidR="00647EB8" w:rsidRPr="0083113B">
        <w:rPr>
          <w:rFonts w:eastAsia="Calibri"/>
          <w:color w:val="000000" w:themeColor="text1"/>
        </w:rPr>
        <w:t>“</w:t>
      </w:r>
      <w:r w:rsidRPr="0083113B">
        <w:rPr>
          <w:rFonts w:eastAsia="Calibri"/>
          <w:color w:val="000000" w:themeColor="text1"/>
        </w:rPr>
        <w:t>Colonialism and Neo-Colonialism in the Caribbean: An Overview.</w:t>
      </w:r>
      <w:r w:rsidR="00BC1D15" w:rsidRPr="0083113B">
        <w:rPr>
          <w:rFonts w:eastAsia="Calibri"/>
          <w:color w:val="000000" w:themeColor="text1"/>
        </w:rPr>
        <w:t>”</w:t>
      </w:r>
      <w:r w:rsidRPr="0083113B">
        <w:rPr>
          <w:rFonts w:eastAsia="Calibri"/>
          <w:color w:val="000000" w:themeColor="text1"/>
        </w:rPr>
        <w:t xml:space="preserve"> </w:t>
      </w:r>
      <w:r w:rsidR="00BC1D15" w:rsidRPr="0083113B">
        <w:rPr>
          <w:rFonts w:eastAsia="Calibri"/>
          <w:color w:val="000000" w:themeColor="text1"/>
        </w:rPr>
        <w:t xml:space="preserve">Paper presented at the </w:t>
      </w:r>
      <w:r w:rsidRPr="0083113B">
        <w:rPr>
          <w:rFonts w:eastAsia="Calibri"/>
          <w:color w:val="000000" w:themeColor="text1"/>
        </w:rPr>
        <w:t xml:space="preserve">IV International Seminar Africa, </w:t>
      </w:r>
      <w:r w:rsidR="00BC1D15" w:rsidRPr="0083113B">
        <w:rPr>
          <w:rFonts w:eastAsia="Calibri"/>
          <w:color w:val="000000" w:themeColor="text1"/>
        </w:rPr>
        <w:t>t</w:t>
      </w:r>
      <w:r w:rsidRPr="0083113B">
        <w:rPr>
          <w:rFonts w:eastAsia="Calibri"/>
          <w:color w:val="000000" w:themeColor="text1"/>
        </w:rPr>
        <w:t>he Caribbean, and Latin America, St. Vincent and the Grenadines</w:t>
      </w:r>
      <w:r w:rsidR="00BC1D15" w:rsidRPr="0083113B">
        <w:rPr>
          <w:rFonts w:eastAsia="Calibri"/>
          <w:color w:val="000000" w:themeColor="text1"/>
        </w:rPr>
        <w:t xml:space="preserve">, </w:t>
      </w:r>
      <w:r w:rsidRPr="0083113B">
        <w:rPr>
          <w:rFonts w:eastAsia="Calibri"/>
          <w:color w:val="000000" w:themeColor="text1"/>
        </w:rPr>
        <w:t>November</w:t>
      </w:r>
      <w:r w:rsidR="00BC1D15" w:rsidRPr="0083113B">
        <w:rPr>
          <w:rFonts w:eastAsia="Calibri"/>
          <w:color w:val="000000" w:themeColor="text1"/>
        </w:rPr>
        <w:t xml:space="preserve"> 24-26, </w:t>
      </w:r>
      <w:r w:rsidR="00647EB8" w:rsidRPr="0083113B">
        <w:rPr>
          <w:rFonts w:eastAsia="Calibri"/>
          <w:color w:val="000000" w:themeColor="text1"/>
        </w:rPr>
        <w:t>2012</w:t>
      </w:r>
      <w:r w:rsidRPr="0083113B">
        <w:rPr>
          <w:rFonts w:eastAsia="Calibri"/>
          <w:color w:val="000000" w:themeColor="text1"/>
        </w:rPr>
        <w:t xml:space="preserve">. </w:t>
      </w:r>
      <w:hyperlink r:id="rId14" w:history="1">
        <w:r w:rsidR="00BC1D15" w:rsidRPr="0083113B">
          <w:rPr>
            <w:rStyle w:val="Hyperlink"/>
            <w:rFonts w:eastAsia="Calibri"/>
          </w:rPr>
          <w:t>https://kipdf.com/colonialism-and-neo-colonialism-in-the-caribbean-an-overview-norman-girvan_5ac200a41723ddf544ed2799.html</w:t>
        </w:r>
      </w:hyperlink>
      <w:r w:rsidR="00BC1D15" w:rsidRPr="0083113B">
        <w:rPr>
          <w:rFonts w:eastAsia="Calibri"/>
          <w:color w:val="000000" w:themeColor="text1"/>
        </w:rPr>
        <w:t xml:space="preserve">. </w:t>
      </w:r>
    </w:p>
    <w:p w14:paraId="76D832D4" w14:textId="77777777" w:rsidR="00BD05D6" w:rsidRDefault="00BD05D6" w:rsidP="0049456A">
      <w:pPr>
        <w:ind w:left="720" w:hanging="720"/>
        <w:jc w:val="both"/>
        <w:rPr>
          <w:rFonts w:eastAsia="Calibri"/>
          <w:color w:val="000000" w:themeColor="text1"/>
        </w:rPr>
      </w:pPr>
    </w:p>
    <w:p w14:paraId="723B57F4" w14:textId="0BD8A28E" w:rsidR="00E51ABF" w:rsidRPr="0083113B" w:rsidRDefault="00E51ABF" w:rsidP="0083113B">
      <w:pPr>
        <w:ind w:left="720" w:hanging="720"/>
        <w:jc w:val="both"/>
        <w:rPr>
          <w:rFonts w:eastAsia="Calibri"/>
          <w:color w:val="000000" w:themeColor="text1"/>
        </w:rPr>
      </w:pPr>
      <w:r w:rsidRPr="0083113B">
        <w:rPr>
          <w:rFonts w:eastAsia="Calibri"/>
          <w:color w:val="000000" w:themeColor="text1"/>
        </w:rPr>
        <w:t xml:space="preserve">Green, C. </w:t>
      </w:r>
      <w:r w:rsidR="00E63F11" w:rsidRPr="0083113B">
        <w:rPr>
          <w:rFonts w:eastAsia="Calibri"/>
          <w:color w:val="000000" w:themeColor="text1"/>
        </w:rPr>
        <w:t>“</w:t>
      </w:r>
      <w:r w:rsidRPr="0083113B">
        <w:rPr>
          <w:rFonts w:eastAsia="Calibri"/>
          <w:color w:val="000000" w:themeColor="text1"/>
        </w:rPr>
        <w:t xml:space="preserve">Caribbean Dependency Theory of the 1970s: A </w:t>
      </w:r>
      <w:r w:rsidR="00E63F11" w:rsidRPr="0083113B">
        <w:rPr>
          <w:rFonts w:eastAsia="Calibri"/>
          <w:color w:val="000000" w:themeColor="text1"/>
        </w:rPr>
        <w:t>H</w:t>
      </w:r>
      <w:r w:rsidRPr="0083113B">
        <w:rPr>
          <w:rFonts w:eastAsia="Calibri"/>
          <w:color w:val="000000" w:themeColor="text1"/>
        </w:rPr>
        <w:t>istorical-</w:t>
      </w:r>
      <w:r w:rsidR="00E63F11" w:rsidRPr="0083113B">
        <w:rPr>
          <w:rFonts w:eastAsia="Calibri"/>
          <w:color w:val="000000" w:themeColor="text1"/>
        </w:rPr>
        <w:t>M</w:t>
      </w:r>
      <w:r w:rsidRPr="0083113B">
        <w:rPr>
          <w:rFonts w:eastAsia="Calibri"/>
          <w:color w:val="000000" w:themeColor="text1"/>
        </w:rPr>
        <w:t>aterialist-</w:t>
      </w:r>
      <w:r w:rsidR="00E63F11" w:rsidRPr="0083113B">
        <w:rPr>
          <w:rFonts w:eastAsia="Calibri"/>
          <w:color w:val="000000" w:themeColor="text1"/>
        </w:rPr>
        <w:t>F</w:t>
      </w:r>
      <w:r w:rsidRPr="0083113B">
        <w:rPr>
          <w:rFonts w:eastAsia="Calibri"/>
          <w:color w:val="000000" w:themeColor="text1"/>
        </w:rPr>
        <w:t xml:space="preserve">eminist </w:t>
      </w:r>
      <w:r w:rsidR="00E63F11" w:rsidRPr="0083113B">
        <w:rPr>
          <w:rFonts w:eastAsia="Calibri"/>
          <w:color w:val="000000" w:themeColor="text1"/>
        </w:rPr>
        <w:t>R</w:t>
      </w:r>
      <w:r w:rsidRPr="0083113B">
        <w:rPr>
          <w:rFonts w:eastAsia="Calibri"/>
          <w:color w:val="000000" w:themeColor="text1"/>
        </w:rPr>
        <w:t>evision</w:t>
      </w:r>
      <w:r w:rsidR="00077A0E" w:rsidRPr="0083113B">
        <w:rPr>
          <w:rFonts w:eastAsia="Calibri"/>
          <w:color w:val="000000" w:themeColor="text1"/>
        </w:rPr>
        <w:t>.</w:t>
      </w:r>
      <w:r w:rsidR="00E63F11" w:rsidRPr="0083113B">
        <w:rPr>
          <w:rFonts w:eastAsia="Calibri"/>
          <w:color w:val="000000" w:themeColor="text1"/>
        </w:rPr>
        <w:t>”</w:t>
      </w:r>
      <w:r w:rsidRPr="0083113B">
        <w:rPr>
          <w:rFonts w:eastAsia="Calibri"/>
          <w:color w:val="000000" w:themeColor="text1"/>
        </w:rPr>
        <w:t xml:space="preserve"> </w:t>
      </w:r>
      <w:r w:rsidR="00077A0E" w:rsidRPr="0083113B">
        <w:rPr>
          <w:rFonts w:eastAsia="Calibri"/>
          <w:color w:val="000000" w:themeColor="text1"/>
        </w:rPr>
        <w:t>I</w:t>
      </w:r>
      <w:r w:rsidRPr="0083113B">
        <w:rPr>
          <w:rFonts w:eastAsia="Calibri"/>
          <w:color w:val="000000" w:themeColor="text1"/>
        </w:rPr>
        <w:t xml:space="preserve">n </w:t>
      </w:r>
      <w:r w:rsidRPr="0083113B">
        <w:rPr>
          <w:rFonts w:eastAsia="Calibri"/>
          <w:i/>
          <w:iCs/>
          <w:color w:val="000000" w:themeColor="text1"/>
        </w:rPr>
        <w:t xml:space="preserve">New Caribbean </w:t>
      </w:r>
      <w:r w:rsidR="00E63F11" w:rsidRPr="0083113B">
        <w:rPr>
          <w:rFonts w:eastAsia="Calibri"/>
          <w:i/>
          <w:iCs/>
          <w:color w:val="000000" w:themeColor="text1"/>
        </w:rPr>
        <w:t>T</w:t>
      </w:r>
      <w:r w:rsidRPr="0083113B">
        <w:rPr>
          <w:rFonts w:eastAsia="Calibri"/>
          <w:i/>
          <w:iCs/>
          <w:color w:val="000000" w:themeColor="text1"/>
        </w:rPr>
        <w:t xml:space="preserve">hought: A </w:t>
      </w:r>
      <w:r w:rsidR="00077A0E" w:rsidRPr="0083113B">
        <w:rPr>
          <w:rFonts w:eastAsia="Calibri"/>
          <w:i/>
          <w:iCs/>
          <w:color w:val="000000" w:themeColor="text1"/>
        </w:rPr>
        <w:t>R</w:t>
      </w:r>
      <w:r w:rsidRPr="0083113B">
        <w:rPr>
          <w:rFonts w:eastAsia="Calibri"/>
          <w:i/>
          <w:iCs/>
          <w:color w:val="000000" w:themeColor="text1"/>
        </w:rPr>
        <w:t>eader</w:t>
      </w:r>
      <w:r w:rsidR="00077A0E" w:rsidRPr="0083113B">
        <w:rPr>
          <w:rFonts w:eastAsia="Calibri"/>
          <w:color w:val="000000" w:themeColor="text1"/>
        </w:rPr>
        <w:t>, edited by</w:t>
      </w:r>
      <w:r w:rsidRPr="0083113B">
        <w:rPr>
          <w:rFonts w:eastAsia="Calibri"/>
          <w:color w:val="000000" w:themeColor="text1"/>
        </w:rPr>
        <w:t xml:space="preserve"> </w:t>
      </w:r>
      <w:r w:rsidR="00E63F11" w:rsidRPr="0083113B">
        <w:rPr>
          <w:rFonts w:eastAsia="Calibri"/>
          <w:color w:val="000000" w:themeColor="text1"/>
        </w:rPr>
        <w:t>B. Meeks and F. Lindahl</w:t>
      </w:r>
      <w:r w:rsidR="00077A0E" w:rsidRPr="0083113B">
        <w:rPr>
          <w:rFonts w:eastAsia="Calibri"/>
          <w:color w:val="000000" w:themeColor="text1"/>
        </w:rPr>
        <w:t xml:space="preserve">, 40-72. Kingston, </w:t>
      </w:r>
      <w:r w:rsidRPr="0083113B">
        <w:rPr>
          <w:rFonts w:eastAsia="Calibri"/>
          <w:color w:val="000000" w:themeColor="text1"/>
        </w:rPr>
        <w:t>Jamaica: University of the West Indies Press,</w:t>
      </w:r>
      <w:r w:rsidR="00E63F11" w:rsidRPr="0083113B">
        <w:rPr>
          <w:rFonts w:eastAsia="Calibri"/>
          <w:color w:val="000000" w:themeColor="text1"/>
        </w:rPr>
        <w:t xml:space="preserve"> 2001</w:t>
      </w:r>
      <w:r w:rsidRPr="0083113B">
        <w:rPr>
          <w:rFonts w:eastAsia="Calibri"/>
          <w:color w:val="000000" w:themeColor="text1"/>
        </w:rPr>
        <w:t xml:space="preserve">. </w:t>
      </w:r>
    </w:p>
    <w:p w14:paraId="58A4FB82" w14:textId="77777777" w:rsidR="00BD05D6" w:rsidRDefault="00BD05D6" w:rsidP="0049456A">
      <w:pPr>
        <w:ind w:left="720" w:hanging="720"/>
        <w:jc w:val="both"/>
        <w:rPr>
          <w:rFonts w:eastAsia="Calibri"/>
          <w:color w:val="000000" w:themeColor="text1"/>
        </w:rPr>
      </w:pPr>
    </w:p>
    <w:p w14:paraId="3DE313AA" w14:textId="216B0752" w:rsidR="00651EAE" w:rsidRPr="0083113B" w:rsidRDefault="0054385F" w:rsidP="0083113B">
      <w:pPr>
        <w:ind w:left="720" w:hanging="720"/>
        <w:jc w:val="both"/>
        <w:rPr>
          <w:color w:val="000000" w:themeColor="text1"/>
        </w:rPr>
      </w:pPr>
      <w:r w:rsidRPr="0083113B">
        <w:rPr>
          <w:rFonts w:eastAsia="Calibri"/>
          <w:color w:val="000000" w:themeColor="text1"/>
        </w:rPr>
        <w:t xml:space="preserve">Green, C. </w:t>
      </w:r>
      <w:r w:rsidR="00E63F11" w:rsidRPr="0083113B">
        <w:rPr>
          <w:rFonts w:eastAsia="Calibri"/>
          <w:color w:val="000000" w:themeColor="text1"/>
        </w:rPr>
        <w:t>“</w:t>
      </w:r>
      <w:r w:rsidRPr="0083113B">
        <w:rPr>
          <w:rFonts w:eastAsia="Calibri"/>
          <w:color w:val="000000" w:themeColor="text1"/>
        </w:rPr>
        <w:t xml:space="preserve">Gender, </w:t>
      </w:r>
      <w:r w:rsidR="00E63F11" w:rsidRPr="0083113B">
        <w:rPr>
          <w:rFonts w:eastAsia="Calibri"/>
          <w:color w:val="000000" w:themeColor="text1"/>
        </w:rPr>
        <w:t>R</w:t>
      </w:r>
      <w:r w:rsidRPr="0083113B">
        <w:rPr>
          <w:rFonts w:eastAsia="Calibri"/>
          <w:color w:val="000000" w:themeColor="text1"/>
        </w:rPr>
        <w:t xml:space="preserve">ace and </w:t>
      </w:r>
      <w:r w:rsidR="00E63F11" w:rsidRPr="0083113B">
        <w:rPr>
          <w:rFonts w:eastAsia="Calibri"/>
          <w:color w:val="000000" w:themeColor="text1"/>
        </w:rPr>
        <w:t>C</w:t>
      </w:r>
      <w:r w:rsidRPr="0083113B">
        <w:rPr>
          <w:rFonts w:eastAsia="Calibri"/>
          <w:color w:val="000000" w:themeColor="text1"/>
        </w:rPr>
        <w:t xml:space="preserve">lass in the </w:t>
      </w:r>
      <w:r w:rsidR="00E63F11" w:rsidRPr="0083113B">
        <w:rPr>
          <w:rFonts w:eastAsia="Calibri"/>
          <w:color w:val="000000" w:themeColor="text1"/>
        </w:rPr>
        <w:t>S</w:t>
      </w:r>
      <w:r w:rsidRPr="0083113B">
        <w:rPr>
          <w:rFonts w:eastAsia="Calibri"/>
          <w:color w:val="000000" w:themeColor="text1"/>
        </w:rPr>
        <w:t xml:space="preserve">ocial </w:t>
      </w:r>
      <w:r w:rsidR="00E63F11" w:rsidRPr="0083113B">
        <w:rPr>
          <w:rFonts w:eastAsia="Calibri"/>
          <w:color w:val="000000" w:themeColor="text1"/>
        </w:rPr>
        <w:t>E</w:t>
      </w:r>
      <w:r w:rsidRPr="0083113B">
        <w:rPr>
          <w:rFonts w:eastAsia="Calibri"/>
          <w:color w:val="000000" w:themeColor="text1"/>
        </w:rPr>
        <w:t>conomy of the English-</w:t>
      </w:r>
      <w:r w:rsidR="00E63F11" w:rsidRPr="0083113B">
        <w:rPr>
          <w:rFonts w:eastAsia="Calibri"/>
          <w:color w:val="000000" w:themeColor="text1"/>
        </w:rPr>
        <w:t>S</w:t>
      </w:r>
      <w:r w:rsidRPr="0083113B">
        <w:rPr>
          <w:rFonts w:eastAsia="Calibri"/>
          <w:color w:val="000000" w:themeColor="text1"/>
        </w:rPr>
        <w:t>peaking Caribbean</w:t>
      </w:r>
      <w:r w:rsidR="00077A0E" w:rsidRPr="0083113B">
        <w:rPr>
          <w:rFonts w:eastAsia="Calibri"/>
          <w:color w:val="000000" w:themeColor="text1"/>
        </w:rPr>
        <w:t>.</w:t>
      </w:r>
      <w:r w:rsidR="00E63F11"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Social and Economic Studies</w:t>
      </w:r>
      <w:r w:rsidRPr="0083113B">
        <w:rPr>
          <w:rFonts w:eastAsia="Calibri"/>
          <w:color w:val="000000" w:themeColor="text1"/>
        </w:rPr>
        <w:t xml:space="preserve"> 44</w:t>
      </w:r>
      <w:r w:rsidR="00077A0E" w:rsidRPr="0083113B">
        <w:rPr>
          <w:rFonts w:eastAsia="Calibri"/>
          <w:color w:val="000000" w:themeColor="text1"/>
        </w:rPr>
        <w:t xml:space="preserve">, nos. </w:t>
      </w:r>
      <w:r w:rsidRPr="0083113B">
        <w:rPr>
          <w:rFonts w:eastAsia="Calibri"/>
          <w:color w:val="000000" w:themeColor="text1"/>
        </w:rPr>
        <w:t>2-3</w:t>
      </w:r>
      <w:r w:rsidR="00E63F11" w:rsidRPr="0083113B">
        <w:rPr>
          <w:rFonts w:eastAsia="Calibri"/>
          <w:color w:val="000000" w:themeColor="text1"/>
        </w:rPr>
        <w:t xml:space="preserve"> (1995)</w:t>
      </w:r>
      <w:r w:rsidR="00077A0E" w:rsidRPr="0083113B">
        <w:rPr>
          <w:rFonts w:eastAsia="Calibri"/>
          <w:color w:val="000000" w:themeColor="text1"/>
        </w:rPr>
        <w:t>:</w:t>
      </w:r>
      <w:r w:rsidRPr="0083113B">
        <w:rPr>
          <w:rFonts w:eastAsia="Calibri"/>
          <w:color w:val="000000" w:themeColor="text1"/>
        </w:rPr>
        <w:t xml:space="preserve"> 65-102.</w:t>
      </w:r>
      <w:r w:rsidR="00651EAE" w:rsidRPr="0083113B">
        <w:rPr>
          <w:color w:val="000000" w:themeColor="text1"/>
        </w:rPr>
        <w:t xml:space="preserve"> </w:t>
      </w:r>
    </w:p>
    <w:p w14:paraId="7046DAB2" w14:textId="77777777" w:rsidR="00BD05D6" w:rsidRDefault="00BD05D6" w:rsidP="0049456A">
      <w:pPr>
        <w:ind w:left="720" w:hanging="720"/>
        <w:jc w:val="both"/>
        <w:rPr>
          <w:rFonts w:eastAsia="Calibri"/>
          <w:color w:val="000000" w:themeColor="text1"/>
        </w:rPr>
      </w:pPr>
    </w:p>
    <w:p w14:paraId="4FADDC50" w14:textId="22CFABAC" w:rsidR="0054385F" w:rsidRPr="0083113B" w:rsidRDefault="00651EAE" w:rsidP="0083113B">
      <w:pPr>
        <w:ind w:left="720" w:hanging="720"/>
        <w:jc w:val="both"/>
        <w:rPr>
          <w:rFonts w:eastAsia="Calibri"/>
          <w:color w:val="000000" w:themeColor="text1"/>
        </w:rPr>
      </w:pPr>
      <w:r w:rsidRPr="0083113B">
        <w:rPr>
          <w:rFonts w:eastAsia="Calibri"/>
          <w:color w:val="000000" w:themeColor="text1"/>
        </w:rPr>
        <w:t>Grenade, W.C.</w:t>
      </w:r>
      <w:r w:rsidR="00077A0E" w:rsidRPr="0083113B">
        <w:rPr>
          <w:rFonts w:eastAsia="Calibri"/>
          <w:color w:val="000000" w:themeColor="text1"/>
        </w:rPr>
        <w:t>, editor</w:t>
      </w:r>
      <w:r w:rsidRPr="0083113B">
        <w:rPr>
          <w:rFonts w:eastAsia="Calibri"/>
          <w:color w:val="000000" w:themeColor="text1"/>
        </w:rPr>
        <w:t xml:space="preserve">. </w:t>
      </w:r>
      <w:r w:rsidRPr="0083113B">
        <w:rPr>
          <w:rFonts w:eastAsia="Calibri"/>
          <w:i/>
          <w:iCs/>
          <w:color w:val="000000" w:themeColor="text1"/>
        </w:rPr>
        <w:t>The Grenada Revolution: Reflections and Lessons</w:t>
      </w:r>
      <w:r w:rsidRPr="0083113B">
        <w:rPr>
          <w:rFonts w:eastAsia="Calibri"/>
          <w:color w:val="000000" w:themeColor="text1"/>
        </w:rPr>
        <w:t>. Jackson</w:t>
      </w:r>
      <w:r w:rsidR="00077A0E" w:rsidRPr="0083113B">
        <w:rPr>
          <w:rFonts w:eastAsia="Calibri"/>
          <w:color w:val="000000" w:themeColor="text1"/>
        </w:rPr>
        <w:t>, Mississippi</w:t>
      </w:r>
      <w:r w:rsidRPr="0083113B">
        <w:rPr>
          <w:rFonts w:eastAsia="Calibri"/>
          <w:color w:val="000000" w:themeColor="text1"/>
        </w:rPr>
        <w:t>: University Press of Mississippi</w:t>
      </w:r>
      <w:r w:rsidR="00E63F11" w:rsidRPr="0083113B">
        <w:rPr>
          <w:rFonts w:eastAsia="Calibri"/>
          <w:color w:val="000000" w:themeColor="text1"/>
        </w:rPr>
        <w:t>, 2015</w:t>
      </w:r>
      <w:r w:rsidRPr="0083113B">
        <w:rPr>
          <w:rFonts w:eastAsia="Calibri"/>
          <w:color w:val="000000" w:themeColor="text1"/>
        </w:rPr>
        <w:t>.</w:t>
      </w:r>
    </w:p>
    <w:p w14:paraId="77512C39" w14:textId="77777777" w:rsidR="00BD05D6" w:rsidRPr="0083113B" w:rsidRDefault="00BD05D6" w:rsidP="0049456A">
      <w:pPr>
        <w:ind w:left="720" w:hanging="720"/>
        <w:jc w:val="both"/>
        <w:rPr>
          <w:rFonts w:eastAsia="Calibri"/>
          <w:color w:val="000000" w:themeColor="text1"/>
          <w:lang w:val="en-US"/>
        </w:rPr>
      </w:pPr>
    </w:p>
    <w:p w14:paraId="1A183D3C" w14:textId="597DD2B0" w:rsidR="005804BB" w:rsidRPr="00FA7E36" w:rsidRDefault="00B01CDD" w:rsidP="0083113B">
      <w:pPr>
        <w:ind w:left="720" w:hanging="720"/>
        <w:jc w:val="both"/>
        <w:rPr>
          <w:rFonts w:eastAsia="Calibri"/>
          <w:color w:val="000000" w:themeColor="text1"/>
          <w:lang w:val="es-PR"/>
        </w:rPr>
      </w:pPr>
      <w:r w:rsidRPr="0083113B">
        <w:rPr>
          <w:rFonts w:eastAsia="Calibri"/>
          <w:color w:val="000000" w:themeColor="text1"/>
          <w:lang w:val="en-US"/>
        </w:rPr>
        <w:t>LVC (</w:t>
      </w:r>
      <w:r w:rsidR="005804BB" w:rsidRPr="0083113B">
        <w:rPr>
          <w:rFonts w:eastAsia="Calibri"/>
          <w:color w:val="000000" w:themeColor="text1"/>
          <w:lang w:val="en-US"/>
        </w:rPr>
        <w:t xml:space="preserve">La </w:t>
      </w:r>
      <w:r w:rsidR="00241BEB" w:rsidRPr="0083113B">
        <w:rPr>
          <w:rFonts w:eastAsia="Calibri"/>
          <w:color w:val="000000" w:themeColor="text1"/>
          <w:lang w:val="en-US"/>
        </w:rPr>
        <w:t>Vía</w:t>
      </w:r>
      <w:r w:rsidR="005804BB" w:rsidRPr="0083113B">
        <w:rPr>
          <w:rFonts w:eastAsia="Calibri"/>
          <w:color w:val="000000" w:themeColor="text1"/>
          <w:lang w:val="en-US"/>
        </w:rPr>
        <w:t xml:space="preserve"> </w:t>
      </w:r>
      <w:proofErr w:type="spellStart"/>
      <w:r w:rsidR="005804BB" w:rsidRPr="0083113B">
        <w:rPr>
          <w:rFonts w:eastAsia="Calibri"/>
          <w:color w:val="000000" w:themeColor="text1"/>
          <w:lang w:val="en-US"/>
        </w:rPr>
        <w:t>Campesina</w:t>
      </w:r>
      <w:proofErr w:type="spellEnd"/>
      <w:r w:rsidR="00180405" w:rsidRPr="0083113B">
        <w:rPr>
          <w:rFonts w:eastAsia="Calibri"/>
          <w:color w:val="000000" w:themeColor="text1"/>
          <w:lang w:val="en-US"/>
        </w:rPr>
        <w:t>)</w:t>
      </w:r>
      <w:r w:rsidR="005804BB" w:rsidRPr="0083113B">
        <w:rPr>
          <w:rFonts w:eastAsia="Calibri"/>
          <w:color w:val="000000" w:themeColor="text1"/>
          <w:lang w:val="en-US"/>
        </w:rPr>
        <w:t xml:space="preserve">. </w:t>
      </w:r>
      <w:r w:rsidR="00F70320" w:rsidRPr="00FA7E36">
        <w:rPr>
          <w:rFonts w:eastAsia="Calibri"/>
          <w:color w:val="000000" w:themeColor="text1"/>
          <w:lang w:val="es-PR"/>
        </w:rPr>
        <w:t>“</w:t>
      </w:r>
      <w:r w:rsidR="005804BB" w:rsidRPr="00FA7E36">
        <w:rPr>
          <w:rFonts w:eastAsia="Calibri"/>
          <w:color w:val="000000" w:themeColor="text1"/>
          <w:lang w:val="es-PR"/>
        </w:rPr>
        <w:t xml:space="preserve">Women of Via Campesina </w:t>
      </w:r>
      <w:r w:rsidR="00E63F11" w:rsidRPr="00FA7E36">
        <w:rPr>
          <w:rFonts w:eastAsia="Calibri"/>
          <w:color w:val="000000" w:themeColor="text1"/>
          <w:lang w:val="es-PR"/>
        </w:rPr>
        <w:t>I</w:t>
      </w:r>
      <w:r w:rsidR="005804BB" w:rsidRPr="00FA7E36">
        <w:rPr>
          <w:rFonts w:eastAsia="Calibri"/>
          <w:color w:val="000000" w:themeColor="text1"/>
          <w:lang w:val="es-PR"/>
        </w:rPr>
        <w:t xml:space="preserve">nternational </w:t>
      </w:r>
      <w:r w:rsidR="00E63F11" w:rsidRPr="00FA7E36">
        <w:rPr>
          <w:rFonts w:eastAsia="Calibri"/>
          <w:color w:val="000000" w:themeColor="text1"/>
          <w:lang w:val="es-PR"/>
        </w:rPr>
        <w:t>M</w:t>
      </w:r>
      <w:r w:rsidR="005804BB" w:rsidRPr="00FA7E36">
        <w:rPr>
          <w:rFonts w:eastAsia="Calibri"/>
          <w:color w:val="000000" w:themeColor="text1"/>
          <w:lang w:val="es-PR"/>
        </w:rPr>
        <w:t>anifesto.</w:t>
      </w:r>
      <w:r w:rsidR="00F70320" w:rsidRPr="00FA7E36">
        <w:rPr>
          <w:rFonts w:eastAsia="Calibri"/>
          <w:color w:val="000000" w:themeColor="text1"/>
          <w:lang w:val="es-PR"/>
        </w:rPr>
        <w:t>”</w:t>
      </w:r>
      <w:r w:rsidR="00856372" w:rsidRPr="00FA7E36">
        <w:rPr>
          <w:rFonts w:eastAsia="Calibri"/>
          <w:color w:val="000000" w:themeColor="text1"/>
          <w:lang w:val="es-PR"/>
        </w:rPr>
        <w:t xml:space="preserve"> Declaration at the </w:t>
      </w:r>
      <w:r w:rsidR="0069692A" w:rsidRPr="00FA7E36">
        <w:rPr>
          <w:rFonts w:eastAsia="Calibri"/>
          <w:color w:val="000000" w:themeColor="text1"/>
          <w:lang w:val="es-PR"/>
        </w:rPr>
        <w:t xml:space="preserve">Sixth Via Campesiva International Conference, Yakarta, Indonesia, June 7, 2013. </w:t>
      </w:r>
      <w:r w:rsidR="005804BB" w:rsidRPr="00FA7E36">
        <w:rPr>
          <w:rFonts w:eastAsia="Calibri"/>
          <w:i/>
          <w:color w:val="000000" w:themeColor="text1"/>
          <w:lang w:val="es-PR"/>
        </w:rPr>
        <w:t xml:space="preserve">La </w:t>
      </w:r>
      <w:r w:rsidR="00241BEB" w:rsidRPr="00FA7E36">
        <w:rPr>
          <w:rFonts w:eastAsia="Calibri"/>
          <w:i/>
          <w:color w:val="000000" w:themeColor="text1"/>
          <w:lang w:val="es-PR"/>
        </w:rPr>
        <w:t>Vía</w:t>
      </w:r>
      <w:r w:rsidR="005804BB" w:rsidRPr="00FA7E36">
        <w:rPr>
          <w:rFonts w:eastAsia="Calibri"/>
          <w:i/>
          <w:color w:val="000000" w:themeColor="text1"/>
          <w:lang w:val="es-PR"/>
        </w:rPr>
        <w:t xml:space="preserve"> Campesina</w:t>
      </w:r>
      <w:r w:rsidR="00F70320" w:rsidRPr="00FA7E36">
        <w:rPr>
          <w:rFonts w:eastAsia="Calibri"/>
          <w:iCs/>
          <w:color w:val="000000" w:themeColor="text1"/>
          <w:lang w:val="es-PR"/>
        </w:rPr>
        <w:t xml:space="preserve"> </w:t>
      </w:r>
      <w:r w:rsidRPr="00FA7E36">
        <w:rPr>
          <w:rFonts w:eastAsia="Calibri"/>
          <w:iCs/>
          <w:color w:val="000000" w:themeColor="text1"/>
          <w:lang w:val="es-PR"/>
        </w:rPr>
        <w:t xml:space="preserve">(website). </w:t>
      </w:r>
      <w:r w:rsidR="00F70320" w:rsidRPr="00FA7E36">
        <w:rPr>
          <w:rFonts w:eastAsia="Calibri"/>
          <w:iCs/>
          <w:color w:val="000000" w:themeColor="text1"/>
          <w:lang w:val="es-PR"/>
        </w:rPr>
        <w:t>Bagnolet, France:</w:t>
      </w:r>
      <w:r w:rsidRPr="00FA7E36">
        <w:rPr>
          <w:rFonts w:eastAsia="Calibri"/>
          <w:iCs/>
          <w:color w:val="000000" w:themeColor="text1"/>
          <w:lang w:val="es-PR"/>
        </w:rPr>
        <w:t xml:space="preserve"> LVC,</w:t>
      </w:r>
      <w:r w:rsidR="00F70320" w:rsidRPr="00FA7E36">
        <w:rPr>
          <w:rFonts w:eastAsia="Calibri"/>
          <w:iCs/>
          <w:color w:val="000000" w:themeColor="text1"/>
          <w:lang w:val="es-PR"/>
        </w:rPr>
        <w:t xml:space="preserve"> </w:t>
      </w:r>
      <w:r w:rsidR="00E63F11" w:rsidRPr="00FA7E36">
        <w:rPr>
          <w:rFonts w:eastAsia="Calibri"/>
          <w:iCs/>
          <w:color w:val="000000" w:themeColor="text1"/>
          <w:lang w:val="es-PR"/>
        </w:rPr>
        <w:t>2013</w:t>
      </w:r>
      <w:r w:rsidR="005804BB" w:rsidRPr="00FA7E36">
        <w:rPr>
          <w:rFonts w:eastAsia="Calibri"/>
          <w:color w:val="000000" w:themeColor="text1"/>
          <w:lang w:val="es-PR"/>
        </w:rPr>
        <w:t>.</w:t>
      </w:r>
      <w:r w:rsidRPr="00FA7E36">
        <w:rPr>
          <w:rFonts w:eastAsia="Calibri"/>
          <w:color w:val="000000" w:themeColor="text1"/>
          <w:lang w:val="es-PR"/>
        </w:rPr>
        <w:t xml:space="preserve"> </w:t>
      </w:r>
      <w:hyperlink r:id="rId15" w:history="1">
        <w:r w:rsidRPr="00FA7E36">
          <w:rPr>
            <w:rStyle w:val="Hyperlink"/>
            <w:rFonts w:eastAsia="Calibri"/>
            <w:lang w:val="es-PR"/>
          </w:rPr>
          <w:t>https://viacampesina.org/en/women-of-via-campesina-international-manifesto-2</w:t>
        </w:r>
      </w:hyperlink>
      <w:r w:rsidRPr="00FA7E36">
        <w:rPr>
          <w:rStyle w:val="Hyperlink"/>
          <w:rFonts w:eastAsia="Calibri"/>
          <w:color w:val="000000" w:themeColor="text1"/>
          <w:u w:val="none"/>
          <w:lang w:val="es-PR"/>
        </w:rPr>
        <w:t>.</w:t>
      </w:r>
    </w:p>
    <w:p w14:paraId="15DE7D26" w14:textId="77777777" w:rsidR="00BD05D6" w:rsidRPr="00FA7E36" w:rsidRDefault="00BD05D6" w:rsidP="0049456A">
      <w:pPr>
        <w:ind w:left="720" w:hanging="720"/>
        <w:jc w:val="both"/>
        <w:rPr>
          <w:rFonts w:eastAsia="Calibri"/>
          <w:color w:val="000000" w:themeColor="text1"/>
          <w:lang w:val="es-PR"/>
        </w:rPr>
      </w:pPr>
    </w:p>
    <w:p w14:paraId="523FCAF8" w14:textId="0854BAAF" w:rsidR="005C20A2" w:rsidRPr="0083113B" w:rsidRDefault="00B01CDD" w:rsidP="0083113B">
      <w:pPr>
        <w:ind w:left="720" w:hanging="720"/>
        <w:jc w:val="both"/>
        <w:rPr>
          <w:rFonts w:eastAsia="Calibri"/>
          <w:color w:val="000000" w:themeColor="text1"/>
          <w:lang w:val="es-PR"/>
        </w:rPr>
      </w:pPr>
      <w:r w:rsidRPr="0083113B">
        <w:rPr>
          <w:rFonts w:eastAsia="Calibri"/>
          <w:color w:val="000000" w:themeColor="text1"/>
          <w:lang w:val="es-PR"/>
        </w:rPr>
        <w:t>LVC (</w:t>
      </w:r>
      <w:r w:rsidR="00CF0A95" w:rsidRPr="0083113B">
        <w:rPr>
          <w:rFonts w:eastAsia="Calibri"/>
          <w:color w:val="000000" w:themeColor="text1"/>
          <w:lang w:val="es-PR"/>
        </w:rPr>
        <w:t xml:space="preserve">La </w:t>
      </w:r>
      <w:r w:rsidR="00241BEB" w:rsidRPr="0049456A">
        <w:rPr>
          <w:rFonts w:eastAsia="Calibri"/>
          <w:color w:val="000000" w:themeColor="text1"/>
          <w:lang w:val="es-PR"/>
        </w:rPr>
        <w:t>Vía</w:t>
      </w:r>
      <w:r w:rsidR="00CF0A95" w:rsidRPr="0083113B">
        <w:rPr>
          <w:rFonts w:eastAsia="Calibri"/>
          <w:color w:val="000000" w:themeColor="text1"/>
          <w:lang w:val="es-PR"/>
        </w:rPr>
        <w:t xml:space="preserve"> Campesina). </w:t>
      </w:r>
      <w:r w:rsidR="00BF3982" w:rsidRPr="0083113B">
        <w:rPr>
          <w:rFonts w:eastAsia="Calibri"/>
          <w:color w:val="000000" w:themeColor="text1"/>
          <w:lang w:val="es-PR"/>
        </w:rPr>
        <w:t>“</w:t>
      </w:r>
      <w:r w:rsidR="00CF0A95" w:rsidRPr="0083113B">
        <w:rPr>
          <w:rFonts w:eastAsia="Calibri"/>
          <w:color w:val="000000" w:themeColor="text1"/>
          <w:lang w:val="es-PR"/>
        </w:rPr>
        <w:t>Nyéléni Declaration</w:t>
      </w:r>
      <w:r w:rsidR="00BF3982" w:rsidRPr="0083113B">
        <w:rPr>
          <w:rFonts w:eastAsia="Calibri"/>
          <w:color w:val="000000" w:themeColor="text1"/>
          <w:lang w:val="es-PR"/>
        </w:rPr>
        <w:t>”</w:t>
      </w:r>
      <w:r w:rsidR="00CF0A95" w:rsidRPr="0083113B">
        <w:rPr>
          <w:rFonts w:eastAsia="Calibri"/>
          <w:color w:val="000000" w:themeColor="text1"/>
          <w:lang w:val="es-PR"/>
        </w:rPr>
        <w:t xml:space="preserve">. </w:t>
      </w:r>
      <w:r w:rsidR="00856372" w:rsidRPr="0083113B">
        <w:rPr>
          <w:rFonts w:eastAsia="Calibri"/>
          <w:color w:val="000000" w:themeColor="text1"/>
          <w:lang w:val="en-US"/>
        </w:rPr>
        <w:t>De</w:t>
      </w:r>
      <w:r w:rsidR="00856372">
        <w:rPr>
          <w:rFonts w:eastAsia="Calibri"/>
          <w:color w:val="000000" w:themeColor="text1"/>
          <w:lang w:val="en-US"/>
        </w:rPr>
        <w:t xml:space="preserve">claration at the </w:t>
      </w:r>
      <w:r w:rsidR="00BF3982" w:rsidRPr="0083113B">
        <w:rPr>
          <w:rFonts w:eastAsia="Calibri"/>
          <w:color w:val="000000" w:themeColor="text1"/>
        </w:rPr>
        <w:t xml:space="preserve">Forum for Food Sovereignty, </w:t>
      </w:r>
      <w:proofErr w:type="spellStart"/>
      <w:r w:rsidR="00856372" w:rsidRPr="00FB2EC3">
        <w:rPr>
          <w:rFonts w:eastAsia="Calibri"/>
          <w:color w:val="000000" w:themeColor="text1"/>
        </w:rPr>
        <w:t>Nyéléni</w:t>
      </w:r>
      <w:proofErr w:type="spellEnd"/>
      <w:r w:rsidR="00856372" w:rsidRPr="00FB2EC3">
        <w:rPr>
          <w:rFonts w:eastAsia="Calibri"/>
          <w:color w:val="000000" w:themeColor="text1"/>
        </w:rPr>
        <w:t>, Mali</w:t>
      </w:r>
      <w:r w:rsidR="00856372">
        <w:rPr>
          <w:rFonts w:eastAsia="Calibri"/>
          <w:color w:val="000000" w:themeColor="text1"/>
        </w:rPr>
        <w:t xml:space="preserve">, </w:t>
      </w:r>
      <w:r w:rsidR="00BF3982" w:rsidRPr="0083113B">
        <w:rPr>
          <w:rFonts w:eastAsia="Calibri"/>
          <w:color w:val="000000" w:themeColor="text1"/>
        </w:rPr>
        <w:t>2007.</w:t>
      </w:r>
      <w:r w:rsidR="00856372">
        <w:rPr>
          <w:rFonts w:eastAsia="Calibri"/>
          <w:color w:val="000000" w:themeColor="text1"/>
        </w:rPr>
        <w:t xml:space="preserve"> </w:t>
      </w:r>
      <w:r w:rsidR="00856372" w:rsidRPr="00FB2EC3">
        <w:rPr>
          <w:rFonts w:eastAsia="Calibri"/>
          <w:i/>
          <w:color w:val="000000" w:themeColor="text1"/>
          <w:lang w:val="es-PR"/>
        </w:rPr>
        <w:t xml:space="preserve">La </w:t>
      </w:r>
      <w:r w:rsidR="00241BEB" w:rsidRPr="00FB2EC3">
        <w:rPr>
          <w:rFonts w:eastAsia="Calibri"/>
          <w:i/>
          <w:color w:val="000000" w:themeColor="text1"/>
          <w:lang w:val="es-PR"/>
        </w:rPr>
        <w:t>Vía</w:t>
      </w:r>
      <w:r w:rsidR="00856372" w:rsidRPr="00FB2EC3">
        <w:rPr>
          <w:rFonts w:eastAsia="Calibri"/>
          <w:i/>
          <w:color w:val="000000" w:themeColor="text1"/>
          <w:lang w:val="es-PR"/>
        </w:rPr>
        <w:t xml:space="preserve"> Campesina</w:t>
      </w:r>
      <w:r w:rsidR="00856372" w:rsidRPr="00FB2EC3">
        <w:rPr>
          <w:rFonts w:eastAsia="Calibri"/>
          <w:iCs/>
          <w:color w:val="000000" w:themeColor="text1"/>
          <w:lang w:val="es-PR"/>
        </w:rPr>
        <w:t xml:space="preserve"> (website). </w:t>
      </w:r>
      <w:r w:rsidR="00856372" w:rsidRPr="00653D8B">
        <w:rPr>
          <w:rFonts w:eastAsia="Calibri"/>
          <w:iCs/>
          <w:color w:val="000000" w:themeColor="text1"/>
          <w:lang w:val="es-PR"/>
        </w:rPr>
        <w:t>Bagnolet, France: LVC, 20</w:t>
      </w:r>
      <w:r w:rsidR="00856372" w:rsidRPr="0083113B">
        <w:rPr>
          <w:rFonts w:eastAsia="Calibri"/>
          <w:iCs/>
          <w:color w:val="000000" w:themeColor="text1"/>
          <w:lang w:val="es-PR"/>
        </w:rPr>
        <w:t xml:space="preserve">07. </w:t>
      </w:r>
      <w:r w:rsidR="008A6F61">
        <w:fldChar w:fldCharType="begin"/>
      </w:r>
      <w:r w:rsidR="008A6F61">
        <w:instrText xml:space="preserve"> HYPERLINK "https://viacampesina.org/en/declaration-of-nyi" </w:instrText>
      </w:r>
      <w:r w:rsidR="008A6F61">
        <w:fldChar w:fldCharType="separate"/>
      </w:r>
      <w:r w:rsidR="00BF3982" w:rsidRPr="0083113B">
        <w:rPr>
          <w:rStyle w:val="Hyperlink"/>
          <w:rFonts w:eastAsia="Calibri"/>
          <w:lang w:val="es-PR"/>
        </w:rPr>
        <w:t>https://viacampesina.org/en/declaration-of-nyi</w:t>
      </w:r>
      <w:r w:rsidR="008A6F61">
        <w:rPr>
          <w:rStyle w:val="Hyperlink"/>
          <w:rFonts w:eastAsia="Calibri"/>
          <w:lang w:val="es-PR"/>
        </w:rPr>
        <w:fldChar w:fldCharType="end"/>
      </w:r>
      <w:r w:rsidR="00BF3982" w:rsidRPr="0083113B">
        <w:rPr>
          <w:rFonts w:eastAsia="Calibri"/>
          <w:color w:val="000000" w:themeColor="text1"/>
          <w:lang w:val="es-PR"/>
        </w:rPr>
        <w:t xml:space="preserve">. </w:t>
      </w:r>
    </w:p>
    <w:p w14:paraId="5E640D2F" w14:textId="77777777" w:rsidR="00BD05D6" w:rsidRPr="0083113B" w:rsidRDefault="00BD05D6" w:rsidP="0049456A">
      <w:pPr>
        <w:ind w:left="720" w:hanging="720"/>
        <w:jc w:val="both"/>
        <w:rPr>
          <w:rFonts w:eastAsia="Calibri"/>
          <w:color w:val="000000" w:themeColor="text1"/>
          <w:lang w:val="es-PR"/>
        </w:rPr>
      </w:pPr>
    </w:p>
    <w:p w14:paraId="58A5E8A8" w14:textId="4816D4F3" w:rsidR="001F720A" w:rsidRPr="0083113B" w:rsidRDefault="005804BB" w:rsidP="0083113B">
      <w:pPr>
        <w:ind w:left="720" w:hanging="720"/>
        <w:jc w:val="both"/>
        <w:rPr>
          <w:rFonts w:eastAsia="Calibri"/>
          <w:color w:val="000000" w:themeColor="text1"/>
        </w:rPr>
      </w:pPr>
      <w:r w:rsidRPr="0083113B">
        <w:rPr>
          <w:rFonts w:eastAsia="Calibri"/>
          <w:color w:val="000000" w:themeColor="text1"/>
        </w:rPr>
        <w:t xml:space="preserve">Lamming, G. </w:t>
      </w:r>
      <w:r w:rsidR="00E63F11" w:rsidRPr="0083113B">
        <w:rPr>
          <w:rFonts w:eastAsia="Calibri"/>
          <w:color w:val="000000" w:themeColor="text1"/>
        </w:rPr>
        <w:t>“</w:t>
      </w:r>
      <w:r w:rsidRPr="0083113B">
        <w:rPr>
          <w:rFonts w:eastAsia="Calibri"/>
          <w:color w:val="000000" w:themeColor="text1"/>
        </w:rPr>
        <w:t xml:space="preserve">The </w:t>
      </w:r>
      <w:r w:rsidR="00E63F11" w:rsidRPr="0083113B">
        <w:rPr>
          <w:rFonts w:eastAsia="Calibri"/>
          <w:color w:val="000000" w:themeColor="text1"/>
        </w:rPr>
        <w:t>S</w:t>
      </w:r>
      <w:r w:rsidRPr="0083113B">
        <w:rPr>
          <w:rFonts w:eastAsia="Calibri"/>
          <w:color w:val="000000" w:themeColor="text1"/>
        </w:rPr>
        <w:t xml:space="preserve">overeignty of the </w:t>
      </w:r>
      <w:r w:rsidR="00E63F11" w:rsidRPr="0083113B">
        <w:rPr>
          <w:rFonts w:eastAsia="Calibri"/>
          <w:color w:val="000000" w:themeColor="text1"/>
        </w:rPr>
        <w:t>I</w:t>
      </w:r>
      <w:r w:rsidRPr="0083113B">
        <w:rPr>
          <w:rFonts w:eastAsia="Calibri"/>
          <w:color w:val="000000" w:themeColor="text1"/>
        </w:rPr>
        <w:t xml:space="preserve">magination: </w:t>
      </w:r>
      <w:r w:rsidR="005A586B" w:rsidRPr="0083113B">
        <w:rPr>
          <w:rFonts w:eastAsia="Calibri"/>
          <w:color w:val="000000" w:themeColor="text1"/>
        </w:rPr>
        <w:t>A</w:t>
      </w:r>
      <w:r w:rsidRPr="0083113B">
        <w:rPr>
          <w:rFonts w:eastAsia="Calibri"/>
          <w:color w:val="000000" w:themeColor="text1"/>
        </w:rPr>
        <w:t xml:space="preserve">n </w:t>
      </w:r>
      <w:r w:rsidR="00E63F11" w:rsidRPr="0083113B">
        <w:rPr>
          <w:rFonts w:eastAsia="Calibri"/>
          <w:color w:val="000000" w:themeColor="text1"/>
        </w:rPr>
        <w:t>I</w:t>
      </w:r>
      <w:r w:rsidRPr="0083113B">
        <w:rPr>
          <w:rFonts w:eastAsia="Calibri"/>
          <w:color w:val="000000" w:themeColor="text1"/>
        </w:rPr>
        <w:t>nterview with George Lamming</w:t>
      </w:r>
      <w:r w:rsidR="005A586B" w:rsidRPr="0083113B">
        <w:rPr>
          <w:rFonts w:eastAsia="Calibri"/>
          <w:color w:val="000000" w:themeColor="text1"/>
        </w:rPr>
        <w:t>.</w:t>
      </w:r>
      <w:r w:rsidR="00E63F11" w:rsidRPr="0083113B">
        <w:rPr>
          <w:rFonts w:eastAsia="Calibri"/>
          <w:color w:val="000000" w:themeColor="text1"/>
        </w:rPr>
        <w:t>”</w:t>
      </w:r>
      <w:r w:rsidR="005A586B" w:rsidRPr="0083113B">
        <w:rPr>
          <w:rFonts w:eastAsia="Calibri"/>
          <w:color w:val="000000" w:themeColor="text1"/>
        </w:rPr>
        <w:t xml:space="preserve"> By D. Scott.</w:t>
      </w:r>
      <w:r w:rsidRPr="0083113B">
        <w:rPr>
          <w:rFonts w:eastAsia="Calibri"/>
          <w:color w:val="000000" w:themeColor="text1"/>
        </w:rPr>
        <w:t> </w:t>
      </w:r>
      <w:r w:rsidRPr="0083113B">
        <w:rPr>
          <w:rFonts w:eastAsia="Calibri"/>
          <w:i/>
          <w:iCs/>
          <w:color w:val="000000" w:themeColor="text1"/>
        </w:rPr>
        <w:t>Small Axe</w:t>
      </w:r>
      <w:r w:rsidRPr="0083113B">
        <w:rPr>
          <w:rFonts w:eastAsia="Calibri"/>
          <w:color w:val="000000" w:themeColor="text1"/>
        </w:rPr>
        <w:t> 6</w:t>
      </w:r>
      <w:r w:rsidR="005A586B" w:rsidRPr="0083113B">
        <w:rPr>
          <w:rFonts w:eastAsia="Calibri"/>
          <w:color w:val="000000" w:themeColor="text1"/>
        </w:rPr>
        <w:t xml:space="preserve">, no. </w:t>
      </w:r>
      <w:r w:rsidRPr="0083113B">
        <w:rPr>
          <w:rFonts w:eastAsia="Calibri"/>
          <w:color w:val="000000" w:themeColor="text1"/>
        </w:rPr>
        <w:t>2</w:t>
      </w:r>
      <w:r w:rsidR="00E63F11" w:rsidRPr="0083113B">
        <w:rPr>
          <w:rFonts w:eastAsia="Calibri"/>
          <w:color w:val="000000" w:themeColor="text1"/>
        </w:rPr>
        <w:t xml:space="preserve"> (2002)</w:t>
      </w:r>
      <w:r w:rsidR="005A586B" w:rsidRPr="0083113B">
        <w:rPr>
          <w:rFonts w:eastAsia="Calibri"/>
          <w:color w:val="000000" w:themeColor="text1"/>
        </w:rPr>
        <w:t>:</w:t>
      </w:r>
      <w:r w:rsidRPr="0083113B">
        <w:rPr>
          <w:rFonts w:eastAsia="Calibri"/>
          <w:color w:val="000000" w:themeColor="text1"/>
        </w:rPr>
        <w:t xml:space="preserve"> 72-200.</w:t>
      </w:r>
    </w:p>
    <w:p w14:paraId="1400615F" w14:textId="77777777" w:rsidR="00BD05D6" w:rsidRDefault="00BD05D6" w:rsidP="0049456A">
      <w:pPr>
        <w:ind w:left="720" w:hanging="720"/>
        <w:jc w:val="both"/>
        <w:rPr>
          <w:color w:val="000000"/>
          <w:shd w:val="clear" w:color="auto" w:fill="FFFFFF"/>
        </w:rPr>
      </w:pPr>
    </w:p>
    <w:p w14:paraId="0A241D10" w14:textId="402EFBAA" w:rsidR="001F720A" w:rsidRPr="0083113B" w:rsidRDefault="00701533" w:rsidP="0083113B">
      <w:pPr>
        <w:ind w:left="720" w:hanging="720"/>
        <w:jc w:val="both"/>
        <w:rPr>
          <w:rFonts w:eastAsia="Calibri"/>
          <w:color w:val="000000" w:themeColor="text1"/>
        </w:rPr>
      </w:pPr>
      <w:r w:rsidRPr="007A2047">
        <w:rPr>
          <w:color w:val="000000"/>
          <w:shd w:val="clear" w:color="auto" w:fill="FFFFFF"/>
        </w:rPr>
        <w:t>Laster Pirtle, W. N</w:t>
      </w:r>
      <w:r w:rsidRPr="0049456A">
        <w:rPr>
          <w:color w:val="000000"/>
          <w:shd w:val="clear" w:color="auto" w:fill="FFFFFF"/>
        </w:rPr>
        <w:t>. </w:t>
      </w:r>
      <w:r w:rsidR="00836757" w:rsidRPr="0049456A">
        <w:rPr>
          <w:color w:val="000000"/>
          <w:shd w:val="clear" w:color="auto" w:fill="FFFFFF"/>
        </w:rPr>
        <w:t>“</w:t>
      </w:r>
      <w:r w:rsidRPr="0049456A">
        <w:rPr>
          <w:rStyle w:val="ref-title"/>
          <w:color w:val="000000"/>
          <w:shd w:val="clear" w:color="auto" w:fill="FFFFFF"/>
        </w:rPr>
        <w:t xml:space="preserve">Racial </w:t>
      </w:r>
      <w:r w:rsidR="00836757" w:rsidRPr="0049456A">
        <w:rPr>
          <w:rStyle w:val="ref-title"/>
          <w:color w:val="000000"/>
          <w:shd w:val="clear" w:color="auto" w:fill="FFFFFF"/>
        </w:rPr>
        <w:t>C</w:t>
      </w:r>
      <w:r w:rsidRPr="0049456A">
        <w:rPr>
          <w:rStyle w:val="ref-title"/>
          <w:color w:val="000000"/>
          <w:shd w:val="clear" w:color="auto" w:fill="FFFFFF"/>
        </w:rPr>
        <w:t xml:space="preserve">apitalism: A </w:t>
      </w:r>
      <w:r w:rsidR="00836757" w:rsidRPr="0049456A">
        <w:rPr>
          <w:rStyle w:val="ref-title"/>
          <w:color w:val="000000"/>
          <w:shd w:val="clear" w:color="auto" w:fill="FFFFFF"/>
        </w:rPr>
        <w:t>F</w:t>
      </w:r>
      <w:r w:rsidRPr="0049456A">
        <w:rPr>
          <w:rStyle w:val="ref-title"/>
          <w:color w:val="000000"/>
          <w:shd w:val="clear" w:color="auto" w:fill="FFFFFF"/>
        </w:rPr>
        <w:t xml:space="preserve">undamental </w:t>
      </w:r>
      <w:r w:rsidR="00836757" w:rsidRPr="0049456A">
        <w:rPr>
          <w:rStyle w:val="ref-title"/>
          <w:color w:val="000000"/>
          <w:shd w:val="clear" w:color="auto" w:fill="FFFFFF"/>
        </w:rPr>
        <w:t>C</w:t>
      </w:r>
      <w:r w:rsidRPr="0049456A">
        <w:rPr>
          <w:rStyle w:val="ref-title"/>
          <w:color w:val="000000"/>
          <w:shd w:val="clear" w:color="auto" w:fill="FFFFFF"/>
        </w:rPr>
        <w:t xml:space="preserve">ause of </w:t>
      </w:r>
      <w:r w:rsidR="00836757" w:rsidRPr="0049456A">
        <w:rPr>
          <w:rStyle w:val="ref-title"/>
          <w:color w:val="000000"/>
          <w:shd w:val="clear" w:color="auto" w:fill="FFFFFF"/>
        </w:rPr>
        <w:t>N</w:t>
      </w:r>
      <w:r w:rsidRPr="0049456A">
        <w:rPr>
          <w:rStyle w:val="ref-title"/>
          <w:color w:val="000000"/>
          <w:shd w:val="clear" w:color="auto" w:fill="FFFFFF"/>
        </w:rPr>
        <w:t xml:space="preserve">ovel </w:t>
      </w:r>
      <w:r w:rsidR="00836757" w:rsidRPr="0049456A">
        <w:rPr>
          <w:rStyle w:val="ref-title"/>
          <w:color w:val="000000"/>
          <w:shd w:val="clear" w:color="auto" w:fill="FFFFFF"/>
        </w:rPr>
        <w:t>C</w:t>
      </w:r>
      <w:r w:rsidRPr="0049456A">
        <w:rPr>
          <w:rStyle w:val="ref-title"/>
          <w:color w:val="000000"/>
          <w:shd w:val="clear" w:color="auto" w:fill="FFFFFF"/>
        </w:rPr>
        <w:t xml:space="preserve">oronavirus (COVID‐19) </w:t>
      </w:r>
      <w:r w:rsidR="00836757" w:rsidRPr="0049456A">
        <w:rPr>
          <w:rStyle w:val="ref-title"/>
          <w:color w:val="000000"/>
          <w:shd w:val="clear" w:color="auto" w:fill="FFFFFF"/>
        </w:rPr>
        <w:t>P</w:t>
      </w:r>
      <w:r w:rsidRPr="0049456A">
        <w:rPr>
          <w:rStyle w:val="ref-title"/>
          <w:color w:val="000000"/>
          <w:shd w:val="clear" w:color="auto" w:fill="FFFFFF"/>
        </w:rPr>
        <w:t xml:space="preserve">andemic </w:t>
      </w:r>
      <w:r w:rsidR="00836757" w:rsidRPr="0049456A">
        <w:rPr>
          <w:rStyle w:val="ref-title"/>
          <w:color w:val="000000"/>
          <w:shd w:val="clear" w:color="auto" w:fill="FFFFFF"/>
        </w:rPr>
        <w:t>I</w:t>
      </w:r>
      <w:r w:rsidRPr="0049456A">
        <w:rPr>
          <w:rStyle w:val="ref-title"/>
          <w:color w:val="000000"/>
          <w:shd w:val="clear" w:color="auto" w:fill="FFFFFF"/>
        </w:rPr>
        <w:t>nequities in the United States</w:t>
      </w:r>
      <w:r w:rsidR="007723F4" w:rsidRPr="0049456A">
        <w:rPr>
          <w:color w:val="000000"/>
          <w:shd w:val="clear" w:color="auto" w:fill="FFFFFF"/>
        </w:rPr>
        <w:t>.</w:t>
      </w:r>
      <w:r w:rsidR="00836757" w:rsidRPr="0049456A">
        <w:rPr>
          <w:color w:val="000000"/>
          <w:shd w:val="clear" w:color="auto" w:fill="FFFFFF"/>
        </w:rPr>
        <w:t>”</w:t>
      </w:r>
      <w:r w:rsidRPr="0049456A">
        <w:rPr>
          <w:color w:val="000000"/>
          <w:shd w:val="clear" w:color="auto" w:fill="FFFFFF"/>
        </w:rPr>
        <w:t> </w:t>
      </w:r>
      <w:r w:rsidRPr="0049456A">
        <w:rPr>
          <w:rStyle w:val="ref-journal"/>
          <w:i/>
          <w:iCs/>
          <w:color w:val="000000"/>
          <w:shd w:val="clear" w:color="auto" w:fill="FFFFFF"/>
        </w:rPr>
        <w:t xml:space="preserve">Health Education &amp; </w:t>
      </w:r>
      <w:proofErr w:type="spellStart"/>
      <w:r w:rsidRPr="0049456A">
        <w:rPr>
          <w:rStyle w:val="ref-journal"/>
          <w:i/>
          <w:iCs/>
          <w:color w:val="000000"/>
          <w:shd w:val="clear" w:color="auto" w:fill="FFFFFF"/>
        </w:rPr>
        <w:t>Behavior</w:t>
      </w:r>
      <w:proofErr w:type="spellEnd"/>
      <w:r w:rsidR="007723F4" w:rsidRPr="0049456A">
        <w:rPr>
          <w:color w:val="000000"/>
          <w:shd w:val="clear" w:color="auto" w:fill="FFFFFF"/>
        </w:rPr>
        <w:t xml:space="preserve"> </w:t>
      </w:r>
      <w:r w:rsidRPr="0049456A">
        <w:rPr>
          <w:rStyle w:val="ref-vol"/>
          <w:color w:val="000000"/>
          <w:shd w:val="clear" w:color="auto" w:fill="FFFFFF"/>
        </w:rPr>
        <w:t>47</w:t>
      </w:r>
      <w:r w:rsidR="007723F4" w:rsidRPr="0049456A">
        <w:rPr>
          <w:rStyle w:val="ref-vol"/>
          <w:color w:val="000000"/>
          <w:shd w:val="clear" w:color="auto" w:fill="FFFFFF"/>
        </w:rPr>
        <w:t xml:space="preserve">, no. </w:t>
      </w:r>
      <w:r w:rsidRPr="0049456A">
        <w:rPr>
          <w:rStyle w:val="ref-iss"/>
          <w:color w:val="000000"/>
          <w:shd w:val="clear" w:color="auto" w:fill="FFFFFF"/>
        </w:rPr>
        <w:t>4</w:t>
      </w:r>
      <w:r w:rsidR="00836757" w:rsidRPr="0049456A">
        <w:rPr>
          <w:color w:val="000000"/>
          <w:shd w:val="clear" w:color="auto" w:fill="FFFFFF"/>
        </w:rPr>
        <w:t xml:space="preserve"> (2020)</w:t>
      </w:r>
      <w:r w:rsidR="007723F4" w:rsidRPr="0049456A">
        <w:rPr>
          <w:color w:val="000000"/>
          <w:shd w:val="clear" w:color="auto" w:fill="FFFFFF"/>
        </w:rPr>
        <w:t>:</w:t>
      </w:r>
      <w:r w:rsidRPr="0049456A">
        <w:rPr>
          <w:color w:val="000000"/>
          <w:shd w:val="clear" w:color="auto" w:fill="FFFFFF"/>
        </w:rPr>
        <w:t xml:space="preserve"> 504–508.</w:t>
      </w:r>
    </w:p>
    <w:p w14:paraId="4D422463" w14:textId="77777777" w:rsidR="00BD05D6" w:rsidRDefault="00BD05D6" w:rsidP="0049456A">
      <w:pPr>
        <w:ind w:left="720" w:hanging="720"/>
        <w:jc w:val="both"/>
        <w:rPr>
          <w:rFonts w:eastAsia="Calibri"/>
          <w:color w:val="000000" w:themeColor="text1"/>
        </w:rPr>
      </w:pPr>
    </w:p>
    <w:p w14:paraId="49412B8C" w14:textId="74D7BCEA" w:rsidR="00AC3D72" w:rsidRPr="0083113B" w:rsidRDefault="00AC3D72" w:rsidP="0083113B">
      <w:pPr>
        <w:ind w:left="720" w:hanging="720"/>
        <w:jc w:val="both"/>
        <w:rPr>
          <w:rFonts w:eastAsia="Calibri"/>
          <w:color w:val="000000" w:themeColor="text1"/>
        </w:rPr>
      </w:pPr>
      <w:proofErr w:type="spellStart"/>
      <w:r w:rsidRPr="0083113B">
        <w:rPr>
          <w:rFonts w:eastAsia="Calibri"/>
          <w:color w:val="000000" w:themeColor="text1"/>
        </w:rPr>
        <w:t>Laven</w:t>
      </w:r>
      <w:proofErr w:type="spellEnd"/>
      <w:r w:rsidRPr="0083113B">
        <w:rPr>
          <w:rFonts w:eastAsia="Calibri"/>
          <w:color w:val="000000" w:themeColor="text1"/>
        </w:rPr>
        <w:t xml:space="preserve">, A., and </w:t>
      </w:r>
      <w:r w:rsidR="009439D0" w:rsidRPr="0083113B">
        <w:rPr>
          <w:rFonts w:eastAsia="Calibri"/>
          <w:color w:val="000000" w:themeColor="text1"/>
        </w:rPr>
        <w:t xml:space="preserve">R. </w:t>
      </w:r>
      <w:r w:rsidRPr="0083113B">
        <w:rPr>
          <w:rFonts w:eastAsia="Calibri"/>
          <w:color w:val="000000" w:themeColor="text1"/>
        </w:rPr>
        <w:t xml:space="preserve">Pyburn. </w:t>
      </w:r>
      <w:r w:rsidRPr="0083113B">
        <w:rPr>
          <w:rFonts w:eastAsia="Calibri"/>
          <w:i/>
          <w:color w:val="000000" w:themeColor="text1"/>
        </w:rPr>
        <w:t>Challenging Chains to Change: Gender Equity in</w:t>
      </w:r>
      <w:r w:rsidR="00544470" w:rsidRPr="0083113B">
        <w:rPr>
          <w:rFonts w:eastAsia="Calibri"/>
          <w:i/>
          <w:color w:val="000000" w:themeColor="text1"/>
        </w:rPr>
        <w:t xml:space="preserve"> </w:t>
      </w:r>
      <w:r w:rsidRPr="0083113B">
        <w:rPr>
          <w:rFonts w:eastAsia="Calibri"/>
          <w:i/>
          <w:color w:val="000000" w:themeColor="text1"/>
        </w:rPr>
        <w:t>Agricultural Value Chain Development.</w:t>
      </w:r>
      <w:r w:rsidR="00544470" w:rsidRPr="0083113B">
        <w:rPr>
          <w:rFonts w:eastAsia="Calibri"/>
          <w:i/>
          <w:color w:val="000000" w:themeColor="text1"/>
        </w:rPr>
        <w:t xml:space="preserve"> </w:t>
      </w:r>
      <w:r w:rsidR="007723F4" w:rsidRPr="0083113B">
        <w:rPr>
          <w:rFonts w:eastAsia="Calibri"/>
          <w:color w:val="000000" w:themeColor="text1"/>
        </w:rPr>
        <w:t>Amsterdam: KIT Publishers – R</w:t>
      </w:r>
      <w:r w:rsidRPr="0083113B">
        <w:rPr>
          <w:rFonts w:eastAsia="Calibri"/>
          <w:color w:val="000000" w:themeColor="text1"/>
        </w:rPr>
        <w:t>oyal Tropical Institute</w:t>
      </w:r>
      <w:r w:rsidR="00836757" w:rsidRPr="0083113B">
        <w:rPr>
          <w:rFonts w:eastAsia="Calibri"/>
          <w:color w:val="000000" w:themeColor="text1"/>
        </w:rPr>
        <w:t>, 2012</w:t>
      </w:r>
      <w:r w:rsidRPr="0083113B">
        <w:rPr>
          <w:rFonts w:eastAsia="Calibri"/>
          <w:color w:val="000000" w:themeColor="text1"/>
        </w:rPr>
        <w:t>.</w:t>
      </w:r>
    </w:p>
    <w:p w14:paraId="678EA056" w14:textId="77777777" w:rsidR="00BD05D6" w:rsidRDefault="00BD05D6" w:rsidP="0049456A">
      <w:pPr>
        <w:ind w:left="720" w:hanging="720"/>
        <w:jc w:val="both"/>
        <w:rPr>
          <w:rFonts w:eastAsia="Calibri"/>
          <w:color w:val="000000" w:themeColor="text1"/>
        </w:rPr>
      </w:pPr>
    </w:p>
    <w:p w14:paraId="174219DF" w14:textId="13775366" w:rsidR="005804BB" w:rsidRPr="0083113B" w:rsidRDefault="005804BB" w:rsidP="0083113B">
      <w:pPr>
        <w:ind w:left="720" w:hanging="720"/>
        <w:jc w:val="both"/>
        <w:rPr>
          <w:rFonts w:eastAsia="Calibri"/>
          <w:color w:val="000000" w:themeColor="text1"/>
        </w:rPr>
      </w:pPr>
      <w:r w:rsidRPr="0083113B">
        <w:rPr>
          <w:rFonts w:eastAsia="Calibri"/>
          <w:color w:val="000000" w:themeColor="text1"/>
        </w:rPr>
        <w:t xml:space="preserve">Levitt, K. </w:t>
      </w:r>
      <w:r w:rsidRPr="0083113B">
        <w:rPr>
          <w:rFonts w:eastAsia="Calibri"/>
          <w:i/>
          <w:iCs/>
          <w:color w:val="000000" w:themeColor="text1"/>
        </w:rPr>
        <w:t>Reclaiming Development: Independent Thought and Caribbean Community</w:t>
      </w:r>
      <w:r w:rsidRPr="0083113B">
        <w:rPr>
          <w:rFonts w:eastAsia="Calibri"/>
          <w:color w:val="000000" w:themeColor="text1"/>
        </w:rPr>
        <w:t>. Kingston: Ian Randle</w:t>
      </w:r>
      <w:r w:rsidR="00875532" w:rsidRPr="0083113B">
        <w:rPr>
          <w:rFonts w:eastAsia="Calibri"/>
          <w:color w:val="000000" w:themeColor="text1"/>
        </w:rPr>
        <w:t xml:space="preserve"> Publishers</w:t>
      </w:r>
      <w:r w:rsidR="00836757" w:rsidRPr="0083113B">
        <w:rPr>
          <w:rFonts w:eastAsia="Calibri"/>
          <w:color w:val="000000" w:themeColor="text1"/>
        </w:rPr>
        <w:t>, 2005</w:t>
      </w:r>
      <w:r w:rsidRPr="0083113B">
        <w:rPr>
          <w:rFonts w:eastAsia="Calibri"/>
          <w:color w:val="000000" w:themeColor="text1"/>
        </w:rPr>
        <w:t>.</w:t>
      </w:r>
    </w:p>
    <w:p w14:paraId="441F976F" w14:textId="77777777" w:rsidR="00BD05D6" w:rsidRDefault="00BD05D6" w:rsidP="0049456A">
      <w:pPr>
        <w:ind w:left="720" w:hanging="720"/>
        <w:jc w:val="both"/>
        <w:rPr>
          <w:rFonts w:eastAsia="Calibri"/>
          <w:color w:val="000000" w:themeColor="text1"/>
        </w:rPr>
      </w:pPr>
    </w:p>
    <w:p w14:paraId="64307F16" w14:textId="76CF65A2" w:rsidR="00AC3D72" w:rsidRPr="0083113B" w:rsidRDefault="00AC3D72" w:rsidP="0083113B">
      <w:pPr>
        <w:ind w:left="720" w:hanging="720"/>
        <w:jc w:val="both"/>
        <w:rPr>
          <w:rFonts w:eastAsia="Calibri"/>
          <w:color w:val="000000" w:themeColor="text1"/>
        </w:rPr>
      </w:pPr>
      <w:proofErr w:type="spellStart"/>
      <w:r w:rsidRPr="0083113B">
        <w:rPr>
          <w:rFonts w:eastAsia="Calibri"/>
          <w:color w:val="000000" w:themeColor="text1"/>
        </w:rPr>
        <w:t>Lowitt</w:t>
      </w:r>
      <w:proofErr w:type="spellEnd"/>
      <w:r w:rsidRPr="0083113B">
        <w:rPr>
          <w:rFonts w:eastAsia="Calibri"/>
          <w:color w:val="000000" w:themeColor="text1"/>
        </w:rPr>
        <w:t xml:space="preserve">, K., </w:t>
      </w:r>
      <w:r w:rsidR="004C52D9" w:rsidRPr="0083113B">
        <w:rPr>
          <w:rFonts w:eastAsia="Calibri"/>
          <w:color w:val="000000" w:themeColor="text1"/>
        </w:rPr>
        <w:t xml:space="preserve">G.M. </w:t>
      </w:r>
      <w:r w:rsidRPr="0083113B">
        <w:rPr>
          <w:rFonts w:eastAsia="Calibri"/>
          <w:color w:val="000000" w:themeColor="text1"/>
        </w:rPr>
        <w:t xml:space="preserve">Hickey, </w:t>
      </w:r>
      <w:r w:rsidR="004C52D9" w:rsidRPr="0083113B">
        <w:rPr>
          <w:rFonts w:eastAsia="Calibri"/>
          <w:color w:val="000000" w:themeColor="text1"/>
        </w:rPr>
        <w:t xml:space="preserve">A. </w:t>
      </w:r>
      <w:r w:rsidRPr="0083113B">
        <w:rPr>
          <w:rFonts w:eastAsia="Calibri"/>
          <w:color w:val="000000" w:themeColor="text1"/>
        </w:rPr>
        <w:t xml:space="preserve">Saint Ville, </w:t>
      </w:r>
      <w:r w:rsidR="004C52D9" w:rsidRPr="0083113B">
        <w:rPr>
          <w:rFonts w:eastAsia="Calibri"/>
          <w:color w:val="000000" w:themeColor="text1"/>
        </w:rPr>
        <w:t xml:space="preserve">K. </w:t>
      </w:r>
      <w:r w:rsidRPr="0083113B">
        <w:rPr>
          <w:rFonts w:eastAsia="Calibri"/>
          <w:color w:val="000000" w:themeColor="text1"/>
        </w:rPr>
        <w:t xml:space="preserve">Raeburn, </w:t>
      </w:r>
      <w:r w:rsidR="004C52D9" w:rsidRPr="0083113B">
        <w:rPr>
          <w:rFonts w:eastAsia="Calibri"/>
          <w:color w:val="000000" w:themeColor="text1"/>
        </w:rPr>
        <w:t xml:space="preserve">T. </w:t>
      </w:r>
      <w:r w:rsidRPr="0083113B">
        <w:rPr>
          <w:rFonts w:eastAsia="Calibri"/>
          <w:color w:val="000000" w:themeColor="text1"/>
        </w:rPr>
        <w:t xml:space="preserve">Thompson-Colón, </w:t>
      </w:r>
      <w:r w:rsidR="004C52D9" w:rsidRPr="0083113B">
        <w:rPr>
          <w:rFonts w:eastAsia="Calibri"/>
          <w:color w:val="000000" w:themeColor="text1"/>
        </w:rPr>
        <w:t xml:space="preserve">S. </w:t>
      </w:r>
      <w:r w:rsidRPr="0083113B">
        <w:rPr>
          <w:rFonts w:eastAsia="Calibri"/>
          <w:color w:val="000000" w:themeColor="text1"/>
        </w:rPr>
        <w:t xml:space="preserve">Laszlo, and </w:t>
      </w:r>
      <w:r w:rsidR="004C52D9" w:rsidRPr="0083113B">
        <w:rPr>
          <w:rFonts w:eastAsia="Calibri"/>
          <w:color w:val="000000" w:themeColor="text1"/>
        </w:rPr>
        <w:t xml:space="preserve">L.E. </w:t>
      </w:r>
      <w:r w:rsidRPr="0083113B">
        <w:rPr>
          <w:rFonts w:eastAsia="Calibri"/>
          <w:color w:val="000000" w:themeColor="text1"/>
        </w:rPr>
        <w:t xml:space="preserve">Phillip. </w:t>
      </w:r>
      <w:r w:rsidR="00836757" w:rsidRPr="0083113B">
        <w:rPr>
          <w:rFonts w:eastAsia="Calibri"/>
          <w:color w:val="000000" w:themeColor="text1"/>
        </w:rPr>
        <w:t>“</w:t>
      </w:r>
      <w:r w:rsidRPr="0083113B">
        <w:rPr>
          <w:rFonts w:eastAsia="Calibri"/>
          <w:color w:val="000000" w:themeColor="text1"/>
        </w:rPr>
        <w:t xml:space="preserve">Factors </w:t>
      </w:r>
      <w:r w:rsidR="00836757" w:rsidRPr="0083113B">
        <w:rPr>
          <w:rFonts w:eastAsia="Calibri"/>
          <w:color w:val="000000" w:themeColor="text1"/>
        </w:rPr>
        <w:t>A</w:t>
      </w:r>
      <w:r w:rsidRPr="0083113B">
        <w:rPr>
          <w:rFonts w:eastAsia="Calibri"/>
          <w:color w:val="000000" w:themeColor="text1"/>
        </w:rPr>
        <w:t xml:space="preserve">ffecting the </w:t>
      </w:r>
      <w:r w:rsidR="00836757" w:rsidRPr="0083113B">
        <w:rPr>
          <w:rFonts w:eastAsia="Calibri"/>
          <w:color w:val="000000" w:themeColor="text1"/>
        </w:rPr>
        <w:t>I</w:t>
      </w:r>
      <w:r w:rsidRPr="0083113B">
        <w:rPr>
          <w:rFonts w:eastAsia="Calibri"/>
          <w:color w:val="000000" w:themeColor="text1"/>
        </w:rPr>
        <w:t xml:space="preserve">nnovation </w:t>
      </w:r>
      <w:r w:rsidR="00836757" w:rsidRPr="0083113B">
        <w:rPr>
          <w:rFonts w:eastAsia="Calibri"/>
          <w:color w:val="000000" w:themeColor="text1"/>
        </w:rPr>
        <w:t>P</w:t>
      </w:r>
      <w:r w:rsidRPr="0083113B">
        <w:rPr>
          <w:rFonts w:eastAsia="Calibri"/>
          <w:color w:val="000000" w:themeColor="text1"/>
        </w:rPr>
        <w:t xml:space="preserve">otential of </w:t>
      </w:r>
      <w:r w:rsidR="00836757" w:rsidRPr="0083113B">
        <w:rPr>
          <w:rFonts w:eastAsia="Calibri"/>
          <w:color w:val="000000" w:themeColor="text1"/>
        </w:rPr>
        <w:t>S</w:t>
      </w:r>
      <w:r w:rsidRPr="0083113B">
        <w:rPr>
          <w:rFonts w:eastAsia="Calibri"/>
          <w:color w:val="000000" w:themeColor="text1"/>
        </w:rPr>
        <w:t xml:space="preserve">mallholder </w:t>
      </w:r>
      <w:r w:rsidR="00836757" w:rsidRPr="0083113B">
        <w:rPr>
          <w:rFonts w:eastAsia="Calibri"/>
          <w:color w:val="000000" w:themeColor="text1"/>
        </w:rPr>
        <w:t>F</w:t>
      </w:r>
      <w:r w:rsidRPr="0083113B">
        <w:rPr>
          <w:rFonts w:eastAsia="Calibri"/>
          <w:color w:val="000000" w:themeColor="text1"/>
        </w:rPr>
        <w:t>armers in the Caribbean Community</w:t>
      </w:r>
      <w:r w:rsidR="009439D0" w:rsidRPr="0083113B">
        <w:rPr>
          <w:rFonts w:eastAsia="Calibri"/>
          <w:color w:val="000000" w:themeColor="text1"/>
        </w:rPr>
        <w:t>.</w:t>
      </w:r>
      <w:r w:rsidR="00836757"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Regional Environmental Change</w:t>
      </w:r>
      <w:r w:rsidRPr="0083113B">
        <w:rPr>
          <w:rFonts w:eastAsia="Calibri"/>
          <w:color w:val="000000" w:themeColor="text1"/>
        </w:rPr>
        <w:t> 15</w:t>
      </w:r>
      <w:r w:rsidR="009439D0" w:rsidRPr="0083113B">
        <w:rPr>
          <w:rFonts w:eastAsia="Calibri"/>
          <w:color w:val="000000" w:themeColor="text1"/>
        </w:rPr>
        <w:t xml:space="preserve">, no. </w:t>
      </w:r>
      <w:r w:rsidRPr="0083113B">
        <w:rPr>
          <w:rFonts w:eastAsia="Calibri"/>
          <w:color w:val="000000" w:themeColor="text1"/>
        </w:rPr>
        <w:t>7</w:t>
      </w:r>
      <w:r w:rsidR="00836757" w:rsidRPr="0083113B">
        <w:rPr>
          <w:rFonts w:eastAsia="Calibri"/>
          <w:color w:val="000000" w:themeColor="text1"/>
        </w:rPr>
        <w:t xml:space="preserve"> (2015)</w:t>
      </w:r>
      <w:r w:rsidR="009439D0" w:rsidRPr="0083113B">
        <w:rPr>
          <w:rFonts w:eastAsia="Calibri"/>
          <w:color w:val="000000" w:themeColor="text1"/>
        </w:rPr>
        <w:t>:</w:t>
      </w:r>
      <w:r w:rsidRPr="0083113B">
        <w:rPr>
          <w:rFonts w:eastAsia="Calibri"/>
          <w:color w:val="000000" w:themeColor="text1"/>
        </w:rPr>
        <w:t xml:space="preserve"> 1367-1377.</w:t>
      </w:r>
    </w:p>
    <w:p w14:paraId="4DB8F515" w14:textId="77777777" w:rsidR="00BD05D6" w:rsidRDefault="00BD05D6" w:rsidP="0049456A">
      <w:pPr>
        <w:ind w:left="720" w:hanging="720"/>
        <w:jc w:val="both"/>
        <w:rPr>
          <w:rFonts w:eastAsia="Calibri"/>
          <w:color w:val="000000" w:themeColor="text1"/>
        </w:rPr>
      </w:pPr>
    </w:p>
    <w:p w14:paraId="0BF83DB2" w14:textId="5C427074" w:rsidR="00C4170C" w:rsidRPr="0083113B" w:rsidRDefault="00C4170C" w:rsidP="0083113B">
      <w:pPr>
        <w:ind w:left="720" w:hanging="720"/>
        <w:jc w:val="both"/>
        <w:rPr>
          <w:rFonts w:eastAsia="Calibri"/>
          <w:color w:val="000000" w:themeColor="text1"/>
        </w:rPr>
      </w:pPr>
      <w:r w:rsidRPr="0083113B">
        <w:rPr>
          <w:rFonts w:eastAsia="Calibri"/>
          <w:color w:val="000000" w:themeColor="text1"/>
        </w:rPr>
        <w:t xml:space="preserve">Martinez-Torres, M.E., and </w:t>
      </w:r>
      <w:r w:rsidR="004C52D9" w:rsidRPr="0083113B">
        <w:rPr>
          <w:rFonts w:eastAsia="Calibri"/>
          <w:color w:val="000000" w:themeColor="text1"/>
        </w:rPr>
        <w:t xml:space="preserve">P.M. </w:t>
      </w:r>
      <w:r w:rsidRPr="0083113B">
        <w:rPr>
          <w:rFonts w:eastAsia="Calibri"/>
          <w:color w:val="000000" w:themeColor="text1"/>
        </w:rPr>
        <w:t xml:space="preserve">Rosset. </w:t>
      </w:r>
      <w:r w:rsidR="00836757" w:rsidRPr="0083113B">
        <w:rPr>
          <w:rFonts w:eastAsia="Calibri"/>
          <w:color w:val="000000" w:themeColor="text1"/>
        </w:rPr>
        <w:t>“</w:t>
      </w:r>
      <w:r w:rsidRPr="0083113B">
        <w:rPr>
          <w:rFonts w:eastAsia="Calibri"/>
          <w:color w:val="000000" w:themeColor="text1"/>
        </w:rPr>
        <w:t xml:space="preserve">La Vía </w:t>
      </w:r>
      <w:proofErr w:type="spellStart"/>
      <w:r w:rsidRPr="0083113B">
        <w:rPr>
          <w:rFonts w:eastAsia="Calibri"/>
          <w:color w:val="000000" w:themeColor="text1"/>
        </w:rPr>
        <w:t>Campesina</w:t>
      </w:r>
      <w:proofErr w:type="spellEnd"/>
      <w:r w:rsidRPr="0083113B">
        <w:rPr>
          <w:rFonts w:eastAsia="Calibri"/>
          <w:color w:val="000000" w:themeColor="text1"/>
        </w:rPr>
        <w:t xml:space="preserve">: </w:t>
      </w:r>
      <w:r w:rsidR="00836757" w:rsidRPr="0083113B">
        <w:rPr>
          <w:rFonts w:eastAsia="Calibri"/>
          <w:color w:val="000000" w:themeColor="text1"/>
        </w:rPr>
        <w:t>T</w:t>
      </w:r>
      <w:r w:rsidRPr="0083113B">
        <w:rPr>
          <w:rFonts w:eastAsia="Calibri"/>
          <w:color w:val="000000" w:themeColor="text1"/>
        </w:rPr>
        <w:t xml:space="preserve">he </w:t>
      </w:r>
      <w:r w:rsidR="00836757" w:rsidRPr="0083113B">
        <w:rPr>
          <w:rFonts w:eastAsia="Calibri"/>
          <w:color w:val="000000" w:themeColor="text1"/>
        </w:rPr>
        <w:t>B</w:t>
      </w:r>
      <w:r w:rsidRPr="0083113B">
        <w:rPr>
          <w:rFonts w:eastAsia="Calibri"/>
          <w:color w:val="000000" w:themeColor="text1"/>
        </w:rPr>
        <w:t xml:space="preserve">irth and </w:t>
      </w:r>
      <w:r w:rsidR="00836757" w:rsidRPr="0083113B">
        <w:rPr>
          <w:rFonts w:eastAsia="Calibri"/>
          <w:color w:val="000000" w:themeColor="text1"/>
        </w:rPr>
        <w:t>E</w:t>
      </w:r>
      <w:r w:rsidRPr="0083113B">
        <w:rPr>
          <w:rFonts w:eastAsia="Calibri"/>
          <w:color w:val="000000" w:themeColor="text1"/>
        </w:rPr>
        <w:t xml:space="preserve">volution of a </w:t>
      </w:r>
      <w:r w:rsidR="00836757" w:rsidRPr="0083113B">
        <w:rPr>
          <w:rFonts w:eastAsia="Calibri"/>
          <w:color w:val="000000" w:themeColor="text1"/>
        </w:rPr>
        <w:t>T</w:t>
      </w:r>
      <w:r w:rsidRPr="0083113B">
        <w:rPr>
          <w:rFonts w:eastAsia="Calibri"/>
          <w:color w:val="000000" w:themeColor="text1"/>
        </w:rPr>
        <w:t xml:space="preserve">ransnational </w:t>
      </w:r>
      <w:r w:rsidR="00836757" w:rsidRPr="0083113B">
        <w:rPr>
          <w:rFonts w:eastAsia="Calibri"/>
          <w:color w:val="000000" w:themeColor="text1"/>
        </w:rPr>
        <w:t>S</w:t>
      </w:r>
      <w:r w:rsidRPr="0083113B">
        <w:rPr>
          <w:rFonts w:eastAsia="Calibri"/>
          <w:color w:val="000000" w:themeColor="text1"/>
        </w:rPr>
        <w:t xml:space="preserve">ocial </w:t>
      </w:r>
      <w:r w:rsidR="00836757" w:rsidRPr="0083113B">
        <w:rPr>
          <w:rFonts w:eastAsia="Calibri"/>
          <w:color w:val="000000" w:themeColor="text1"/>
        </w:rPr>
        <w:t>M</w:t>
      </w:r>
      <w:r w:rsidRPr="0083113B">
        <w:rPr>
          <w:rFonts w:eastAsia="Calibri"/>
          <w:color w:val="000000" w:themeColor="text1"/>
        </w:rPr>
        <w:t>ovement</w:t>
      </w:r>
      <w:r w:rsidR="004C52D9" w:rsidRPr="0083113B">
        <w:rPr>
          <w:rFonts w:eastAsia="Calibri"/>
          <w:color w:val="000000" w:themeColor="text1"/>
        </w:rPr>
        <w:t>.</w:t>
      </w:r>
      <w:r w:rsidR="00836757"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The Journal of Peasant Studies</w:t>
      </w:r>
      <w:r w:rsidRPr="0083113B">
        <w:rPr>
          <w:rFonts w:eastAsia="Calibri"/>
          <w:color w:val="000000" w:themeColor="text1"/>
        </w:rPr>
        <w:t> 37</w:t>
      </w:r>
      <w:r w:rsidR="004C52D9" w:rsidRPr="0083113B">
        <w:rPr>
          <w:rFonts w:eastAsia="Calibri"/>
          <w:color w:val="000000" w:themeColor="text1"/>
        </w:rPr>
        <w:t xml:space="preserve">, no. </w:t>
      </w:r>
      <w:r w:rsidRPr="0083113B">
        <w:rPr>
          <w:rFonts w:eastAsia="Calibri"/>
          <w:color w:val="000000" w:themeColor="text1"/>
        </w:rPr>
        <w:t>1</w:t>
      </w:r>
      <w:r w:rsidR="00836757" w:rsidRPr="0083113B">
        <w:rPr>
          <w:rFonts w:eastAsia="Calibri"/>
          <w:color w:val="000000" w:themeColor="text1"/>
        </w:rPr>
        <w:t xml:space="preserve"> (2010)</w:t>
      </w:r>
      <w:r w:rsidR="004C52D9" w:rsidRPr="0083113B">
        <w:rPr>
          <w:rFonts w:eastAsia="Calibri"/>
          <w:color w:val="000000" w:themeColor="text1"/>
        </w:rPr>
        <w:t>:</w:t>
      </w:r>
      <w:r w:rsidRPr="0083113B">
        <w:rPr>
          <w:rFonts w:eastAsia="Calibri"/>
          <w:color w:val="000000" w:themeColor="text1"/>
        </w:rPr>
        <w:t xml:space="preserve"> 149-175.</w:t>
      </w:r>
    </w:p>
    <w:p w14:paraId="3179A3E2" w14:textId="77777777" w:rsidR="00BD05D6" w:rsidRDefault="00BD05D6" w:rsidP="0049456A">
      <w:pPr>
        <w:ind w:left="720" w:hanging="720"/>
        <w:jc w:val="both"/>
        <w:rPr>
          <w:rFonts w:eastAsia="Calibri"/>
          <w:color w:val="000000" w:themeColor="text1"/>
          <w:lang w:val="en-US"/>
        </w:rPr>
      </w:pPr>
    </w:p>
    <w:p w14:paraId="64171BE3" w14:textId="6532C928" w:rsidR="00A83369" w:rsidRPr="0083113B" w:rsidRDefault="00A83369" w:rsidP="0083113B">
      <w:pPr>
        <w:ind w:left="720" w:hanging="720"/>
        <w:jc w:val="both"/>
        <w:rPr>
          <w:rFonts w:eastAsia="Calibri"/>
          <w:color w:val="000000" w:themeColor="text1"/>
          <w:lang w:val="en-US"/>
        </w:rPr>
      </w:pPr>
      <w:r w:rsidRPr="0083113B">
        <w:rPr>
          <w:rFonts w:eastAsia="Calibri"/>
          <w:color w:val="000000" w:themeColor="text1"/>
          <w:lang w:val="en-US"/>
        </w:rPr>
        <w:t>Mendes, R. </w:t>
      </w:r>
      <w:r w:rsidR="00836757" w:rsidRPr="0083113B">
        <w:rPr>
          <w:rFonts w:eastAsia="Calibri"/>
          <w:color w:val="000000" w:themeColor="text1"/>
          <w:lang w:val="en-US"/>
        </w:rPr>
        <w:t>“</w:t>
      </w:r>
      <w:r w:rsidRPr="0083113B">
        <w:rPr>
          <w:rFonts w:eastAsia="Calibri"/>
          <w:color w:val="000000" w:themeColor="text1"/>
          <w:lang w:val="en-US"/>
        </w:rPr>
        <w:t xml:space="preserve">Workers’ </w:t>
      </w:r>
      <w:r w:rsidR="00836757" w:rsidRPr="0083113B">
        <w:rPr>
          <w:rFonts w:eastAsia="Calibri"/>
          <w:color w:val="000000" w:themeColor="text1"/>
          <w:lang w:val="en-US"/>
        </w:rPr>
        <w:t>H</w:t>
      </w:r>
      <w:r w:rsidRPr="0083113B">
        <w:rPr>
          <w:rFonts w:eastAsia="Calibri"/>
          <w:color w:val="000000" w:themeColor="text1"/>
          <w:lang w:val="en-US"/>
        </w:rPr>
        <w:t>ealth in Latin America and the Caribbean.</w:t>
      </w:r>
      <w:r w:rsidR="00836757" w:rsidRPr="0083113B">
        <w:rPr>
          <w:rFonts w:eastAsia="Calibri"/>
          <w:color w:val="000000" w:themeColor="text1"/>
          <w:lang w:val="en-US"/>
        </w:rPr>
        <w:t>”</w:t>
      </w:r>
      <w:r w:rsidRPr="0083113B">
        <w:rPr>
          <w:rFonts w:eastAsia="Calibri"/>
          <w:color w:val="000000" w:themeColor="text1"/>
          <w:lang w:val="en-US"/>
        </w:rPr>
        <w:t xml:space="preserve"> In </w:t>
      </w:r>
      <w:r w:rsidRPr="0083113B">
        <w:rPr>
          <w:rFonts w:eastAsia="Calibri"/>
          <w:i/>
          <w:iCs/>
          <w:color w:val="000000" w:themeColor="text1"/>
          <w:lang w:val="en-US"/>
        </w:rPr>
        <w:t>Oxford Research Encyclopedia of Global Public Health</w:t>
      </w:r>
      <w:r w:rsidR="00673323" w:rsidRPr="00FA7E36">
        <w:rPr>
          <w:rFonts w:eastAsia="Calibri"/>
          <w:i/>
          <w:iCs/>
          <w:color w:val="000000" w:themeColor="text1"/>
          <w:lang w:val="en-US"/>
        </w:rPr>
        <w:t>,</w:t>
      </w:r>
      <w:r w:rsidR="00673323">
        <w:rPr>
          <w:rFonts w:eastAsia="Calibri"/>
          <w:color w:val="000000" w:themeColor="text1"/>
          <w:lang w:val="en-US"/>
        </w:rPr>
        <w:t xml:space="preserve"> edited by David McQueen</w:t>
      </w:r>
      <w:r w:rsidR="00FA7E36">
        <w:rPr>
          <w:rFonts w:eastAsia="Calibri"/>
          <w:color w:val="000000" w:themeColor="text1"/>
          <w:lang w:val="en-US"/>
        </w:rPr>
        <w:t>.</w:t>
      </w:r>
      <w:r w:rsidR="00875EE8" w:rsidRPr="0083113B">
        <w:rPr>
          <w:rFonts w:eastAsia="Calibri"/>
          <w:color w:val="000000" w:themeColor="text1"/>
          <w:lang w:val="en-US"/>
        </w:rPr>
        <w:t xml:space="preserve"> Oxford</w:t>
      </w:r>
      <w:r w:rsidR="004C52D9" w:rsidRPr="0083113B">
        <w:rPr>
          <w:rFonts w:eastAsia="Calibri"/>
          <w:color w:val="000000" w:themeColor="text1"/>
          <w:lang w:val="en-US"/>
        </w:rPr>
        <w:t>, UK</w:t>
      </w:r>
      <w:r w:rsidR="00875EE8" w:rsidRPr="0083113B">
        <w:rPr>
          <w:rFonts w:eastAsia="Calibri"/>
          <w:color w:val="000000" w:themeColor="text1"/>
          <w:lang w:val="en-US"/>
        </w:rPr>
        <w:t>:</w:t>
      </w:r>
      <w:r w:rsidRPr="0083113B">
        <w:rPr>
          <w:rFonts w:eastAsia="Calibri"/>
          <w:color w:val="000000" w:themeColor="text1"/>
          <w:lang w:val="en-US"/>
        </w:rPr>
        <w:t xml:space="preserve"> Oxford University Press</w:t>
      </w:r>
      <w:r w:rsidR="00836757" w:rsidRPr="0083113B">
        <w:rPr>
          <w:rFonts w:eastAsia="Calibri"/>
          <w:color w:val="000000" w:themeColor="text1"/>
          <w:lang w:val="en-US"/>
        </w:rPr>
        <w:t>, 2019</w:t>
      </w:r>
      <w:r w:rsidRPr="0083113B">
        <w:rPr>
          <w:rFonts w:eastAsia="Calibri"/>
          <w:color w:val="000000" w:themeColor="text1"/>
          <w:lang w:val="en-US"/>
        </w:rPr>
        <w:t>.</w:t>
      </w:r>
    </w:p>
    <w:p w14:paraId="2AF23ED5" w14:textId="77777777" w:rsidR="00BD05D6" w:rsidRDefault="00BD05D6" w:rsidP="0049456A">
      <w:pPr>
        <w:ind w:left="720" w:hanging="720"/>
        <w:jc w:val="both"/>
        <w:rPr>
          <w:rFonts w:eastAsia="Calibri"/>
          <w:color w:val="000000" w:themeColor="text1"/>
        </w:rPr>
      </w:pPr>
    </w:p>
    <w:p w14:paraId="3388580B" w14:textId="597B28EE" w:rsidR="00AC3D72" w:rsidRPr="0083113B" w:rsidRDefault="00AC3D72" w:rsidP="0083113B">
      <w:pPr>
        <w:ind w:left="720" w:hanging="720"/>
        <w:jc w:val="both"/>
        <w:rPr>
          <w:rFonts w:eastAsia="Calibri"/>
          <w:color w:val="000000" w:themeColor="text1"/>
        </w:rPr>
      </w:pPr>
      <w:proofErr w:type="spellStart"/>
      <w:r w:rsidRPr="0083113B">
        <w:rPr>
          <w:rFonts w:eastAsia="Calibri"/>
          <w:color w:val="000000" w:themeColor="text1"/>
        </w:rPr>
        <w:t>Mintz</w:t>
      </w:r>
      <w:proofErr w:type="spellEnd"/>
      <w:r w:rsidRPr="0083113B">
        <w:rPr>
          <w:rFonts w:eastAsia="Calibri"/>
          <w:color w:val="000000" w:themeColor="text1"/>
        </w:rPr>
        <w:t xml:space="preserve">, S. </w:t>
      </w:r>
      <w:r w:rsidR="004037CE" w:rsidRPr="0083113B">
        <w:rPr>
          <w:rFonts w:eastAsia="Calibri"/>
          <w:color w:val="000000" w:themeColor="text1"/>
        </w:rPr>
        <w:t>“</w:t>
      </w:r>
      <w:r w:rsidRPr="0083113B">
        <w:rPr>
          <w:rFonts w:eastAsia="Calibri"/>
          <w:color w:val="000000" w:themeColor="text1"/>
        </w:rPr>
        <w:t xml:space="preserve">From </w:t>
      </w:r>
      <w:r w:rsidR="004037CE" w:rsidRPr="0083113B">
        <w:rPr>
          <w:rFonts w:eastAsia="Calibri"/>
          <w:color w:val="000000" w:themeColor="text1"/>
        </w:rPr>
        <w:t>P</w:t>
      </w:r>
      <w:r w:rsidRPr="0083113B">
        <w:rPr>
          <w:rFonts w:eastAsia="Calibri"/>
          <w:color w:val="000000" w:themeColor="text1"/>
        </w:rPr>
        <w:t xml:space="preserve">lantations to </w:t>
      </w:r>
      <w:r w:rsidR="004037CE" w:rsidRPr="0083113B">
        <w:rPr>
          <w:rFonts w:eastAsia="Calibri"/>
          <w:color w:val="000000" w:themeColor="text1"/>
        </w:rPr>
        <w:t>P</w:t>
      </w:r>
      <w:r w:rsidRPr="0083113B">
        <w:rPr>
          <w:rFonts w:eastAsia="Calibri"/>
          <w:color w:val="000000" w:themeColor="text1"/>
        </w:rPr>
        <w:t>easantries in the Caribbean</w:t>
      </w:r>
      <w:r w:rsidR="004C52D9" w:rsidRPr="0083113B">
        <w:rPr>
          <w:rFonts w:eastAsia="Calibri"/>
          <w:color w:val="000000" w:themeColor="text1"/>
        </w:rPr>
        <w:t>.</w:t>
      </w:r>
      <w:r w:rsidR="004037CE" w:rsidRPr="0083113B">
        <w:rPr>
          <w:rFonts w:eastAsia="Calibri"/>
          <w:color w:val="000000" w:themeColor="text1"/>
        </w:rPr>
        <w:t>”</w:t>
      </w:r>
      <w:r w:rsidRPr="0083113B">
        <w:rPr>
          <w:rFonts w:eastAsia="Calibri"/>
          <w:color w:val="000000" w:themeColor="text1"/>
        </w:rPr>
        <w:t xml:space="preserve"> </w:t>
      </w:r>
      <w:r w:rsidR="004C52D9" w:rsidRPr="0083113B">
        <w:rPr>
          <w:rFonts w:eastAsia="Calibri"/>
          <w:color w:val="000000" w:themeColor="text1"/>
        </w:rPr>
        <w:t>I</w:t>
      </w:r>
      <w:r w:rsidRPr="0083113B">
        <w:rPr>
          <w:rFonts w:eastAsia="Calibri"/>
          <w:color w:val="000000" w:themeColor="text1"/>
        </w:rPr>
        <w:t xml:space="preserve">n </w:t>
      </w:r>
      <w:r w:rsidRPr="0083113B">
        <w:rPr>
          <w:rFonts w:eastAsia="Calibri"/>
          <w:i/>
          <w:iCs/>
          <w:color w:val="000000" w:themeColor="text1"/>
        </w:rPr>
        <w:t>Ca</w:t>
      </w:r>
      <w:r w:rsidRPr="0083113B">
        <w:rPr>
          <w:rFonts w:eastAsia="Calibri"/>
          <w:i/>
          <w:iCs/>
          <w:color w:val="000000" w:themeColor="text1"/>
        </w:rPr>
        <w:softHyphen/>
        <w:t xml:space="preserve">ribbean Contours, </w:t>
      </w:r>
      <w:r w:rsidR="004C52D9" w:rsidRPr="0083113B">
        <w:rPr>
          <w:rFonts w:eastAsia="Calibri"/>
          <w:color w:val="000000" w:themeColor="text1"/>
        </w:rPr>
        <w:t xml:space="preserve">edited by S. </w:t>
      </w:r>
      <w:proofErr w:type="spellStart"/>
      <w:r w:rsidR="004C52D9" w:rsidRPr="0083113B">
        <w:rPr>
          <w:rFonts w:eastAsia="Calibri"/>
          <w:color w:val="000000" w:themeColor="text1"/>
        </w:rPr>
        <w:t>Mintz</w:t>
      </w:r>
      <w:proofErr w:type="spellEnd"/>
      <w:r w:rsidR="004C52D9" w:rsidRPr="0083113B">
        <w:rPr>
          <w:rFonts w:eastAsia="Calibri"/>
          <w:color w:val="000000" w:themeColor="text1"/>
        </w:rPr>
        <w:t>, 127-153. B</w:t>
      </w:r>
      <w:r w:rsidRPr="0083113B">
        <w:rPr>
          <w:rFonts w:eastAsia="Calibri"/>
          <w:color w:val="000000" w:themeColor="text1"/>
        </w:rPr>
        <w:t>altimore</w:t>
      </w:r>
      <w:r w:rsidR="004C52D9" w:rsidRPr="0083113B">
        <w:rPr>
          <w:rFonts w:eastAsia="Calibri"/>
          <w:color w:val="000000" w:themeColor="text1"/>
        </w:rPr>
        <w:t>, Maryland</w:t>
      </w:r>
      <w:r w:rsidRPr="0083113B">
        <w:rPr>
          <w:rFonts w:eastAsia="Calibri"/>
          <w:color w:val="000000" w:themeColor="text1"/>
        </w:rPr>
        <w:t xml:space="preserve">: The Johns Hopkins University Press, </w:t>
      </w:r>
      <w:r w:rsidR="004037CE" w:rsidRPr="0083113B">
        <w:rPr>
          <w:rFonts w:eastAsia="Calibri"/>
          <w:color w:val="000000" w:themeColor="text1"/>
        </w:rPr>
        <w:t>1985</w:t>
      </w:r>
      <w:r w:rsidRPr="0083113B">
        <w:rPr>
          <w:rFonts w:eastAsia="Calibri"/>
          <w:color w:val="000000" w:themeColor="text1"/>
        </w:rPr>
        <w:t xml:space="preserve">. </w:t>
      </w:r>
    </w:p>
    <w:p w14:paraId="6D4B2628" w14:textId="77777777" w:rsidR="00BD05D6" w:rsidRDefault="00BD05D6" w:rsidP="0049456A">
      <w:pPr>
        <w:ind w:left="720" w:hanging="720"/>
        <w:jc w:val="both"/>
        <w:rPr>
          <w:rFonts w:eastAsia="Calibri"/>
          <w:color w:val="000000" w:themeColor="text1"/>
        </w:rPr>
      </w:pPr>
    </w:p>
    <w:p w14:paraId="3F3A815A" w14:textId="4396D0CC" w:rsidR="00B67281" w:rsidRPr="0083113B" w:rsidRDefault="00B67281" w:rsidP="0083113B">
      <w:pPr>
        <w:ind w:left="720" w:hanging="720"/>
        <w:jc w:val="both"/>
        <w:rPr>
          <w:rFonts w:eastAsia="Calibri"/>
          <w:color w:val="000000" w:themeColor="text1"/>
        </w:rPr>
      </w:pPr>
      <w:r w:rsidRPr="0083113B">
        <w:rPr>
          <w:rFonts w:eastAsia="Calibri"/>
          <w:color w:val="000000" w:themeColor="text1"/>
        </w:rPr>
        <w:t>Mittal, S.</w:t>
      </w:r>
      <w:r w:rsidR="004C52D9" w:rsidRPr="0083113B">
        <w:rPr>
          <w:rFonts w:eastAsia="Calibri"/>
          <w:color w:val="000000" w:themeColor="text1"/>
        </w:rPr>
        <w:t>,</w:t>
      </w:r>
      <w:r w:rsidRPr="0083113B">
        <w:rPr>
          <w:rFonts w:eastAsia="Calibri"/>
          <w:color w:val="000000" w:themeColor="text1"/>
        </w:rPr>
        <w:t xml:space="preserve"> and </w:t>
      </w:r>
      <w:r w:rsidR="004C52D9" w:rsidRPr="0083113B">
        <w:rPr>
          <w:rFonts w:eastAsia="Calibri"/>
          <w:color w:val="000000" w:themeColor="text1"/>
        </w:rPr>
        <w:t xml:space="preserve">T. </w:t>
      </w:r>
      <w:r w:rsidRPr="0083113B">
        <w:rPr>
          <w:rFonts w:eastAsia="Calibri"/>
          <w:color w:val="000000" w:themeColor="text1"/>
        </w:rPr>
        <w:t xml:space="preserve">Singh. </w:t>
      </w:r>
      <w:r w:rsidR="004037CE" w:rsidRPr="0083113B">
        <w:rPr>
          <w:rFonts w:eastAsia="Calibri"/>
          <w:color w:val="000000" w:themeColor="text1"/>
        </w:rPr>
        <w:t>“</w:t>
      </w:r>
      <w:r w:rsidRPr="0083113B">
        <w:rPr>
          <w:rFonts w:eastAsia="Calibri"/>
          <w:color w:val="000000" w:themeColor="text1"/>
        </w:rPr>
        <w:t>Gender-</w:t>
      </w:r>
      <w:r w:rsidR="004037CE" w:rsidRPr="0083113B">
        <w:rPr>
          <w:rFonts w:eastAsia="Calibri"/>
          <w:color w:val="000000" w:themeColor="text1"/>
        </w:rPr>
        <w:t>B</w:t>
      </w:r>
      <w:r w:rsidRPr="0083113B">
        <w:rPr>
          <w:rFonts w:eastAsia="Calibri"/>
          <w:color w:val="000000" w:themeColor="text1"/>
        </w:rPr>
        <w:t xml:space="preserve">ased </w:t>
      </w:r>
      <w:r w:rsidR="004037CE" w:rsidRPr="0083113B">
        <w:rPr>
          <w:rFonts w:eastAsia="Calibri"/>
          <w:color w:val="000000" w:themeColor="text1"/>
        </w:rPr>
        <w:t>V</w:t>
      </w:r>
      <w:r w:rsidRPr="0083113B">
        <w:rPr>
          <w:rFonts w:eastAsia="Calibri"/>
          <w:color w:val="000000" w:themeColor="text1"/>
        </w:rPr>
        <w:t xml:space="preserve">iolence during COVID-19 </w:t>
      </w:r>
      <w:r w:rsidR="004037CE" w:rsidRPr="0083113B">
        <w:rPr>
          <w:rFonts w:eastAsia="Calibri"/>
          <w:color w:val="000000" w:themeColor="text1"/>
        </w:rPr>
        <w:t>P</w:t>
      </w:r>
      <w:r w:rsidRPr="0083113B">
        <w:rPr>
          <w:rFonts w:eastAsia="Calibri"/>
          <w:color w:val="000000" w:themeColor="text1"/>
        </w:rPr>
        <w:t xml:space="preserve">andemic: A </w:t>
      </w:r>
      <w:r w:rsidR="004037CE" w:rsidRPr="0083113B">
        <w:rPr>
          <w:rFonts w:eastAsia="Calibri"/>
          <w:color w:val="000000" w:themeColor="text1"/>
        </w:rPr>
        <w:t>M</w:t>
      </w:r>
      <w:r w:rsidRPr="0083113B">
        <w:rPr>
          <w:rFonts w:eastAsia="Calibri"/>
          <w:color w:val="000000" w:themeColor="text1"/>
        </w:rPr>
        <w:t>ini-</w:t>
      </w:r>
      <w:r w:rsidR="004037CE" w:rsidRPr="0083113B">
        <w:rPr>
          <w:rFonts w:eastAsia="Calibri"/>
          <w:color w:val="000000" w:themeColor="text1"/>
        </w:rPr>
        <w:t>R</w:t>
      </w:r>
      <w:r w:rsidRPr="0083113B">
        <w:rPr>
          <w:rFonts w:eastAsia="Calibri"/>
          <w:color w:val="000000" w:themeColor="text1"/>
        </w:rPr>
        <w:t>eview</w:t>
      </w:r>
      <w:r w:rsidR="004C52D9" w:rsidRPr="0083113B">
        <w:rPr>
          <w:rFonts w:eastAsia="Calibri"/>
          <w:color w:val="000000" w:themeColor="text1"/>
        </w:rPr>
        <w:t>.”</w:t>
      </w:r>
      <w:r w:rsidRPr="0083113B">
        <w:rPr>
          <w:rFonts w:eastAsia="Calibri"/>
          <w:color w:val="000000" w:themeColor="text1"/>
        </w:rPr>
        <w:t xml:space="preserve"> </w:t>
      </w:r>
      <w:r w:rsidRPr="0083113B">
        <w:rPr>
          <w:rFonts w:eastAsia="Calibri"/>
          <w:i/>
          <w:iCs/>
          <w:color w:val="000000" w:themeColor="text1"/>
        </w:rPr>
        <w:t>Frontiers in Global Women’s Health</w:t>
      </w:r>
      <w:r w:rsidRPr="0083113B">
        <w:rPr>
          <w:rFonts w:eastAsia="Calibri"/>
          <w:color w:val="000000" w:themeColor="text1"/>
        </w:rPr>
        <w:t xml:space="preserve"> 1</w:t>
      </w:r>
      <w:r w:rsidR="004C52D9" w:rsidRPr="0083113B">
        <w:rPr>
          <w:rFonts w:eastAsia="Calibri"/>
          <w:color w:val="000000" w:themeColor="text1"/>
        </w:rPr>
        <w:t xml:space="preserve">, no. </w:t>
      </w:r>
      <w:r w:rsidRPr="0083113B">
        <w:rPr>
          <w:rFonts w:eastAsia="Calibri"/>
          <w:color w:val="000000" w:themeColor="text1"/>
        </w:rPr>
        <w:t>4</w:t>
      </w:r>
      <w:r w:rsidR="004037CE" w:rsidRPr="0083113B">
        <w:rPr>
          <w:rFonts w:eastAsia="Calibri"/>
          <w:color w:val="000000" w:themeColor="text1"/>
        </w:rPr>
        <w:t xml:space="preserve"> (2020)</w:t>
      </w:r>
      <w:r w:rsidR="004C52D9" w:rsidRPr="0083113B">
        <w:rPr>
          <w:rFonts w:eastAsia="Calibri"/>
          <w:color w:val="000000" w:themeColor="text1"/>
        </w:rPr>
        <w:t>:</w:t>
      </w:r>
      <w:r w:rsidRPr="0083113B">
        <w:rPr>
          <w:rFonts w:eastAsia="Calibri"/>
          <w:color w:val="000000" w:themeColor="text1"/>
        </w:rPr>
        <w:t xml:space="preserve"> 1-7. </w:t>
      </w:r>
    </w:p>
    <w:p w14:paraId="66B866B7" w14:textId="77777777" w:rsidR="00BD05D6" w:rsidRDefault="00BD05D6" w:rsidP="0049456A">
      <w:pPr>
        <w:ind w:left="720" w:hanging="720"/>
        <w:jc w:val="both"/>
        <w:rPr>
          <w:rFonts w:eastAsia="Calibri"/>
          <w:color w:val="000000" w:themeColor="text1"/>
        </w:rPr>
      </w:pPr>
    </w:p>
    <w:p w14:paraId="10A66ACD" w14:textId="4879838A" w:rsidR="00AC3D72" w:rsidRPr="0083113B" w:rsidRDefault="00AC3D72" w:rsidP="0083113B">
      <w:pPr>
        <w:ind w:left="720" w:hanging="720"/>
        <w:jc w:val="both"/>
        <w:rPr>
          <w:rFonts w:eastAsia="Calibri"/>
          <w:color w:val="000000" w:themeColor="text1"/>
        </w:rPr>
      </w:pPr>
      <w:r w:rsidRPr="0083113B">
        <w:rPr>
          <w:rFonts w:eastAsia="Calibri"/>
          <w:color w:val="000000" w:themeColor="text1"/>
        </w:rPr>
        <w:t xml:space="preserve">Patel, R. </w:t>
      </w:r>
      <w:r w:rsidR="004037CE" w:rsidRPr="0083113B">
        <w:rPr>
          <w:rFonts w:eastAsia="Calibri"/>
          <w:color w:val="000000" w:themeColor="text1"/>
        </w:rPr>
        <w:t>“</w:t>
      </w:r>
      <w:r w:rsidRPr="0083113B">
        <w:rPr>
          <w:rFonts w:eastAsia="Calibri"/>
          <w:color w:val="000000" w:themeColor="text1"/>
        </w:rPr>
        <w:t xml:space="preserve">Food </w:t>
      </w:r>
      <w:r w:rsidR="004037CE" w:rsidRPr="0083113B">
        <w:rPr>
          <w:rFonts w:eastAsia="Calibri"/>
          <w:color w:val="000000" w:themeColor="text1"/>
        </w:rPr>
        <w:t>S</w:t>
      </w:r>
      <w:r w:rsidRPr="0083113B">
        <w:rPr>
          <w:rFonts w:eastAsia="Calibri"/>
          <w:color w:val="000000" w:themeColor="text1"/>
        </w:rPr>
        <w:t xml:space="preserve">overeignty: </w:t>
      </w:r>
      <w:r w:rsidR="004037CE" w:rsidRPr="0083113B">
        <w:rPr>
          <w:rFonts w:eastAsia="Calibri"/>
          <w:color w:val="000000" w:themeColor="text1"/>
        </w:rPr>
        <w:t>P</w:t>
      </w:r>
      <w:r w:rsidRPr="0083113B">
        <w:rPr>
          <w:rFonts w:eastAsia="Calibri"/>
          <w:color w:val="000000" w:themeColor="text1"/>
        </w:rPr>
        <w:t xml:space="preserve">ower, </w:t>
      </w:r>
      <w:r w:rsidR="004037CE" w:rsidRPr="0083113B">
        <w:rPr>
          <w:rFonts w:eastAsia="Calibri"/>
          <w:color w:val="000000" w:themeColor="text1"/>
        </w:rPr>
        <w:t>G</w:t>
      </w:r>
      <w:r w:rsidRPr="0083113B">
        <w:rPr>
          <w:rFonts w:eastAsia="Calibri"/>
          <w:color w:val="000000" w:themeColor="text1"/>
        </w:rPr>
        <w:t xml:space="preserve">ender, and the </w:t>
      </w:r>
      <w:r w:rsidR="004037CE" w:rsidRPr="0083113B">
        <w:rPr>
          <w:rFonts w:eastAsia="Calibri"/>
          <w:color w:val="000000" w:themeColor="text1"/>
        </w:rPr>
        <w:t>R</w:t>
      </w:r>
      <w:r w:rsidRPr="0083113B">
        <w:rPr>
          <w:rFonts w:eastAsia="Calibri"/>
          <w:color w:val="000000" w:themeColor="text1"/>
        </w:rPr>
        <w:t xml:space="preserve">ight to </w:t>
      </w:r>
      <w:r w:rsidR="004037CE" w:rsidRPr="0083113B">
        <w:rPr>
          <w:rFonts w:eastAsia="Calibri"/>
          <w:color w:val="000000" w:themeColor="text1"/>
        </w:rPr>
        <w:t>F</w:t>
      </w:r>
      <w:r w:rsidRPr="0083113B">
        <w:rPr>
          <w:rFonts w:eastAsia="Calibri"/>
          <w:color w:val="000000" w:themeColor="text1"/>
        </w:rPr>
        <w:t>ood</w:t>
      </w:r>
      <w:r w:rsidR="004C52D9" w:rsidRPr="0083113B">
        <w:rPr>
          <w:rFonts w:eastAsia="Calibri"/>
          <w:color w:val="000000" w:themeColor="text1"/>
        </w:rPr>
        <w:t>.</w:t>
      </w:r>
      <w:r w:rsidR="004037CE" w:rsidRPr="0083113B">
        <w:rPr>
          <w:rFonts w:eastAsia="Calibri"/>
          <w:color w:val="000000" w:themeColor="text1"/>
        </w:rPr>
        <w:t>”</w:t>
      </w:r>
      <w:r w:rsidRPr="0083113B">
        <w:rPr>
          <w:rFonts w:eastAsia="Calibri"/>
          <w:color w:val="000000" w:themeColor="text1"/>
        </w:rPr>
        <w:t> </w:t>
      </w:r>
      <w:proofErr w:type="spellStart"/>
      <w:r w:rsidRPr="0083113B">
        <w:rPr>
          <w:rFonts w:eastAsia="Calibri"/>
          <w:i/>
          <w:iCs/>
          <w:color w:val="000000" w:themeColor="text1"/>
        </w:rPr>
        <w:t>PLoS</w:t>
      </w:r>
      <w:proofErr w:type="spellEnd"/>
      <w:r w:rsidRPr="0083113B">
        <w:rPr>
          <w:rFonts w:eastAsia="Calibri"/>
          <w:i/>
          <w:iCs/>
          <w:color w:val="000000" w:themeColor="text1"/>
        </w:rPr>
        <w:t xml:space="preserve"> medicine</w:t>
      </w:r>
      <w:r w:rsidRPr="0083113B">
        <w:rPr>
          <w:rFonts w:eastAsia="Calibri"/>
          <w:color w:val="000000" w:themeColor="text1"/>
        </w:rPr>
        <w:t xml:space="preserve"> 9</w:t>
      </w:r>
      <w:r w:rsidR="00F22F73" w:rsidRPr="0083113B">
        <w:rPr>
          <w:rFonts w:eastAsia="Calibri"/>
          <w:color w:val="000000" w:themeColor="text1"/>
        </w:rPr>
        <w:t xml:space="preserve">, no. 6 </w:t>
      </w:r>
      <w:r w:rsidR="004037CE" w:rsidRPr="0083113B">
        <w:rPr>
          <w:rFonts w:eastAsia="Calibri"/>
          <w:color w:val="000000" w:themeColor="text1"/>
        </w:rPr>
        <w:t>(2012)</w:t>
      </w:r>
      <w:r w:rsidRPr="0083113B">
        <w:rPr>
          <w:rFonts w:eastAsia="Calibri"/>
          <w:color w:val="000000" w:themeColor="text1"/>
        </w:rPr>
        <w:t>.</w:t>
      </w:r>
      <w:r w:rsidR="00F22F73" w:rsidRPr="0083113B">
        <w:rPr>
          <w:rFonts w:eastAsia="Calibri"/>
          <w:color w:val="000000" w:themeColor="text1"/>
        </w:rPr>
        <w:t xml:space="preserve"> </w:t>
      </w:r>
      <w:hyperlink r:id="rId16" w:history="1">
        <w:r w:rsidR="00F22F73" w:rsidRPr="0083113B">
          <w:rPr>
            <w:rStyle w:val="Hyperlink"/>
            <w:rFonts w:eastAsia="Calibri"/>
          </w:rPr>
          <w:t>https://doi.org/10.1371/journal.pmed.1001223</w:t>
        </w:r>
      </w:hyperlink>
      <w:r w:rsidR="00F22F73" w:rsidRPr="0083113B">
        <w:rPr>
          <w:rFonts w:eastAsia="Calibri"/>
          <w:color w:val="000000" w:themeColor="text1"/>
        </w:rPr>
        <w:t xml:space="preserve">. </w:t>
      </w:r>
    </w:p>
    <w:p w14:paraId="5B39B129" w14:textId="77777777" w:rsidR="00BD05D6" w:rsidRDefault="00BD05D6" w:rsidP="0049456A">
      <w:pPr>
        <w:ind w:left="720" w:hanging="720"/>
        <w:jc w:val="both"/>
        <w:rPr>
          <w:rFonts w:eastAsia="Calibri"/>
          <w:color w:val="000000" w:themeColor="text1"/>
        </w:rPr>
      </w:pPr>
    </w:p>
    <w:p w14:paraId="79651D42" w14:textId="6D9C65FD" w:rsidR="00823E05" w:rsidRPr="0083113B" w:rsidRDefault="00823E05" w:rsidP="0083113B">
      <w:pPr>
        <w:ind w:left="720" w:hanging="720"/>
        <w:jc w:val="both"/>
        <w:rPr>
          <w:rFonts w:eastAsia="Calibri"/>
          <w:color w:val="000000" w:themeColor="text1"/>
        </w:rPr>
      </w:pPr>
      <w:r w:rsidRPr="0083113B">
        <w:rPr>
          <w:rFonts w:eastAsia="Calibri"/>
          <w:color w:val="000000" w:themeColor="text1"/>
        </w:rPr>
        <w:t>Reyes, J.R</w:t>
      </w:r>
      <w:r w:rsidR="00F22F73" w:rsidRPr="0083113B">
        <w:rPr>
          <w:rFonts w:eastAsia="Calibri"/>
          <w:color w:val="000000" w:themeColor="text1"/>
        </w:rPr>
        <w:t>.,</w:t>
      </w:r>
      <w:r w:rsidRPr="0083113B">
        <w:rPr>
          <w:rFonts w:eastAsia="Calibri"/>
          <w:color w:val="000000" w:themeColor="text1"/>
        </w:rPr>
        <w:t xml:space="preserve"> and </w:t>
      </w:r>
      <w:r w:rsidR="00F22F73" w:rsidRPr="0083113B">
        <w:rPr>
          <w:rFonts w:eastAsia="Calibri"/>
          <w:color w:val="000000" w:themeColor="text1"/>
        </w:rPr>
        <w:t xml:space="preserve">L. </w:t>
      </w:r>
      <w:r w:rsidRPr="0083113B">
        <w:rPr>
          <w:rFonts w:eastAsia="Calibri"/>
          <w:color w:val="000000" w:themeColor="text1"/>
        </w:rPr>
        <w:t xml:space="preserve">Gahman. </w:t>
      </w:r>
      <w:r w:rsidR="00D3616A" w:rsidRPr="0083113B">
        <w:rPr>
          <w:rFonts w:eastAsia="Calibri"/>
          <w:color w:val="000000" w:themeColor="text1"/>
        </w:rPr>
        <w:t>“</w:t>
      </w:r>
      <w:r w:rsidRPr="0083113B">
        <w:rPr>
          <w:rFonts w:eastAsia="Calibri"/>
          <w:color w:val="000000" w:themeColor="text1"/>
        </w:rPr>
        <w:t xml:space="preserve">From </w:t>
      </w:r>
      <w:r w:rsidR="00D3616A" w:rsidRPr="0083113B">
        <w:rPr>
          <w:rFonts w:eastAsia="Calibri"/>
          <w:color w:val="000000" w:themeColor="text1"/>
        </w:rPr>
        <w:t>‘</w:t>
      </w:r>
      <w:r w:rsidRPr="0083113B">
        <w:rPr>
          <w:rFonts w:eastAsia="Calibri"/>
          <w:color w:val="000000" w:themeColor="text1"/>
        </w:rPr>
        <w:t>Caliban</w:t>
      </w:r>
      <w:r w:rsidR="00D3616A" w:rsidRPr="0083113B">
        <w:rPr>
          <w:rFonts w:eastAsia="Calibri"/>
          <w:color w:val="000000" w:themeColor="text1"/>
        </w:rPr>
        <w:t>’</w:t>
      </w:r>
      <w:r w:rsidRPr="0083113B">
        <w:rPr>
          <w:rFonts w:eastAsia="Calibri"/>
          <w:color w:val="000000" w:themeColor="text1"/>
        </w:rPr>
        <w:t xml:space="preserve"> to </w:t>
      </w:r>
      <w:r w:rsidR="00D3616A" w:rsidRPr="0083113B">
        <w:rPr>
          <w:rFonts w:eastAsia="Calibri"/>
          <w:color w:val="000000" w:themeColor="text1"/>
        </w:rPr>
        <w:t>‘</w:t>
      </w:r>
      <w:r w:rsidR="00F22F73" w:rsidRPr="0083113B">
        <w:rPr>
          <w:rFonts w:eastAsia="Calibri"/>
          <w:color w:val="000000" w:themeColor="text1"/>
        </w:rPr>
        <w:t>C</w:t>
      </w:r>
      <w:r w:rsidRPr="0083113B">
        <w:rPr>
          <w:rFonts w:eastAsia="Calibri"/>
          <w:color w:val="000000" w:themeColor="text1"/>
        </w:rPr>
        <w:t>ockroaches</w:t>
      </w:r>
      <w:r w:rsidR="00F22F73" w:rsidRPr="0083113B">
        <w:rPr>
          <w:rFonts w:eastAsia="Calibri"/>
          <w:color w:val="000000" w:themeColor="text1"/>
        </w:rPr>
        <w:t>’</w:t>
      </w:r>
      <w:r w:rsidR="00D3616A" w:rsidRPr="0083113B">
        <w:rPr>
          <w:rFonts w:eastAsia="Calibri"/>
          <w:color w:val="000000" w:themeColor="text1"/>
        </w:rPr>
        <w:t>:</w:t>
      </w:r>
      <w:r w:rsidRPr="0083113B">
        <w:rPr>
          <w:rFonts w:eastAsia="Calibri"/>
          <w:color w:val="000000" w:themeColor="text1"/>
        </w:rPr>
        <w:t xml:space="preserve"> The </w:t>
      </w:r>
      <w:r w:rsidR="00D3616A" w:rsidRPr="0083113B">
        <w:rPr>
          <w:rFonts w:eastAsia="Calibri"/>
          <w:color w:val="000000" w:themeColor="text1"/>
        </w:rPr>
        <w:t>C</w:t>
      </w:r>
      <w:r w:rsidRPr="0083113B">
        <w:rPr>
          <w:rFonts w:eastAsia="Calibri"/>
          <w:color w:val="000000" w:themeColor="text1"/>
        </w:rPr>
        <w:t xml:space="preserve">onstruction of </w:t>
      </w:r>
      <w:r w:rsidR="00D3616A" w:rsidRPr="0083113B">
        <w:rPr>
          <w:rFonts w:eastAsia="Calibri"/>
          <w:color w:val="000000" w:themeColor="text1"/>
        </w:rPr>
        <w:t>P</w:t>
      </w:r>
      <w:r w:rsidRPr="0083113B">
        <w:rPr>
          <w:rFonts w:eastAsia="Calibri"/>
          <w:color w:val="000000" w:themeColor="text1"/>
        </w:rPr>
        <w:t xml:space="preserve">rofane </w:t>
      </w:r>
      <w:r w:rsidR="00D3616A" w:rsidRPr="0083113B">
        <w:rPr>
          <w:rFonts w:eastAsia="Calibri"/>
          <w:color w:val="000000" w:themeColor="text1"/>
        </w:rPr>
        <w:t>S</w:t>
      </w:r>
      <w:r w:rsidRPr="0083113B">
        <w:rPr>
          <w:rFonts w:eastAsia="Calibri"/>
          <w:color w:val="000000" w:themeColor="text1"/>
        </w:rPr>
        <w:t xml:space="preserve">pace, </w:t>
      </w:r>
      <w:r w:rsidR="00D3616A" w:rsidRPr="0083113B">
        <w:rPr>
          <w:rFonts w:eastAsia="Calibri"/>
          <w:color w:val="000000" w:themeColor="text1"/>
        </w:rPr>
        <w:t>W</w:t>
      </w:r>
      <w:r w:rsidRPr="0083113B">
        <w:rPr>
          <w:rFonts w:eastAsia="Calibri"/>
          <w:color w:val="000000" w:themeColor="text1"/>
        </w:rPr>
        <w:t xml:space="preserve">retched Others, and </w:t>
      </w:r>
      <w:r w:rsidR="00D3616A" w:rsidRPr="0083113B">
        <w:rPr>
          <w:rFonts w:eastAsia="Calibri"/>
          <w:color w:val="000000" w:themeColor="text1"/>
        </w:rPr>
        <w:t>P</w:t>
      </w:r>
      <w:r w:rsidRPr="0083113B">
        <w:rPr>
          <w:rFonts w:eastAsia="Calibri"/>
          <w:color w:val="000000" w:themeColor="text1"/>
        </w:rPr>
        <w:t xml:space="preserve">olitical </w:t>
      </w:r>
      <w:r w:rsidR="00D3616A" w:rsidRPr="0083113B">
        <w:rPr>
          <w:rFonts w:eastAsia="Calibri"/>
          <w:color w:val="000000" w:themeColor="text1"/>
        </w:rPr>
        <w:t>A</w:t>
      </w:r>
      <w:r w:rsidRPr="0083113B">
        <w:rPr>
          <w:rFonts w:eastAsia="Calibri"/>
          <w:color w:val="000000" w:themeColor="text1"/>
        </w:rPr>
        <w:t xml:space="preserve">gency in a </w:t>
      </w:r>
      <w:r w:rsidR="00D3616A" w:rsidRPr="0083113B">
        <w:rPr>
          <w:rFonts w:eastAsia="Calibri"/>
          <w:color w:val="000000" w:themeColor="text1"/>
        </w:rPr>
        <w:t>P</w:t>
      </w:r>
      <w:r w:rsidRPr="0083113B">
        <w:rPr>
          <w:rFonts w:eastAsia="Calibri"/>
          <w:color w:val="000000" w:themeColor="text1"/>
        </w:rPr>
        <w:t xml:space="preserve">ostcolonial </w:t>
      </w:r>
      <w:r w:rsidR="00F22F73" w:rsidRPr="0083113B">
        <w:rPr>
          <w:rFonts w:eastAsia="Calibri"/>
          <w:color w:val="000000" w:themeColor="text1"/>
        </w:rPr>
        <w:t>‘</w:t>
      </w:r>
      <w:r w:rsidR="00D3616A" w:rsidRPr="0083113B">
        <w:rPr>
          <w:rFonts w:eastAsia="Calibri"/>
          <w:color w:val="000000" w:themeColor="text1"/>
        </w:rPr>
        <w:t>G</w:t>
      </w:r>
      <w:r w:rsidRPr="0083113B">
        <w:rPr>
          <w:rFonts w:eastAsia="Calibri"/>
          <w:color w:val="000000" w:themeColor="text1"/>
        </w:rPr>
        <w:t>hetto</w:t>
      </w:r>
      <w:r w:rsidR="00F22F73" w:rsidRPr="0083113B">
        <w:rPr>
          <w:rFonts w:eastAsia="Calibri"/>
          <w:color w:val="000000" w:themeColor="text1"/>
        </w:rPr>
        <w:t>’.</w:t>
      </w:r>
      <w:r w:rsidRPr="0083113B">
        <w:rPr>
          <w:rFonts w:eastAsia="Calibri"/>
          <w:color w:val="000000" w:themeColor="text1"/>
        </w:rPr>
        <w:t xml:space="preserve">” In </w:t>
      </w:r>
      <w:r w:rsidRPr="0083113B">
        <w:rPr>
          <w:rFonts w:eastAsia="Calibri"/>
          <w:i/>
          <w:iCs/>
          <w:color w:val="000000" w:themeColor="text1"/>
        </w:rPr>
        <w:t xml:space="preserve">Fanon Today: Reason and Revolt of the Wretched of the Earth, </w:t>
      </w:r>
      <w:r w:rsidR="00F22F73" w:rsidRPr="0083113B">
        <w:rPr>
          <w:rFonts w:eastAsia="Calibri"/>
          <w:color w:val="000000" w:themeColor="text1"/>
        </w:rPr>
        <w:t>edited by N. Gibson, 92-117. W</w:t>
      </w:r>
      <w:r w:rsidRPr="0083113B">
        <w:rPr>
          <w:rFonts w:eastAsia="Calibri"/>
          <w:color w:val="000000" w:themeColor="text1"/>
        </w:rPr>
        <w:t>akefield</w:t>
      </w:r>
      <w:r w:rsidR="00F22F73" w:rsidRPr="0083113B">
        <w:rPr>
          <w:rFonts w:eastAsia="Calibri"/>
          <w:color w:val="000000" w:themeColor="text1"/>
        </w:rPr>
        <w:t>, Canada</w:t>
      </w:r>
      <w:r w:rsidRPr="0083113B">
        <w:rPr>
          <w:rFonts w:eastAsia="Calibri"/>
          <w:color w:val="000000" w:themeColor="text1"/>
        </w:rPr>
        <w:t xml:space="preserve">: </w:t>
      </w:r>
      <w:proofErr w:type="spellStart"/>
      <w:r w:rsidRPr="0083113B">
        <w:rPr>
          <w:rFonts w:eastAsia="Calibri"/>
          <w:color w:val="000000" w:themeColor="text1"/>
        </w:rPr>
        <w:t>Daraja</w:t>
      </w:r>
      <w:proofErr w:type="spellEnd"/>
      <w:r w:rsidRPr="0083113B">
        <w:rPr>
          <w:rFonts w:eastAsia="Calibri"/>
          <w:color w:val="000000" w:themeColor="text1"/>
        </w:rPr>
        <w:t xml:space="preserve"> Press, </w:t>
      </w:r>
      <w:r w:rsidR="00D3616A" w:rsidRPr="0083113B">
        <w:rPr>
          <w:rFonts w:eastAsia="Calibri"/>
          <w:color w:val="000000" w:themeColor="text1"/>
        </w:rPr>
        <w:t>2021</w:t>
      </w:r>
      <w:r w:rsidR="00F22F73" w:rsidRPr="0083113B">
        <w:rPr>
          <w:rFonts w:eastAsia="Calibri"/>
          <w:color w:val="000000" w:themeColor="text1"/>
        </w:rPr>
        <w:t>.</w:t>
      </w:r>
      <w:r w:rsidR="00D3616A" w:rsidRPr="0083113B">
        <w:rPr>
          <w:rFonts w:eastAsia="Calibri"/>
          <w:color w:val="000000" w:themeColor="text1"/>
        </w:rPr>
        <w:t xml:space="preserve"> </w:t>
      </w:r>
    </w:p>
    <w:p w14:paraId="0CCA19CC" w14:textId="77777777" w:rsidR="00BD05D6" w:rsidRDefault="00BD05D6" w:rsidP="0049456A">
      <w:pPr>
        <w:ind w:left="720" w:hanging="720"/>
        <w:jc w:val="both"/>
        <w:rPr>
          <w:rFonts w:eastAsia="Calibri"/>
          <w:color w:val="000000" w:themeColor="text1"/>
        </w:rPr>
      </w:pPr>
    </w:p>
    <w:p w14:paraId="361BFEB7" w14:textId="7F737994" w:rsidR="007F3F9D" w:rsidRPr="0083113B" w:rsidRDefault="007F3F9D" w:rsidP="0083113B">
      <w:pPr>
        <w:ind w:left="720" w:hanging="720"/>
        <w:jc w:val="both"/>
        <w:rPr>
          <w:rFonts w:eastAsia="Calibri"/>
          <w:color w:val="000000" w:themeColor="text1"/>
        </w:rPr>
      </w:pPr>
      <w:proofErr w:type="spellStart"/>
      <w:r w:rsidRPr="0083113B">
        <w:rPr>
          <w:rFonts w:eastAsia="Calibri"/>
          <w:color w:val="000000" w:themeColor="text1"/>
        </w:rPr>
        <w:t>Rhiney</w:t>
      </w:r>
      <w:proofErr w:type="spellEnd"/>
      <w:r w:rsidRPr="0083113B">
        <w:rPr>
          <w:rFonts w:eastAsia="Calibri"/>
          <w:color w:val="000000" w:themeColor="text1"/>
        </w:rPr>
        <w:t xml:space="preserve">, </w:t>
      </w:r>
      <w:r w:rsidR="00D3616A" w:rsidRPr="0083113B">
        <w:rPr>
          <w:rFonts w:eastAsia="Calibri"/>
          <w:color w:val="000000" w:themeColor="text1"/>
        </w:rPr>
        <w:t>K</w:t>
      </w:r>
      <w:r w:rsidRPr="0083113B">
        <w:rPr>
          <w:rFonts w:eastAsia="Calibri"/>
          <w:color w:val="000000" w:themeColor="text1"/>
        </w:rPr>
        <w:t xml:space="preserve">. </w:t>
      </w:r>
      <w:r w:rsidR="00D3616A" w:rsidRPr="0083113B">
        <w:rPr>
          <w:rFonts w:eastAsia="Calibri"/>
          <w:color w:val="000000" w:themeColor="text1"/>
        </w:rPr>
        <w:t>“</w:t>
      </w:r>
      <w:r w:rsidRPr="0083113B">
        <w:rPr>
          <w:rFonts w:eastAsia="Calibri"/>
          <w:color w:val="000000" w:themeColor="text1"/>
        </w:rPr>
        <w:t xml:space="preserve">Dispossession, </w:t>
      </w:r>
      <w:r w:rsidR="00D3616A" w:rsidRPr="0083113B">
        <w:rPr>
          <w:rFonts w:eastAsia="Calibri"/>
          <w:color w:val="000000" w:themeColor="text1"/>
        </w:rPr>
        <w:t>D</w:t>
      </w:r>
      <w:r w:rsidRPr="0083113B">
        <w:rPr>
          <w:rFonts w:eastAsia="Calibri"/>
          <w:color w:val="000000" w:themeColor="text1"/>
        </w:rPr>
        <w:t xml:space="preserve">isaster </w:t>
      </w:r>
      <w:r w:rsidR="00D3616A" w:rsidRPr="0083113B">
        <w:rPr>
          <w:rFonts w:eastAsia="Calibri"/>
          <w:color w:val="000000" w:themeColor="text1"/>
        </w:rPr>
        <w:t>C</w:t>
      </w:r>
      <w:r w:rsidRPr="0083113B">
        <w:rPr>
          <w:rFonts w:eastAsia="Calibri"/>
          <w:color w:val="000000" w:themeColor="text1"/>
        </w:rPr>
        <w:t xml:space="preserve">apitalism and the </w:t>
      </w:r>
      <w:r w:rsidR="00D3616A" w:rsidRPr="0083113B">
        <w:rPr>
          <w:rFonts w:eastAsia="Calibri"/>
          <w:color w:val="000000" w:themeColor="text1"/>
        </w:rPr>
        <w:t>P</w:t>
      </w:r>
      <w:r w:rsidRPr="0083113B">
        <w:rPr>
          <w:rFonts w:eastAsia="Calibri"/>
          <w:color w:val="000000" w:themeColor="text1"/>
        </w:rPr>
        <w:t>ost-</w:t>
      </w:r>
      <w:r w:rsidR="00D3616A" w:rsidRPr="0083113B">
        <w:rPr>
          <w:rFonts w:eastAsia="Calibri"/>
          <w:color w:val="000000" w:themeColor="text1"/>
        </w:rPr>
        <w:t>H</w:t>
      </w:r>
      <w:r w:rsidRPr="0083113B">
        <w:rPr>
          <w:rFonts w:eastAsia="Calibri"/>
          <w:color w:val="000000" w:themeColor="text1"/>
        </w:rPr>
        <w:t xml:space="preserve">urricane </w:t>
      </w:r>
      <w:r w:rsidR="00D3616A" w:rsidRPr="0083113B">
        <w:rPr>
          <w:rFonts w:eastAsia="Calibri"/>
          <w:color w:val="000000" w:themeColor="text1"/>
        </w:rPr>
        <w:t>C</w:t>
      </w:r>
      <w:r w:rsidRPr="0083113B">
        <w:rPr>
          <w:rFonts w:eastAsia="Calibri"/>
          <w:color w:val="000000" w:themeColor="text1"/>
        </w:rPr>
        <w:t>ontext in the Caribbean</w:t>
      </w:r>
      <w:r w:rsidR="00F25454" w:rsidRPr="0083113B">
        <w:rPr>
          <w:rFonts w:eastAsia="Calibri"/>
          <w:color w:val="000000" w:themeColor="text1"/>
        </w:rPr>
        <w:t>.</w:t>
      </w:r>
      <w:r w:rsidR="00D3616A"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Political Geography</w:t>
      </w:r>
      <w:r w:rsidRPr="0083113B">
        <w:rPr>
          <w:rFonts w:eastAsia="Calibri"/>
          <w:color w:val="000000" w:themeColor="text1"/>
        </w:rPr>
        <w:t> </w:t>
      </w:r>
      <w:r w:rsidRPr="0083113B">
        <w:rPr>
          <w:rFonts w:eastAsia="Calibri"/>
          <w:i/>
          <w:iCs/>
          <w:color w:val="000000" w:themeColor="text1"/>
        </w:rPr>
        <w:t>78</w:t>
      </w:r>
      <w:r w:rsidR="00D3616A" w:rsidRPr="0083113B">
        <w:rPr>
          <w:rFonts w:eastAsia="Calibri"/>
          <w:i/>
          <w:iCs/>
          <w:color w:val="000000" w:themeColor="text1"/>
        </w:rPr>
        <w:t xml:space="preserve"> </w:t>
      </w:r>
      <w:r w:rsidR="00D3616A" w:rsidRPr="0083113B">
        <w:rPr>
          <w:rFonts w:eastAsia="Calibri"/>
          <w:color w:val="000000" w:themeColor="text1"/>
        </w:rPr>
        <w:t>(2020)</w:t>
      </w:r>
      <w:r w:rsidR="00F25454" w:rsidRPr="0083113B">
        <w:rPr>
          <w:rFonts w:eastAsia="Calibri"/>
          <w:color w:val="000000" w:themeColor="text1"/>
        </w:rPr>
        <w:t>:</w:t>
      </w:r>
      <w:r w:rsidRPr="0083113B">
        <w:rPr>
          <w:rFonts w:eastAsia="Calibri"/>
          <w:color w:val="000000" w:themeColor="text1"/>
        </w:rPr>
        <w:t xml:space="preserve"> 102</w:t>
      </w:r>
      <w:r w:rsidR="00D3616A" w:rsidRPr="0083113B">
        <w:rPr>
          <w:rFonts w:eastAsia="Calibri"/>
          <w:color w:val="000000" w:themeColor="text1"/>
        </w:rPr>
        <w:t>-</w:t>
      </w:r>
      <w:r w:rsidRPr="0083113B">
        <w:rPr>
          <w:rFonts w:eastAsia="Calibri"/>
          <w:color w:val="000000" w:themeColor="text1"/>
        </w:rPr>
        <w:t>171.</w:t>
      </w:r>
    </w:p>
    <w:p w14:paraId="4AE8CD6D" w14:textId="77777777" w:rsidR="00BD05D6" w:rsidRDefault="00BD05D6" w:rsidP="0049456A">
      <w:pPr>
        <w:ind w:left="720" w:hanging="720"/>
        <w:jc w:val="both"/>
        <w:rPr>
          <w:rFonts w:eastAsia="Calibri"/>
          <w:color w:val="000000" w:themeColor="text1"/>
        </w:rPr>
      </w:pPr>
    </w:p>
    <w:p w14:paraId="0223E30A" w14:textId="29EEF7A5" w:rsidR="005F71A2" w:rsidRPr="0083113B" w:rsidRDefault="005F71A2" w:rsidP="0083113B">
      <w:pPr>
        <w:ind w:left="720" w:hanging="720"/>
        <w:jc w:val="both"/>
        <w:rPr>
          <w:rFonts w:eastAsia="Calibri"/>
          <w:color w:val="000000" w:themeColor="text1"/>
        </w:rPr>
      </w:pPr>
      <w:r w:rsidRPr="0083113B">
        <w:rPr>
          <w:rFonts w:eastAsia="Calibri"/>
          <w:color w:val="000000" w:themeColor="text1"/>
        </w:rPr>
        <w:t xml:space="preserve">Saint Ville, A.S., </w:t>
      </w:r>
      <w:r w:rsidR="00F25454" w:rsidRPr="0083113B">
        <w:rPr>
          <w:rFonts w:eastAsia="Calibri"/>
          <w:color w:val="000000" w:themeColor="text1"/>
        </w:rPr>
        <w:t xml:space="preserve">G.M. </w:t>
      </w:r>
      <w:r w:rsidRPr="0083113B">
        <w:rPr>
          <w:rFonts w:eastAsia="Calibri"/>
          <w:color w:val="000000" w:themeColor="text1"/>
        </w:rPr>
        <w:t xml:space="preserve">Hickey, </w:t>
      </w:r>
      <w:r w:rsidR="00066B8D" w:rsidRPr="0083113B">
        <w:rPr>
          <w:rFonts w:eastAsia="Calibri"/>
          <w:color w:val="000000" w:themeColor="text1"/>
        </w:rPr>
        <w:t>and</w:t>
      </w:r>
      <w:r w:rsidRPr="0083113B">
        <w:rPr>
          <w:rFonts w:eastAsia="Calibri"/>
          <w:color w:val="000000" w:themeColor="text1"/>
        </w:rPr>
        <w:t xml:space="preserve"> </w:t>
      </w:r>
      <w:r w:rsidR="00F25454" w:rsidRPr="0083113B">
        <w:rPr>
          <w:rFonts w:eastAsia="Calibri"/>
          <w:color w:val="000000" w:themeColor="text1"/>
        </w:rPr>
        <w:t xml:space="preserve">L.E. </w:t>
      </w:r>
      <w:r w:rsidRPr="0083113B">
        <w:rPr>
          <w:rFonts w:eastAsia="Calibri"/>
          <w:color w:val="000000" w:themeColor="text1"/>
        </w:rPr>
        <w:t xml:space="preserve">Phillip. </w:t>
      </w:r>
      <w:r w:rsidR="008C398A" w:rsidRPr="0083113B">
        <w:rPr>
          <w:rFonts w:eastAsia="Calibri"/>
          <w:color w:val="000000" w:themeColor="text1"/>
        </w:rPr>
        <w:t>“</w:t>
      </w:r>
      <w:r w:rsidRPr="0083113B">
        <w:rPr>
          <w:rFonts w:eastAsia="Calibri"/>
          <w:color w:val="000000" w:themeColor="text1"/>
        </w:rPr>
        <w:t xml:space="preserve">Institutional </w:t>
      </w:r>
      <w:r w:rsidR="008C398A" w:rsidRPr="0083113B">
        <w:rPr>
          <w:rFonts w:eastAsia="Calibri"/>
          <w:color w:val="000000" w:themeColor="text1"/>
        </w:rPr>
        <w:t>A</w:t>
      </w:r>
      <w:r w:rsidRPr="0083113B">
        <w:rPr>
          <w:rFonts w:eastAsia="Calibri"/>
          <w:color w:val="000000" w:themeColor="text1"/>
        </w:rPr>
        <w:t xml:space="preserve">nalysis of </w:t>
      </w:r>
      <w:r w:rsidR="008C398A" w:rsidRPr="0083113B">
        <w:rPr>
          <w:rFonts w:eastAsia="Calibri"/>
          <w:color w:val="000000" w:themeColor="text1"/>
        </w:rPr>
        <w:t>F</w:t>
      </w:r>
      <w:r w:rsidRPr="0083113B">
        <w:rPr>
          <w:rFonts w:eastAsia="Calibri"/>
          <w:color w:val="000000" w:themeColor="text1"/>
        </w:rPr>
        <w:t xml:space="preserve">ood and </w:t>
      </w:r>
      <w:r w:rsidR="008C398A" w:rsidRPr="0083113B">
        <w:rPr>
          <w:rFonts w:eastAsia="Calibri"/>
          <w:color w:val="000000" w:themeColor="text1"/>
        </w:rPr>
        <w:t>A</w:t>
      </w:r>
      <w:r w:rsidRPr="0083113B">
        <w:rPr>
          <w:rFonts w:eastAsia="Calibri"/>
          <w:color w:val="000000" w:themeColor="text1"/>
        </w:rPr>
        <w:t xml:space="preserve">griculture </w:t>
      </w:r>
      <w:r w:rsidR="008C398A" w:rsidRPr="0083113B">
        <w:rPr>
          <w:rFonts w:eastAsia="Calibri"/>
          <w:color w:val="000000" w:themeColor="text1"/>
        </w:rPr>
        <w:t>P</w:t>
      </w:r>
      <w:r w:rsidRPr="0083113B">
        <w:rPr>
          <w:rFonts w:eastAsia="Calibri"/>
          <w:color w:val="000000" w:themeColor="text1"/>
        </w:rPr>
        <w:t>olicy in the Caribbean: The Case of Saint Lucia</w:t>
      </w:r>
      <w:r w:rsidR="00F25454" w:rsidRPr="0083113B">
        <w:rPr>
          <w:rFonts w:eastAsia="Calibri"/>
          <w:color w:val="000000" w:themeColor="text1"/>
        </w:rPr>
        <w:t>.</w:t>
      </w:r>
      <w:r w:rsidR="008C398A"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Journal of Rural Studies</w:t>
      </w:r>
      <w:r w:rsidRPr="0083113B">
        <w:rPr>
          <w:rFonts w:eastAsia="Calibri"/>
          <w:color w:val="000000" w:themeColor="text1"/>
        </w:rPr>
        <w:t> 51</w:t>
      </w:r>
      <w:r w:rsidR="008C398A" w:rsidRPr="0083113B">
        <w:rPr>
          <w:rFonts w:eastAsia="Calibri"/>
          <w:color w:val="000000" w:themeColor="text1"/>
        </w:rPr>
        <w:t xml:space="preserve"> (2017)</w:t>
      </w:r>
      <w:r w:rsidR="00F25454" w:rsidRPr="0083113B">
        <w:rPr>
          <w:rFonts w:eastAsia="Calibri"/>
          <w:color w:val="000000" w:themeColor="text1"/>
        </w:rPr>
        <w:t>:</w:t>
      </w:r>
      <w:r w:rsidRPr="0083113B">
        <w:rPr>
          <w:rFonts w:eastAsia="Calibri"/>
          <w:color w:val="000000" w:themeColor="text1"/>
        </w:rPr>
        <w:t xml:space="preserve"> 198-210.</w:t>
      </w:r>
    </w:p>
    <w:p w14:paraId="6AE5389A" w14:textId="77777777" w:rsidR="00BD05D6" w:rsidRDefault="00BD05D6" w:rsidP="0049456A">
      <w:pPr>
        <w:ind w:left="720" w:hanging="720"/>
        <w:rPr>
          <w:rFonts w:eastAsia="Calibri"/>
          <w:color w:val="000000" w:themeColor="text1"/>
        </w:rPr>
      </w:pPr>
    </w:p>
    <w:p w14:paraId="61FBCD4E" w14:textId="16B66F2F" w:rsidR="007F3F9D" w:rsidRPr="0083113B" w:rsidRDefault="007F3F9D" w:rsidP="0083113B">
      <w:pPr>
        <w:ind w:left="720" w:hanging="720"/>
        <w:rPr>
          <w:rFonts w:eastAsia="Calibri"/>
          <w:color w:val="000000" w:themeColor="text1"/>
        </w:rPr>
      </w:pPr>
      <w:r w:rsidRPr="0083113B">
        <w:rPr>
          <w:rFonts w:eastAsia="Calibri"/>
          <w:color w:val="000000" w:themeColor="text1"/>
        </w:rPr>
        <w:t xml:space="preserve">Sealey-Huggins, L. </w:t>
      </w:r>
      <w:r w:rsidR="008C398A" w:rsidRPr="0083113B">
        <w:rPr>
          <w:rFonts w:eastAsia="Calibri"/>
          <w:color w:val="000000" w:themeColor="text1"/>
        </w:rPr>
        <w:t>“</w:t>
      </w:r>
      <w:r w:rsidRPr="0083113B">
        <w:rPr>
          <w:rFonts w:eastAsia="Calibri"/>
          <w:color w:val="000000" w:themeColor="text1"/>
        </w:rPr>
        <w:t xml:space="preserve">‘1.5° C to </w:t>
      </w:r>
      <w:r w:rsidR="008C398A" w:rsidRPr="0083113B">
        <w:rPr>
          <w:rFonts w:eastAsia="Calibri"/>
          <w:color w:val="000000" w:themeColor="text1"/>
        </w:rPr>
        <w:t>S</w:t>
      </w:r>
      <w:r w:rsidRPr="0083113B">
        <w:rPr>
          <w:rFonts w:eastAsia="Calibri"/>
          <w:color w:val="000000" w:themeColor="text1"/>
        </w:rPr>
        <w:t xml:space="preserve">tay </w:t>
      </w:r>
      <w:r w:rsidR="008C398A" w:rsidRPr="0083113B">
        <w:rPr>
          <w:rFonts w:eastAsia="Calibri"/>
          <w:color w:val="000000" w:themeColor="text1"/>
        </w:rPr>
        <w:t>A</w:t>
      </w:r>
      <w:r w:rsidRPr="0083113B">
        <w:rPr>
          <w:rFonts w:eastAsia="Calibri"/>
          <w:color w:val="000000" w:themeColor="text1"/>
        </w:rPr>
        <w:t>live</w:t>
      </w:r>
      <w:r w:rsidR="008C398A" w:rsidRPr="0083113B">
        <w:rPr>
          <w:rFonts w:eastAsia="Calibri"/>
          <w:color w:val="000000" w:themeColor="text1"/>
        </w:rPr>
        <w:t>:</w:t>
      </w:r>
      <w:r w:rsidRPr="0083113B">
        <w:rPr>
          <w:rFonts w:eastAsia="Calibri"/>
          <w:color w:val="000000" w:themeColor="text1"/>
        </w:rPr>
        <w:t xml:space="preserve">’ </w:t>
      </w:r>
      <w:r w:rsidR="008C398A" w:rsidRPr="0083113B">
        <w:rPr>
          <w:rFonts w:eastAsia="Calibri"/>
          <w:color w:val="000000" w:themeColor="text1"/>
        </w:rPr>
        <w:t>C</w:t>
      </w:r>
      <w:r w:rsidRPr="0083113B">
        <w:rPr>
          <w:rFonts w:eastAsia="Calibri"/>
          <w:color w:val="000000" w:themeColor="text1"/>
        </w:rPr>
        <w:t xml:space="preserve">limate </w:t>
      </w:r>
      <w:r w:rsidR="008C398A" w:rsidRPr="0083113B">
        <w:rPr>
          <w:rFonts w:eastAsia="Calibri"/>
          <w:color w:val="000000" w:themeColor="text1"/>
        </w:rPr>
        <w:t>C</w:t>
      </w:r>
      <w:r w:rsidRPr="0083113B">
        <w:rPr>
          <w:rFonts w:eastAsia="Calibri"/>
          <w:color w:val="000000" w:themeColor="text1"/>
        </w:rPr>
        <w:t xml:space="preserve">hange, </w:t>
      </w:r>
      <w:r w:rsidR="008C398A" w:rsidRPr="0083113B">
        <w:rPr>
          <w:rFonts w:eastAsia="Calibri"/>
          <w:color w:val="000000" w:themeColor="text1"/>
        </w:rPr>
        <w:t>I</w:t>
      </w:r>
      <w:r w:rsidRPr="0083113B">
        <w:rPr>
          <w:rFonts w:eastAsia="Calibri"/>
          <w:color w:val="000000" w:themeColor="text1"/>
        </w:rPr>
        <w:t xml:space="preserve">mperialism and </w:t>
      </w:r>
      <w:r w:rsidR="008C398A" w:rsidRPr="0083113B">
        <w:rPr>
          <w:rFonts w:eastAsia="Calibri"/>
          <w:color w:val="000000" w:themeColor="text1"/>
        </w:rPr>
        <w:t>J</w:t>
      </w:r>
      <w:r w:rsidRPr="0083113B">
        <w:rPr>
          <w:rFonts w:eastAsia="Calibri"/>
          <w:color w:val="000000" w:themeColor="text1"/>
        </w:rPr>
        <w:t>ustice for the Caribbean</w:t>
      </w:r>
      <w:r w:rsidR="008C398A"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Third World Quarterly</w:t>
      </w:r>
      <w:r w:rsidRPr="0083113B">
        <w:rPr>
          <w:rFonts w:eastAsia="Calibri"/>
          <w:color w:val="000000" w:themeColor="text1"/>
        </w:rPr>
        <w:t> 38</w:t>
      </w:r>
      <w:r w:rsidR="00F25454" w:rsidRPr="0083113B">
        <w:rPr>
          <w:rFonts w:eastAsia="Calibri"/>
          <w:color w:val="000000" w:themeColor="text1"/>
        </w:rPr>
        <w:t xml:space="preserve">, no. </w:t>
      </w:r>
      <w:r w:rsidRPr="0083113B">
        <w:rPr>
          <w:rFonts w:eastAsia="Calibri"/>
          <w:color w:val="000000" w:themeColor="text1"/>
        </w:rPr>
        <w:t>11</w:t>
      </w:r>
      <w:r w:rsidR="008C398A" w:rsidRPr="0083113B">
        <w:rPr>
          <w:rFonts w:eastAsia="Calibri"/>
          <w:color w:val="000000" w:themeColor="text1"/>
        </w:rPr>
        <w:t xml:space="preserve"> (2017)</w:t>
      </w:r>
      <w:r w:rsidR="00F25454" w:rsidRPr="0083113B">
        <w:rPr>
          <w:rFonts w:eastAsia="Calibri"/>
          <w:color w:val="000000" w:themeColor="text1"/>
        </w:rPr>
        <w:t>:</w:t>
      </w:r>
      <w:r w:rsidRPr="0083113B">
        <w:rPr>
          <w:rFonts w:eastAsia="Calibri"/>
          <w:color w:val="000000" w:themeColor="text1"/>
        </w:rPr>
        <w:t xml:space="preserve"> 2444-2463.</w:t>
      </w:r>
    </w:p>
    <w:p w14:paraId="3F6322FD" w14:textId="77777777" w:rsidR="00BD05D6" w:rsidRDefault="00BD05D6" w:rsidP="0049456A">
      <w:pPr>
        <w:ind w:left="720" w:hanging="720"/>
        <w:jc w:val="both"/>
        <w:rPr>
          <w:rFonts w:eastAsia="Calibri"/>
          <w:color w:val="000000" w:themeColor="text1"/>
        </w:rPr>
      </w:pPr>
    </w:p>
    <w:p w14:paraId="0F8856A4" w14:textId="49600141" w:rsidR="00762C96" w:rsidRPr="0083113B" w:rsidRDefault="00762C96" w:rsidP="0083113B">
      <w:pPr>
        <w:ind w:left="720" w:hanging="720"/>
        <w:jc w:val="both"/>
        <w:rPr>
          <w:rFonts w:eastAsia="Calibri"/>
          <w:color w:val="000000" w:themeColor="text1"/>
        </w:rPr>
      </w:pPr>
      <w:r w:rsidRPr="0083113B">
        <w:rPr>
          <w:rFonts w:eastAsia="Calibri"/>
          <w:color w:val="000000" w:themeColor="text1"/>
        </w:rPr>
        <w:t xml:space="preserve">Sheller, M. </w:t>
      </w:r>
      <w:r w:rsidR="008C398A" w:rsidRPr="0083113B">
        <w:rPr>
          <w:rFonts w:eastAsia="Calibri"/>
          <w:color w:val="000000" w:themeColor="text1"/>
        </w:rPr>
        <w:t>“</w:t>
      </w:r>
      <w:r w:rsidRPr="0083113B">
        <w:rPr>
          <w:rFonts w:eastAsia="Calibri"/>
          <w:color w:val="000000" w:themeColor="text1"/>
        </w:rPr>
        <w:t xml:space="preserve">Caribbean </w:t>
      </w:r>
      <w:r w:rsidR="008C398A" w:rsidRPr="0083113B">
        <w:rPr>
          <w:rFonts w:eastAsia="Calibri"/>
          <w:color w:val="000000" w:themeColor="text1"/>
        </w:rPr>
        <w:t>F</w:t>
      </w:r>
      <w:r w:rsidRPr="0083113B">
        <w:rPr>
          <w:rFonts w:eastAsia="Calibri"/>
          <w:color w:val="000000" w:themeColor="text1"/>
        </w:rPr>
        <w:t xml:space="preserve">utures in the </w:t>
      </w:r>
      <w:r w:rsidR="008C398A" w:rsidRPr="0083113B">
        <w:rPr>
          <w:rFonts w:eastAsia="Calibri"/>
          <w:color w:val="000000" w:themeColor="text1"/>
        </w:rPr>
        <w:t>O</w:t>
      </w:r>
      <w:r w:rsidRPr="0083113B">
        <w:rPr>
          <w:rFonts w:eastAsia="Calibri"/>
          <w:color w:val="000000" w:themeColor="text1"/>
        </w:rPr>
        <w:t xml:space="preserve">ffshore Anthropocene: Debt, </w:t>
      </w:r>
      <w:r w:rsidR="008C398A" w:rsidRPr="0083113B">
        <w:rPr>
          <w:rFonts w:eastAsia="Calibri"/>
          <w:color w:val="000000" w:themeColor="text1"/>
        </w:rPr>
        <w:t>D</w:t>
      </w:r>
      <w:r w:rsidRPr="0083113B">
        <w:rPr>
          <w:rFonts w:eastAsia="Calibri"/>
          <w:color w:val="000000" w:themeColor="text1"/>
        </w:rPr>
        <w:t xml:space="preserve">isaster, and </w:t>
      </w:r>
      <w:r w:rsidR="008C398A" w:rsidRPr="0083113B">
        <w:rPr>
          <w:rFonts w:eastAsia="Calibri"/>
          <w:color w:val="000000" w:themeColor="text1"/>
        </w:rPr>
        <w:t>D</w:t>
      </w:r>
      <w:r w:rsidRPr="0083113B">
        <w:rPr>
          <w:rFonts w:eastAsia="Calibri"/>
          <w:color w:val="000000" w:themeColor="text1"/>
        </w:rPr>
        <w:t>uration</w:t>
      </w:r>
      <w:r w:rsidR="008C398A"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Environment and Planning D: Society and Space</w:t>
      </w:r>
      <w:r w:rsidRPr="0083113B">
        <w:rPr>
          <w:rFonts w:eastAsia="Calibri"/>
          <w:color w:val="000000" w:themeColor="text1"/>
        </w:rPr>
        <w:t> 36</w:t>
      </w:r>
      <w:r w:rsidR="00E24D65" w:rsidRPr="0083113B">
        <w:rPr>
          <w:rFonts w:eastAsia="Calibri"/>
          <w:color w:val="000000" w:themeColor="text1"/>
        </w:rPr>
        <w:t>, no. 6</w:t>
      </w:r>
      <w:r w:rsidR="008C398A" w:rsidRPr="0083113B">
        <w:rPr>
          <w:rFonts w:eastAsia="Calibri"/>
          <w:color w:val="000000" w:themeColor="text1"/>
        </w:rPr>
        <w:t xml:space="preserve"> (2018)</w:t>
      </w:r>
      <w:r w:rsidR="00E24D65" w:rsidRPr="0083113B">
        <w:rPr>
          <w:rFonts w:eastAsia="Calibri"/>
          <w:color w:val="000000" w:themeColor="text1"/>
        </w:rPr>
        <w:t>:</w:t>
      </w:r>
      <w:r w:rsidRPr="0083113B">
        <w:rPr>
          <w:rFonts w:eastAsia="Calibri"/>
          <w:color w:val="000000" w:themeColor="text1"/>
        </w:rPr>
        <w:t xml:space="preserve"> 971-986.</w:t>
      </w:r>
    </w:p>
    <w:p w14:paraId="56377A8B" w14:textId="77777777" w:rsidR="00BD05D6" w:rsidRDefault="00BD05D6" w:rsidP="0049456A">
      <w:pPr>
        <w:ind w:left="720" w:hanging="720"/>
        <w:jc w:val="both"/>
        <w:rPr>
          <w:rFonts w:eastAsia="Calibri"/>
          <w:color w:val="000000" w:themeColor="text1"/>
        </w:rPr>
      </w:pPr>
    </w:p>
    <w:p w14:paraId="5B5BF4EA" w14:textId="68CE8366" w:rsidR="00AC3D72" w:rsidRPr="0083113B" w:rsidRDefault="002A056E" w:rsidP="0083113B">
      <w:pPr>
        <w:ind w:left="720" w:hanging="720"/>
        <w:jc w:val="both"/>
        <w:rPr>
          <w:rFonts w:eastAsia="Calibri"/>
          <w:color w:val="000000" w:themeColor="text1"/>
        </w:rPr>
      </w:pPr>
      <w:r w:rsidRPr="0083113B">
        <w:rPr>
          <w:rFonts w:eastAsia="Calibri"/>
          <w:color w:val="000000" w:themeColor="text1"/>
        </w:rPr>
        <w:t xml:space="preserve">Shiva, V. </w:t>
      </w:r>
      <w:r w:rsidR="008C398A" w:rsidRPr="0083113B">
        <w:rPr>
          <w:rFonts w:eastAsia="Calibri"/>
          <w:color w:val="000000" w:themeColor="text1"/>
        </w:rPr>
        <w:t>“</w:t>
      </w:r>
      <w:r w:rsidRPr="0083113B">
        <w:rPr>
          <w:rFonts w:eastAsia="Calibri"/>
          <w:color w:val="000000" w:themeColor="text1"/>
        </w:rPr>
        <w:t xml:space="preserve">Monocultures, </w:t>
      </w:r>
      <w:r w:rsidR="008C398A" w:rsidRPr="0083113B">
        <w:rPr>
          <w:rFonts w:eastAsia="Calibri"/>
          <w:color w:val="000000" w:themeColor="text1"/>
        </w:rPr>
        <w:t>M</w:t>
      </w:r>
      <w:r w:rsidRPr="0083113B">
        <w:rPr>
          <w:rFonts w:eastAsia="Calibri"/>
          <w:color w:val="000000" w:themeColor="text1"/>
        </w:rPr>
        <w:t xml:space="preserve">onopolies, </w:t>
      </w:r>
      <w:r w:rsidR="008C398A" w:rsidRPr="0083113B">
        <w:rPr>
          <w:rFonts w:eastAsia="Calibri"/>
          <w:color w:val="000000" w:themeColor="text1"/>
        </w:rPr>
        <w:t>M</w:t>
      </w:r>
      <w:r w:rsidRPr="0083113B">
        <w:rPr>
          <w:rFonts w:eastAsia="Calibri"/>
          <w:color w:val="000000" w:themeColor="text1"/>
        </w:rPr>
        <w:t xml:space="preserve">yths and the </w:t>
      </w:r>
      <w:r w:rsidR="008C398A" w:rsidRPr="0083113B">
        <w:rPr>
          <w:rFonts w:eastAsia="Calibri"/>
          <w:color w:val="000000" w:themeColor="text1"/>
        </w:rPr>
        <w:t>M</w:t>
      </w:r>
      <w:r w:rsidRPr="0083113B">
        <w:rPr>
          <w:rFonts w:eastAsia="Calibri"/>
          <w:color w:val="000000" w:themeColor="text1"/>
        </w:rPr>
        <w:t xml:space="preserve">asculinization of </w:t>
      </w:r>
      <w:r w:rsidR="008C398A" w:rsidRPr="0083113B">
        <w:rPr>
          <w:rFonts w:eastAsia="Calibri"/>
          <w:color w:val="000000" w:themeColor="text1"/>
        </w:rPr>
        <w:t>A</w:t>
      </w:r>
      <w:r w:rsidRPr="0083113B">
        <w:rPr>
          <w:rFonts w:eastAsia="Calibri"/>
          <w:color w:val="000000" w:themeColor="text1"/>
        </w:rPr>
        <w:t>griculture</w:t>
      </w:r>
      <w:r w:rsidR="008E71AE" w:rsidRPr="0083113B">
        <w:rPr>
          <w:rFonts w:eastAsia="Calibri"/>
          <w:color w:val="000000" w:themeColor="text1"/>
        </w:rPr>
        <w:t>.</w:t>
      </w:r>
      <w:r w:rsidR="008C398A"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Development</w:t>
      </w:r>
      <w:r w:rsidRPr="0083113B">
        <w:rPr>
          <w:rFonts w:eastAsia="Calibri"/>
          <w:color w:val="000000" w:themeColor="text1"/>
        </w:rPr>
        <w:t> 42</w:t>
      </w:r>
      <w:r w:rsidR="008E71AE" w:rsidRPr="0083113B">
        <w:rPr>
          <w:rFonts w:eastAsia="Calibri"/>
          <w:color w:val="000000" w:themeColor="text1"/>
        </w:rPr>
        <w:t xml:space="preserve">, no. </w:t>
      </w:r>
      <w:r w:rsidRPr="0083113B">
        <w:rPr>
          <w:rFonts w:eastAsia="Calibri"/>
          <w:color w:val="000000" w:themeColor="text1"/>
        </w:rPr>
        <w:t>2</w:t>
      </w:r>
      <w:r w:rsidR="008C398A" w:rsidRPr="0083113B">
        <w:rPr>
          <w:rFonts w:eastAsia="Calibri"/>
          <w:color w:val="000000" w:themeColor="text1"/>
        </w:rPr>
        <w:t xml:space="preserve"> (1999)</w:t>
      </w:r>
      <w:r w:rsidR="008E71AE" w:rsidRPr="0083113B">
        <w:rPr>
          <w:rFonts w:eastAsia="Calibri"/>
          <w:color w:val="000000" w:themeColor="text1"/>
        </w:rPr>
        <w:t>:</w:t>
      </w:r>
      <w:r w:rsidRPr="0083113B">
        <w:rPr>
          <w:rFonts w:eastAsia="Calibri"/>
          <w:color w:val="000000" w:themeColor="text1"/>
        </w:rPr>
        <w:t xml:space="preserve"> 35-38.</w:t>
      </w:r>
    </w:p>
    <w:p w14:paraId="10E74336" w14:textId="77777777" w:rsidR="00D3792B" w:rsidRDefault="00D3792B" w:rsidP="0049456A">
      <w:pPr>
        <w:ind w:left="720" w:hanging="720"/>
        <w:jc w:val="both"/>
        <w:rPr>
          <w:rFonts w:eastAsia="Calibri"/>
          <w:color w:val="000000" w:themeColor="text1"/>
        </w:rPr>
      </w:pPr>
    </w:p>
    <w:p w14:paraId="743B7157" w14:textId="14AE5D3D" w:rsidR="002F0E80" w:rsidRPr="0083113B" w:rsidRDefault="002F0E80" w:rsidP="0083113B">
      <w:pPr>
        <w:ind w:left="720" w:hanging="720"/>
        <w:jc w:val="both"/>
        <w:rPr>
          <w:rFonts w:eastAsia="Calibri"/>
          <w:color w:val="000000" w:themeColor="text1"/>
        </w:rPr>
      </w:pPr>
      <w:r w:rsidRPr="0083113B">
        <w:rPr>
          <w:rFonts w:eastAsia="Calibri"/>
          <w:color w:val="000000" w:themeColor="text1"/>
        </w:rPr>
        <w:t xml:space="preserve">Smith, R.A.J., and </w:t>
      </w:r>
      <w:r w:rsidR="008E71AE" w:rsidRPr="0083113B">
        <w:rPr>
          <w:rFonts w:eastAsia="Calibri"/>
          <w:color w:val="000000" w:themeColor="text1"/>
        </w:rPr>
        <w:t xml:space="preserve">K. </w:t>
      </w:r>
      <w:proofErr w:type="spellStart"/>
      <w:r w:rsidRPr="0083113B">
        <w:rPr>
          <w:rFonts w:eastAsia="Calibri"/>
          <w:color w:val="000000" w:themeColor="text1"/>
        </w:rPr>
        <w:t>Rhiney</w:t>
      </w:r>
      <w:proofErr w:type="spellEnd"/>
      <w:r w:rsidR="008E71AE" w:rsidRPr="0083113B">
        <w:rPr>
          <w:rFonts w:eastAsia="Calibri"/>
          <w:color w:val="000000" w:themeColor="text1"/>
        </w:rPr>
        <w:t>.</w:t>
      </w:r>
      <w:r w:rsidRPr="0083113B">
        <w:rPr>
          <w:rFonts w:eastAsia="Calibri"/>
          <w:color w:val="000000" w:themeColor="text1"/>
        </w:rPr>
        <w:t xml:space="preserve"> </w:t>
      </w:r>
      <w:r w:rsidR="008C398A" w:rsidRPr="0083113B">
        <w:rPr>
          <w:rFonts w:eastAsia="Calibri"/>
          <w:color w:val="000000" w:themeColor="text1"/>
        </w:rPr>
        <w:t>“</w:t>
      </w:r>
      <w:r w:rsidRPr="0083113B">
        <w:rPr>
          <w:rFonts w:eastAsia="Calibri"/>
          <w:color w:val="000000" w:themeColor="text1"/>
        </w:rPr>
        <w:t xml:space="preserve">Climate (in)justice, </w:t>
      </w:r>
      <w:r w:rsidR="008C398A" w:rsidRPr="0083113B">
        <w:rPr>
          <w:rFonts w:eastAsia="Calibri"/>
          <w:color w:val="000000" w:themeColor="text1"/>
        </w:rPr>
        <w:t>V</w:t>
      </w:r>
      <w:r w:rsidRPr="0083113B">
        <w:rPr>
          <w:rFonts w:eastAsia="Calibri"/>
          <w:color w:val="000000" w:themeColor="text1"/>
        </w:rPr>
        <w:t xml:space="preserve">ulnerability and </w:t>
      </w:r>
      <w:r w:rsidR="008C398A" w:rsidRPr="0083113B">
        <w:rPr>
          <w:rFonts w:eastAsia="Calibri"/>
          <w:color w:val="000000" w:themeColor="text1"/>
        </w:rPr>
        <w:t>L</w:t>
      </w:r>
      <w:r w:rsidRPr="0083113B">
        <w:rPr>
          <w:rFonts w:eastAsia="Calibri"/>
          <w:color w:val="000000" w:themeColor="text1"/>
        </w:rPr>
        <w:t xml:space="preserve">ivelihoods in the Caribbean: The </w:t>
      </w:r>
      <w:r w:rsidR="008C398A" w:rsidRPr="0083113B">
        <w:rPr>
          <w:rFonts w:eastAsia="Calibri"/>
          <w:color w:val="000000" w:themeColor="text1"/>
        </w:rPr>
        <w:t>C</w:t>
      </w:r>
      <w:r w:rsidRPr="0083113B">
        <w:rPr>
          <w:rFonts w:eastAsia="Calibri"/>
          <w:color w:val="000000" w:themeColor="text1"/>
        </w:rPr>
        <w:t xml:space="preserve">ase of the </w:t>
      </w:r>
      <w:r w:rsidR="008C398A" w:rsidRPr="0083113B">
        <w:rPr>
          <w:rFonts w:eastAsia="Calibri"/>
          <w:color w:val="000000" w:themeColor="text1"/>
        </w:rPr>
        <w:t>I</w:t>
      </w:r>
      <w:r w:rsidRPr="0083113B">
        <w:rPr>
          <w:rFonts w:eastAsia="Calibri"/>
          <w:color w:val="000000" w:themeColor="text1"/>
        </w:rPr>
        <w:t xml:space="preserve">ndigenous Caribs in </w:t>
      </w:r>
      <w:proofErr w:type="spellStart"/>
      <w:r w:rsidR="008C398A" w:rsidRPr="0083113B">
        <w:rPr>
          <w:rFonts w:eastAsia="Calibri"/>
          <w:color w:val="000000" w:themeColor="text1"/>
        </w:rPr>
        <w:t>N</w:t>
      </w:r>
      <w:r w:rsidRPr="0083113B">
        <w:rPr>
          <w:rFonts w:eastAsia="Calibri"/>
          <w:color w:val="000000" w:themeColor="text1"/>
        </w:rPr>
        <w:t>ortheastern</w:t>
      </w:r>
      <w:proofErr w:type="spellEnd"/>
      <w:r w:rsidRPr="0083113B">
        <w:rPr>
          <w:rFonts w:eastAsia="Calibri"/>
          <w:color w:val="000000" w:themeColor="text1"/>
        </w:rPr>
        <w:t xml:space="preserve"> St. Vincent</w:t>
      </w:r>
      <w:r w:rsidR="008E71AE" w:rsidRPr="0083113B">
        <w:rPr>
          <w:rFonts w:eastAsia="Calibri"/>
          <w:color w:val="000000" w:themeColor="text1"/>
        </w:rPr>
        <w:t>.</w:t>
      </w:r>
      <w:r w:rsidR="008C398A" w:rsidRPr="0083113B">
        <w:rPr>
          <w:rFonts w:eastAsia="Calibri"/>
          <w:color w:val="000000" w:themeColor="text1"/>
        </w:rPr>
        <w:t>”</w:t>
      </w:r>
      <w:r w:rsidRPr="0083113B">
        <w:rPr>
          <w:rFonts w:eastAsia="Calibri"/>
          <w:color w:val="000000" w:themeColor="text1"/>
        </w:rPr>
        <w:t> </w:t>
      </w:r>
      <w:proofErr w:type="spellStart"/>
      <w:r w:rsidRPr="0083113B">
        <w:rPr>
          <w:rFonts w:eastAsia="Calibri"/>
          <w:i/>
          <w:iCs/>
          <w:color w:val="000000" w:themeColor="text1"/>
        </w:rPr>
        <w:t>Geoforum</w:t>
      </w:r>
      <w:proofErr w:type="spellEnd"/>
      <w:r w:rsidRPr="0083113B">
        <w:rPr>
          <w:rFonts w:eastAsia="Calibri"/>
          <w:color w:val="000000" w:themeColor="text1"/>
        </w:rPr>
        <w:t> 73</w:t>
      </w:r>
      <w:r w:rsidR="008C398A" w:rsidRPr="0083113B">
        <w:rPr>
          <w:rFonts w:eastAsia="Calibri"/>
          <w:color w:val="000000" w:themeColor="text1"/>
        </w:rPr>
        <w:t xml:space="preserve"> (2016)</w:t>
      </w:r>
      <w:r w:rsidR="008E71AE" w:rsidRPr="0083113B">
        <w:rPr>
          <w:rFonts w:eastAsia="Calibri"/>
          <w:color w:val="000000" w:themeColor="text1"/>
        </w:rPr>
        <w:t>:</w:t>
      </w:r>
      <w:r w:rsidRPr="0083113B">
        <w:rPr>
          <w:rFonts w:eastAsia="Calibri"/>
          <w:color w:val="000000" w:themeColor="text1"/>
        </w:rPr>
        <w:t xml:space="preserve"> 22-31.</w:t>
      </w:r>
    </w:p>
    <w:p w14:paraId="09ECC050" w14:textId="77777777" w:rsidR="00D3792B" w:rsidRPr="00FA7E36" w:rsidRDefault="00D3792B" w:rsidP="0049456A">
      <w:pPr>
        <w:ind w:left="720" w:hanging="720"/>
        <w:jc w:val="both"/>
        <w:rPr>
          <w:rFonts w:eastAsia="Calibri"/>
          <w:color w:val="000000" w:themeColor="text1"/>
          <w:lang w:val="en-US"/>
        </w:rPr>
      </w:pPr>
    </w:p>
    <w:p w14:paraId="0AE6D1A1" w14:textId="4FF82CC4" w:rsidR="00566E27" w:rsidRPr="0083113B" w:rsidRDefault="00566E27" w:rsidP="0083113B">
      <w:pPr>
        <w:ind w:left="720" w:hanging="720"/>
        <w:jc w:val="both"/>
        <w:rPr>
          <w:rFonts w:eastAsia="Calibri"/>
          <w:color w:val="000000" w:themeColor="text1"/>
        </w:rPr>
      </w:pPr>
      <w:proofErr w:type="spellStart"/>
      <w:r w:rsidRPr="0083113B">
        <w:rPr>
          <w:rFonts w:eastAsia="Calibri"/>
          <w:color w:val="000000" w:themeColor="text1"/>
          <w:lang w:val="en-US"/>
        </w:rPr>
        <w:t>Stevano</w:t>
      </w:r>
      <w:proofErr w:type="spellEnd"/>
      <w:r w:rsidRPr="0083113B">
        <w:rPr>
          <w:rFonts w:eastAsia="Calibri"/>
          <w:color w:val="000000" w:themeColor="text1"/>
          <w:lang w:val="en-US"/>
        </w:rPr>
        <w:t xml:space="preserve">, S., </w:t>
      </w:r>
      <w:r w:rsidR="00FC72F6" w:rsidRPr="0083113B">
        <w:rPr>
          <w:rFonts w:eastAsia="Calibri"/>
          <w:color w:val="000000" w:themeColor="text1"/>
          <w:lang w:val="en-US"/>
        </w:rPr>
        <w:t xml:space="preserve">T. </w:t>
      </w:r>
      <w:r w:rsidRPr="0083113B">
        <w:rPr>
          <w:rFonts w:eastAsia="Calibri"/>
          <w:color w:val="000000" w:themeColor="text1"/>
          <w:lang w:val="en-US"/>
        </w:rPr>
        <w:t xml:space="preserve">Franz, </w:t>
      </w:r>
      <w:r w:rsidR="00FC72F6" w:rsidRPr="0083113B">
        <w:rPr>
          <w:rFonts w:eastAsia="Calibri"/>
          <w:color w:val="000000" w:themeColor="text1"/>
          <w:lang w:val="en-US"/>
        </w:rPr>
        <w:t xml:space="preserve">Y. </w:t>
      </w:r>
      <w:proofErr w:type="spellStart"/>
      <w:r w:rsidRPr="0083113B">
        <w:rPr>
          <w:rFonts w:eastAsia="Calibri"/>
          <w:color w:val="000000" w:themeColor="text1"/>
          <w:lang w:val="en-US"/>
        </w:rPr>
        <w:t>Dafermos</w:t>
      </w:r>
      <w:proofErr w:type="spellEnd"/>
      <w:r w:rsidRPr="0083113B">
        <w:rPr>
          <w:rFonts w:eastAsia="Calibri"/>
          <w:color w:val="000000" w:themeColor="text1"/>
          <w:lang w:val="en-US"/>
        </w:rPr>
        <w:t xml:space="preserve">, and </w:t>
      </w:r>
      <w:r w:rsidR="00FC72F6" w:rsidRPr="0083113B">
        <w:rPr>
          <w:rFonts w:eastAsia="Calibri"/>
          <w:color w:val="000000" w:themeColor="text1"/>
          <w:lang w:val="en-US"/>
        </w:rPr>
        <w:t xml:space="preserve">E. </w:t>
      </w:r>
      <w:r w:rsidRPr="0083113B">
        <w:rPr>
          <w:rFonts w:eastAsia="Calibri"/>
          <w:color w:val="000000" w:themeColor="text1"/>
          <w:lang w:val="en-US"/>
        </w:rPr>
        <w:t xml:space="preserve">Van </w:t>
      </w:r>
      <w:proofErr w:type="spellStart"/>
      <w:r w:rsidRPr="0083113B">
        <w:rPr>
          <w:rFonts w:eastAsia="Calibri"/>
          <w:color w:val="000000" w:themeColor="text1"/>
          <w:lang w:val="en-US"/>
        </w:rPr>
        <w:t>Waeyenberge</w:t>
      </w:r>
      <w:proofErr w:type="spellEnd"/>
      <w:r w:rsidRPr="0083113B">
        <w:rPr>
          <w:rFonts w:eastAsia="Calibri"/>
          <w:color w:val="000000" w:themeColor="text1"/>
          <w:lang w:val="en-US"/>
        </w:rPr>
        <w:t xml:space="preserve">. </w:t>
      </w:r>
      <w:r w:rsidR="008C398A" w:rsidRPr="0083113B">
        <w:rPr>
          <w:rFonts w:eastAsia="Calibri"/>
          <w:color w:val="000000" w:themeColor="text1"/>
        </w:rPr>
        <w:t>“</w:t>
      </w:r>
      <w:r w:rsidRPr="0083113B">
        <w:rPr>
          <w:rFonts w:eastAsia="Calibri"/>
          <w:color w:val="000000" w:themeColor="text1"/>
        </w:rPr>
        <w:t xml:space="preserve">COVID-19 and </w:t>
      </w:r>
      <w:r w:rsidR="008C398A" w:rsidRPr="0083113B">
        <w:rPr>
          <w:rFonts w:eastAsia="Calibri"/>
          <w:color w:val="000000" w:themeColor="text1"/>
        </w:rPr>
        <w:t>C</w:t>
      </w:r>
      <w:r w:rsidRPr="0083113B">
        <w:rPr>
          <w:rFonts w:eastAsia="Calibri"/>
          <w:color w:val="000000" w:themeColor="text1"/>
        </w:rPr>
        <w:t xml:space="preserve">rises of </w:t>
      </w:r>
      <w:r w:rsidR="008C398A" w:rsidRPr="0083113B">
        <w:rPr>
          <w:rFonts w:eastAsia="Calibri"/>
          <w:color w:val="000000" w:themeColor="text1"/>
        </w:rPr>
        <w:t>C</w:t>
      </w:r>
      <w:r w:rsidRPr="0083113B">
        <w:rPr>
          <w:rFonts w:eastAsia="Calibri"/>
          <w:color w:val="000000" w:themeColor="text1"/>
        </w:rPr>
        <w:t xml:space="preserve">apitalism: Intensifying </w:t>
      </w:r>
      <w:r w:rsidR="008C398A" w:rsidRPr="0083113B">
        <w:rPr>
          <w:rFonts w:eastAsia="Calibri"/>
          <w:color w:val="000000" w:themeColor="text1"/>
        </w:rPr>
        <w:t>I</w:t>
      </w:r>
      <w:r w:rsidRPr="0083113B">
        <w:rPr>
          <w:rFonts w:eastAsia="Calibri"/>
          <w:color w:val="000000" w:themeColor="text1"/>
        </w:rPr>
        <w:t xml:space="preserve">nequalities and </w:t>
      </w:r>
      <w:r w:rsidR="008C398A" w:rsidRPr="0083113B">
        <w:rPr>
          <w:rFonts w:eastAsia="Calibri"/>
          <w:color w:val="000000" w:themeColor="text1"/>
        </w:rPr>
        <w:t>G</w:t>
      </w:r>
      <w:r w:rsidRPr="0083113B">
        <w:rPr>
          <w:rFonts w:eastAsia="Calibri"/>
          <w:color w:val="000000" w:themeColor="text1"/>
        </w:rPr>
        <w:t xml:space="preserve">lobal </w:t>
      </w:r>
      <w:r w:rsidR="008C398A" w:rsidRPr="0083113B">
        <w:rPr>
          <w:rFonts w:eastAsia="Calibri"/>
          <w:color w:val="000000" w:themeColor="text1"/>
        </w:rPr>
        <w:t>R</w:t>
      </w:r>
      <w:r w:rsidRPr="0083113B">
        <w:rPr>
          <w:rFonts w:eastAsia="Calibri"/>
          <w:color w:val="000000" w:themeColor="text1"/>
        </w:rPr>
        <w:t>esponses</w:t>
      </w:r>
      <w:r w:rsidR="00FC72F6" w:rsidRPr="0083113B">
        <w:rPr>
          <w:rFonts w:eastAsia="Calibri"/>
          <w:color w:val="000000" w:themeColor="text1"/>
        </w:rPr>
        <w:t>.</w:t>
      </w:r>
      <w:r w:rsidR="008C398A"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 xml:space="preserve">Canadian Journal of Development Studies/Revue </w:t>
      </w:r>
      <w:proofErr w:type="spellStart"/>
      <w:r w:rsidRPr="0083113B">
        <w:rPr>
          <w:rFonts w:eastAsia="Calibri"/>
          <w:i/>
          <w:iCs/>
          <w:color w:val="000000" w:themeColor="text1"/>
        </w:rPr>
        <w:t>canadienne</w:t>
      </w:r>
      <w:proofErr w:type="spellEnd"/>
      <w:r w:rsidRPr="0083113B">
        <w:rPr>
          <w:rFonts w:eastAsia="Calibri"/>
          <w:i/>
          <w:iCs/>
          <w:color w:val="000000" w:themeColor="text1"/>
        </w:rPr>
        <w:t xml:space="preserve"> </w:t>
      </w:r>
      <w:proofErr w:type="spellStart"/>
      <w:r w:rsidRPr="0083113B">
        <w:rPr>
          <w:rFonts w:eastAsia="Calibri"/>
          <w:i/>
          <w:iCs/>
          <w:color w:val="000000" w:themeColor="text1"/>
        </w:rPr>
        <w:t>d'études</w:t>
      </w:r>
      <w:proofErr w:type="spellEnd"/>
      <w:r w:rsidRPr="0083113B">
        <w:rPr>
          <w:rFonts w:eastAsia="Calibri"/>
          <w:i/>
          <w:iCs/>
          <w:color w:val="000000" w:themeColor="text1"/>
        </w:rPr>
        <w:t xml:space="preserve"> du </w:t>
      </w:r>
      <w:proofErr w:type="spellStart"/>
      <w:r w:rsidRPr="0083113B">
        <w:rPr>
          <w:rFonts w:eastAsia="Calibri"/>
          <w:i/>
          <w:iCs/>
          <w:color w:val="000000" w:themeColor="text1"/>
        </w:rPr>
        <w:t>développement</w:t>
      </w:r>
      <w:proofErr w:type="spellEnd"/>
      <w:r w:rsidRPr="0083113B">
        <w:rPr>
          <w:rFonts w:eastAsia="Calibri"/>
          <w:color w:val="000000" w:themeColor="text1"/>
        </w:rPr>
        <w:t> 42</w:t>
      </w:r>
      <w:r w:rsidR="00FC72F6" w:rsidRPr="0083113B">
        <w:rPr>
          <w:rFonts w:eastAsia="Calibri"/>
          <w:color w:val="000000" w:themeColor="text1"/>
        </w:rPr>
        <w:t xml:space="preserve">, nos. </w:t>
      </w:r>
      <w:r w:rsidRPr="0083113B">
        <w:rPr>
          <w:rFonts w:eastAsia="Calibri"/>
          <w:color w:val="000000" w:themeColor="text1"/>
        </w:rPr>
        <w:t>1-2</w:t>
      </w:r>
      <w:r w:rsidR="008C398A" w:rsidRPr="0083113B">
        <w:rPr>
          <w:rFonts w:eastAsia="Calibri"/>
          <w:color w:val="000000" w:themeColor="text1"/>
        </w:rPr>
        <w:t xml:space="preserve"> (2021)</w:t>
      </w:r>
      <w:r w:rsidR="00FC72F6" w:rsidRPr="0083113B">
        <w:rPr>
          <w:rFonts w:eastAsia="Calibri"/>
          <w:color w:val="000000" w:themeColor="text1"/>
        </w:rPr>
        <w:t>:</w:t>
      </w:r>
      <w:r w:rsidRPr="0083113B">
        <w:rPr>
          <w:rFonts w:eastAsia="Calibri"/>
          <w:color w:val="000000" w:themeColor="text1"/>
        </w:rPr>
        <w:t xml:space="preserve"> 1-17.</w:t>
      </w:r>
    </w:p>
    <w:p w14:paraId="71F60EA3" w14:textId="77777777" w:rsidR="00D3792B" w:rsidRDefault="00D3792B" w:rsidP="0049456A">
      <w:pPr>
        <w:ind w:left="720" w:hanging="720"/>
        <w:jc w:val="both"/>
        <w:rPr>
          <w:rFonts w:eastAsia="Calibri"/>
          <w:color w:val="000000" w:themeColor="text1"/>
        </w:rPr>
      </w:pPr>
    </w:p>
    <w:p w14:paraId="71CFA8EB" w14:textId="1725B6A8" w:rsidR="00AC3D72" w:rsidRPr="0083113B" w:rsidRDefault="00AC3D72" w:rsidP="0083113B">
      <w:pPr>
        <w:ind w:left="720" w:hanging="720"/>
        <w:jc w:val="both"/>
        <w:rPr>
          <w:rFonts w:eastAsia="Calibri"/>
          <w:color w:val="000000" w:themeColor="text1"/>
        </w:rPr>
      </w:pPr>
      <w:r w:rsidRPr="0083113B">
        <w:rPr>
          <w:rFonts w:eastAsia="Calibri"/>
          <w:color w:val="000000" w:themeColor="text1"/>
        </w:rPr>
        <w:t xml:space="preserve">Thompson, A.O. </w:t>
      </w:r>
      <w:r w:rsidRPr="0083113B">
        <w:rPr>
          <w:rFonts w:eastAsia="Calibri"/>
          <w:i/>
          <w:iCs/>
          <w:color w:val="000000" w:themeColor="text1"/>
        </w:rPr>
        <w:t>The Haunting Past: Politics, Economics and Race in Caribbean Life</w:t>
      </w:r>
      <w:r w:rsidRPr="0083113B">
        <w:rPr>
          <w:rFonts w:eastAsia="Calibri"/>
          <w:color w:val="000000" w:themeColor="text1"/>
        </w:rPr>
        <w:t>. London: Routledge</w:t>
      </w:r>
      <w:r w:rsidR="008C398A" w:rsidRPr="0083113B">
        <w:rPr>
          <w:rFonts w:eastAsia="Calibri"/>
          <w:color w:val="000000" w:themeColor="text1"/>
        </w:rPr>
        <w:t>, 2015</w:t>
      </w:r>
      <w:r w:rsidRPr="0083113B">
        <w:rPr>
          <w:rFonts w:eastAsia="Calibri"/>
          <w:color w:val="000000" w:themeColor="text1"/>
        </w:rPr>
        <w:t>.</w:t>
      </w:r>
    </w:p>
    <w:p w14:paraId="1A8A1046" w14:textId="77777777" w:rsidR="00D3792B" w:rsidRDefault="00D3792B" w:rsidP="0049456A">
      <w:pPr>
        <w:ind w:left="720" w:hanging="720"/>
        <w:rPr>
          <w:rFonts w:eastAsia="Calibri"/>
          <w:color w:val="000000" w:themeColor="text1"/>
        </w:rPr>
      </w:pPr>
    </w:p>
    <w:p w14:paraId="264ABC32" w14:textId="6243425C" w:rsidR="00B067EB" w:rsidRPr="0083113B" w:rsidRDefault="00B067EB" w:rsidP="0083113B">
      <w:pPr>
        <w:ind w:left="720" w:hanging="720"/>
        <w:rPr>
          <w:rFonts w:eastAsia="Calibri"/>
          <w:color w:val="000000" w:themeColor="text1"/>
        </w:rPr>
      </w:pPr>
      <w:r w:rsidRPr="0083113B">
        <w:rPr>
          <w:rFonts w:eastAsia="Calibri"/>
          <w:color w:val="000000" w:themeColor="text1"/>
        </w:rPr>
        <w:t>Thompson, M</w:t>
      </w:r>
      <w:r w:rsidR="008E71AE" w:rsidRPr="0083113B">
        <w:rPr>
          <w:rFonts w:eastAsia="Calibri"/>
          <w:color w:val="000000" w:themeColor="text1"/>
        </w:rPr>
        <w:t>.</w:t>
      </w:r>
      <w:r w:rsidRPr="0083113B">
        <w:rPr>
          <w:rFonts w:eastAsia="Calibri"/>
          <w:color w:val="000000" w:themeColor="text1"/>
        </w:rPr>
        <w:t xml:space="preserve">S. </w:t>
      </w:r>
      <w:r w:rsidR="008C398A" w:rsidRPr="0083113B">
        <w:rPr>
          <w:rFonts w:eastAsia="Calibri"/>
          <w:color w:val="000000" w:themeColor="text1"/>
        </w:rPr>
        <w:t>“</w:t>
      </w:r>
      <w:r w:rsidRPr="0083113B">
        <w:rPr>
          <w:rFonts w:eastAsia="Calibri"/>
          <w:color w:val="000000" w:themeColor="text1"/>
        </w:rPr>
        <w:t xml:space="preserve">Still </w:t>
      </w:r>
      <w:r w:rsidR="008C398A" w:rsidRPr="0083113B">
        <w:rPr>
          <w:rFonts w:eastAsia="Calibri"/>
          <w:color w:val="000000" w:themeColor="text1"/>
        </w:rPr>
        <w:t>S</w:t>
      </w:r>
      <w:r w:rsidRPr="0083113B">
        <w:rPr>
          <w:rFonts w:eastAsia="Calibri"/>
          <w:color w:val="000000" w:themeColor="text1"/>
        </w:rPr>
        <w:t>earching for (</w:t>
      </w:r>
      <w:r w:rsidR="008C398A" w:rsidRPr="0083113B">
        <w:rPr>
          <w:rFonts w:eastAsia="Calibri"/>
          <w:color w:val="000000" w:themeColor="text1"/>
        </w:rPr>
        <w:t>F</w:t>
      </w:r>
      <w:r w:rsidRPr="0083113B">
        <w:rPr>
          <w:rFonts w:eastAsia="Calibri"/>
          <w:color w:val="000000" w:themeColor="text1"/>
        </w:rPr>
        <w:t xml:space="preserve">ood) </w:t>
      </w:r>
      <w:r w:rsidR="008C398A" w:rsidRPr="0083113B">
        <w:rPr>
          <w:rFonts w:eastAsia="Calibri"/>
          <w:color w:val="000000" w:themeColor="text1"/>
        </w:rPr>
        <w:t>S</w:t>
      </w:r>
      <w:r w:rsidRPr="0083113B">
        <w:rPr>
          <w:rFonts w:eastAsia="Calibri"/>
          <w:color w:val="000000" w:themeColor="text1"/>
        </w:rPr>
        <w:t xml:space="preserve">overeignty: Why </w:t>
      </w:r>
      <w:r w:rsidR="00FC72F6" w:rsidRPr="0083113B">
        <w:rPr>
          <w:rFonts w:eastAsia="Calibri"/>
          <w:color w:val="000000" w:themeColor="text1"/>
        </w:rPr>
        <w:t>A</w:t>
      </w:r>
      <w:r w:rsidRPr="0083113B">
        <w:rPr>
          <w:rFonts w:eastAsia="Calibri"/>
          <w:color w:val="000000" w:themeColor="text1"/>
        </w:rPr>
        <w:t xml:space="preserve">re </w:t>
      </w:r>
      <w:r w:rsidR="008C398A" w:rsidRPr="0083113B">
        <w:rPr>
          <w:rFonts w:eastAsia="Calibri"/>
          <w:color w:val="000000" w:themeColor="text1"/>
        </w:rPr>
        <w:t>R</w:t>
      </w:r>
      <w:r w:rsidRPr="0083113B">
        <w:rPr>
          <w:rFonts w:eastAsia="Calibri"/>
          <w:color w:val="000000" w:themeColor="text1"/>
        </w:rPr>
        <w:t xml:space="preserve">adical </w:t>
      </w:r>
      <w:r w:rsidR="008C398A" w:rsidRPr="0083113B">
        <w:rPr>
          <w:rFonts w:eastAsia="Calibri"/>
          <w:color w:val="000000" w:themeColor="text1"/>
        </w:rPr>
        <w:t>D</w:t>
      </w:r>
      <w:r w:rsidRPr="0083113B">
        <w:rPr>
          <w:rFonts w:eastAsia="Calibri"/>
          <w:color w:val="000000" w:themeColor="text1"/>
        </w:rPr>
        <w:t xml:space="preserve">iscourses </w:t>
      </w:r>
      <w:r w:rsidR="008C398A" w:rsidRPr="0083113B">
        <w:rPr>
          <w:rFonts w:eastAsia="Calibri"/>
          <w:color w:val="000000" w:themeColor="text1"/>
        </w:rPr>
        <w:t>O</w:t>
      </w:r>
      <w:r w:rsidRPr="0083113B">
        <w:rPr>
          <w:rFonts w:eastAsia="Calibri"/>
          <w:color w:val="000000" w:themeColor="text1"/>
        </w:rPr>
        <w:t xml:space="preserve">nly </w:t>
      </w:r>
      <w:r w:rsidR="008C398A" w:rsidRPr="0083113B">
        <w:rPr>
          <w:rFonts w:eastAsia="Calibri"/>
          <w:color w:val="000000" w:themeColor="text1"/>
        </w:rPr>
        <w:t>P</w:t>
      </w:r>
      <w:r w:rsidRPr="0083113B">
        <w:rPr>
          <w:rFonts w:eastAsia="Calibri"/>
          <w:color w:val="000000" w:themeColor="text1"/>
        </w:rPr>
        <w:t xml:space="preserve">artially </w:t>
      </w:r>
      <w:r w:rsidR="008C398A" w:rsidRPr="0083113B">
        <w:rPr>
          <w:rFonts w:eastAsia="Calibri"/>
          <w:color w:val="000000" w:themeColor="text1"/>
        </w:rPr>
        <w:t>M</w:t>
      </w:r>
      <w:r w:rsidRPr="0083113B">
        <w:rPr>
          <w:rFonts w:eastAsia="Calibri"/>
          <w:color w:val="000000" w:themeColor="text1"/>
        </w:rPr>
        <w:t xml:space="preserve">obilised in the </w:t>
      </w:r>
      <w:r w:rsidR="008C398A" w:rsidRPr="0083113B">
        <w:rPr>
          <w:rFonts w:eastAsia="Calibri"/>
          <w:color w:val="000000" w:themeColor="text1"/>
        </w:rPr>
        <w:t>I</w:t>
      </w:r>
      <w:r w:rsidRPr="0083113B">
        <w:rPr>
          <w:rFonts w:eastAsia="Calibri"/>
          <w:color w:val="000000" w:themeColor="text1"/>
        </w:rPr>
        <w:t>ndependent Anglo-Caribbean?</w:t>
      </w:r>
      <w:r w:rsidR="008C398A" w:rsidRPr="0083113B">
        <w:rPr>
          <w:rFonts w:eastAsia="Calibri"/>
          <w:color w:val="000000" w:themeColor="text1"/>
        </w:rPr>
        <w:t>”</w:t>
      </w:r>
      <w:r w:rsidRPr="0083113B">
        <w:rPr>
          <w:rFonts w:eastAsia="Calibri"/>
          <w:color w:val="000000" w:themeColor="text1"/>
        </w:rPr>
        <w:t> </w:t>
      </w:r>
      <w:proofErr w:type="spellStart"/>
      <w:r w:rsidRPr="0083113B">
        <w:rPr>
          <w:rFonts w:eastAsia="Calibri"/>
          <w:i/>
          <w:iCs/>
          <w:color w:val="000000" w:themeColor="text1"/>
        </w:rPr>
        <w:t>Geoforum</w:t>
      </w:r>
      <w:proofErr w:type="spellEnd"/>
      <w:r w:rsidRPr="0083113B">
        <w:rPr>
          <w:rFonts w:eastAsia="Calibri"/>
          <w:color w:val="000000" w:themeColor="text1"/>
        </w:rPr>
        <w:t> 101</w:t>
      </w:r>
      <w:r w:rsidR="008C398A" w:rsidRPr="0083113B">
        <w:rPr>
          <w:rFonts w:eastAsia="Calibri"/>
          <w:color w:val="000000" w:themeColor="text1"/>
        </w:rPr>
        <w:t xml:space="preserve"> (2019)</w:t>
      </w:r>
      <w:r w:rsidR="00FC72F6" w:rsidRPr="0083113B">
        <w:rPr>
          <w:rFonts w:eastAsia="Calibri"/>
          <w:color w:val="000000" w:themeColor="text1"/>
        </w:rPr>
        <w:t>:</w:t>
      </w:r>
      <w:r w:rsidRPr="0083113B">
        <w:rPr>
          <w:rFonts w:eastAsia="Calibri"/>
          <w:color w:val="000000" w:themeColor="text1"/>
        </w:rPr>
        <w:t xml:space="preserve"> 90-99.</w:t>
      </w:r>
    </w:p>
    <w:p w14:paraId="18ECAAB4" w14:textId="77777777" w:rsidR="00D3792B" w:rsidRDefault="00D3792B" w:rsidP="0049456A">
      <w:pPr>
        <w:ind w:left="720" w:hanging="720"/>
        <w:jc w:val="both"/>
        <w:rPr>
          <w:rFonts w:eastAsia="Calibri"/>
          <w:color w:val="000000" w:themeColor="text1"/>
        </w:rPr>
      </w:pPr>
    </w:p>
    <w:p w14:paraId="28F63BA2" w14:textId="7B65B5D2" w:rsidR="005804BB" w:rsidRPr="0083113B" w:rsidRDefault="00AC3D72" w:rsidP="0083113B">
      <w:pPr>
        <w:ind w:left="720" w:hanging="720"/>
        <w:jc w:val="both"/>
        <w:rPr>
          <w:color w:val="000000" w:themeColor="text1"/>
        </w:rPr>
      </w:pPr>
      <w:r w:rsidRPr="0083113B">
        <w:rPr>
          <w:rFonts w:eastAsia="Calibri"/>
          <w:color w:val="000000" w:themeColor="text1"/>
        </w:rPr>
        <w:t xml:space="preserve">Timms, B.F. </w:t>
      </w:r>
      <w:r w:rsidR="00210991" w:rsidRPr="0083113B">
        <w:rPr>
          <w:rFonts w:eastAsia="Calibri"/>
          <w:color w:val="000000" w:themeColor="text1"/>
        </w:rPr>
        <w:t>“</w:t>
      </w:r>
      <w:r w:rsidRPr="0083113B">
        <w:rPr>
          <w:rFonts w:eastAsia="Calibri"/>
          <w:color w:val="000000" w:themeColor="text1"/>
        </w:rPr>
        <w:t xml:space="preserve">Development </w:t>
      </w:r>
      <w:r w:rsidR="00210991" w:rsidRPr="0083113B">
        <w:rPr>
          <w:rFonts w:eastAsia="Calibri"/>
          <w:color w:val="000000" w:themeColor="text1"/>
        </w:rPr>
        <w:t>T</w:t>
      </w:r>
      <w:r w:rsidRPr="0083113B">
        <w:rPr>
          <w:rFonts w:eastAsia="Calibri"/>
          <w:color w:val="000000" w:themeColor="text1"/>
        </w:rPr>
        <w:t xml:space="preserve">heory and </w:t>
      </w:r>
      <w:r w:rsidR="00210991" w:rsidRPr="0083113B">
        <w:rPr>
          <w:rFonts w:eastAsia="Calibri"/>
          <w:color w:val="000000" w:themeColor="text1"/>
        </w:rPr>
        <w:t>D</w:t>
      </w:r>
      <w:r w:rsidRPr="0083113B">
        <w:rPr>
          <w:rFonts w:eastAsia="Calibri"/>
          <w:color w:val="000000" w:themeColor="text1"/>
        </w:rPr>
        <w:t xml:space="preserve">omestic </w:t>
      </w:r>
      <w:r w:rsidR="00210991" w:rsidRPr="0083113B">
        <w:rPr>
          <w:rFonts w:eastAsia="Calibri"/>
          <w:color w:val="000000" w:themeColor="text1"/>
        </w:rPr>
        <w:t>A</w:t>
      </w:r>
      <w:r w:rsidRPr="0083113B">
        <w:rPr>
          <w:rFonts w:eastAsia="Calibri"/>
          <w:color w:val="000000" w:themeColor="text1"/>
        </w:rPr>
        <w:t xml:space="preserve">griculture in the Caribbean: </w:t>
      </w:r>
      <w:r w:rsidR="00210991" w:rsidRPr="0083113B">
        <w:rPr>
          <w:rFonts w:eastAsia="Calibri"/>
          <w:color w:val="000000" w:themeColor="text1"/>
        </w:rPr>
        <w:t>R</w:t>
      </w:r>
      <w:r w:rsidRPr="0083113B">
        <w:rPr>
          <w:rFonts w:eastAsia="Calibri"/>
          <w:color w:val="000000" w:themeColor="text1"/>
        </w:rPr>
        <w:t xml:space="preserve">ecurring </w:t>
      </w:r>
      <w:r w:rsidR="00210991" w:rsidRPr="0083113B">
        <w:rPr>
          <w:rFonts w:eastAsia="Calibri"/>
          <w:color w:val="000000" w:themeColor="text1"/>
        </w:rPr>
        <w:t>C</w:t>
      </w:r>
      <w:r w:rsidRPr="0083113B">
        <w:rPr>
          <w:rFonts w:eastAsia="Calibri"/>
          <w:color w:val="000000" w:themeColor="text1"/>
        </w:rPr>
        <w:t xml:space="preserve">rises and </w:t>
      </w:r>
      <w:r w:rsidR="00210991" w:rsidRPr="0083113B">
        <w:rPr>
          <w:rFonts w:eastAsia="Calibri"/>
          <w:color w:val="000000" w:themeColor="text1"/>
        </w:rPr>
        <w:t>M</w:t>
      </w:r>
      <w:r w:rsidRPr="0083113B">
        <w:rPr>
          <w:rFonts w:eastAsia="Calibri"/>
          <w:color w:val="000000" w:themeColor="text1"/>
        </w:rPr>
        <w:t xml:space="preserve">issed </w:t>
      </w:r>
      <w:r w:rsidR="00210991" w:rsidRPr="0083113B">
        <w:rPr>
          <w:rFonts w:eastAsia="Calibri"/>
          <w:color w:val="000000" w:themeColor="text1"/>
        </w:rPr>
        <w:t>O</w:t>
      </w:r>
      <w:r w:rsidRPr="0083113B">
        <w:rPr>
          <w:rFonts w:eastAsia="Calibri"/>
          <w:color w:val="000000" w:themeColor="text1"/>
        </w:rPr>
        <w:t>pportunities</w:t>
      </w:r>
      <w:r w:rsidR="00FC72F6" w:rsidRPr="0083113B">
        <w:rPr>
          <w:rFonts w:eastAsia="Calibri"/>
          <w:color w:val="000000" w:themeColor="text1"/>
        </w:rPr>
        <w:t>.</w:t>
      </w:r>
      <w:r w:rsidR="00210991"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Caribbean Geography</w:t>
      </w:r>
      <w:r w:rsidRPr="0083113B">
        <w:rPr>
          <w:rFonts w:eastAsia="Calibri"/>
          <w:color w:val="000000" w:themeColor="text1"/>
        </w:rPr>
        <w:t> 15</w:t>
      </w:r>
      <w:r w:rsidR="00FC72F6" w:rsidRPr="0083113B">
        <w:rPr>
          <w:rFonts w:eastAsia="Calibri"/>
          <w:color w:val="000000" w:themeColor="text1"/>
        </w:rPr>
        <w:t xml:space="preserve">, no. </w:t>
      </w:r>
      <w:r w:rsidRPr="0083113B">
        <w:rPr>
          <w:rFonts w:eastAsia="Calibri"/>
          <w:color w:val="000000" w:themeColor="text1"/>
        </w:rPr>
        <w:t>2</w:t>
      </w:r>
      <w:r w:rsidR="00210991" w:rsidRPr="0083113B">
        <w:rPr>
          <w:rFonts w:eastAsia="Calibri"/>
          <w:color w:val="000000" w:themeColor="text1"/>
        </w:rPr>
        <w:t xml:space="preserve"> (2008)</w:t>
      </w:r>
      <w:r w:rsidR="00FC72F6" w:rsidRPr="0083113B">
        <w:rPr>
          <w:rFonts w:eastAsia="Calibri"/>
          <w:color w:val="000000" w:themeColor="text1"/>
        </w:rPr>
        <w:t>:</w:t>
      </w:r>
      <w:r w:rsidRPr="0083113B">
        <w:rPr>
          <w:rFonts w:eastAsia="Calibri"/>
          <w:color w:val="000000" w:themeColor="text1"/>
        </w:rPr>
        <w:t xml:space="preserve"> 101-117.</w:t>
      </w:r>
      <w:r w:rsidR="005804BB" w:rsidRPr="0083113B">
        <w:rPr>
          <w:color w:val="000000" w:themeColor="text1"/>
        </w:rPr>
        <w:t xml:space="preserve"> </w:t>
      </w:r>
    </w:p>
    <w:p w14:paraId="0124C1C7" w14:textId="77777777" w:rsidR="00D3792B" w:rsidRDefault="00D3792B" w:rsidP="0049456A">
      <w:pPr>
        <w:ind w:left="720" w:hanging="720"/>
        <w:jc w:val="both"/>
        <w:rPr>
          <w:rFonts w:eastAsia="Calibri"/>
          <w:color w:val="000000" w:themeColor="text1"/>
        </w:rPr>
      </w:pPr>
    </w:p>
    <w:p w14:paraId="2E990AA5" w14:textId="34D5748F" w:rsidR="005804BB" w:rsidRPr="0083113B" w:rsidRDefault="005804BB" w:rsidP="0083113B">
      <w:pPr>
        <w:ind w:left="720" w:hanging="720"/>
        <w:jc w:val="both"/>
        <w:rPr>
          <w:rFonts w:eastAsia="Calibri"/>
          <w:color w:val="000000" w:themeColor="text1"/>
        </w:rPr>
      </w:pPr>
      <w:r w:rsidRPr="0083113B">
        <w:rPr>
          <w:rFonts w:eastAsia="Calibri"/>
          <w:color w:val="000000" w:themeColor="text1"/>
        </w:rPr>
        <w:t xml:space="preserve">Werner, M. </w:t>
      </w:r>
      <w:r w:rsidR="00210991" w:rsidRPr="0083113B">
        <w:rPr>
          <w:rFonts w:eastAsia="Calibri"/>
          <w:color w:val="000000" w:themeColor="text1"/>
        </w:rPr>
        <w:t>“</w:t>
      </w:r>
      <w:r w:rsidRPr="0083113B">
        <w:rPr>
          <w:rFonts w:eastAsia="Calibri"/>
          <w:color w:val="000000" w:themeColor="text1"/>
        </w:rPr>
        <w:t xml:space="preserve">Placing the </w:t>
      </w:r>
      <w:r w:rsidR="00210991" w:rsidRPr="0083113B">
        <w:rPr>
          <w:rFonts w:eastAsia="Calibri"/>
          <w:color w:val="000000" w:themeColor="text1"/>
        </w:rPr>
        <w:t>S</w:t>
      </w:r>
      <w:r w:rsidRPr="0083113B">
        <w:rPr>
          <w:rFonts w:eastAsia="Calibri"/>
          <w:color w:val="000000" w:themeColor="text1"/>
        </w:rPr>
        <w:t xml:space="preserve">tate in the </w:t>
      </w:r>
      <w:r w:rsidR="00210991" w:rsidRPr="0083113B">
        <w:rPr>
          <w:rFonts w:eastAsia="Calibri"/>
          <w:color w:val="000000" w:themeColor="text1"/>
        </w:rPr>
        <w:t>C</w:t>
      </w:r>
      <w:r w:rsidRPr="0083113B">
        <w:rPr>
          <w:rFonts w:eastAsia="Calibri"/>
          <w:color w:val="000000" w:themeColor="text1"/>
        </w:rPr>
        <w:t xml:space="preserve">ontemporary </w:t>
      </w:r>
      <w:r w:rsidR="00210991" w:rsidRPr="0083113B">
        <w:rPr>
          <w:rFonts w:eastAsia="Calibri"/>
          <w:color w:val="000000" w:themeColor="text1"/>
        </w:rPr>
        <w:t>F</w:t>
      </w:r>
      <w:r w:rsidRPr="0083113B">
        <w:rPr>
          <w:rFonts w:eastAsia="Calibri"/>
          <w:color w:val="000000" w:themeColor="text1"/>
        </w:rPr>
        <w:t xml:space="preserve">ood </w:t>
      </w:r>
      <w:r w:rsidR="00210991" w:rsidRPr="0083113B">
        <w:rPr>
          <w:rFonts w:eastAsia="Calibri"/>
          <w:color w:val="000000" w:themeColor="text1"/>
        </w:rPr>
        <w:t>R</w:t>
      </w:r>
      <w:r w:rsidRPr="0083113B">
        <w:rPr>
          <w:rFonts w:eastAsia="Calibri"/>
          <w:color w:val="000000" w:themeColor="text1"/>
        </w:rPr>
        <w:t xml:space="preserve">egime: </w:t>
      </w:r>
      <w:r w:rsidR="00210991" w:rsidRPr="0083113B">
        <w:rPr>
          <w:rFonts w:eastAsia="Calibri"/>
          <w:color w:val="000000" w:themeColor="text1"/>
        </w:rPr>
        <w:t>U</w:t>
      </w:r>
      <w:r w:rsidRPr="0083113B">
        <w:rPr>
          <w:rFonts w:eastAsia="Calibri"/>
          <w:color w:val="000000" w:themeColor="text1"/>
        </w:rPr>
        <w:t xml:space="preserve">neven </w:t>
      </w:r>
      <w:r w:rsidR="00210991" w:rsidRPr="0083113B">
        <w:rPr>
          <w:rFonts w:eastAsia="Calibri"/>
          <w:color w:val="000000" w:themeColor="text1"/>
        </w:rPr>
        <w:t>R</w:t>
      </w:r>
      <w:r w:rsidRPr="0083113B">
        <w:rPr>
          <w:rFonts w:eastAsia="Calibri"/>
          <w:color w:val="000000" w:themeColor="text1"/>
        </w:rPr>
        <w:t xml:space="preserve">egulatory </w:t>
      </w:r>
      <w:r w:rsidR="00210991" w:rsidRPr="0083113B">
        <w:rPr>
          <w:rFonts w:eastAsia="Calibri"/>
          <w:color w:val="000000" w:themeColor="text1"/>
        </w:rPr>
        <w:t>D</w:t>
      </w:r>
      <w:r w:rsidRPr="0083113B">
        <w:rPr>
          <w:rFonts w:eastAsia="Calibri"/>
          <w:color w:val="000000" w:themeColor="text1"/>
        </w:rPr>
        <w:t>evelopment in the Dominican Republic</w:t>
      </w:r>
      <w:r w:rsidR="00FC72F6" w:rsidRPr="0083113B">
        <w:rPr>
          <w:rFonts w:eastAsia="Calibri"/>
          <w:color w:val="000000" w:themeColor="text1"/>
        </w:rPr>
        <w:t>.</w:t>
      </w:r>
      <w:r w:rsidR="00210991" w:rsidRPr="0083113B">
        <w:rPr>
          <w:rFonts w:eastAsia="Calibri"/>
          <w:color w:val="000000" w:themeColor="text1"/>
        </w:rPr>
        <w:t>”</w:t>
      </w:r>
      <w:r w:rsidRPr="0083113B">
        <w:rPr>
          <w:rFonts w:eastAsia="Calibri"/>
          <w:color w:val="000000" w:themeColor="text1"/>
        </w:rPr>
        <w:t> </w:t>
      </w:r>
      <w:r w:rsidRPr="0083113B">
        <w:rPr>
          <w:rFonts w:eastAsia="Calibri"/>
          <w:i/>
          <w:iCs/>
          <w:color w:val="000000" w:themeColor="text1"/>
        </w:rPr>
        <w:t>The Journal of Peasant Studies</w:t>
      </w:r>
      <w:r w:rsidR="00210991" w:rsidRPr="0083113B">
        <w:rPr>
          <w:rFonts w:eastAsia="Calibri"/>
          <w:i/>
          <w:iCs/>
          <w:color w:val="000000" w:themeColor="text1"/>
        </w:rPr>
        <w:t xml:space="preserve"> </w:t>
      </w:r>
      <w:r w:rsidR="00FC72F6" w:rsidRPr="0083113B">
        <w:rPr>
          <w:rFonts w:eastAsia="Calibri"/>
          <w:color w:val="000000" w:themeColor="text1"/>
        </w:rPr>
        <w:t>48, no. 1 (</w:t>
      </w:r>
      <w:r w:rsidR="00210991" w:rsidRPr="0083113B">
        <w:rPr>
          <w:rFonts w:eastAsia="Calibri"/>
          <w:color w:val="000000" w:themeColor="text1"/>
        </w:rPr>
        <w:t>20</w:t>
      </w:r>
      <w:r w:rsidR="00FC72F6" w:rsidRPr="0083113B">
        <w:rPr>
          <w:rFonts w:eastAsia="Calibri"/>
          <w:color w:val="000000" w:themeColor="text1"/>
        </w:rPr>
        <w:t>21</w:t>
      </w:r>
      <w:r w:rsidR="00210991" w:rsidRPr="0083113B">
        <w:rPr>
          <w:rFonts w:eastAsia="Calibri"/>
          <w:color w:val="000000" w:themeColor="text1"/>
        </w:rPr>
        <w:t>)</w:t>
      </w:r>
      <w:r w:rsidR="00FC72F6" w:rsidRPr="0083113B">
        <w:rPr>
          <w:rFonts w:eastAsia="Calibri"/>
          <w:color w:val="000000" w:themeColor="text1"/>
        </w:rPr>
        <w:t>:</w:t>
      </w:r>
      <w:r w:rsidRPr="0083113B">
        <w:rPr>
          <w:rFonts w:eastAsia="Calibri"/>
          <w:color w:val="000000" w:themeColor="text1"/>
        </w:rPr>
        <w:t xml:space="preserve"> 1-22.</w:t>
      </w:r>
    </w:p>
    <w:p w14:paraId="4EAAE8A6" w14:textId="77777777" w:rsidR="00D3792B" w:rsidRDefault="00D3792B" w:rsidP="0049456A">
      <w:pPr>
        <w:ind w:left="720" w:hanging="720"/>
        <w:jc w:val="both"/>
        <w:rPr>
          <w:rFonts w:eastAsia="Calibri"/>
          <w:color w:val="000000" w:themeColor="text1"/>
        </w:rPr>
      </w:pPr>
    </w:p>
    <w:p w14:paraId="558A6F8F" w14:textId="69EACF5E" w:rsidR="00BB431D" w:rsidRPr="0083113B" w:rsidRDefault="005804BB" w:rsidP="0083113B">
      <w:pPr>
        <w:ind w:left="720" w:hanging="720"/>
        <w:jc w:val="both"/>
        <w:rPr>
          <w:rFonts w:eastAsia="Calibri"/>
          <w:color w:val="000000" w:themeColor="text1"/>
        </w:rPr>
      </w:pPr>
      <w:r w:rsidRPr="0083113B">
        <w:rPr>
          <w:rFonts w:eastAsia="Calibri"/>
          <w:color w:val="000000" w:themeColor="text1"/>
        </w:rPr>
        <w:t xml:space="preserve">Wilson, M. </w:t>
      </w:r>
      <w:r w:rsidR="00210991" w:rsidRPr="0083113B">
        <w:rPr>
          <w:rFonts w:eastAsia="Calibri"/>
          <w:color w:val="000000" w:themeColor="text1"/>
        </w:rPr>
        <w:t>“</w:t>
      </w:r>
      <w:r w:rsidRPr="0083113B">
        <w:rPr>
          <w:rFonts w:eastAsia="Calibri"/>
          <w:color w:val="000000" w:themeColor="text1"/>
        </w:rPr>
        <w:t xml:space="preserve">Food and </w:t>
      </w:r>
      <w:r w:rsidR="00210991" w:rsidRPr="0083113B">
        <w:rPr>
          <w:rFonts w:eastAsia="Calibri"/>
          <w:color w:val="000000" w:themeColor="text1"/>
        </w:rPr>
        <w:t>N</w:t>
      </w:r>
      <w:r w:rsidRPr="0083113B">
        <w:rPr>
          <w:rFonts w:eastAsia="Calibri"/>
          <w:color w:val="000000" w:themeColor="text1"/>
        </w:rPr>
        <w:t xml:space="preserve">utrition </w:t>
      </w:r>
      <w:r w:rsidR="00210991" w:rsidRPr="0083113B">
        <w:rPr>
          <w:rFonts w:eastAsia="Calibri"/>
          <w:color w:val="000000" w:themeColor="text1"/>
        </w:rPr>
        <w:t>S</w:t>
      </w:r>
      <w:r w:rsidRPr="0083113B">
        <w:rPr>
          <w:rFonts w:eastAsia="Calibri"/>
          <w:color w:val="000000" w:themeColor="text1"/>
        </w:rPr>
        <w:t xml:space="preserve">ecurity </w:t>
      </w:r>
      <w:r w:rsidR="00210991" w:rsidRPr="0083113B">
        <w:rPr>
          <w:rFonts w:eastAsia="Calibri"/>
          <w:color w:val="000000" w:themeColor="text1"/>
        </w:rPr>
        <w:t>P</w:t>
      </w:r>
      <w:r w:rsidRPr="0083113B">
        <w:rPr>
          <w:rFonts w:eastAsia="Calibri"/>
          <w:color w:val="000000" w:themeColor="text1"/>
        </w:rPr>
        <w:t xml:space="preserve">olicies in the Caribbean: </w:t>
      </w:r>
      <w:r w:rsidR="00A87950" w:rsidRPr="0083113B">
        <w:rPr>
          <w:rFonts w:eastAsia="Calibri"/>
          <w:color w:val="000000" w:themeColor="text1"/>
        </w:rPr>
        <w:t>C</w:t>
      </w:r>
      <w:r w:rsidRPr="0083113B">
        <w:rPr>
          <w:rFonts w:eastAsia="Calibri"/>
          <w:color w:val="000000" w:themeColor="text1"/>
        </w:rPr>
        <w:t xml:space="preserve">hallenging the </w:t>
      </w:r>
      <w:r w:rsidR="00210991" w:rsidRPr="0083113B">
        <w:rPr>
          <w:rFonts w:eastAsia="Calibri"/>
          <w:color w:val="000000" w:themeColor="text1"/>
        </w:rPr>
        <w:t>C</w:t>
      </w:r>
      <w:r w:rsidRPr="0083113B">
        <w:rPr>
          <w:rFonts w:eastAsia="Calibri"/>
          <w:color w:val="000000" w:themeColor="text1"/>
        </w:rPr>
        <w:t xml:space="preserve">orporate </w:t>
      </w:r>
      <w:r w:rsidR="00210991" w:rsidRPr="0083113B">
        <w:rPr>
          <w:rFonts w:eastAsia="Calibri"/>
          <w:color w:val="000000" w:themeColor="text1"/>
        </w:rPr>
        <w:t>F</w:t>
      </w:r>
      <w:r w:rsidRPr="0083113B">
        <w:rPr>
          <w:rFonts w:eastAsia="Calibri"/>
          <w:color w:val="000000" w:themeColor="text1"/>
        </w:rPr>
        <w:t xml:space="preserve">ood </w:t>
      </w:r>
      <w:r w:rsidR="00210991" w:rsidRPr="0083113B">
        <w:rPr>
          <w:rFonts w:eastAsia="Calibri"/>
          <w:color w:val="000000" w:themeColor="text1"/>
        </w:rPr>
        <w:t>R</w:t>
      </w:r>
      <w:r w:rsidRPr="0083113B">
        <w:rPr>
          <w:rFonts w:eastAsia="Calibri"/>
          <w:color w:val="000000" w:themeColor="text1"/>
        </w:rPr>
        <w:t>egime?</w:t>
      </w:r>
      <w:r w:rsidR="00210991" w:rsidRPr="0083113B">
        <w:rPr>
          <w:rFonts w:eastAsia="Calibri"/>
          <w:color w:val="000000" w:themeColor="text1"/>
        </w:rPr>
        <w:t>”</w:t>
      </w:r>
      <w:r w:rsidRPr="0083113B">
        <w:rPr>
          <w:rFonts w:eastAsia="Calibri"/>
          <w:color w:val="000000" w:themeColor="text1"/>
        </w:rPr>
        <w:t xml:space="preserve"> </w:t>
      </w:r>
      <w:proofErr w:type="spellStart"/>
      <w:r w:rsidRPr="0083113B">
        <w:rPr>
          <w:rFonts w:eastAsia="Calibri"/>
          <w:i/>
          <w:iCs/>
          <w:color w:val="000000" w:themeColor="text1"/>
        </w:rPr>
        <w:t>Geoforum</w:t>
      </w:r>
      <w:proofErr w:type="spellEnd"/>
      <w:r w:rsidRPr="0083113B">
        <w:rPr>
          <w:rFonts w:eastAsia="Calibri"/>
          <w:color w:val="000000" w:themeColor="text1"/>
        </w:rPr>
        <w:t xml:space="preserve"> 73</w:t>
      </w:r>
      <w:r w:rsidR="00210991" w:rsidRPr="0083113B">
        <w:rPr>
          <w:rFonts w:eastAsia="Calibri"/>
          <w:color w:val="000000" w:themeColor="text1"/>
        </w:rPr>
        <w:t xml:space="preserve"> (2016)</w:t>
      </w:r>
      <w:r w:rsidR="003425F3" w:rsidRPr="0083113B">
        <w:rPr>
          <w:rFonts w:eastAsia="Calibri"/>
          <w:color w:val="000000" w:themeColor="text1"/>
        </w:rPr>
        <w:t>:</w:t>
      </w:r>
      <w:r w:rsidRPr="0083113B">
        <w:rPr>
          <w:rFonts w:eastAsia="Calibri"/>
          <w:color w:val="000000" w:themeColor="text1"/>
        </w:rPr>
        <w:t xml:space="preserve"> 60–69. </w:t>
      </w:r>
    </w:p>
    <w:p w14:paraId="195428B4" w14:textId="77777777" w:rsidR="00D3792B" w:rsidRDefault="00D3792B" w:rsidP="0049456A">
      <w:pPr>
        <w:ind w:left="720" w:hanging="720"/>
        <w:jc w:val="both"/>
        <w:rPr>
          <w:rFonts w:eastAsia="Calibri"/>
          <w:bCs/>
          <w:color w:val="000000" w:themeColor="text1"/>
        </w:rPr>
      </w:pPr>
    </w:p>
    <w:p w14:paraId="6F2A6316" w14:textId="4B381347" w:rsidR="00C12DAB" w:rsidRPr="00FA7E36" w:rsidRDefault="00BB431D" w:rsidP="0083113B">
      <w:pPr>
        <w:ind w:left="720" w:hanging="720"/>
        <w:jc w:val="both"/>
        <w:rPr>
          <w:rFonts w:eastAsia="Calibri"/>
          <w:bCs/>
          <w:color w:val="000000" w:themeColor="text1"/>
          <w:lang w:val="en-US"/>
        </w:rPr>
      </w:pPr>
      <w:r w:rsidRPr="0083113B">
        <w:rPr>
          <w:rFonts w:eastAsia="Calibri"/>
          <w:bCs/>
          <w:color w:val="000000" w:themeColor="text1"/>
        </w:rPr>
        <w:t>World Bank.</w:t>
      </w:r>
      <w:r w:rsidR="00E24D65" w:rsidRPr="0083113B">
        <w:rPr>
          <w:rFonts w:eastAsia="Calibri"/>
          <w:bCs/>
          <w:color w:val="000000" w:themeColor="text1"/>
        </w:rPr>
        <w:t xml:space="preserve"> “</w:t>
      </w:r>
      <w:r w:rsidR="003425F3" w:rsidRPr="0083113B">
        <w:rPr>
          <w:rFonts w:eastAsia="Calibri"/>
          <w:bCs/>
          <w:color w:val="000000" w:themeColor="text1"/>
        </w:rPr>
        <w:t>OECS Regional Agricultural Competitiveness Project</w:t>
      </w:r>
      <w:r w:rsidR="00C12DAB" w:rsidRPr="0083113B">
        <w:rPr>
          <w:rFonts w:eastAsia="Calibri"/>
          <w:bCs/>
          <w:color w:val="000000" w:themeColor="text1"/>
        </w:rPr>
        <w:t>: International Bank for Reconstruction Development (IBRD) and International Development Association (IDA) Project Appraisal Document</w:t>
      </w:r>
      <w:r w:rsidR="003425F3" w:rsidRPr="0083113B">
        <w:rPr>
          <w:rFonts w:eastAsia="Calibri"/>
          <w:bCs/>
          <w:color w:val="000000" w:themeColor="text1"/>
        </w:rPr>
        <w:t>.”</w:t>
      </w:r>
      <w:r w:rsidR="00E24D65" w:rsidRPr="0083113B">
        <w:rPr>
          <w:rFonts w:eastAsia="Calibri"/>
          <w:bCs/>
          <w:color w:val="000000" w:themeColor="text1"/>
        </w:rPr>
        <w:t xml:space="preserve"> </w:t>
      </w:r>
      <w:r w:rsidR="00BB53A2" w:rsidRPr="0083113B">
        <w:rPr>
          <w:rFonts w:eastAsia="Calibri"/>
          <w:bCs/>
          <w:color w:val="000000" w:themeColor="text1"/>
        </w:rPr>
        <w:t>Washington</w:t>
      </w:r>
      <w:r w:rsidR="00683BF4" w:rsidRPr="0083113B">
        <w:rPr>
          <w:rFonts w:eastAsia="Calibri"/>
          <w:bCs/>
          <w:color w:val="000000" w:themeColor="text1"/>
        </w:rPr>
        <w:t>,</w:t>
      </w:r>
      <w:r w:rsidR="00BB53A2" w:rsidRPr="0083113B">
        <w:rPr>
          <w:rFonts w:eastAsia="Calibri"/>
          <w:bCs/>
          <w:color w:val="000000" w:themeColor="text1"/>
        </w:rPr>
        <w:t xml:space="preserve"> DC</w:t>
      </w:r>
      <w:r w:rsidR="00C12DAB" w:rsidRPr="0083113B">
        <w:rPr>
          <w:rFonts w:eastAsia="Calibri"/>
          <w:bCs/>
          <w:color w:val="000000" w:themeColor="text1"/>
        </w:rPr>
        <w:t>, May 4, 2017</w:t>
      </w:r>
      <w:r w:rsidR="00683BF4" w:rsidRPr="0083113B">
        <w:rPr>
          <w:rFonts w:eastAsia="Calibri"/>
          <w:bCs/>
          <w:color w:val="000000" w:themeColor="text1"/>
        </w:rPr>
        <w:t xml:space="preserve">. </w:t>
      </w:r>
      <w:r w:rsidR="00C12DAB" w:rsidRPr="0083113B">
        <w:rPr>
          <w:rFonts w:eastAsia="Calibri"/>
          <w:bCs/>
          <w:color w:val="000000" w:themeColor="text1"/>
        </w:rPr>
        <w:t xml:space="preserve">Report No. </w:t>
      </w:r>
      <w:r w:rsidR="00C12DAB" w:rsidRPr="00FA7E36">
        <w:rPr>
          <w:rFonts w:eastAsia="Calibri"/>
          <w:bCs/>
          <w:color w:val="000000" w:themeColor="text1"/>
          <w:lang w:val="en-US"/>
        </w:rPr>
        <w:t>PAD1941.</w:t>
      </w:r>
      <w:r w:rsidR="00E24D65" w:rsidRPr="00FA7E36">
        <w:rPr>
          <w:rFonts w:eastAsia="Calibri"/>
          <w:bCs/>
          <w:color w:val="000000" w:themeColor="text1"/>
          <w:lang w:val="en-US"/>
        </w:rPr>
        <w:t xml:space="preserve"> </w:t>
      </w:r>
      <w:hyperlink r:id="rId17" w:history="1">
        <w:r w:rsidR="00E24D65" w:rsidRPr="00FA7E36">
          <w:rPr>
            <w:rStyle w:val="Hyperlink"/>
            <w:rFonts w:eastAsia="Calibri"/>
            <w:bCs/>
            <w:lang w:val="en-US"/>
          </w:rPr>
          <w:t>https://documents1.worldbank.org/curated/en/278371495936843350/pdf/project-appraisal-document-pad-P158958-2017-05-03-11-53am-05082017.pdf</w:t>
        </w:r>
      </w:hyperlink>
      <w:r w:rsidR="00C12DAB" w:rsidRPr="00FA7E36">
        <w:rPr>
          <w:rFonts w:eastAsia="Calibri"/>
          <w:bCs/>
          <w:color w:val="000000" w:themeColor="text1"/>
          <w:lang w:val="en-US"/>
        </w:rPr>
        <w:t xml:space="preserve">. </w:t>
      </w:r>
    </w:p>
    <w:p w14:paraId="005AC853" w14:textId="31960E8C" w:rsidR="00AC3D72" w:rsidRPr="0083113B" w:rsidRDefault="00AC3D72" w:rsidP="0083113B">
      <w:pPr>
        <w:ind w:left="720" w:hanging="720"/>
        <w:jc w:val="both"/>
        <w:rPr>
          <w:rFonts w:eastAsia="Calibri"/>
          <w:bCs/>
          <w:color w:val="000000" w:themeColor="text1"/>
          <w:lang w:eastAsia="en-US"/>
        </w:rPr>
      </w:pPr>
    </w:p>
    <w:sectPr w:rsidR="00AC3D72" w:rsidRPr="00831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3168" w14:textId="77777777" w:rsidR="008A6F61" w:rsidRDefault="008A6F61" w:rsidP="00823C42">
      <w:r>
        <w:separator/>
      </w:r>
    </w:p>
  </w:endnote>
  <w:endnote w:type="continuationSeparator" w:id="0">
    <w:p w14:paraId="7DAF49B0" w14:textId="77777777" w:rsidR="008A6F61" w:rsidRDefault="008A6F61" w:rsidP="00823C42">
      <w:r>
        <w:continuationSeparator/>
      </w:r>
    </w:p>
  </w:endnote>
  <w:endnote w:type="continuationNotice" w:id="1">
    <w:p w14:paraId="5FA3E222" w14:textId="77777777" w:rsidR="008A6F61" w:rsidRDefault="008A6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9CE5" w14:textId="77777777" w:rsidR="008A6F61" w:rsidRDefault="008A6F61" w:rsidP="00823C42">
      <w:r>
        <w:separator/>
      </w:r>
    </w:p>
  </w:footnote>
  <w:footnote w:type="continuationSeparator" w:id="0">
    <w:p w14:paraId="6D0F2AF5" w14:textId="77777777" w:rsidR="008A6F61" w:rsidRDefault="008A6F61" w:rsidP="00823C42">
      <w:r>
        <w:continuationSeparator/>
      </w:r>
    </w:p>
  </w:footnote>
  <w:footnote w:type="continuationNotice" w:id="1">
    <w:p w14:paraId="03021CFE" w14:textId="77777777" w:rsidR="008A6F61" w:rsidRDefault="008A6F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569C"/>
    <w:multiLevelType w:val="multilevel"/>
    <w:tmpl w:val="F37A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84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A3"/>
    <w:rsid w:val="00010764"/>
    <w:rsid w:val="000314C9"/>
    <w:rsid w:val="00032102"/>
    <w:rsid w:val="00040BF3"/>
    <w:rsid w:val="00042A05"/>
    <w:rsid w:val="00044BCF"/>
    <w:rsid w:val="000515E6"/>
    <w:rsid w:val="000619F6"/>
    <w:rsid w:val="0006373D"/>
    <w:rsid w:val="00065E1C"/>
    <w:rsid w:val="00066B8D"/>
    <w:rsid w:val="000678CA"/>
    <w:rsid w:val="00076286"/>
    <w:rsid w:val="00077A0E"/>
    <w:rsid w:val="00091338"/>
    <w:rsid w:val="00095D4C"/>
    <w:rsid w:val="00097143"/>
    <w:rsid w:val="000A06A3"/>
    <w:rsid w:val="000A3E49"/>
    <w:rsid w:val="000B097F"/>
    <w:rsid w:val="000B3B1E"/>
    <w:rsid w:val="000B6608"/>
    <w:rsid w:val="000B7BAA"/>
    <w:rsid w:val="000C2728"/>
    <w:rsid w:val="000E310F"/>
    <w:rsid w:val="000F4DF3"/>
    <w:rsid w:val="000F59A4"/>
    <w:rsid w:val="00102066"/>
    <w:rsid w:val="001035B3"/>
    <w:rsid w:val="001155ED"/>
    <w:rsid w:val="00121189"/>
    <w:rsid w:val="001255B2"/>
    <w:rsid w:val="0013231E"/>
    <w:rsid w:val="001416B1"/>
    <w:rsid w:val="00161424"/>
    <w:rsid w:val="00174773"/>
    <w:rsid w:val="0017479F"/>
    <w:rsid w:val="00180405"/>
    <w:rsid w:val="00181043"/>
    <w:rsid w:val="00186F04"/>
    <w:rsid w:val="001A270B"/>
    <w:rsid w:val="001B1E99"/>
    <w:rsid w:val="001B427A"/>
    <w:rsid w:val="001B45BF"/>
    <w:rsid w:val="001F33D4"/>
    <w:rsid w:val="001F4A51"/>
    <w:rsid w:val="001F720A"/>
    <w:rsid w:val="00205DE2"/>
    <w:rsid w:val="00210991"/>
    <w:rsid w:val="0022169F"/>
    <w:rsid w:val="00233C1E"/>
    <w:rsid w:val="00241BEB"/>
    <w:rsid w:val="00255E8F"/>
    <w:rsid w:val="002632DB"/>
    <w:rsid w:val="00263984"/>
    <w:rsid w:val="00266F24"/>
    <w:rsid w:val="00267BDF"/>
    <w:rsid w:val="0028363B"/>
    <w:rsid w:val="002905C0"/>
    <w:rsid w:val="00290929"/>
    <w:rsid w:val="00295B8E"/>
    <w:rsid w:val="002977D5"/>
    <w:rsid w:val="002A056E"/>
    <w:rsid w:val="002B2564"/>
    <w:rsid w:val="002B57AA"/>
    <w:rsid w:val="002B7AD0"/>
    <w:rsid w:val="002C06E1"/>
    <w:rsid w:val="002C2364"/>
    <w:rsid w:val="002C7829"/>
    <w:rsid w:val="002E56A4"/>
    <w:rsid w:val="002E6DD8"/>
    <w:rsid w:val="002F0E80"/>
    <w:rsid w:val="002F2FAA"/>
    <w:rsid w:val="00302FA9"/>
    <w:rsid w:val="003050F1"/>
    <w:rsid w:val="0031264B"/>
    <w:rsid w:val="00315DCA"/>
    <w:rsid w:val="00317397"/>
    <w:rsid w:val="0032448B"/>
    <w:rsid w:val="00324FBB"/>
    <w:rsid w:val="003301C7"/>
    <w:rsid w:val="00336026"/>
    <w:rsid w:val="0033610F"/>
    <w:rsid w:val="00340B89"/>
    <w:rsid w:val="00341F5B"/>
    <w:rsid w:val="003425F3"/>
    <w:rsid w:val="003509F7"/>
    <w:rsid w:val="00355C4D"/>
    <w:rsid w:val="00356F48"/>
    <w:rsid w:val="00357580"/>
    <w:rsid w:val="00365A5F"/>
    <w:rsid w:val="00366439"/>
    <w:rsid w:val="00370588"/>
    <w:rsid w:val="00370797"/>
    <w:rsid w:val="00370A05"/>
    <w:rsid w:val="00371EB7"/>
    <w:rsid w:val="003763A4"/>
    <w:rsid w:val="00376653"/>
    <w:rsid w:val="00382F3D"/>
    <w:rsid w:val="003851EF"/>
    <w:rsid w:val="00387170"/>
    <w:rsid w:val="0038758B"/>
    <w:rsid w:val="003A29B1"/>
    <w:rsid w:val="003A4C47"/>
    <w:rsid w:val="003B6F82"/>
    <w:rsid w:val="003D129E"/>
    <w:rsid w:val="003E3524"/>
    <w:rsid w:val="003E5F43"/>
    <w:rsid w:val="003E6FFB"/>
    <w:rsid w:val="004037CE"/>
    <w:rsid w:val="00406425"/>
    <w:rsid w:val="00407F43"/>
    <w:rsid w:val="00414063"/>
    <w:rsid w:val="00423274"/>
    <w:rsid w:val="00425FCD"/>
    <w:rsid w:val="004265FD"/>
    <w:rsid w:val="00432CF3"/>
    <w:rsid w:val="0043735C"/>
    <w:rsid w:val="00437647"/>
    <w:rsid w:val="004377E1"/>
    <w:rsid w:val="00443DB6"/>
    <w:rsid w:val="00445FEF"/>
    <w:rsid w:val="00456358"/>
    <w:rsid w:val="00470D6D"/>
    <w:rsid w:val="00481DFD"/>
    <w:rsid w:val="00486161"/>
    <w:rsid w:val="0049456A"/>
    <w:rsid w:val="004C2F97"/>
    <w:rsid w:val="004C3B75"/>
    <w:rsid w:val="004C52D9"/>
    <w:rsid w:val="004C5C02"/>
    <w:rsid w:val="004C6783"/>
    <w:rsid w:val="004D2CD6"/>
    <w:rsid w:val="004D53BD"/>
    <w:rsid w:val="004E1846"/>
    <w:rsid w:val="004E7E8C"/>
    <w:rsid w:val="004F0EB4"/>
    <w:rsid w:val="004F4714"/>
    <w:rsid w:val="004F48A7"/>
    <w:rsid w:val="004F7319"/>
    <w:rsid w:val="0050181C"/>
    <w:rsid w:val="00504BC9"/>
    <w:rsid w:val="005176B7"/>
    <w:rsid w:val="005201F4"/>
    <w:rsid w:val="00520AC8"/>
    <w:rsid w:val="00521A7E"/>
    <w:rsid w:val="005252E6"/>
    <w:rsid w:val="00541ED1"/>
    <w:rsid w:val="0054385F"/>
    <w:rsid w:val="00544470"/>
    <w:rsid w:val="00552937"/>
    <w:rsid w:val="00555A1B"/>
    <w:rsid w:val="00561FDA"/>
    <w:rsid w:val="00566E27"/>
    <w:rsid w:val="005800EA"/>
    <w:rsid w:val="0058038A"/>
    <w:rsid w:val="005804BB"/>
    <w:rsid w:val="00581F15"/>
    <w:rsid w:val="00591BBB"/>
    <w:rsid w:val="00592A67"/>
    <w:rsid w:val="005A18BB"/>
    <w:rsid w:val="005A3253"/>
    <w:rsid w:val="005A586B"/>
    <w:rsid w:val="005B1140"/>
    <w:rsid w:val="005B157D"/>
    <w:rsid w:val="005B68BB"/>
    <w:rsid w:val="005C20A2"/>
    <w:rsid w:val="005E0C59"/>
    <w:rsid w:val="005E1513"/>
    <w:rsid w:val="005E6A2F"/>
    <w:rsid w:val="005F0E98"/>
    <w:rsid w:val="005F296C"/>
    <w:rsid w:val="005F71A2"/>
    <w:rsid w:val="00605FC5"/>
    <w:rsid w:val="00611874"/>
    <w:rsid w:val="00616758"/>
    <w:rsid w:val="006208B6"/>
    <w:rsid w:val="0062678B"/>
    <w:rsid w:val="00627FD4"/>
    <w:rsid w:val="00631311"/>
    <w:rsid w:val="00631CE7"/>
    <w:rsid w:val="00647EB8"/>
    <w:rsid w:val="00651EAE"/>
    <w:rsid w:val="00653D8B"/>
    <w:rsid w:val="006554BA"/>
    <w:rsid w:val="00667B58"/>
    <w:rsid w:val="00673323"/>
    <w:rsid w:val="00677088"/>
    <w:rsid w:val="00683B88"/>
    <w:rsid w:val="00683BF4"/>
    <w:rsid w:val="00685C94"/>
    <w:rsid w:val="00685F02"/>
    <w:rsid w:val="006871A3"/>
    <w:rsid w:val="00687533"/>
    <w:rsid w:val="00692860"/>
    <w:rsid w:val="00694E3C"/>
    <w:rsid w:val="0069692A"/>
    <w:rsid w:val="006B2320"/>
    <w:rsid w:val="006B7D91"/>
    <w:rsid w:val="006D3E62"/>
    <w:rsid w:val="0070071F"/>
    <w:rsid w:val="00701533"/>
    <w:rsid w:val="00706479"/>
    <w:rsid w:val="00706E09"/>
    <w:rsid w:val="00711539"/>
    <w:rsid w:val="007204A1"/>
    <w:rsid w:val="00721431"/>
    <w:rsid w:val="00722A16"/>
    <w:rsid w:val="00725F77"/>
    <w:rsid w:val="00726D16"/>
    <w:rsid w:val="007313FA"/>
    <w:rsid w:val="00742D7F"/>
    <w:rsid w:val="00750D27"/>
    <w:rsid w:val="007612C5"/>
    <w:rsid w:val="00762C96"/>
    <w:rsid w:val="0076481A"/>
    <w:rsid w:val="00767998"/>
    <w:rsid w:val="007723F4"/>
    <w:rsid w:val="00774F4F"/>
    <w:rsid w:val="00775017"/>
    <w:rsid w:val="00784627"/>
    <w:rsid w:val="00791C4A"/>
    <w:rsid w:val="00792E2F"/>
    <w:rsid w:val="007A2047"/>
    <w:rsid w:val="007A240F"/>
    <w:rsid w:val="007A3C30"/>
    <w:rsid w:val="007C1AC0"/>
    <w:rsid w:val="007E4100"/>
    <w:rsid w:val="007E5400"/>
    <w:rsid w:val="007E5A98"/>
    <w:rsid w:val="007E64EE"/>
    <w:rsid w:val="007F0015"/>
    <w:rsid w:val="007F1087"/>
    <w:rsid w:val="007F3F9D"/>
    <w:rsid w:val="008054F1"/>
    <w:rsid w:val="00805F6F"/>
    <w:rsid w:val="00812740"/>
    <w:rsid w:val="008149A8"/>
    <w:rsid w:val="00823C42"/>
    <w:rsid w:val="00823E05"/>
    <w:rsid w:val="00826316"/>
    <w:rsid w:val="00826C17"/>
    <w:rsid w:val="0083113B"/>
    <w:rsid w:val="00834860"/>
    <w:rsid w:val="00836757"/>
    <w:rsid w:val="008372E6"/>
    <w:rsid w:val="00837888"/>
    <w:rsid w:val="0084470C"/>
    <w:rsid w:val="00847246"/>
    <w:rsid w:val="00856372"/>
    <w:rsid w:val="00875532"/>
    <w:rsid w:val="00875EE8"/>
    <w:rsid w:val="0088523C"/>
    <w:rsid w:val="008867C8"/>
    <w:rsid w:val="00893ABC"/>
    <w:rsid w:val="0089504B"/>
    <w:rsid w:val="0089631D"/>
    <w:rsid w:val="008A6F61"/>
    <w:rsid w:val="008C398A"/>
    <w:rsid w:val="008D57D4"/>
    <w:rsid w:val="008D7BEC"/>
    <w:rsid w:val="008E0223"/>
    <w:rsid w:val="008E22A0"/>
    <w:rsid w:val="008E71AE"/>
    <w:rsid w:val="009006A3"/>
    <w:rsid w:val="00912E41"/>
    <w:rsid w:val="0092343B"/>
    <w:rsid w:val="00923FC7"/>
    <w:rsid w:val="00926B29"/>
    <w:rsid w:val="00931A31"/>
    <w:rsid w:val="00934494"/>
    <w:rsid w:val="009439D0"/>
    <w:rsid w:val="00944E8B"/>
    <w:rsid w:val="00951EA5"/>
    <w:rsid w:val="00957524"/>
    <w:rsid w:val="0096159F"/>
    <w:rsid w:val="00992CA4"/>
    <w:rsid w:val="009A08EA"/>
    <w:rsid w:val="009A6563"/>
    <w:rsid w:val="009C6262"/>
    <w:rsid w:val="009D1842"/>
    <w:rsid w:val="009D6A97"/>
    <w:rsid w:val="009D6B96"/>
    <w:rsid w:val="009E0683"/>
    <w:rsid w:val="009F06F4"/>
    <w:rsid w:val="00A00965"/>
    <w:rsid w:val="00A05E9A"/>
    <w:rsid w:val="00A26B7A"/>
    <w:rsid w:val="00A3465B"/>
    <w:rsid w:val="00A34CD7"/>
    <w:rsid w:val="00A34DD1"/>
    <w:rsid w:val="00A360DA"/>
    <w:rsid w:val="00A42E8D"/>
    <w:rsid w:val="00A44DCB"/>
    <w:rsid w:val="00A55FC7"/>
    <w:rsid w:val="00A77F9F"/>
    <w:rsid w:val="00A83369"/>
    <w:rsid w:val="00A87950"/>
    <w:rsid w:val="00A94819"/>
    <w:rsid w:val="00A97117"/>
    <w:rsid w:val="00AC0E3D"/>
    <w:rsid w:val="00AC2860"/>
    <w:rsid w:val="00AC3D72"/>
    <w:rsid w:val="00AE013F"/>
    <w:rsid w:val="00AE0FFE"/>
    <w:rsid w:val="00AE34DD"/>
    <w:rsid w:val="00AE7388"/>
    <w:rsid w:val="00AF18E7"/>
    <w:rsid w:val="00B01CDD"/>
    <w:rsid w:val="00B05813"/>
    <w:rsid w:val="00B067EB"/>
    <w:rsid w:val="00B10BF3"/>
    <w:rsid w:val="00B34490"/>
    <w:rsid w:val="00B34BB9"/>
    <w:rsid w:val="00B35288"/>
    <w:rsid w:val="00B408BE"/>
    <w:rsid w:val="00B449DF"/>
    <w:rsid w:val="00B452B9"/>
    <w:rsid w:val="00B473DB"/>
    <w:rsid w:val="00B55793"/>
    <w:rsid w:val="00B611B1"/>
    <w:rsid w:val="00B64E91"/>
    <w:rsid w:val="00B65819"/>
    <w:rsid w:val="00B67281"/>
    <w:rsid w:val="00B7105D"/>
    <w:rsid w:val="00B72AA8"/>
    <w:rsid w:val="00B75B06"/>
    <w:rsid w:val="00B86212"/>
    <w:rsid w:val="00B87AD5"/>
    <w:rsid w:val="00BA5EF8"/>
    <w:rsid w:val="00BA7AE0"/>
    <w:rsid w:val="00BB431D"/>
    <w:rsid w:val="00BB50F5"/>
    <w:rsid w:val="00BB53A2"/>
    <w:rsid w:val="00BC0AF0"/>
    <w:rsid w:val="00BC1D15"/>
    <w:rsid w:val="00BD05D6"/>
    <w:rsid w:val="00BD3B07"/>
    <w:rsid w:val="00BE67FF"/>
    <w:rsid w:val="00BF3154"/>
    <w:rsid w:val="00BF3982"/>
    <w:rsid w:val="00C014FC"/>
    <w:rsid w:val="00C06F55"/>
    <w:rsid w:val="00C12DAB"/>
    <w:rsid w:val="00C341CC"/>
    <w:rsid w:val="00C34A6D"/>
    <w:rsid w:val="00C35053"/>
    <w:rsid w:val="00C4170C"/>
    <w:rsid w:val="00C51D6C"/>
    <w:rsid w:val="00C60DBE"/>
    <w:rsid w:val="00C625CC"/>
    <w:rsid w:val="00C62C9B"/>
    <w:rsid w:val="00C66E38"/>
    <w:rsid w:val="00C80682"/>
    <w:rsid w:val="00CA7F34"/>
    <w:rsid w:val="00CB3B2D"/>
    <w:rsid w:val="00CC555F"/>
    <w:rsid w:val="00CE0D1E"/>
    <w:rsid w:val="00CE3DBF"/>
    <w:rsid w:val="00CE7133"/>
    <w:rsid w:val="00CF01D2"/>
    <w:rsid w:val="00CF0A95"/>
    <w:rsid w:val="00CF202D"/>
    <w:rsid w:val="00CF53A5"/>
    <w:rsid w:val="00D03648"/>
    <w:rsid w:val="00D140DB"/>
    <w:rsid w:val="00D140F6"/>
    <w:rsid w:val="00D14F52"/>
    <w:rsid w:val="00D2200F"/>
    <w:rsid w:val="00D22349"/>
    <w:rsid w:val="00D232A4"/>
    <w:rsid w:val="00D3043F"/>
    <w:rsid w:val="00D33740"/>
    <w:rsid w:val="00D3616A"/>
    <w:rsid w:val="00D3792B"/>
    <w:rsid w:val="00D41BDB"/>
    <w:rsid w:val="00D52C18"/>
    <w:rsid w:val="00D57519"/>
    <w:rsid w:val="00D62BF2"/>
    <w:rsid w:val="00D71E3F"/>
    <w:rsid w:val="00D72260"/>
    <w:rsid w:val="00D75E7E"/>
    <w:rsid w:val="00D83148"/>
    <w:rsid w:val="00D83C12"/>
    <w:rsid w:val="00D84AC8"/>
    <w:rsid w:val="00D92760"/>
    <w:rsid w:val="00DA2DE3"/>
    <w:rsid w:val="00DA6E4D"/>
    <w:rsid w:val="00DC7054"/>
    <w:rsid w:val="00DC7442"/>
    <w:rsid w:val="00DD0669"/>
    <w:rsid w:val="00DD1677"/>
    <w:rsid w:val="00DD1E80"/>
    <w:rsid w:val="00DD25D4"/>
    <w:rsid w:val="00DD34D8"/>
    <w:rsid w:val="00DD5C15"/>
    <w:rsid w:val="00DF032F"/>
    <w:rsid w:val="00E018F7"/>
    <w:rsid w:val="00E03E1B"/>
    <w:rsid w:val="00E10919"/>
    <w:rsid w:val="00E140F9"/>
    <w:rsid w:val="00E140FE"/>
    <w:rsid w:val="00E174E0"/>
    <w:rsid w:val="00E177FD"/>
    <w:rsid w:val="00E17EEB"/>
    <w:rsid w:val="00E24D65"/>
    <w:rsid w:val="00E255C7"/>
    <w:rsid w:val="00E40F70"/>
    <w:rsid w:val="00E42B58"/>
    <w:rsid w:val="00E51ABF"/>
    <w:rsid w:val="00E52651"/>
    <w:rsid w:val="00E611C9"/>
    <w:rsid w:val="00E63F11"/>
    <w:rsid w:val="00E701EF"/>
    <w:rsid w:val="00E77816"/>
    <w:rsid w:val="00E95373"/>
    <w:rsid w:val="00EA2BD8"/>
    <w:rsid w:val="00EA500E"/>
    <w:rsid w:val="00EA5309"/>
    <w:rsid w:val="00EA699E"/>
    <w:rsid w:val="00EB0B0E"/>
    <w:rsid w:val="00EC0D0B"/>
    <w:rsid w:val="00EC3A88"/>
    <w:rsid w:val="00ED25CB"/>
    <w:rsid w:val="00ED3DFC"/>
    <w:rsid w:val="00EE09D0"/>
    <w:rsid w:val="00EE259C"/>
    <w:rsid w:val="00EE2D52"/>
    <w:rsid w:val="00EE418D"/>
    <w:rsid w:val="00EE4AC1"/>
    <w:rsid w:val="00EE564F"/>
    <w:rsid w:val="00EE5915"/>
    <w:rsid w:val="00EE6874"/>
    <w:rsid w:val="00EE75AD"/>
    <w:rsid w:val="00EF1975"/>
    <w:rsid w:val="00F0387E"/>
    <w:rsid w:val="00F074A0"/>
    <w:rsid w:val="00F12F37"/>
    <w:rsid w:val="00F16570"/>
    <w:rsid w:val="00F20082"/>
    <w:rsid w:val="00F209BE"/>
    <w:rsid w:val="00F20D51"/>
    <w:rsid w:val="00F21985"/>
    <w:rsid w:val="00F22F73"/>
    <w:rsid w:val="00F25454"/>
    <w:rsid w:val="00F31C17"/>
    <w:rsid w:val="00F32A1C"/>
    <w:rsid w:val="00F44DAB"/>
    <w:rsid w:val="00F55887"/>
    <w:rsid w:val="00F606ED"/>
    <w:rsid w:val="00F60984"/>
    <w:rsid w:val="00F624AD"/>
    <w:rsid w:val="00F62C53"/>
    <w:rsid w:val="00F70320"/>
    <w:rsid w:val="00F72A27"/>
    <w:rsid w:val="00F86781"/>
    <w:rsid w:val="00F968E8"/>
    <w:rsid w:val="00F97145"/>
    <w:rsid w:val="00F9747B"/>
    <w:rsid w:val="00FA2D8A"/>
    <w:rsid w:val="00FA7E36"/>
    <w:rsid w:val="00FB64EC"/>
    <w:rsid w:val="00FC1424"/>
    <w:rsid w:val="00FC72F6"/>
    <w:rsid w:val="00FD03E2"/>
    <w:rsid w:val="00FE001F"/>
    <w:rsid w:val="00FE5388"/>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8E0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9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06425"/>
    <w:pPr>
      <w:spacing w:before="240" w:after="120" w:line="276" w:lineRule="auto"/>
      <w:outlineLvl w:val="0"/>
    </w:pPr>
    <w:rPr>
      <w:rFonts w:ascii="Times" w:hAnsi="Times"/>
      <w:b/>
    </w:rPr>
  </w:style>
  <w:style w:type="paragraph" w:styleId="Heading2">
    <w:name w:val="heading 2"/>
    <w:basedOn w:val="Normal"/>
    <w:next w:val="Normal"/>
    <w:link w:val="Heading2Char"/>
    <w:uiPriority w:val="9"/>
    <w:unhideWhenUsed/>
    <w:qFormat/>
    <w:rsid w:val="0022169F"/>
    <w:pPr>
      <w:spacing w:line="276" w:lineRule="auto"/>
      <w:jc w:val="both"/>
      <w:outlineLvl w:val="1"/>
    </w:pPr>
    <w:rPr>
      <w:rFonts w:ascii="Times" w:hAnsi="Time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006A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006A3"/>
    <w:rPr>
      <w:color w:val="0563C1" w:themeColor="hyperlink"/>
      <w:u w:val="single"/>
    </w:rPr>
  </w:style>
  <w:style w:type="paragraph" w:styleId="NormalWeb">
    <w:name w:val="Normal (Web)"/>
    <w:basedOn w:val="Normal"/>
    <w:uiPriority w:val="99"/>
    <w:unhideWhenUsed/>
    <w:rsid w:val="00C625CC"/>
  </w:style>
  <w:style w:type="character" w:customStyle="1" w:styleId="Heading1Char">
    <w:name w:val="Heading 1 Char"/>
    <w:basedOn w:val="DefaultParagraphFont"/>
    <w:link w:val="Heading1"/>
    <w:uiPriority w:val="9"/>
    <w:rsid w:val="00406425"/>
    <w:rPr>
      <w:rFonts w:ascii="Times" w:hAnsi="Times" w:cs="Times New Roman"/>
      <w:b/>
      <w:sz w:val="24"/>
      <w:szCs w:val="24"/>
      <w:lang w:val="en-TT"/>
    </w:rPr>
  </w:style>
  <w:style w:type="character" w:customStyle="1" w:styleId="Heading2Char">
    <w:name w:val="Heading 2 Char"/>
    <w:basedOn w:val="DefaultParagraphFont"/>
    <w:link w:val="Heading2"/>
    <w:uiPriority w:val="9"/>
    <w:rsid w:val="0022169F"/>
    <w:rPr>
      <w:rFonts w:ascii="Times" w:hAnsi="Times" w:cs="Times New Roman"/>
      <w:b/>
      <w:bCs/>
      <w:i/>
      <w:iCs/>
      <w:sz w:val="24"/>
      <w:szCs w:val="24"/>
      <w:lang w:val="en-GB"/>
    </w:rPr>
  </w:style>
  <w:style w:type="paragraph" w:styleId="ListParagraph">
    <w:name w:val="List Paragraph"/>
    <w:basedOn w:val="Normal"/>
    <w:uiPriority w:val="34"/>
    <w:qFormat/>
    <w:rsid w:val="00F21985"/>
    <w:pPr>
      <w:ind w:left="720"/>
      <w:contextualSpacing/>
    </w:pPr>
  </w:style>
  <w:style w:type="character" w:styleId="UnresolvedMention">
    <w:name w:val="Unresolved Mention"/>
    <w:basedOn w:val="DefaultParagraphFont"/>
    <w:uiPriority w:val="99"/>
    <w:semiHidden/>
    <w:unhideWhenUsed/>
    <w:rsid w:val="005804BB"/>
    <w:rPr>
      <w:color w:val="605E5C"/>
      <w:shd w:val="clear" w:color="auto" w:fill="E1DFDD"/>
    </w:rPr>
  </w:style>
  <w:style w:type="paragraph" w:styleId="Header">
    <w:name w:val="header"/>
    <w:basedOn w:val="Normal"/>
    <w:link w:val="HeaderChar"/>
    <w:uiPriority w:val="99"/>
    <w:unhideWhenUsed/>
    <w:rsid w:val="00823C42"/>
    <w:pPr>
      <w:tabs>
        <w:tab w:val="center" w:pos="4680"/>
        <w:tab w:val="right" w:pos="9360"/>
      </w:tabs>
    </w:pPr>
  </w:style>
  <w:style w:type="character" w:customStyle="1" w:styleId="HeaderChar">
    <w:name w:val="Header Char"/>
    <w:basedOn w:val="DefaultParagraphFont"/>
    <w:link w:val="Header"/>
    <w:uiPriority w:val="99"/>
    <w:rsid w:val="00823C4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23C42"/>
    <w:pPr>
      <w:tabs>
        <w:tab w:val="center" w:pos="4680"/>
        <w:tab w:val="right" w:pos="9360"/>
      </w:tabs>
    </w:pPr>
  </w:style>
  <w:style w:type="character" w:customStyle="1" w:styleId="FooterChar">
    <w:name w:val="Footer Char"/>
    <w:basedOn w:val="DefaultParagraphFont"/>
    <w:link w:val="Footer"/>
    <w:uiPriority w:val="99"/>
    <w:rsid w:val="00823C42"/>
    <w:rPr>
      <w:rFonts w:ascii="Times New Roman" w:eastAsia="Times New Roman" w:hAnsi="Times New Roman" w:cs="Times New Roman"/>
      <w:sz w:val="24"/>
      <w:szCs w:val="24"/>
      <w:lang w:val="en-GB" w:eastAsia="en-GB"/>
    </w:rPr>
  </w:style>
  <w:style w:type="paragraph" w:styleId="Revision">
    <w:name w:val="Revision"/>
    <w:hidden/>
    <w:uiPriority w:val="99"/>
    <w:semiHidden/>
    <w:rsid w:val="00581F15"/>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A2DE3"/>
    <w:rPr>
      <w:sz w:val="16"/>
      <w:szCs w:val="16"/>
    </w:rPr>
  </w:style>
  <w:style w:type="paragraph" w:styleId="CommentText">
    <w:name w:val="annotation text"/>
    <w:basedOn w:val="Normal"/>
    <w:link w:val="CommentTextChar"/>
    <w:uiPriority w:val="99"/>
    <w:unhideWhenUsed/>
    <w:rsid w:val="00DA2DE3"/>
    <w:rPr>
      <w:sz w:val="20"/>
      <w:szCs w:val="20"/>
    </w:rPr>
  </w:style>
  <w:style w:type="character" w:customStyle="1" w:styleId="CommentTextChar">
    <w:name w:val="Comment Text Char"/>
    <w:basedOn w:val="DefaultParagraphFont"/>
    <w:link w:val="CommentText"/>
    <w:uiPriority w:val="99"/>
    <w:rsid w:val="00DA2D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A2DE3"/>
    <w:rPr>
      <w:b/>
      <w:bCs/>
    </w:rPr>
  </w:style>
  <w:style w:type="character" w:customStyle="1" w:styleId="CommentSubjectChar">
    <w:name w:val="Comment Subject Char"/>
    <w:basedOn w:val="CommentTextChar"/>
    <w:link w:val="CommentSubject"/>
    <w:uiPriority w:val="99"/>
    <w:semiHidden/>
    <w:rsid w:val="00DA2DE3"/>
    <w:rPr>
      <w:rFonts w:ascii="Times New Roman" w:eastAsia="Times New Roman" w:hAnsi="Times New Roman" w:cs="Times New Roman"/>
      <w:b/>
      <w:bCs/>
      <w:sz w:val="20"/>
      <w:szCs w:val="20"/>
      <w:lang w:val="en-GB" w:eastAsia="en-GB"/>
    </w:rPr>
  </w:style>
  <w:style w:type="character" w:customStyle="1" w:styleId="ref-title">
    <w:name w:val="ref-title"/>
    <w:basedOn w:val="DefaultParagraphFont"/>
    <w:rsid w:val="00701533"/>
  </w:style>
  <w:style w:type="character" w:customStyle="1" w:styleId="ref-journal">
    <w:name w:val="ref-journal"/>
    <w:basedOn w:val="DefaultParagraphFont"/>
    <w:rsid w:val="00701533"/>
  </w:style>
  <w:style w:type="character" w:customStyle="1" w:styleId="ref-vol">
    <w:name w:val="ref-vol"/>
    <w:basedOn w:val="DefaultParagraphFont"/>
    <w:rsid w:val="00701533"/>
  </w:style>
  <w:style w:type="character" w:customStyle="1" w:styleId="ref-iss">
    <w:name w:val="ref-iss"/>
    <w:basedOn w:val="DefaultParagraphFont"/>
    <w:rsid w:val="00701533"/>
  </w:style>
  <w:style w:type="table" w:styleId="TableGrid">
    <w:name w:val="Table Grid"/>
    <w:basedOn w:val="TableNormal"/>
    <w:uiPriority w:val="39"/>
    <w:rsid w:val="00267BDF"/>
    <w:pPr>
      <w:spacing w:after="0" w:line="240" w:lineRule="auto"/>
    </w:pPr>
    <w:rPr>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F9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533">
      <w:bodyDiv w:val="1"/>
      <w:marLeft w:val="0"/>
      <w:marRight w:val="0"/>
      <w:marTop w:val="0"/>
      <w:marBottom w:val="0"/>
      <w:divBdr>
        <w:top w:val="none" w:sz="0" w:space="0" w:color="auto"/>
        <w:left w:val="none" w:sz="0" w:space="0" w:color="auto"/>
        <w:bottom w:val="none" w:sz="0" w:space="0" w:color="auto"/>
        <w:right w:val="none" w:sz="0" w:space="0" w:color="auto"/>
      </w:divBdr>
    </w:div>
    <w:div w:id="114718554">
      <w:bodyDiv w:val="1"/>
      <w:marLeft w:val="0"/>
      <w:marRight w:val="0"/>
      <w:marTop w:val="0"/>
      <w:marBottom w:val="0"/>
      <w:divBdr>
        <w:top w:val="none" w:sz="0" w:space="0" w:color="auto"/>
        <w:left w:val="none" w:sz="0" w:space="0" w:color="auto"/>
        <w:bottom w:val="none" w:sz="0" w:space="0" w:color="auto"/>
        <w:right w:val="none" w:sz="0" w:space="0" w:color="auto"/>
      </w:divBdr>
    </w:div>
    <w:div w:id="138305789">
      <w:bodyDiv w:val="1"/>
      <w:marLeft w:val="0"/>
      <w:marRight w:val="0"/>
      <w:marTop w:val="0"/>
      <w:marBottom w:val="0"/>
      <w:divBdr>
        <w:top w:val="none" w:sz="0" w:space="0" w:color="auto"/>
        <w:left w:val="none" w:sz="0" w:space="0" w:color="auto"/>
        <w:bottom w:val="none" w:sz="0" w:space="0" w:color="auto"/>
        <w:right w:val="none" w:sz="0" w:space="0" w:color="auto"/>
      </w:divBdr>
    </w:div>
    <w:div w:id="141850062">
      <w:bodyDiv w:val="1"/>
      <w:marLeft w:val="0"/>
      <w:marRight w:val="0"/>
      <w:marTop w:val="0"/>
      <w:marBottom w:val="0"/>
      <w:divBdr>
        <w:top w:val="none" w:sz="0" w:space="0" w:color="auto"/>
        <w:left w:val="none" w:sz="0" w:space="0" w:color="auto"/>
        <w:bottom w:val="none" w:sz="0" w:space="0" w:color="auto"/>
        <w:right w:val="none" w:sz="0" w:space="0" w:color="auto"/>
      </w:divBdr>
    </w:div>
    <w:div w:id="194776621">
      <w:bodyDiv w:val="1"/>
      <w:marLeft w:val="0"/>
      <w:marRight w:val="0"/>
      <w:marTop w:val="0"/>
      <w:marBottom w:val="0"/>
      <w:divBdr>
        <w:top w:val="none" w:sz="0" w:space="0" w:color="auto"/>
        <w:left w:val="none" w:sz="0" w:space="0" w:color="auto"/>
        <w:bottom w:val="none" w:sz="0" w:space="0" w:color="auto"/>
        <w:right w:val="none" w:sz="0" w:space="0" w:color="auto"/>
      </w:divBdr>
    </w:div>
    <w:div w:id="230426531">
      <w:bodyDiv w:val="1"/>
      <w:marLeft w:val="0"/>
      <w:marRight w:val="0"/>
      <w:marTop w:val="0"/>
      <w:marBottom w:val="0"/>
      <w:divBdr>
        <w:top w:val="none" w:sz="0" w:space="0" w:color="auto"/>
        <w:left w:val="none" w:sz="0" w:space="0" w:color="auto"/>
        <w:bottom w:val="none" w:sz="0" w:space="0" w:color="auto"/>
        <w:right w:val="none" w:sz="0" w:space="0" w:color="auto"/>
      </w:divBdr>
    </w:div>
    <w:div w:id="269778809">
      <w:bodyDiv w:val="1"/>
      <w:marLeft w:val="0"/>
      <w:marRight w:val="0"/>
      <w:marTop w:val="0"/>
      <w:marBottom w:val="0"/>
      <w:divBdr>
        <w:top w:val="none" w:sz="0" w:space="0" w:color="auto"/>
        <w:left w:val="none" w:sz="0" w:space="0" w:color="auto"/>
        <w:bottom w:val="none" w:sz="0" w:space="0" w:color="auto"/>
        <w:right w:val="none" w:sz="0" w:space="0" w:color="auto"/>
      </w:divBdr>
    </w:div>
    <w:div w:id="328605045">
      <w:bodyDiv w:val="1"/>
      <w:marLeft w:val="0"/>
      <w:marRight w:val="0"/>
      <w:marTop w:val="0"/>
      <w:marBottom w:val="0"/>
      <w:divBdr>
        <w:top w:val="none" w:sz="0" w:space="0" w:color="auto"/>
        <w:left w:val="none" w:sz="0" w:space="0" w:color="auto"/>
        <w:bottom w:val="none" w:sz="0" w:space="0" w:color="auto"/>
        <w:right w:val="none" w:sz="0" w:space="0" w:color="auto"/>
      </w:divBdr>
    </w:div>
    <w:div w:id="329672971">
      <w:bodyDiv w:val="1"/>
      <w:marLeft w:val="0"/>
      <w:marRight w:val="0"/>
      <w:marTop w:val="0"/>
      <w:marBottom w:val="0"/>
      <w:divBdr>
        <w:top w:val="none" w:sz="0" w:space="0" w:color="auto"/>
        <w:left w:val="none" w:sz="0" w:space="0" w:color="auto"/>
        <w:bottom w:val="none" w:sz="0" w:space="0" w:color="auto"/>
        <w:right w:val="none" w:sz="0" w:space="0" w:color="auto"/>
      </w:divBdr>
    </w:div>
    <w:div w:id="423457607">
      <w:bodyDiv w:val="1"/>
      <w:marLeft w:val="0"/>
      <w:marRight w:val="0"/>
      <w:marTop w:val="0"/>
      <w:marBottom w:val="0"/>
      <w:divBdr>
        <w:top w:val="none" w:sz="0" w:space="0" w:color="auto"/>
        <w:left w:val="none" w:sz="0" w:space="0" w:color="auto"/>
        <w:bottom w:val="none" w:sz="0" w:space="0" w:color="auto"/>
        <w:right w:val="none" w:sz="0" w:space="0" w:color="auto"/>
      </w:divBdr>
    </w:div>
    <w:div w:id="434986620">
      <w:bodyDiv w:val="1"/>
      <w:marLeft w:val="0"/>
      <w:marRight w:val="0"/>
      <w:marTop w:val="0"/>
      <w:marBottom w:val="0"/>
      <w:divBdr>
        <w:top w:val="none" w:sz="0" w:space="0" w:color="auto"/>
        <w:left w:val="none" w:sz="0" w:space="0" w:color="auto"/>
        <w:bottom w:val="none" w:sz="0" w:space="0" w:color="auto"/>
        <w:right w:val="none" w:sz="0" w:space="0" w:color="auto"/>
      </w:divBdr>
    </w:div>
    <w:div w:id="481965314">
      <w:bodyDiv w:val="1"/>
      <w:marLeft w:val="0"/>
      <w:marRight w:val="0"/>
      <w:marTop w:val="0"/>
      <w:marBottom w:val="0"/>
      <w:divBdr>
        <w:top w:val="none" w:sz="0" w:space="0" w:color="auto"/>
        <w:left w:val="none" w:sz="0" w:space="0" w:color="auto"/>
        <w:bottom w:val="none" w:sz="0" w:space="0" w:color="auto"/>
        <w:right w:val="none" w:sz="0" w:space="0" w:color="auto"/>
      </w:divBdr>
    </w:div>
    <w:div w:id="509295069">
      <w:bodyDiv w:val="1"/>
      <w:marLeft w:val="0"/>
      <w:marRight w:val="0"/>
      <w:marTop w:val="0"/>
      <w:marBottom w:val="0"/>
      <w:divBdr>
        <w:top w:val="none" w:sz="0" w:space="0" w:color="auto"/>
        <w:left w:val="none" w:sz="0" w:space="0" w:color="auto"/>
        <w:bottom w:val="none" w:sz="0" w:space="0" w:color="auto"/>
        <w:right w:val="none" w:sz="0" w:space="0" w:color="auto"/>
      </w:divBdr>
    </w:div>
    <w:div w:id="533274165">
      <w:bodyDiv w:val="1"/>
      <w:marLeft w:val="0"/>
      <w:marRight w:val="0"/>
      <w:marTop w:val="0"/>
      <w:marBottom w:val="0"/>
      <w:divBdr>
        <w:top w:val="none" w:sz="0" w:space="0" w:color="auto"/>
        <w:left w:val="none" w:sz="0" w:space="0" w:color="auto"/>
        <w:bottom w:val="none" w:sz="0" w:space="0" w:color="auto"/>
        <w:right w:val="none" w:sz="0" w:space="0" w:color="auto"/>
      </w:divBdr>
    </w:div>
    <w:div w:id="555288256">
      <w:bodyDiv w:val="1"/>
      <w:marLeft w:val="0"/>
      <w:marRight w:val="0"/>
      <w:marTop w:val="0"/>
      <w:marBottom w:val="0"/>
      <w:divBdr>
        <w:top w:val="none" w:sz="0" w:space="0" w:color="auto"/>
        <w:left w:val="none" w:sz="0" w:space="0" w:color="auto"/>
        <w:bottom w:val="none" w:sz="0" w:space="0" w:color="auto"/>
        <w:right w:val="none" w:sz="0" w:space="0" w:color="auto"/>
      </w:divBdr>
    </w:div>
    <w:div w:id="558131929">
      <w:bodyDiv w:val="1"/>
      <w:marLeft w:val="0"/>
      <w:marRight w:val="0"/>
      <w:marTop w:val="0"/>
      <w:marBottom w:val="0"/>
      <w:divBdr>
        <w:top w:val="none" w:sz="0" w:space="0" w:color="auto"/>
        <w:left w:val="none" w:sz="0" w:space="0" w:color="auto"/>
        <w:bottom w:val="none" w:sz="0" w:space="0" w:color="auto"/>
        <w:right w:val="none" w:sz="0" w:space="0" w:color="auto"/>
      </w:divBdr>
    </w:div>
    <w:div w:id="558514420">
      <w:bodyDiv w:val="1"/>
      <w:marLeft w:val="0"/>
      <w:marRight w:val="0"/>
      <w:marTop w:val="0"/>
      <w:marBottom w:val="0"/>
      <w:divBdr>
        <w:top w:val="none" w:sz="0" w:space="0" w:color="auto"/>
        <w:left w:val="none" w:sz="0" w:space="0" w:color="auto"/>
        <w:bottom w:val="none" w:sz="0" w:space="0" w:color="auto"/>
        <w:right w:val="none" w:sz="0" w:space="0" w:color="auto"/>
      </w:divBdr>
    </w:div>
    <w:div w:id="647587318">
      <w:bodyDiv w:val="1"/>
      <w:marLeft w:val="0"/>
      <w:marRight w:val="0"/>
      <w:marTop w:val="0"/>
      <w:marBottom w:val="0"/>
      <w:divBdr>
        <w:top w:val="none" w:sz="0" w:space="0" w:color="auto"/>
        <w:left w:val="none" w:sz="0" w:space="0" w:color="auto"/>
        <w:bottom w:val="none" w:sz="0" w:space="0" w:color="auto"/>
        <w:right w:val="none" w:sz="0" w:space="0" w:color="auto"/>
      </w:divBdr>
    </w:div>
    <w:div w:id="747582554">
      <w:bodyDiv w:val="1"/>
      <w:marLeft w:val="0"/>
      <w:marRight w:val="0"/>
      <w:marTop w:val="0"/>
      <w:marBottom w:val="0"/>
      <w:divBdr>
        <w:top w:val="none" w:sz="0" w:space="0" w:color="auto"/>
        <w:left w:val="none" w:sz="0" w:space="0" w:color="auto"/>
        <w:bottom w:val="none" w:sz="0" w:space="0" w:color="auto"/>
        <w:right w:val="none" w:sz="0" w:space="0" w:color="auto"/>
      </w:divBdr>
    </w:div>
    <w:div w:id="749497475">
      <w:bodyDiv w:val="1"/>
      <w:marLeft w:val="0"/>
      <w:marRight w:val="0"/>
      <w:marTop w:val="0"/>
      <w:marBottom w:val="0"/>
      <w:divBdr>
        <w:top w:val="none" w:sz="0" w:space="0" w:color="auto"/>
        <w:left w:val="none" w:sz="0" w:space="0" w:color="auto"/>
        <w:bottom w:val="none" w:sz="0" w:space="0" w:color="auto"/>
        <w:right w:val="none" w:sz="0" w:space="0" w:color="auto"/>
      </w:divBdr>
    </w:div>
    <w:div w:id="751703231">
      <w:bodyDiv w:val="1"/>
      <w:marLeft w:val="0"/>
      <w:marRight w:val="0"/>
      <w:marTop w:val="0"/>
      <w:marBottom w:val="0"/>
      <w:divBdr>
        <w:top w:val="none" w:sz="0" w:space="0" w:color="auto"/>
        <w:left w:val="none" w:sz="0" w:space="0" w:color="auto"/>
        <w:bottom w:val="none" w:sz="0" w:space="0" w:color="auto"/>
        <w:right w:val="none" w:sz="0" w:space="0" w:color="auto"/>
      </w:divBdr>
    </w:div>
    <w:div w:id="763648410">
      <w:bodyDiv w:val="1"/>
      <w:marLeft w:val="0"/>
      <w:marRight w:val="0"/>
      <w:marTop w:val="0"/>
      <w:marBottom w:val="0"/>
      <w:divBdr>
        <w:top w:val="none" w:sz="0" w:space="0" w:color="auto"/>
        <w:left w:val="none" w:sz="0" w:space="0" w:color="auto"/>
        <w:bottom w:val="none" w:sz="0" w:space="0" w:color="auto"/>
        <w:right w:val="none" w:sz="0" w:space="0" w:color="auto"/>
      </w:divBdr>
    </w:div>
    <w:div w:id="768962417">
      <w:bodyDiv w:val="1"/>
      <w:marLeft w:val="0"/>
      <w:marRight w:val="0"/>
      <w:marTop w:val="0"/>
      <w:marBottom w:val="0"/>
      <w:divBdr>
        <w:top w:val="none" w:sz="0" w:space="0" w:color="auto"/>
        <w:left w:val="none" w:sz="0" w:space="0" w:color="auto"/>
        <w:bottom w:val="none" w:sz="0" w:space="0" w:color="auto"/>
        <w:right w:val="none" w:sz="0" w:space="0" w:color="auto"/>
      </w:divBdr>
    </w:div>
    <w:div w:id="794300960">
      <w:bodyDiv w:val="1"/>
      <w:marLeft w:val="0"/>
      <w:marRight w:val="0"/>
      <w:marTop w:val="0"/>
      <w:marBottom w:val="0"/>
      <w:divBdr>
        <w:top w:val="none" w:sz="0" w:space="0" w:color="auto"/>
        <w:left w:val="none" w:sz="0" w:space="0" w:color="auto"/>
        <w:bottom w:val="none" w:sz="0" w:space="0" w:color="auto"/>
        <w:right w:val="none" w:sz="0" w:space="0" w:color="auto"/>
      </w:divBdr>
    </w:div>
    <w:div w:id="810319217">
      <w:bodyDiv w:val="1"/>
      <w:marLeft w:val="0"/>
      <w:marRight w:val="0"/>
      <w:marTop w:val="0"/>
      <w:marBottom w:val="0"/>
      <w:divBdr>
        <w:top w:val="none" w:sz="0" w:space="0" w:color="auto"/>
        <w:left w:val="none" w:sz="0" w:space="0" w:color="auto"/>
        <w:bottom w:val="none" w:sz="0" w:space="0" w:color="auto"/>
        <w:right w:val="none" w:sz="0" w:space="0" w:color="auto"/>
      </w:divBdr>
    </w:div>
    <w:div w:id="848908165">
      <w:bodyDiv w:val="1"/>
      <w:marLeft w:val="0"/>
      <w:marRight w:val="0"/>
      <w:marTop w:val="0"/>
      <w:marBottom w:val="0"/>
      <w:divBdr>
        <w:top w:val="none" w:sz="0" w:space="0" w:color="auto"/>
        <w:left w:val="none" w:sz="0" w:space="0" w:color="auto"/>
        <w:bottom w:val="none" w:sz="0" w:space="0" w:color="auto"/>
        <w:right w:val="none" w:sz="0" w:space="0" w:color="auto"/>
      </w:divBdr>
    </w:div>
    <w:div w:id="875851278">
      <w:bodyDiv w:val="1"/>
      <w:marLeft w:val="0"/>
      <w:marRight w:val="0"/>
      <w:marTop w:val="0"/>
      <w:marBottom w:val="0"/>
      <w:divBdr>
        <w:top w:val="none" w:sz="0" w:space="0" w:color="auto"/>
        <w:left w:val="none" w:sz="0" w:space="0" w:color="auto"/>
        <w:bottom w:val="none" w:sz="0" w:space="0" w:color="auto"/>
        <w:right w:val="none" w:sz="0" w:space="0" w:color="auto"/>
      </w:divBdr>
    </w:div>
    <w:div w:id="907424820">
      <w:bodyDiv w:val="1"/>
      <w:marLeft w:val="0"/>
      <w:marRight w:val="0"/>
      <w:marTop w:val="0"/>
      <w:marBottom w:val="0"/>
      <w:divBdr>
        <w:top w:val="none" w:sz="0" w:space="0" w:color="auto"/>
        <w:left w:val="none" w:sz="0" w:space="0" w:color="auto"/>
        <w:bottom w:val="none" w:sz="0" w:space="0" w:color="auto"/>
        <w:right w:val="none" w:sz="0" w:space="0" w:color="auto"/>
      </w:divBdr>
    </w:div>
    <w:div w:id="919218578">
      <w:bodyDiv w:val="1"/>
      <w:marLeft w:val="0"/>
      <w:marRight w:val="0"/>
      <w:marTop w:val="0"/>
      <w:marBottom w:val="0"/>
      <w:divBdr>
        <w:top w:val="none" w:sz="0" w:space="0" w:color="auto"/>
        <w:left w:val="none" w:sz="0" w:space="0" w:color="auto"/>
        <w:bottom w:val="none" w:sz="0" w:space="0" w:color="auto"/>
        <w:right w:val="none" w:sz="0" w:space="0" w:color="auto"/>
      </w:divBdr>
    </w:div>
    <w:div w:id="1066956532">
      <w:bodyDiv w:val="1"/>
      <w:marLeft w:val="0"/>
      <w:marRight w:val="0"/>
      <w:marTop w:val="0"/>
      <w:marBottom w:val="0"/>
      <w:divBdr>
        <w:top w:val="none" w:sz="0" w:space="0" w:color="auto"/>
        <w:left w:val="none" w:sz="0" w:space="0" w:color="auto"/>
        <w:bottom w:val="none" w:sz="0" w:space="0" w:color="auto"/>
        <w:right w:val="none" w:sz="0" w:space="0" w:color="auto"/>
      </w:divBdr>
    </w:div>
    <w:div w:id="1130175205">
      <w:bodyDiv w:val="1"/>
      <w:marLeft w:val="0"/>
      <w:marRight w:val="0"/>
      <w:marTop w:val="0"/>
      <w:marBottom w:val="0"/>
      <w:divBdr>
        <w:top w:val="none" w:sz="0" w:space="0" w:color="auto"/>
        <w:left w:val="none" w:sz="0" w:space="0" w:color="auto"/>
        <w:bottom w:val="none" w:sz="0" w:space="0" w:color="auto"/>
        <w:right w:val="none" w:sz="0" w:space="0" w:color="auto"/>
      </w:divBdr>
    </w:div>
    <w:div w:id="1145321497">
      <w:bodyDiv w:val="1"/>
      <w:marLeft w:val="0"/>
      <w:marRight w:val="0"/>
      <w:marTop w:val="0"/>
      <w:marBottom w:val="0"/>
      <w:divBdr>
        <w:top w:val="none" w:sz="0" w:space="0" w:color="auto"/>
        <w:left w:val="none" w:sz="0" w:space="0" w:color="auto"/>
        <w:bottom w:val="none" w:sz="0" w:space="0" w:color="auto"/>
        <w:right w:val="none" w:sz="0" w:space="0" w:color="auto"/>
      </w:divBdr>
    </w:div>
    <w:div w:id="1204827311">
      <w:bodyDiv w:val="1"/>
      <w:marLeft w:val="0"/>
      <w:marRight w:val="0"/>
      <w:marTop w:val="0"/>
      <w:marBottom w:val="0"/>
      <w:divBdr>
        <w:top w:val="none" w:sz="0" w:space="0" w:color="auto"/>
        <w:left w:val="none" w:sz="0" w:space="0" w:color="auto"/>
        <w:bottom w:val="none" w:sz="0" w:space="0" w:color="auto"/>
        <w:right w:val="none" w:sz="0" w:space="0" w:color="auto"/>
      </w:divBdr>
    </w:div>
    <w:div w:id="1211186499">
      <w:bodyDiv w:val="1"/>
      <w:marLeft w:val="0"/>
      <w:marRight w:val="0"/>
      <w:marTop w:val="0"/>
      <w:marBottom w:val="0"/>
      <w:divBdr>
        <w:top w:val="none" w:sz="0" w:space="0" w:color="auto"/>
        <w:left w:val="none" w:sz="0" w:space="0" w:color="auto"/>
        <w:bottom w:val="none" w:sz="0" w:space="0" w:color="auto"/>
        <w:right w:val="none" w:sz="0" w:space="0" w:color="auto"/>
      </w:divBdr>
    </w:div>
    <w:div w:id="1213736258">
      <w:bodyDiv w:val="1"/>
      <w:marLeft w:val="0"/>
      <w:marRight w:val="0"/>
      <w:marTop w:val="0"/>
      <w:marBottom w:val="0"/>
      <w:divBdr>
        <w:top w:val="none" w:sz="0" w:space="0" w:color="auto"/>
        <w:left w:val="none" w:sz="0" w:space="0" w:color="auto"/>
        <w:bottom w:val="none" w:sz="0" w:space="0" w:color="auto"/>
        <w:right w:val="none" w:sz="0" w:space="0" w:color="auto"/>
      </w:divBdr>
    </w:div>
    <w:div w:id="1219823664">
      <w:bodyDiv w:val="1"/>
      <w:marLeft w:val="0"/>
      <w:marRight w:val="0"/>
      <w:marTop w:val="0"/>
      <w:marBottom w:val="0"/>
      <w:divBdr>
        <w:top w:val="none" w:sz="0" w:space="0" w:color="auto"/>
        <w:left w:val="none" w:sz="0" w:space="0" w:color="auto"/>
        <w:bottom w:val="none" w:sz="0" w:space="0" w:color="auto"/>
        <w:right w:val="none" w:sz="0" w:space="0" w:color="auto"/>
      </w:divBdr>
    </w:div>
    <w:div w:id="1271426084">
      <w:bodyDiv w:val="1"/>
      <w:marLeft w:val="0"/>
      <w:marRight w:val="0"/>
      <w:marTop w:val="0"/>
      <w:marBottom w:val="0"/>
      <w:divBdr>
        <w:top w:val="none" w:sz="0" w:space="0" w:color="auto"/>
        <w:left w:val="none" w:sz="0" w:space="0" w:color="auto"/>
        <w:bottom w:val="none" w:sz="0" w:space="0" w:color="auto"/>
        <w:right w:val="none" w:sz="0" w:space="0" w:color="auto"/>
      </w:divBdr>
    </w:div>
    <w:div w:id="1274632561">
      <w:bodyDiv w:val="1"/>
      <w:marLeft w:val="0"/>
      <w:marRight w:val="0"/>
      <w:marTop w:val="0"/>
      <w:marBottom w:val="0"/>
      <w:divBdr>
        <w:top w:val="none" w:sz="0" w:space="0" w:color="auto"/>
        <w:left w:val="none" w:sz="0" w:space="0" w:color="auto"/>
        <w:bottom w:val="none" w:sz="0" w:space="0" w:color="auto"/>
        <w:right w:val="none" w:sz="0" w:space="0" w:color="auto"/>
      </w:divBdr>
      <w:divsChild>
        <w:div w:id="1590506218">
          <w:marLeft w:val="0"/>
          <w:marRight w:val="0"/>
          <w:marTop w:val="0"/>
          <w:marBottom w:val="0"/>
          <w:divBdr>
            <w:top w:val="none" w:sz="0" w:space="0" w:color="auto"/>
            <w:left w:val="none" w:sz="0" w:space="0" w:color="auto"/>
            <w:bottom w:val="none" w:sz="0" w:space="0" w:color="auto"/>
            <w:right w:val="none" w:sz="0" w:space="0" w:color="auto"/>
          </w:divBdr>
        </w:div>
      </w:divsChild>
    </w:div>
    <w:div w:id="1301496790">
      <w:bodyDiv w:val="1"/>
      <w:marLeft w:val="0"/>
      <w:marRight w:val="0"/>
      <w:marTop w:val="0"/>
      <w:marBottom w:val="0"/>
      <w:divBdr>
        <w:top w:val="none" w:sz="0" w:space="0" w:color="auto"/>
        <w:left w:val="none" w:sz="0" w:space="0" w:color="auto"/>
        <w:bottom w:val="none" w:sz="0" w:space="0" w:color="auto"/>
        <w:right w:val="none" w:sz="0" w:space="0" w:color="auto"/>
      </w:divBdr>
    </w:div>
    <w:div w:id="1330908470">
      <w:bodyDiv w:val="1"/>
      <w:marLeft w:val="0"/>
      <w:marRight w:val="0"/>
      <w:marTop w:val="0"/>
      <w:marBottom w:val="0"/>
      <w:divBdr>
        <w:top w:val="none" w:sz="0" w:space="0" w:color="auto"/>
        <w:left w:val="none" w:sz="0" w:space="0" w:color="auto"/>
        <w:bottom w:val="none" w:sz="0" w:space="0" w:color="auto"/>
        <w:right w:val="none" w:sz="0" w:space="0" w:color="auto"/>
      </w:divBdr>
    </w:div>
    <w:div w:id="1386876704">
      <w:bodyDiv w:val="1"/>
      <w:marLeft w:val="0"/>
      <w:marRight w:val="0"/>
      <w:marTop w:val="0"/>
      <w:marBottom w:val="0"/>
      <w:divBdr>
        <w:top w:val="none" w:sz="0" w:space="0" w:color="auto"/>
        <w:left w:val="none" w:sz="0" w:space="0" w:color="auto"/>
        <w:bottom w:val="none" w:sz="0" w:space="0" w:color="auto"/>
        <w:right w:val="none" w:sz="0" w:space="0" w:color="auto"/>
      </w:divBdr>
    </w:div>
    <w:div w:id="1421677222">
      <w:bodyDiv w:val="1"/>
      <w:marLeft w:val="0"/>
      <w:marRight w:val="0"/>
      <w:marTop w:val="0"/>
      <w:marBottom w:val="0"/>
      <w:divBdr>
        <w:top w:val="none" w:sz="0" w:space="0" w:color="auto"/>
        <w:left w:val="none" w:sz="0" w:space="0" w:color="auto"/>
        <w:bottom w:val="none" w:sz="0" w:space="0" w:color="auto"/>
        <w:right w:val="none" w:sz="0" w:space="0" w:color="auto"/>
      </w:divBdr>
    </w:div>
    <w:div w:id="1430352549">
      <w:bodyDiv w:val="1"/>
      <w:marLeft w:val="0"/>
      <w:marRight w:val="0"/>
      <w:marTop w:val="0"/>
      <w:marBottom w:val="0"/>
      <w:divBdr>
        <w:top w:val="none" w:sz="0" w:space="0" w:color="auto"/>
        <w:left w:val="none" w:sz="0" w:space="0" w:color="auto"/>
        <w:bottom w:val="none" w:sz="0" w:space="0" w:color="auto"/>
        <w:right w:val="none" w:sz="0" w:space="0" w:color="auto"/>
      </w:divBdr>
    </w:div>
    <w:div w:id="1458523159">
      <w:bodyDiv w:val="1"/>
      <w:marLeft w:val="0"/>
      <w:marRight w:val="0"/>
      <w:marTop w:val="0"/>
      <w:marBottom w:val="0"/>
      <w:divBdr>
        <w:top w:val="none" w:sz="0" w:space="0" w:color="auto"/>
        <w:left w:val="none" w:sz="0" w:space="0" w:color="auto"/>
        <w:bottom w:val="none" w:sz="0" w:space="0" w:color="auto"/>
        <w:right w:val="none" w:sz="0" w:space="0" w:color="auto"/>
      </w:divBdr>
      <w:divsChild>
        <w:div w:id="1836989173">
          <w:marLeft w:val="0"/>
          <w:marRight w:val="0"/>
          <w:marTop w:val="0"/>
          <w:marBottom w:val="0"/>
          <w:divBdr>
            <w:top w:val="none" w:sz="0" w:space="0" w:color="auto"/>
            <w:left w:val="none" w:sz="0" w:space="0" w:color="auto"/>
            <w:bottom w:val="none" w:sz="0" w:space="0" w:color="auto"/>
            <w:right w:val="none" w:sz="0" w:space="0" w:color="auto"/>
          </w:divBdr>
          <w:divsChild>
            <w:div w:id="233786039">
              <w:marLeft w:val="0"/>
              <w:marRight w:val="0"/>
              <w:marTop w:val="0"/>
              <w:marBottom w:val="0"/>
              <w:divBdr>
                <w:top w:val="none" w:sz="0" w:space="0" w:color="auto"/>
                <w:left w:val="none" w:sz="0" w:space="0" w:color="auto"/>
                <w:bottom w:val="none" w:sz="0" w:space="0" w:color="auto"/>
                <w:right w:val="none" w:sz="0" w:space="0" w:color="auto"/>
              </w:divBdr>
              <w:divsChild>
                <w:div w:id="974749385">
                  <w:marLeft w:val="0"/>
                  <w:marRight w:val="0"/>
                  <w:marTop w:val="0"/>
                  <w:marBottom w:val="0"/>
                  <w:divBdr>
                    <w:top w:val="none" w:sz="0" w:space="0" w:color="auto"/>
                    <w:left w:val="none" w:sz="0" w:space="0" w:color="auto"/>
                    <w:bottom w:val="none" w:sz="0" w:space="0" w:color="auto"/>
                    <w:right w:val="none" w:sz="0" w:space="0" w:color="auto"/>
                  </w:divBdr>
                  <w:divsChild>
                    <w:div w:id="19422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39931">
      <w:bodyDiv w:val="1"/>
      <w:marLeft w:val="0"/>
      <w:marRight w:val="0"/>
      <w:marTop w:val="0"/>
      <w:marBottom w:val="0"/>
      <w:divBdr>
        <w:top w:val="none" w:sz="0" w:space="0" w:color="auto"/>
        <w:left w:val="none" w:sz="0" w:space="0" w:color="auto"/>
        <w:bottom w:val="none" w:sz="0" w:space="0" w:color="auto"/>
        <w:right w:val="none" w:sz="0" w:space="0" w:color="auto"/>
      </w:divBdr>
    </w:div>
    <w:div w:id="1489664654">
      <w:bodyDiv w:val="1"/>
      <w:marLeft w:val="0"/>
      <w:marRight w:val="0"/>
      <w:marTop w:val="0"/>
      <w:marBottom w:val="0"/>
      <w:divBdr>
        <w:top w:val="none" w:sz="0" w:space="0" w:color="auto"/>
        <w:left w:val="none" w:sz="0" w:space="0" w:color="auto"/>
        <w:bottom w:val="none" w:sz="0" w:space="0" w:color="auto"/>
        <w:right w:val="none" w:sz="0" w:space="0" w:color="auto"/>
      </w:divBdr>
    </w:div>
    <w:div w:id="1507402521">
      <w:bodyDiv w:val="1"/>
      <w:marLeft w:val="0"/>
      <w:marRight w:val="0"/>
      <w:marTop w:val="0"/>
      <w:marBottom w:val="0"/>
      <w:divBdr>
        <w:top w:val="none" w:sz="0" w:space="0" w:color="auto"/>
        <w:left w:val="none" w:sz="0" w:space="0" w:color="auto"/>
        <w:bottom w:val="none" w:sz="0" w:space="0" w:color="auto"/>
        <w:right w:val="none" w:sz="0" w:space="0" w:color="auto"/>
      </w:divBdr>
    </w:div>
    <w:div w:id="1509952839">
      <w:bodyDiv w:val="1"/>
      <w:marLeft w:val="0"/>
      <w:marRight w:val="0"/>
      <w:marTop w:val="0"/>
      <w:marBottom w:val="0"/>
      <w:divBdr>
        <w:top w:val="none" w:sz="0" w:space="0" w:color="auto"/>
        <w:left w:val="none" w:sz="0" w:space="0" w:color="auto"/>
        <w:bottom w:val="none" w:sz="0" w:space="0" w:color="auto"/>
        <w:right w:val="none" w:sz="0" w:space="0" w:color="auto"/>
      </w:divBdr>
    </w:div>
    <w:div w:id="1525899748">
      <w:bodyDiv w:val="1"/>
      <w:marLeft w:val="0"/>
      <w:marRight w:val="0"/>
      <w:marTop w:val="0"/>
      <w:marBottom w:val="0"/>
      <w:divBdr>
        <w:top w:val="none" w:sz="0" w:space="0" w:color="auto"/>
        <w:left w:val="none" w:sz="0" w:space="0" w:color="auto"/>
        <w:bottom w:val="none" w:sz="0" w:space="0" w:color="auto"/>
        <w:right w:val="none" w:sz="0" w:space="0" w:color="auto"/>
      </w:divBdr>
    </w:div>
    <w:div w:id="1553734555">
      <w:bodyDiv w:val="1"/>
      <w:marLeft w:val="0"/>
      <w:marRight w:val="0"/>
      <w:marTop w:val="0"/>
      <w:marBottom w:val="0"/>
      <w:divBdr>
        <w:top w:val="none" w:sz="0" w:space="0" w:color="auto"/>
        <w:left w:val="none" w:sz="0" w:space="0" w:color="auto"/>
        <w:bottom w:val="none" w:sz="0" w:space="0" w:color="auto"/>
        <w:right w:val="none" w:sz="0" w:space="0" w:color="auto"/>
      </w:divBdr>
    </w:div>
    <w:div w:id="1597327931">
      <w:bodyDiv w:val="1"/>
      <w:marLeft w:val="0"/>
      <w:marRight w:val="0"/>
      <w:marTop w:val="0"/>
      <w:marBottom w:val="0"/>
      <w:divBdr>
        <w:top w:val="none" w:sz="0" w:space="0" w:color="auto"/>
        <w:left w:val="none" w:sz="0" w:space="0" w:color="auto"/>
        <w:bottom w:val="none" w:sz="0" w:space="0" w:color="auto"/>
        <w:right w:val="none" w:sz="0" w:space="0" w:color="auto"/>
      </w:divBdr>
    </w:div>
    <w:div w:id="1604922208">
      <w:bodyDiv w:val="1"/>
      <w:marLeft w:val="0"/>
      <w:marRight w:val="0"/>
      <w:marTop w:val="0"/>
      <w:marBottom w:val="0"/>
      <w:divBdr>
        <w:top w:val="none" w:sz="0" w:space="0" w:color="auto"/>
        <w:left w:val="none" w:sz="0" w:space="0" w:color="auto"/>
        <w:bottom w:val="none" w:sz="0" w:space="0" w:color="auto"/>
        <w:right w:val="none" w:sz="0" w:space="0" w:color="auto"/>
      </w:divBdr>
    </w:div>
    <w:div w:id="1605767268">
      <w:bodyDiv w:val="1"/>
      <w:marLeft w:val="0"/>
      <w:marRight w:val="0"/>
      <w:marTop w:val="0"/>
      <w:marBottom w:val="0"/>
      <w:divBdr>
        <w:top w:val="none" w:sz="0" w:space="0" w:color="auto"/>
        <w:left w:val="none" w:sz="0" w:space="0" w:color="auto"/>
        <w:bottom w:val="none" w:sz="0" w:space="0" w:color="auto"/>
        <w:right w:val="none" w:sz="0" w:space="0" w:color="auto"/>
      </w:divBdr>
    </w:div>
    <w:div w:id="1615555753">
      <w:bodyDiv w:val="1"/>
      <w:marLeft w:val="0"/>
      <w:marRight w:val="0"/>
      <w:marTop w:val="0"/>
      <w:marBottom w:val="0"/>
      <w:divBdr>
        <w:top w:val="none" w:sz="0" w:space="0" w:color="auto"/>
        <w:left w:val="none" w:sz="0" w:space="0" w:color="auto"/>
        <w:bottom w:val="none" w:sz="0" w:space="0" w:color="auto"/>
        <w:right w:val="none" w:sz="0" w:space="0" w:color="auto"/>
      </w:divBdr>
    </w:div>
    <w:div w:id="1630434509">
      <w:bodyDiv w:val="1"/>
      <w:marLeft w:val="0"/>
      <w:marRight w:val="0"/>
      <w:marTop w:val="0"/>
      <w:marBottom w:val="0"/>
      <w:divBdr>
        <w:top w:val="none" w:sz="0" w:space="0" w:color="auto"/>
        <w:left w:val="none" w:sz="0" w:space="0" w:color="auto"/>
        <w:bottom w:val="none" w:sz="0" w:space="0" w:color="auto"/>
        <w:right w:val="none" w:sz="0" w:space="0" w:color="auto"/>
      </w:divBdr>
    </w:div>
    <w:div w:id="1647933323">
      <w:bodyDiv w:val="1"/>
      <w:marLeft w:val="0"/>
      <w:marRight w:val="0"/>
      <w:marTop w:val="0"/>
      <w:marBottom w:val="0"/>
      <w:divBdr>
        <w:top w:val="none" w:sz="0" w:space="0" w:color="auto"/>
        <w:left w:val="none" w:sz="0" w:space="0" w:color="auto"/>
        <w:bottom w:val="none" w:sz="0" w:space="0" w:color="auto"/>
        <w:right w:val="none" w:sz="0" w:space="0" w:color="auto"/>
      </w:divBdr>
    </w:div>
    <w:div w:id="1653678887">
      <w:bodyDiv w:val="1"/>
      <w:marLeft w:val="0"/>
      <w:marRight w:val="0"/>
      <w:marTop w:val="0"/>
      <w:marBottom w:val="0"/>
      <w:divBdr>
        <w:top w:val="none" w:sz="0" w:space="0" w:color="auto"/>
        <w:left w:val="none" w:sz="0" w:space="0" w:color="auto"/>
        <w:bottom w:val="none" w:sz="0" w:space="0" w:color="auto"/>
        <w:right w:val="none" w:sz="0" w:space="0" w:color="auto"/>
      </w:divBdr>
    </w:div>
    <w:div w:id="1654873977">
      <w:bodyDiv w:val="1"/>
      <w:marLeft w:val="0"/>
      <w:marRight w:val="0"/>
      <w:marTop w:val="0"/>
      <w:marBottom w:val="0"/>
      <w:divBdr>
        <w:top w:val="none" w:sz="0" w:space="0" w:color="auto"/>
        <w:left w:val="none" w:sz="0" w:space="0" w:color="auto"/>
        <w:bottom w:val="none" w:sz="0" w:space="0" w:color="auto"/>
        <w:right w:val="none" w:sz="0" w:space="0" w:color="auto"/>
      </w:divBdr>
    </w:div>
    <w:div w:id="1664507653">
      <w:bodyDiv w:val="1"/>
      <w:marLeft w:val="0"/>
      <w:marRight w:val="0"/>
      <w:marTop w:val="0"/>
      <w:marBottom w:val="0"/>
      <w:divBdr>
        <w:top w:val="none" w:sz="0" w:space="0" w:color="auto"/>
        <w:left w:val="none" w:sz="0" w:space="0" w:color="auto"/>
        <w:bottom w:val="none" w:sz="0" w:space="0" w:color="auto"/>
        <w:right w:val="none" w:sz="0" w:space="0" w:color="auto"/>
      </w:divBdr>
    </w:div>
    <w:div w:id="1675835417">
      <w:bodyDiv w:val="1"/>
      <w:marLeft w:val="0"/>
      <w:marRight w:val="0"/>
      <w:marTop w:val="0"/>
      <w:marBottom w:val="0"/>
      <w:divBdr>
        <w:top w:val="none" w:sz="0" w:space="0" w:color="auto"/>
        <w:left w:val="none" w:sz="0" w:space="0" w:color="auto"/>
        <w:bottom w:val="none" w:sz="0" w:space="0" w:color="auto"/>
        <w:right w:val="none" w:sz="0" w:space="0" w:color="auto"/>
      </w:divBdr>
    </w:div>
    <w:div w:id="1710450867">
      <w:bodyDiv w:val="1"/>
      <w:marLeft w:val="0"/>
      <w:marRight w:val="0"/>
      <w:marTop w:val="0"/>
      <w:marBottom w:val="0"/>
      <w:divBdr>
        <w:top w:val="none" w:sz="0" w:space="0" w:color="auto"/>
        <w:left w:val="none" w:sz="0" w:space="0" w:color="auto"/>
        <w:bottom w:val="none" w:sz="0" w:space="0" w:color="auto"/>
        <w:right w:val="none" w:sz="0" w:space="0" w:color="auto"/>
      </w:divBdr>
    </w:div>
    <w:div w:id="1727221919">
      <w:bodyDiv w:val="1"/>
      <w:marLeft w:val="0"/>
      <w:marRight w:val="0"/>
      <w:marTop w:val="0"/>
      <w:marBottom w:val="0"/>
      <w:divBdr>
        <w:top w:val="none" w:sz="0" w:space="0" w:color="auto"/>
        <w:left w:val="none" w:sz="0" w:space="0" w:color="auto"/>
        <w:bottom w:val="none" w:sz="0" w:space="0" w:color="auto"/>
        <w:right w:val="none" w:sz="0" w:space="0" w:color="auto"/>
      </w:divBdr>
    </w:div>
    <w:div w:id="1740126674">
      <w:bodyDiv w:val="1"/>
      <w:marLeft w:val="0"/>
      <w:marRight w:val="0"/>
      <w:marTop w:val="0"/>
      <w:marBottom w:val="0"/>
      <w:divBdr>
        <w:top w:val="none" w:sz="0" w:space="0" w:color="auto"/>
        <w:left w:val="none" w:sz="0" w:space="0" w:color="auto"/>
        <w:bottom w:val="none" w:sz="0" w:space="0" w:color="auto"/>
        <w:right w:val="none" w:sz="0" w:space="0" w:color="auto"/>
      </w:divBdr>
      <w:divsChild>
        <w:div w:id="2144808420">
          <w:marLeft w:val="0"/>
          <w:marRight w:val="0"/>
          <w:marTop w:val="0"/>
          <w:marBottom w:val="0"/>
          <w:divBdr>
            <w:top w:val="none" w:sz="0" w:space="0" w:color="auto"/>
            <w:left w:val="none" w:sz="0" w:space="0" w:color="auto"/>
            <w:bottom w:val="none" w:sz="0" w:space="0" w:color="auto"/>
            <w:right w:val="none" w:sz="0" w:space="0" w:color="auto"/>
          </w:divBdr>
        </w:div>
      </w:divsChild>
    </w:div>
    <w:div w:id="1754665756">
      <w:bodyDiv w:val="1"/>
      <w:marLeft w:val="0"/>
      <w:marRight w:val="0"/>
      <w:marTop w:val="0"/>
      <w:marBottom w:val="0"/>
      <w:divBdr>
        <w:top w:val="none" w:sz="0" w:space="0" w:color="auto"/>
        <w:left w:val="none" w:sz="0" w:space="0" w:color="auto"/>
        <w:bottom w:val="none" w:sz="0" w:space="0" w:color="auto"/>
        <w:right w:val="none" w:sz="0" w:space="0" w:color="auto"/>
      </w:divBdr>
    </w:div>
    <w:div w:id="1833137638">
      <w:bodyDiv w:val="1"/>
      <w:marLeft w:val="0"/>
      <w:marRight w:val="0"/>
      <w:marTop w:val="0"/>
      <w:marBottom w:val="0"/>
      <w:divBdr>
        <w:top w:val="none" w:sz="0" w:space="0" w:color="auto"/>
        <w:left w:val="none" w:sz="0" w:space="0" w:color="auto"/>
        <w:bottom w:val="none" w:sz="0" w:space="0" w:color="auto"/>
        <w:right w:val="none" w:sz="0" w:space="0" w:color="auto"/>
      </w:divBdr>
    </w:div>
    <w:div w:id="1836413383">
      <w:bodyDiv w:val="1"/>
      <w:marLeft w:val="0"/>
      <w:marRight w:val="0"/>
      <w:marTop w:val="0"/>
      <w:marBottom w:val="0"/>
      <w:divBdr>
        <w:top w:val="none" w:sz="0" w:space="0" w:color="auto"/>
        <w:left w:val="none" w:sz="0" w:space="0" w:color="auto"/>
        <w:bottom w:val="none" w:sz="0" w:space="0" w:color="auto"/>
        <w:right w:val="none" w:sz="0" w:space="0" w:color="auto"/>
      </w:divBdr>
    </w:div>
    <w:div w:id="1857841983">
      <w:bodyDiv w:val="1"/>
      <w:marLeft w:val="0"/>
      <w:marRight w:val="0"/>
      <w:marTop w:val="0"/>
      <w:marBottom w:val="0"/>
      <w:divBdr>
        <w:top w:val="none" w:sz="0" w:space="0" w:color="auto"/>
        <w:left w:val="none" w:sz="0" w:space="0" w:color="auto"/>
        <w:bottom w:val="none" w:sz="0" w:space="0" w:color="auto"/>
        <w:right w:val="none" w:sz="0" w:space="0" w:color="auto"/>
      </w:divBdr>
    </w:div>
    <w:div w:id="1875968758">
      <w:bodyDiv w:val="1"/>
      <w:marLeft w:val="0"/>
      <w:marRight w:val="0"/>
      <w:marTop w:val="0"/>
      <w:marBottom w:val="0"/>
      <w:divBdr>
        <w:top w:val="none" w:sz="0" w:space="0" w:color="auto"/>
        <w:left w:val="none" w:sz="0" w:space="0" w:color="auto"/>
        <w:bottom w:val="none" w:sz="0" w:space="0" w:color="auto"/>
        <w:right w:val="none" w:sz="0" w:space="0" w:color="auto"/>
      </w:divBdr>
    </w:div>
    <w:div w:id="1876313751">
      <w:bodyDiv w:val="1"/>
      <w:marLeft w:val="0"/>
      <w:marRight w:val="0"/>
      <w:marTop w:val="0"/>
      <w:marBottom w:val="0"/>
      <w:divBdr>
        <w:top w:val="none" w:sz="0" w:space="0" w:color="auto"/>
        <w:left w:val="none" w:sz="0" w:space="0" w:color="auto"/>
        <w:bottom w:val="none" w:sz="0" w:space="0" w:color="auto"/>
        <w:right w:val="none" w:sz="0" w:space="0" w:color="auto"/>
      </w:divBdr>
    </w:div>
    <w:div w:id="1895657428">
      <w:bodyDiv w:val="1"/>
      <w:marLeft w:val="0"/>
      <w:marRight w:val="0"/>
      <w:marTop w:val="0"/>
      <w:marBottom w:val="0"/>
      <w:divBdr>
        <w:top w:val="none" w:sz="0" w:space="0" w:color="auto"/>
        <w:left w:val="none" w:sz="0" w:space="0" w:color="auto"/>
        <w:bottom w:val="none" w:sz="0" w:space="0" w:color="auto"/>
        <w:right w:val="none" w:sz="0" w:space="0" w:color="auto"/>
      </w:divBdr>
    </w:div>
    <w:div w:id="1912109045">
      <w:bodyDiv w:val="1"/>
      <w:marLeft w:val="0"/>
      <w:marRight w:val="0"/>
      <w:marTop w:val="0"/>
      <w:marBottom w:val="0"/>
      <w:divBdr>
        <w:top w:val="none" w:sz="0" w:space="0" w:color="auto"/>
        <w:left w:val="none" w:sz="0" w:space="0" w:color="auto"/>
        <w:bottom w:val="none" w:sz="0" w:space="0" w:color="auto"/>
        <w:right w:val="none" w:sz="0" w:space="0" w:color="auto"/>
      </w:divBdr>
    </w:div>
    <w:div w:id="1923025635">
      <w:bodyDiv w:val="1"/>
      <w:marLeft w:val="0"/>
      <w:marRight w:val="0"/>
      <w:marTop w:val="0"/>
      <w:marBottom w:val="0"/>
      <w:divBdr>
        <w:top w:val="none" w:sz="0" w:space="0" w:color="auto"/>
        <w:left w:val="none" w:sz="0" w:space="0" w:color="auto"/>
        <w:bottom w:val="none" w:sz="0" w:space="0" w:color="auto"/>
        <w:right w:val="none" w:sz="0" w:space="0" w:color="auto"/>
      </w:divBdr>
    </w:div>
    <w:div w:id="20472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joac.12426" TargetMode="External"/><Relationship Id="rId13" Type="http://schemas.openxmlformats.org/officeDocument/2006/relationships/hyperlink" Target="https://www.fsinplatform.org/sites/default/files/resources/files/GRFC_2020_ONLINE_2004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3753-019-0215-z" TargetMode="External"/><Relationship Id="rId12" Type="http://schemas.openxmlformats.org/officeDocument/2006/relationships/hyperlink" Target="https://www.cepal.org/en/publications/45526-analysis-and-responses-latin-america-and-caribbean-effects-covid-19-food-systems" TargetMode="External"/><Relationship Id="rId17" Type="http://schemas.openxmlformats.org/officeDocument/2006/relationships/hyperlink" Target="https://documents1.worldbank.org/curated/en/278371495936843350/pdf/project-appraisal-document-pad-P158958-2017-05-03-11-53am-05082017.pdf" TargetMode="External"/><Relationship Id="rId2" Type="http://schemas.openxmlformats.org/officeDocument/2006/relationships/styles" Target="styles.xml"/><Relationship Id="rId16" Type="http://schemas.openxmlformats.org/officeDocument/2006/relationships/hyperlink" Target="https://doi.org/10.1371/journal.pmed.1001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4060/ca8873en" TargetMode="External"/><Relationship Id="rId5" Type="http://schemas.openxmlformats.org/officeDocument/2006/relationships/footnotes" Target="footnotes.xml"/><Relationship Id="rId15" Type="http://schemas.openxmlformats.org/officeDocument/2006/relationships/hyperlink" Target="https://viacampesina.org/en/women-of-via-campesina-international-manifesto-2/" TargetMode="External"/><Relationship Id="rId10" Type="http://schemas.openxmlformats.org/officeDocument/2006/relationships/hyperlink" Target="https://www.fao.org/fileadmin/user_upload/rlc/larc36/comentarios/Comentarios_Granad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pal.org/en/pressreleases/growth-latin-america-and-caribbean-2021-will-not-manage-reverse-adverse-effects" TargetMode="External"/><Relationship Id="rId14" Type="http://schemas.openxmlformats.org/officeDocument/2006/relationships/hyperlink" Target="https://kipdf.com/colonialism-and-neo-colonialism-in-the-caribbean-an-overview-norman-girvan_5ac200a41723ddf544ed27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8539</Words>
  <Characters>48677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2022-05-06T14:28:00Z</dcterms:created>
  <dcterms:modified xsi:type="dcterms:W3CDTF">2022-05-06T15:03:00Z</dcterms:modified>
</cp:coreProperties>
</file>