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5C0D" w14:textId="77777777" w:rsidR="00682690" w:rsidRDefault="00682690" w:rsidP="00682690">
      <w:pPr>
        <w:spacing w:line="480" w:lineRule="auto"/>
        <w:jc w:val="center"/>
        <w:rPr>
          <w:b/>
          <w:bCs/>
        </w:rPr>
      </w:pPr>
      <w:bookmarkStart w:id="0" w:name="_Hlk49332209"/>
    </w:p>
    <w:p w14:paraId="5CCD419B" w14:textId="77777777" w:rsidR="00682690" w:rsidRDefault="00682690" w:rsidP="00682690">
      <w:pPr>
        <w:spacing w:line="480" w:lineRule="auto"/>
        <w:jc w:val="center"/>
        <w:rPr>
          <w:b/>
          <w:bCs/>
        </w:rPr>
      </w:pPr>
    </w:p>
    <w:p w14:paraId="4EE0241E" w14:textId="52ABF473" w:rsidR="0087064A" w:rsidRPr="0087064A" w:rsidRDefault="0087064A" w:rsidP="0087064A">
      <w:pPr>
        <w:spacing w:line="480" w:lineRule="auto"/>
        <w:jc w:val="center"/>
        <w:rPr>
          <w:b/>
          <w:bCs/>
        </w:rPr>
      </w:pPr>
      <w:r w:rsidRPr="00202B53">
        <w:rPr>
          <w:b/>
          <w:bCs/>
        </w:rPr>
        <w:t>Taking a time-out from exporting</w:t>
      </w:r>
      <w:r w:rsidR="00424F1A" w:rsidRPr="00202B53">
        <w:rPr>
          <w:b/>
          <w:bCs/>
        </w:rPr>
        <w:t>:</w:t>
      </w:r>
      <w:r w:rsidRPr="00202B53">
        <w:rPr>
          <w:b/>
          <w:bCs/>
        </w:rPr>
        <w:t xml:space="preserve"> Implications </w:t>
      </w:r>
      <w:r w:rsidR="00424F1A" w:rsidRPr="00202B53">
        <w:rPr>
          <w:b/>
          <w:bCs/>
        </w:rPr>
        <w:t>for</w:t>
      </w:r>
      <w:r w:rsidRPr="00202B53">
        <w:rPr>
          <w:b/>
          <w:bCs/>
        </w:rPr>
        <w:t xml:space="preserve"> the likelihood of export re-entry and re-entry export performance</w:t>
      </w:r>
    </w:p>
    <w:p w14:paraId="4AAC6A64" w14:textId="77777777" w:rsidR="00682690" w:rsidRDefault="00682690" w:rsidP="008471B4">
      <w:pPr>
        <w:spacing w:line="480" w:lineRule="auto"/>
        <w:rPr>
          <w:b/>
          <w:bCs/>
        </w:rPr>
      </w:pPr>
    </w:p>
    <w:p w14:paraId="15E8EE91" w14:textId="77777777" w:rsidR="00682690" w:rsidRDefault="00682690" w:rsidP="008471B4">
      <w:pPr>
        <w:spacing w:line="480" w:lineRule="auto"/>
        <w:rPr>
          <w:b/>
          <w:bCs/>
        </w:rPr>
      </w:pPr>
    </w:p>
    <w:p w14:paraId="5078DE3A" w14:textId="24B64F75" w:rsidR="00682690" w:rsidRDefault="00682690" w:rsidP="006B6C3F">
      <w:pPr>
        <w:spacing w:line="480" w:lineRule="auto"/>
        <w:jc w:val="center"/>
        <w:rPr>
          <w:b/>
          <w:bCs/>
        </w:rPr>
      </w:pPr>
      <w:r>
        <w:rPr>
          <w:b/>
          <w:bCs/>
        </w:rPr>
        <w:t>Abstract</w:t>
      </w:r>
    </w:p>
    <w:p w14:paraId="62227E4A" w14:textId="54693FAE" w:rsidR="00682690" w:rsidRDefault="00751213" w:rsidP="008471B4">
      <w:pPr>
        <w:spacing w:line="480" w:lineRule="auto"/>
      </w:pPr>
      <w:r>
        <w:t>Drawing</w:t>
      </w:r>
      <w:r w:rsidR="004D754F">
        <w:t xml:space="preserve"> </w:t>
      </w:r>
      <w:r w:rsidR="00E61F36">
        <w:t>from Organizational Learning Theory, w</w:t>
      </w:r>
      <w:r w:rsidR="00DB797B">
        <w:t>e</w:t>
      </w:r>
      <w:r w:rsidR="00C64692">
        <w:t xml:space="preserve"> </w:t>
      </w:r>
      <w:r>
        <w:t xml:space="preserve">explain </w:t>
      </w:r>
      <w:r w:rsidR="00B2064F">
        <w:t>how the</w:t>
      </w:r>
      <w:r w:rsidR="00C64692">
        <w:t xml:space="preserve"> </w:t>
      </w:r>
      <w:r w:rsidR="00DB797B">
        <w:t>“</w:t>
      </w:r>
      <w:r w:rsidR="00C64692">
        <w:t>time-out period</w:t>
      </w:r>
      <w:r w:rsidR="00DB797B">
        <w:t>”</w:t>
      </w:r>
      <w:r w:rsidR="00BB171B">
        <w:t xml:space="preserve"> </w:t>
      </w:r>
      <w:r w:rsidR="00C64692">
        <w:t>from exporting</w:t>
      </w:r>
      <w:r w:rsidR="00B2064F">
        <w:t xml:space="preserve"> </w:t>
      </w:r>
      <w:r w:rsidR="00B3471A">
        <w:t>affects</w:t>
      </w:r>
      <w:r w:rsidR="00C64692">
        <w:t xml:space="preserve"> </w:t>
      </w:r>
      <w:r>
        <w:t xml:space="preserve">a) </w:t>
      </w:r>
      <w:r w:rsidR="00C64692">
        <w:t xml:space="preserve">the </w:t>
      </w:r>
      <w:r w:rsidR="00B67019">
        <w:t xml:space="preserve">likelihood </w:t>
      </w:r>
      <w:r>
        <w:t xml:space="preserve">of </w:t>
      </w:r>
      <w:r w:rsidR="00C64692">
        <w:t>re-</w:t>
      </w:r>
      <w:r w:rsidR="000B6781">
        <w:t>starting</w:t>
      </w:r>
      <w:r w:rsidR="00B67019">
        <w:t xml:space="preserve"> </w:t>
      </w:r>
      <w:r w:rsidR="00C64692">
        <w:t xml:space="preserve">exporting and </w:t>
      </w:r>
      <w:r>
        <w:t xml:space="preserve">b) </w:t>
      </w:r>
      <w:r w:rsidR="00EA4F46">
        <w:t xml:space="preserve">re-entry </w:t>
      </w:r>
      <w:r w:rsidR="00C64692">
        <w:t>export performance</w:t>
      </w:r>
      <w:r w:rsidR="00676E89">
        <w:t>. We also explain</w:t>
      </w:r>
      <w:r w:rsidR="006D15C2">
        <w:t xml:space="preserve"> </w:t>
      </w:r>
      <w:r w:rsidR="004150B8">
        <w:t>how</w:t>
      </w:r>
      <w:r w:rsidR="00E11C2B">
        <w:t xml:space="preserve"> foreign collaboration</w:t>
      </w:r>
      <w:r w:rsidR="00E11C2B" w:rsidRPr="00BB4A25">
        <w:t xml:space="preserve"> </w:t>
      </w:r>
      <w:r w:rsidR="00E11C2B">
        <w:t>influences</w:t>
      </w:r>
      <w:r w:rsidR="00E11C2B" w:rsidRPr="00BB4A25">
        <w:t xml:space="preserve"> </w:t>
      </w:r>
      <w:r w:rsidR="00676E89">
        <w:t>the</w:t>
      </w:r>
      <w:r w:rsidR="00D41E87">
        <w:t>se</w:t>
      </w:r>
      <w:r w:rsidR="004150B8">
        <w:t xml:space="preserve"> two</w:t>
      </w:r>
      <w:r w:rsidR="00756FD6" w:rsidRPr="00BB4A25">
        <w:t xml:space="preserve"> </w:t>
      </w:r>
      <w:r w:rsidR="00C64692" w:rsidRPr="00BB4A25">
        <w:t xml:space="preserve">relationships. </w:t>
      </w:r>
      <w:r w:rsidR="002A5201">
        <w:t xml:space="preserve">We </w:t>
      </w:r>
      <w:r w:rsidR="009F3491">
        <w:t>show</w:t>
      </w:r>
      <w:r w:rsidR="002A5201">
        <w:t xml:space="preserve"> that </w:t>
      </w:r>
      <w:r w:rsidR="00C64692">
        <w:t>the time</w:t>
      </w:r>
      <w:r w:rsidR="00D11F7E">
        <w:t>-</w:t>
      </w:r>
      <w:r w:rsidR="00CC0933">
        <w:t>out period has an inverted U-</w:t>
      </w:r>
      <w:r w:rsidR="00C64692">
        <w:t>shape</w:t>
      </w:r>
      <w:r w:rsidR="00CC0933">
        <w:t>d</w:t>
      </w:r>
      <w:r w:rsidR="00C64692">
        <w:t xml:space="preserve"> relationship with the </w:t>
      </w:r>
      <w:r w:rsidR="00B67019">
        <w:t xml:space="preserve">likelihood </w:t>
      </w:r>
      <w:r w:rsidR="00C64692">
        <w:t xml:space="preserve">of </w:t>
      </w:r>
      <w:r>
        <w:t>re-</w:t>
      </w:r>
      <w:r w:rsidR="000B6781">
        <w:t>starting</w:t>
      </w:r>
      <w:r>
        <w:t xml:space="preserve"> exporting</w:t>
      </w:r>
      <w:r w:rsidR="00C64692">
        <w:t xml:space="preserve">, </w:t>
      </w:r>
      <w:r w:rsidR="00E253E9">
        <w:t xml:space="preserve">and </w:t>
      </w:r>
      <w:r w:rsidR="00C64692">
        <w:t>a U-shape</w:t>
      </w:r>
      <w:r w:rsidR="00CC0933">
        <w:t>d</w:t>
      </w:r>
      <w:r w:rsidR="00C64692">
        <w:t xml:space="preserve"> relationship with re-entry export performance. </w:t>
      </w:r>
      <w:r w:rsidR="00B15324">
        <w:t>Foreign c</w:t>
      </w:r>
      <w:r w:rsidR="00C64692">
        <w:t xml:space="preserve">ollaboration </w:t>
      </w:r>
      <w:r w:rsidR="002C540E">
        <w:t>enhanc</w:t>
      </w:r>
      <w:r w:rsidR="00160460">
        <w:t>e</w:t>
      </w:r>
      <w:r w:rsidR="008C2A1D">
        <w:t>s</w:t>
      </w:r>
      <w:r w:rsidR="002C540E">
        <w:t xml:space="preserve"> </w:t>
      </w:r>
      <w:r w:rsidR="006924EC">
        <w:t>managerial confidence</w:t>
      </w:r>
      <w:r w:rsidR="00A94914">
        <w:t xml:space="preserve"> </w:t>
      </w:r>
      <w:r w:rsidR="00C91DF0">
        <w:t xml:space="preserve">and </w:t>
      </w:r>
      <w:r w:rsidR="009F3491">
        <w:t>thereby</w:t>
      </w:r>
      <w:r w:rsidR="00C91DF0">
        <w:t xml:space="preserve"> </w:t>
      </w:r>
      <w:r w:rsidR="00676E89">
        <w:t xml:space="preserve">increases </w:t>
      </w:r>
      <w:r w:rsidR="00C91DF0">
        <w:t>the</w:t>
      </w:r>
      <w:r w:rsidR="00A94914">
        <w:t xml:space="preserve"> </w:t>
      </w:r>
      <w:r w:rsidR="00005D48">
        <w:t>likelihood</w:t>
      </w:r>
      <w:r w:rsidR="006D4154">
        <w:t xml:space="preserve"> of </w:t>
      </w:r>
      <w:r w:rsidR="009F3491">
        <w:t>re-</w:t>
      </w:r>
      <w:r w:rsidR="000B6781">
        <w:t>starting</w:t>
      </w:r>
      <w:r w:rsidR="009F3491">
        <w:t xml:space="preserve"> exporting </w:t>
      </w:r>
      <w:r w:rsidR="002B511C">
        <w:t xml:space="preserve">during the </w:t>
      </w:r>
      <w:r w:rsidR="002B511C" w:rsidRPr="0045733A">
        <w:rPr>
          <w:i/>
          <w:iCs/>
        </w:rPr>
        <w:t>earl</w:t>
      </w:r>
      <w:r w:rsidR="004150B8" w:rsidRPr="0045733A">
        <w:rPr>
          <w:i/>
          <w:iCs/>
        </w:rPr>
        <w:t>ier</w:t>
      </w:r>
      <w:r w:rsidR="002B511C">
        <w:t xml:space="preserve"> </w:t>
      </w:r>
      <w:r w:rsidR="008338F8">
        <w:t>phases</w:t>
      </w:r>
      <w:r w:rsidR="002B511C">
        <w:t xml:space="preserve"> </w:t>
      </w:r>
      <w:r w:rsidR="00ED7946">
        <w:t>of the time-out period</w:t>
      </w:r>
      <w:r w:rsidR="00774543">
        <w:t>.</w:t>
      </w:r>
      <w:r w:rsidR="00ED7946">
        <w:t xml:space="preserve"> </w:t>
      </w:r>
      <w:r w:rsidR="00774543">
        <w:t>I</w:t>
      </w:r>
      <w:r w:rsidR="005919F6">
        <w:t xml:space="preserve">t </w:t>
      </w:r>
      <w:r w:rsidR="00774543">
        <w:t xml:space="preserve">also </w:t>
      </w:r>
      <w:r w:rsidR="00C91DF0">
        <w:t>enhances</w:t>
      </w:r>
      <w:r w:rsidR="006D07EF">
        <w:t xml:space="preserve"> </w:t>
      </w:r>
      <w:r w:rsidR="0009275B">
        <w:t xml:space="preserve">re-entry </w:t>
      </w:r>
      <w:r w:rsidR="00DD25B8">
        <w:t xml:space="preserve">export </w:t>
      </w:r>
      <w:r w:rsidR="00160460">
        <w:t xml:space="preserve">performance </w:t>
      </w:r>
      <w:r w:rsidR="00B52059">
        <w:t xml:space="preserve">by </w:t>
      </w:r>
      <w:r w:rsidR="007212AA">
        <w:t>accelerating</w:t>
      </w:r>
      <w:r w:rsidR="00DE337C">
        <w:t xml:space="preserve"> </w:t>
      </w:r>
      <w:r w:rsidR="00E65F3D">
        <w:t xml:space="preserve">new </w:t>
      </w:r>
      <w:r w:rsidR="00DE337C">
        <w:t>knowledge accumulation</w:t>
      </w:r>
      <w:r w:rsidR="002C3F88">
        <w:t xml:space="preserve"> </w:t>
      </w:r>
      <w:r w:rsidR="00676E89">
        <w:t>in</w:t>
      </w:r>
      <w:r w:rsidR="007E28DB">
        <w:t xml:space="preserve"> the </w:t>
      </w:r>
      <w:r w:rsidR="007E28DB" w:rsidRPr="0045733A">
        <w:rPr>
          <w:i/>
          <w:iCs/>
        </w:rPr>
        <w:t>later</w:t>
      </w:r>
      <w:r w:rsidR="007E28DB">
        <w:t xml:space="preserve"> </w:t>
      </w:r>
      <w:r w:rsidR="008338F8">
        <w:t>phases</w:t>
      </w:r>
      <w:r w:rsidR="007E28DB">
        <w:t xml:space="preserve"> </w:t>
      </w:r>
      <w:r w:rsidR="00DD25B8">
        <w:t>of the time-out period</w:t>
      </w:r>
      <w:r w:rsidR="00C91DF0">
        <w:t>.</w:t>
      </w:r>
      <w:r w:rsidR="00C64692">
        <w:t xml:space="preserve"> </w:t>
      </w:r>
    </w:p>
    <w:p w14:paraId="5130D371" w14:textId="77777777" w:rsidR="0045733A" w:rsidRPr="00642F5C" w:rsidRDefault="0045733A" w:rsidP="008471B4">
      <w:pPr>
        <w:spacing w:line="480" w:lineRule="auto"/>
      </w:pPr>
    </w:p>
    <w:p w14:paraId="29C32ABF" w14:textId="028231D8" w:rsidR="00682690" w:rsidRPr="009E0548" w:rsidRDefault="00462FDE" w:rsidP="008471B4">
      <w:pPr>
        <w:spacing w:line="480" w:lineRule="auto"/>
      </w:pPr>
      <w:r>
        <w:rPr>
          <w:b/>
          <w:bCs/>
        </w:rPr>
        <w:t>Keywords:</w:t>
      </w:r>
      <w:r w:rsidR="009E0548">
        <w:t xml:space="preserve"> </w:t>
      </w:r>
      <w:r w:rsidR="00D11F7E">
        <w:t xml:space="preserve">Time-out period, </w:t>
      </w:r>
      <w:r w:rsidR="009E0548">
        <w:t>Export</w:t>
      </w:r>
      <w:r w:rsidR="00DB797B">
        <w:t>ing</w:t>
      </w:r>
      <w:r w:rsidR="009E0548">
        <w:t>, Export performance, Re-</w:t>
      </w:r>
      <w:r w:rsidR="00642F5C">
        <w:t>entry</w:t>
      </w:r>
      <w:r w:rsidR="009E0548">
        <w:t>,</w:t>
      </w:r>
      <w:r w:rsidR="00DE5434">
        <w:t xml:space="preserve"> Organizational Learning Theory,</w:t>
      </w:r>
      <w:r w:rsidR="009E0548">
        <w:t xml:space="preserve"> Foreign collaborations</w:t>
      </w:r>
      <w:r w:rsidR="00BD737F">
        <w:t>.</w:t>
      </w:r>
      <w:r w:rsidR="009E0548">
        <w:t xml:space="preserve"> </w:t>
      </w:r>
    </w:p>
    <w:p w14:paraId="52124CC0" w14:textId="77777777" w:rsidR="00676E89" w:rsidRDefault="00676E89" w:rsidP="008471B4">
      <w:pPr>
        <w:spacing w:line="480" w:lineRule="auto"/>
        <w:rPr>
          <w:b/>
          <w:bCs/>
        </w:rPr>
      </w:pPr>
    </w:p>
    <w:p w14:paraId="134573DB" w14:textId="6451CC44" w:rsidR="00006065" w:rsidRDefault="00676E89" w:rsidP="0003596B">
      <w:pPr>
        <w:rPr>
          <w:b/>
          <w:bCs/>
        </w:rPr>
      </w:pPr>
      <w:r>
        <w:rPr>
          <w:b/>
          <w:bCs/>
        </w:rPr>
        <w:br w:type="page"/>
      </w:r>
      <w:bookmarkStart w:id="1" w:name="_Hlk86353944"/>
      <w:bookmarkStart w:id="2" w:name="_Hlk49450439"/>
      <w:bookmarkEnd w:id="0"/>
      <w:r w:rsidR="00006065">
        <w:rPr>
          <w:b/>
          <w:bCs/>
        </w:rPr>
        <w:lastRenderedPageBreak/>
        <w:t xml:space="preserve">1. </w:t>
      </w:r>
      <w:r w:rsidR="00006065" w:rsidRPr="00D8126D">
        <w:rPr>
          <w:b/>
          <w:bCs/>
        </w:rPr>
        <w:t>Introduction</w:t>
      </w:r>
      <w:r w:rsidR="001641EE">
        <w:rPr>
          <w:b/>
          <w:bCs/>
        </w:rPr>
        <w:t xml:space="preserve"> </w:t>
      </w:r>
    </w:p>
    <w:p w14:paraId="6A7A5E77" w14:textId="09301F60" w:rsidR="00006065" w:rsidRDefault="00404D97" w:rsidP="009209FA">
      <w:pPr>
        <w:spacing w:line="480" w:lineRule="auto"/>
        <w:ind w:firstLine="284"/>
      </w:pPr>
      <w:bookmarkStart w:id="3" w:name="_Hlk86274713"/>
      <w:bookmarkStart w:id="4" w:name="_Hlk75363621"/>
      <w:r>
        <w:t xml:space="preserve">Although the </w:t>
      </w:r>
      <w:r w:rsidR="0074516A">
        <w:t>international business (</w:t>
      </w:r>
      <w:r>
        <w:t>IB</w:t>
      </w:r>
      <w:r w:rsidR="0074516A">
        <w:t>)</w:t>
      </w:r>
      <w:r>
        <w:t xml:space="preserve"> literature</w:t>
      </w:r>
      <w:r w:rsidR="00006065">
        <w:t xml:space="preserve"> ha</w:t>
      </w:r>
      <w:r>
        <w:t>s</w:t>
      </w:r>
      <w:r w:rsidR="00006065">
        <w:t xml:space="preserve"> </w:t>
      </w:r>
      <w:r w:rsidR="007D5852">
        <w:t xml:space="preserve">offered valuable insights into </w:t>
      </w:r>
      <w:r>
        <w:t>firms</w:t>
      </w:r>
      <w:r w:rsidR="0089788C">
        <w:t>’</w:t>
      </w:r>
      <w:r w:rsidR="00006065">
        <w:t xml:space="preserve"> expan</w:t>
      </w:r>
      <w:r w:rsidR="0089788C">
        <w:t>sion</w:t>
      </w:r>
      <w:r w:rsidR="00006065">
        <w:t xml:space="preserve"> </w:t>
      </w:r>
      <w:r w:rsidR="007D5852">
        <w:t xml:space="preserve">in </w:t>
      </w:r>
      <w:r w:rsidR="00006065">
        <w:t>foreign market</w:t>
      </w:r>
      <w:r w:rsidR="003770AA">
        <w:t>s</w:t>
      </w:r>
      <w:r w:rsidR="00006065">
        <w:t xml:space="preserve"> (</w:t>
      </w:r>
      <w:r w:rsidR="005C73D7">
        <w:t xml:space="preserve">Laufs </w:t>
      </w:r>
      <w:r w:rsidR="00AE1EFB">
        <w:t xml:space="preserve">&amp; </w:t>
      </w:r>
      <w:r w:rsidR="005C73D7">
        <w:t>Schwens, 2014</w:t>
      </w:r>
      <w:r w:rsidR="005C73D7">
        <w:rPr>
          <w:color w:val="222222"/>
          <w:sz w:val="22"/>
          <w:szCs w:val="22"/>
          <w:shd w:val="clear" w:color="auto" w:fill="FFFFFF"/>
        </w:rPr>
        <w:t xml:space="preserve">; </w:t>
      </w:r>
      <w:r w:rsidR="00006065" w:rsidRPr="00DD542D">
        <w:t xml:space="preserve">Majocchi et al., 2018; Park </w:t>
      </w:r>
      <w:r w:rsidR="00AE1EFB">
        <w:t>&amp;</w:t>
      </w:r>
      <w:r w:rsidR="00006065" w:rsidRPr="00DD542D">
        <w:t xml:space="preserve"> LiPuma, 2020</w:t>
      </w:r>
      <w:r w:rsidR="00006065">
        <w:t>)</w:t>
      </w:r>
      <w:r>
        <w:t>,</w:t>
      </w:r>
      <w:r w:rsidR="00006065">
        <w:t xml:space="preserve"> </w:t>
      </w:r>
      <w:r>
        <w:t xml:space="preserve">little attention </w:t>
      </w:r>
      <w:r w:rsidR="00E577EF">
        <w:t xml:space="preserve">has been paid </w:t>
      </w:r>
      <w:r>
        <w:t xml:space="preserve">to </w:t>
      </w:r>
      <w:r w:rsidR="00006065">
        <w:t xml:space="preserve">the fact that firms often </w:t>
      </w:r>
      <w:r w:rsidR="00006065" w:rsidRPr="00600729">
        <w:t xml:space="preserve">de-internationalize </w:t>
      </w:r>
      <w:r w:rsidR="00006065">
        <w:t>either by</w:t>
      </w:r>
      <w:r w:rsidR="00A44108">
        <w:t xml:space="preserve"> partially</w:t>
      </w:r>
      <w:r w:rsidR="00006065">
        <w:t xml:space="preserve"> reducing their commitment or </w:t>
      </w:r>
      <w:r w:rsidR="00073FAF">
        <w:t xml:space="preserve">by </w:t>
      </w:r>
      <w:r w:rsidR="00006065">
        <w:t xml:space="preserve">completely withdrawing from foreign markets (Bernini et al., 2016; </w:t>
      </w:r>
      <w:r w:rsidR="00006065" w:rsidRPr="00DD542D">
        <w:t>Dachs et al., 2019; Gaur et al., 2019;</w:t>
      </w:r>
      <w:r w:rsidR="00006065">
        <w:t xml:space="preserve"> </w:t>
      </w:r>
      <w:r w:rsidR="00006065" w:rsidRPr="00DD542D">
        <w:t xml:space="preserve">Rodrigues </w:t>
      </w:r>
      <w:r w:rsidR="00952217">
        <w:t>&amp;</w:t>
      </w:r>
      <w:r w:rsidR="00006065" w:rsidRPr="00DD542D">
        <w:t xml:space="preserve"> Dieleman, 2018</w:t>
      </w:r>
      <w:r w:rsidR="00006065">
        <w:t xml:space="preserve">). </w:t>
      </w:r>
      <w:r w:rsidR="007B3C53">
        <w:t>The literature</w:t>
      </w:r>
      <w:r w:rsidR="00006065">
        <w:t xml:space="preserve"> </w:t>
      </w:r>
      <w:r w:rsidR="007B3C53">
        <w:t xml:space="preserve">has paid even less attention to </w:t>
      </w:r>
      <w:r w:rsidR="006C5D2D" w:rsidRPr="0037200A">
        <w:rPr>
          <w:i/>
        </w:rPr>
        <w:t>re-internationalization</w:t>
      </w:r>
      <w:r w:rsidR="006C5D2D">
        <w:t xml:space="preserve">; </w:t>
      </w:r>
      <w:r w:rsidR="007B3C53">
        <w:t>a phenomenon</w:t>
      </w:r>
      <w:r w:rsidR="00006065">
        <w:t xml:space="preserve"> that </w:t>
      </w:r>
      <w:r w:rsidR="007B3C53">
        <w:t>often follows</w:t>
      </w:r>
      <w:r w:rsidR="00006065">
        <w:t xml:space="preserve"> de-internationalization</w:t>
      </w:r>
      <w:r w:rsidR="003770AA">
        <w:rPr>
          <w:i/>
        </w:rPr>
        <w:t>.</w:t>
      </w:r>
      <w:r w:rsidR="00006065">
        <w:t xml:space="preserve"> </w:t>
      </w:r>
      <w:r w:rsidR="001B0711">
        <w:t>Re-internationalization occurs when firms</w:t>
      </w:r>
      <w:r w:rsidR="009209FA">
        <w:t xml:space="preserve"> </w:t>
      </w:r>
      <w:r w:rsidR="006C5D2D">
        <w:t xml:space="preserve">again </w:t>
      </w:r>
      <w:r w:rsidR="00006065">
        <w:t xml:space="preserve">increase </w:t>
      </w:r>
      <w:r w:rsidR="00C1077A">
        <w:t xml:space="preserve">their </w:t>
      </w:r>
      <w:r w:rsidR="00006065">
        <w:t>commitment to foreign markets</w:t>
      </w:r>
      <w:r w:rsidR="001D6CC9">
        <w:t xml:space="preserve"> </w:t>
      </w:r>
      <w:r w:rsidR="00FD523B">
        <w:t>(</w:t>
      </w:r>
      <w:r w:rsidR="001D6CC9">
        <w:t>following partial de-internationalization</w:t>
      </w:r>
      <w:r w:rsidR="00FD523B">
        <w:t>)</w:t>
      </w:r>
      <w:r w:rsidR="001D6CC9">
        <w:t xml:space="preserve"> </w:t>
      </w:r>
      <w:r w:rsidR="00073FAF">
        <w:t>or re-enter</w:t>
      </w:r>
      <w:r w:rsidR="00E82583">
        <w:t xml:space="preserve"> such markets</w:t>
      </w:r>
      <w:r w:rsidR="00073FAF">
        <w:t xml:space="preserve"> </w:t>
      </w:r>
      <w:r w:rsidR="00006065">
        <w:t xml:space="preserve">after a </w:t>
      </w:r>
      <w:r w:rsidR="00006065" w:rsidRPr="00152A60">
        <w:rPr>
          <w:i/>
          <w:iCs/>
        </w:rPr>
        <w:t>time-out period</w:t>
      </w:r>
      <w:r w:rsidR="00770438">
        <w:t xml:space="preserve"> </w:t>
      </w:r>
      <w:r w:rsidR="00006065">
        <w:t xml:space="preserve">during which </w:t>
      </w:r>
      <w:r w:rsidR="00985BA0">
        <w:t xml:space="preserve">they </w:t>
      </w:r>
      <w:r w:rsidR="00770438">
        <w:t xml:space="preserve">stay out of foreign markets and </w:t>
      </w:r>
      <w:r w:rsidR="00006065">
        <w:t xml:space="preserve">focus </w:t>
      </w:r>
      <w:r w:rsidR="00985BA0" w:rsidRPr="002004F4">
        <w:rPr>
          <w:i/>
          <w:iCs/>
        </w:rPr>
        <w:t>only</w:t>
      </w:r>
      <w:r w:rsidR="00985BA0">
        <w:t xml:space="preserve"> </w:t>
      </w:r>
      <w:r w:rsidR="00006065">
        <w:t>on the domestic</w:t>
      </w:r>
      <w:r w:rsidR="00152A60">
        <w:t xml:space="preserve"> market</w:t>
      </w:r>
      <w:r w:rsidR="00006065">
        <w:t xml:space="preserve"> </w:t>
      </w:r>
      <w:r w:rsidR="00501DB2">
        <w:t>(</w:t>
      </w:r>
      <w:r w:rsidR="003770AA">
        <w:t>Aguzzoli et al., 202</w:t>
      </w:r>
      <w:r w:rsidR="0021255F">
        <w:t>1</w:t>
      </w:r>
      <w:r w:rsidR="003770AA">
        <w:t xml:space="preserve">; </w:t>
      </w:r>
      <w:r w:rsidR="003770AA" w:rsidRPr="00E01D72">
        <w:t xml:space="preserve">Vissak </w:t>
      </w:r>
      <w:r w:rsidR="00F01606">
        <w:t>&amp;</w:t>
      </w:r>
      <w:r w:rsidR="003770AA" w:rsidRPr="00E01D72">
        <w:t xml:space="preserve"> Francioni, 2013</w:t>
      </w:r>
      <w:r w:rsidR="003770AA">
        <w:t xml:space="preserve">; </w:t>
      </w:r>
      <w:r w:rsidR="00006065">
        <w:t xml:space="preserve">Chen et al., 2019). </w:t>
      </w:r>
    </w:p>
    <w:p w14:paraId="6B0E8BF5" w14:textId="6F6F2557" w:rsidR="00DB2FAA" w:rsidRDefault="00690D0A" w:rsidP="006C76C8">
      <w:pPr>
        <w:spacing w:line="480" w:lineRule="auto"/>
        <w:ind w:firstLine="284"/>
      </w:pPr>
      <w:r>
        <w:t xml:space="preserve">To </w:t>
      </w:r>
      <w:r w:rsidR="006C5D2D">
        <w:t>deepen the</w:t>
      </w:r>
      <w:r>
        <w:t xml:space="preserve"> understanding of this phenomenon, this study</w:t>
      </w:r>
      <w:r w:rsidR="00006065" w:rsidRPr="00B142B1">
        <w:t xml:space="preserve"> focus</w:t>
      </w:r>
      <w:r>
        <w:t>es</w:t>
      </w:r>
      <w:r w:rsidR="00006065" w:rsidRPr="00B142B1">
        <w:t xml:space="preserve"> </w:t>
      </w:r>
      <w:r w:rsidR="00006065" w:rsidRPr="00376A46">
        <w:t xml:space="preserve">on </w:t>
      </w:r>
      <w:r w:rsidR="00253E56">
        <w:t>exporting</w:t>
      </w:r>
      <w:r w:rsidR="00006065" w:rsidRPr="00376A46">
        <w:t xml:space="preserve"> firms that completely exit foreign markets</w:t>
      </w:r>
      <w:r w:rsidR="00006065">
        <w:t xml:space="preserve"> and </w:t>
      </w:r>
      <w:r w:rsidR="00847405">
        <w:t xml:space="preserve">at a </w:t>
      </w:r>
      <w:r w:rsidR="00006065">
        <w:t>later</w:t>
      </w:r>
      <w:r w:rsidR="00847405">
        <w:t xml:space="preserve"> </w:t>
      </w:r>
      <w:r w:rsidR="008338F8">
        <w:t>phase</w:t>
      </w:r>
      <w:r w:rsidR="00006065">
        <w:t xml:space="preserve"> </w:t>
      </w:r>
      <w:r>
        <w:t xml:space="preserve">re-start exporting </w:t>
      </w:r>
      <w:r w:rsidR="00FC190E">
        <w:t>(</w:t>
      </w:r>
      <w:r w:rsidR="00663794">
        <w:t xml:space="preserve">i.e., </w:t>
      </w:r>
      <w:r w:rsidR="00FC190E">
        <w:t>re-enter)</w:t>
      </w:r>
      <w:r w:rsidR="000577D2">
        <w:t xml:space="preserve"> </w:t>
      </w:r>
      <w:r>
        <w:t xml:space="preserve">in </w:t>
      </w:r>
      <w:r w:rsidR="00006065">
        <w:t>the same or different markets</w:t>
      </w:r>
      <w:r w:rsidR="00006065" w:rsidRPr="00376A46">
        <w:t>.</w:t>
      </w:r>
      <w:r w:rsidR="00006065" w:rsidRPr="00B142B1">
        <w:t xml:space="preserve"> </w:t>
      </w:r>
      <w:r w:rsidR="000734E8">
        <w:t xml:space="preserve">Specifically, </w:t>
      </w:r>
      <w:r w:rsidR="00996EAD">
        <w:t>this</w:t>
      </w:r>
      <w:r w:rsidR="000734E8">
        <w:t xml:space="preserve"> study</w:t>
      </w:r>
      <w:r w:rsidR="003726E7">
        <w:t xml:space="preserve"> examines</w:t>
      </w:r>
      <w:r w:rsidR="00006065">
        <w:t xml:space="preserve"> the</w:t>
      </w:r>
      <w:r w:rsidR="00FD523B">
        <w:t xml:space="preserve"> </w:t>
      </w:r>
      <w:r w:rsidR="000577D2">
        <w:t xml:space="preserve">effects </w:t>
      </w:r>
      <w:r w:rsidR="00FD523B">
        <w:t xml:space="preserve">of </w:t>
      </w:r>
      <w:r w:rsidR="00006065">
        <w:t xml:space="preserve">the time-out period </w:t>
      </w:r>
      <w:r w:rsidR="00FD523B">
        <w:t xml:space="preserve">on </w:t>
      </w:r>
      <w:r w:rsidR="00006065">
        <w:t>two sequential outcomes</w:t>
      </w:r>
      <w:r w:rsidR="00B371BD">
        <w:t>:</w:t>
      </w:r>
      <w:r w:rsidR="00006065">
        <w:t xml:space="preserve"> the likelihood of re-starting exporting and re-entry export performance. </w:t>
      </w:r>
      <w:r w:rsidR="005635BA">
        <w:t>It</w:t>
      </w:r>
      <w:r w:rsidR="005635BA" w:rsidRPr="0033588E">
        <w:t xml:space="preserve"> </w:t>
      </w:r>
      <w:r w:rsidR="00006065" w:rsidRPr="0033588E">
        <w:t>also examine</w:t>
      </w:r>
      <w:r w:rsidR="0032378A">
        <w:t>s</w:t>
      </w:r>
      <w:r w:rsidR="00006065" w:rsidRPr="0033588E">
        <w:t xml:space="preserve"> how th</w:t>
      </w:r>
      <w:r w:rsidR="0032378A">
        <w:t>e</w:t>
      </w:r>
      <w:r w:rsidR="00006065" w:rsidRPr="0033588E">
        <w:t xml:space="preserve">se relationships </w:t>
      </w:r>
      <w:r w:rsidR="0032378A">
        <w:t>are affected by</w:t>
      </w:r>
      <w:r w:rsidR="00006065" w:rsidRPr="0033588E">
        <w:t xml:space="preserve"> firms</w:t>
      </w:r>
      <w:r w:rsidR="00873EBA">
        <w:t>’</w:t>
      </w:r>
      <w:r w:rsidR="00006065" w:rsidRPr="0033588E">
        <w:t xml:space="preserve"> collaborat</w:t>
      </w:r>
      <w:r w:rsidR="00873EBA">
        <w:t>ion</w:t>
      </w:r>
      <w:r w:rsidR="00006065" w:rsidRPr="0033588E">
        <w:t xml:space="preserve"> with foreign partners </w:t>
      </w:r>
      <w:r w:rsidR="00006065" w:rsidRPr="0009275B">
        <w:rPr>
          <w:i/>
          <w:iCs/>
        </w:rPr>
        <w:t>during</w:t>
      </w:r>
      <w:r w:rsidR="00006065" w:rsidRPr="0033588E">
        <w:t xml:space="preserve"> the time-out period.</w:t>
      </w:r>
      <w:r w:rsidR="007B1CF3">
        <w:t xml:space="preserve"> </w:t>
      </w:r>
      <w:r w:rsidR="00286D46">
        <w:t>This study’s</w:t>
      </w:r>
      <w:r w:rsidR="00F60822">
        <w:t xml:space="preserve"> objectives differ from </w:t>
      </w:r>
      <w:r w:rsidR="00314F3A">
        <w:t xml:space="preserve">prior </w:t>
      </w:r>
      <w:r w:rsidR="00996EAD">
        <w:t>studies</w:t>
      </w:r>
      <w:r w:rsidR="00314F3A">
        <w:t xml:space="preserve"> </w:t>
      </w:r>
      <w:r w:rsidR="00F60822">
        <w:t>that</w:t>
      </w:r>
      <w:r w:rsidR="0031194C">
        <w:t xml:space="preserve"> </w:t>
      </w:r>
      <w:r w:rsidR="00996EAD">
        <w:t>have</w:t>
      </w:r>
      <w:r w:rsidR="0031194C">
        <w:t xml:space="preserve"> </w:t>
      </w:r>
      <w:r w:rsidR="004A5691">
        <w:t>examined</w:t>
      </w:r>
      <w:r w:rsidR="00BA1774">
        <w:t xml:space="preserve"> </w:t>
      </w:r>
      <w:r w:rsidR="009956D1">
        <w:t>how</w:t>
      </w:r>
      <w:r w:rsidR="00BA1774">
        <w:t xml:space="preserve"> internationalization experience</w:t>
      </w:r>
      <w:r w:rsidR="009956D1">
        <w:t xml:space="preserve"> </w:t>
      </w:r>
      <w:r w:rsidR="00753D9E">
        <w:t>and</w:t>
      </w:r>
      <w:r w:rsidR="009956D1">
        <w:t xml:space="preserve"> </w:t>
      </w:r>
      <w:r w:rsidR="00010CFA">
        <w:t>institutional factors influence</w:t>
      </w:r>
      <w:r w:rsidR="0034073B">
        <w:t xml:space="preserve"> the</w:t>
      </w:r>
      <w:r w:rsidR="00277586">
        <w:t xml:space="preserve"> duration of the</w:t>
      </w:r>
      <w:r w:rsidR="0034073B">
        <w:t xml:space="preserve"> time</w:t>
      </w:r>
      <w:r w:rsidR="00FB3CB5">
        <w:t>-</w:t>
      </w:r>
      <w:r w:rsidR="0034073B">
        <w:t>out period</w:t>
      </w:r>
      <w:r w:rsidR="00BE76D1">
        <w:t xml:space="preserve"> </w:t>
      </w:r>
      <w:r w:rsidR="0049597A">
        <w:t xml:space="preserve">or </w:t>
      </w:r>
      <w:r w:rsidR="00277586" w:rsidRPr="00277586">
        <w:t xml:space="preserve">the mode </w:t>
      </w:r>
      <w:r w:rsidR="00843F2C">
        <w:t xml:space="preserve">that firms </w:t>
      </w:r>
      <w:r w:rsidR="00277586" w:rsidRPr="00277586">
        <w:t xml:space="preserve">use </w:t>
      </w:r>
      <w:r w:rsidR="00286D46">
        <w:t>during</w:t>
      </w:r>
      <w:r w:rsidR="00843F2C">
        <w:t xml:space="preserve"> exit and</w:t>
      </w:r>
      <w:r w:rsidR="00277586" w:rsidRPr="00277586">
        <w:t xml:space="preserve"> re-entry </w:t>
      </w:r>
      <w:r w:rsidR="00A65428" w:rsidRPr="00A65428">
        <w:t>(</w:t>
      </w:r>
      <w:r w:rsidR="00BA1774">
        <w:t>Surdu et al.,</w:t>
      </w:r>
      <w:r w:rsidR="007A2D95">
        <w:t xml:space="preserve"> 2018,</w:t>
      </w:r>
      <w:r w:rsidR="00BA1774">
        <w:t xml:space="preserve"> 2019; </w:t>
      </w:r>
      <w:r w:rsidR="00A65428" w:rsidRPr="00A65428">
        <w:t xml:space="preserve">Surdu </w:t>
      </w:r>
      <w:r w:rsidR="00300954">
        <w:t>&amp;</w:t>
      </w:r>
      <w:r w:rsidR="00A65428" w:rsidRPr="00A65428">
        <w:t xml:space="preserve"> Narula, 202</w:t>
      </w:r>
      <w:r w:rsidR="00375F16">
        <w:t>1</w:t>
      </w:r>
      <w:r w:rsidR="00A65428" w:rsidRPr="00A65428">
        <w:t>)</w:t>
      </w:r>
      <w:r w:rsidR="003B28B9">
        <w:t xml:space="preserve">. </w:t>
      </w:r>
      <w:r w:rsidR="007F5EA0">
        <w:t xml:space="preserve">Its </w:t>
      </w:r>
      <w:r w:rsidR="00286D46">
        <w:t>objectives</w:t>
      </w:r>
      <w:r w:rsidR="003B28B9">
        <w:t xml:space="preserve"> also differ</w:t>
      </w:r>
      <w:r w:rsidR="006F7ABA">
        <w:t xml:space="preserve"> from</w:t>
      </w:r>
      <w:r w:rsidR="00F2332A">
        <w:t xml:space="preserve"> </w:t>
      </w:r>
      <w:r w:rsidR="00841DCC">
        <w:t xml:space="preserve">past </w:t>
      </w:r>
      <w:r w:rsidR="000577D2">
        <w:t>research</w:t>
      </w:r>
      <w:r w:rsidR="00314F3A">
        <w:t xml:space="preserve"> </w:t>
      </w:r>
      <w:r w:rsidR="009F7220" w:rsidRPr="009F7220">
        <w:t xml:space="preserve">that </w:t>
      </w:r>
      <w:r w:rsidR="00C04A9F">
        <w:t>has</w:t>
      </w:r>
      <w:r w:rsidR="009F7220" w:rsidRPr="009F7220">
        <w:t xml:space="preserve"> considered</w:t>
      </w:r>
      <w:r w:rsidR="00A65428">
        <w:t xml:space="preserve"> how </w:t>
      </w:r>
      <w:r w:rsidR="00183EDD">
        <w:t>the time</w:t>
      </w:r>
      <w:r w:rsidR="00FB3CB5">
        <w:t>-</w:t>
      </w:r>
      <w:r w:rsidR="00183EDD">
        <w:t>out period</w:t>
      </w:r>
      <w:r w:rsidR="008275E9">
        <w:t xml:space="preserve"> </w:t>
      </w:r>
      <w:r w:rsidR="00AF097C">
        <w:t xml:space="preserve">moderates </w:t>
      </w:r>
      <w:r w:rsidR="00414B79">
        <w:t xml:space="preserve">the </w:t>
      </w:r>
      <w:r w:rsidR="00BE76D1">
        <w:t>relationship</w:t>
      </w:r>
      <w:r w:rsidR="00414B79" w:rsidRPr="00414B79">
        <w:t xml:space="preserve"> between</w:t>
      </w:r>
      <w:r w:rsidR="00414B79">
        <w:t xml:space="preserve"> </w:t>
      </w:r>
      <w:r w:rsidR="000E456D">
        <w:t xml:space="preserve">certain </w:t>
      </w:r>
      <w:r w:rsidR="0062730F">
        <w:t xml:space="preserve">firm </w:t>
      </w:r>
      <w:r w:rsidR="00414B79">
        <w:t xml:space="preserve">outcomes </w:t>
      </w:r>
      <w:r w:rsidR="008C5D04">
        <w:t>at</w:t>
      </w:r>
      <w:r w:rsidR="00414B79" w:rsidRPr="00414B79">
        <w:t xml:space="preserve"> exit and</w:t>
      </w:r>
      <w:r w:rsidR="008C5D04">
        <w:t xml:space="preserve"> </w:t>
      </w:r>
      <w:r w:rsidR="00414B79" w:rsidRPr="00414B79">
        <w:t>re-entry</w:t>
      </w:r>
      <w:r w:rsidR="00741580">
        <w:t xml:space="preserve"> (Chen et al., 2019)</w:t>
      </w:r>
      <w:r w:rsidR="00BE76D1">
        <w:t>.</w:t>
      </w:r>
      <w:r w:rsidR="007A7272">
        <w:t xml:space="preserve"> </w:t>
      </w:r>
    </w:p>
    <w:p w14:paraId="3CECECE8" w14:textId="281C19BC" w:rsidR="0046162A" w:rsidRPr="0046162A" w:rsidRDefault="00841DCC" w:rsidP="00404CED">
      <w:pPr>
        <w:spacing w:line="480" w:lineRule="auto"/>
        <w:ind w:firstLine="284"/>
      </w:pPr>
      <w:r>
        <w:t xml:space="preserve">The study advances research on foreign market re-entry in two ways. </w:t>
      </w:r>
      <w:r w:rsidR="006C76C8">
        <w:t xml:space="preserve">First, </w:t>
      </w:r>
      <w:r w:rsidR="009A266E">
        <w:t xml:space="preserve">it </w:t>
      </w:r>
      <w:r w:rsidR="000F66E1">
        <w:t>shows that (and explains</w:t>
      </w:r>
      <w:r w:rsidR="00F1498F">
        <w:t xml:space="preserve"> </w:t>
      </w:r>
      <w:r w:rsidR="00810D8D">
        <w:t>why</w:t>
      </w:r>
      <w:r w:rsidR="000F66E1">
        <w:t>)</w:t>
      </w:r>
      <w:r w:rsidR="00246A0A" w:rsidRPr="002135AC">
        <w:t xml:space="preserve"> the time-out period affects the likelihood of re-entry and re-entry </w:t>
      </w:r>
      <w:r w:rsidR="00246A0A" w:rsidRPr="002135AC">
        <w:lastRenderedPageBreak/>
        <w:t>performance in distinct ways</w:t>
      </w:r>
      <w:r w:rsidR="00246A0A" w:rsidRPr="002135AC">
        <w:rPr>
          <w:vertAlign w:val="superscript"/>
        </w:rPr>
        <w:footnoteReference w:id="2"/>
      </w:r>
      <w:r w:rsidR="00246A0A" w:rsidRPr="002135AC">
        <w:t xml:space="preserve">. </w:t>
      </w:r>
      <w:r w:rsidR="009A266E">
        <w:t>I</w:t>
      </w:r>
      <w:r w:rsidR="00935F93">
        <w:t>nvestigat</w:t>
      </w:r>
      <w:r w:rsidR="0059161A">
        <w:t>ing</w:t>
      </w:r>
      <w:r w:rsidR="00935F93">
        <w:t xml:space="preserve"> </w:t>
      </w:r>
      <w:r w:rsidR="0062730F">
        <w:t>both outcomes</w:t>
      </w:r>
      <w:r w:rsidR="009A266E">
        <w:t xml:space="preserve"> is important</w:t>
      </w:r>
      <w:r w:rsidR="0062730F">
        <w:t xml:space="preserve"> </w:t>
      </w:r>
      <w:r w:rsidR="002C5037">
        <w:t>because</w:t>
      </w:r>
      <w:r w:rsidR="002135AC" w:rsidRPr="002135AC">
        <w:t xml:space="preserve"> the factors </w:t>
      </w:r>
      <w:r w:rsidR="002C5037">
        <w:t>influencing</w:t>
      </w:r>
      <w:r w:rsidR="002135AC" w:rsidRPr="002135AC">
        <w:t xml:space="preserve"> </w:t>
      </w:r>
      <w:r w:rsidR="00687821">
        <w:t>the likelihood of</w:t>
      </w:r>
      <w:r w:rsidR="002135AC" w:rsidRPr="002135AC">
        <w:t xml:space="preserve"> re-entry </w:t>
      </w:r>
      <w:r w:rsidR="0059161A">
        <w:t>might</w:t>
      </w:r>
      <w:r w:rsidR="002C5037">
        <w:t xml:space="preserve"> not </w:t>
      </w:r>
      <w:r w:rsidR="000F66E1">
        <w:t>affect</w:t>
      </w:r>
      <w:r w:rsidR="002135AC" w:rsidRPr="002135AC">
        <w:t xml:space="preserve"> re-entry performance</w:t>
      </w:r>
      <w:r w:rsidR="009A266E">
        <w:t xml:space="preserve"> </w:t>
      </w:r>
      <w:r w:rsidR="000F66E1">
        <w:t xml:space="preserve">in a similar way </w:t>
      </w:r>
      <w:r w:rsidR="009A266E" w:rsidRPr="00B449DF">
        <w:t>(Kafouros et al., 202</w:t>
      </w:r>
      <w:r w:rsidR="001E0A3D">
        <w:t>2</w:t>
      </w:r>
      <w:r w:rsidR="00250966">
        <w:t>a</w:t>
      </w:r>
      <w:r w:rsidR="009A266E" w:rsidRPr="00B449DF">
        <w:t>)</w:t>
      </w:r>
      <w:r w:rsidR="002135AC" w:rsidRPr="002135AC">
        <w:t xml:space="preserve">. </w:t>
      </w:r>
      <w:r w:rsidR="009A266E">
        <w:t>For instance,</w:t>
      </w:r>
      <w:r w:rsidR="00977EA7">
        <w:t xml:space="preserve"> while </w:t>
      </w:r>
      <w:r w:rsidR="00FC7C91">
        <w:t xml:space="preserve">international experience </w:t>
      </w:r>
      <w:r w:rsidR="00C925C1">
        <w:t xml:space="preserve">can </w:t>
      </w:r>
      <w:r w:rsidR="00E65F3D">
        <w:t>partly</w:t>
      </w:r>
      <w:r w:rsidR="0059161A">
        <w:t xml:space="preserve"> </w:t>
      </w:r>
      <w:r w:rsidR="008F1BC9">
        <w:t>improv</w:t>
      </w:r>
      <w:r w:rsidR="00E65F3D">
        <w:t>e</w:t>
      </w:r>
      <w:r w:rsidR="002135AC" w:rsidRPr="002135AC">
        <w:t xml:space="preserve"> manager</w:t>
      </w:r>
      <w:r w:rsidR="00E9739F">
        <w:t>s’</w:t>
      </w:r>
      <w:r w:rsidR="002135AC" w:rsidRPr="002135AC">
        <w:t xml:space="preserve"> confidence </w:t>
      </w:r>
      <w:r w:rsidR="00855AF6">
        <w:t>about</w:t>
      </w:r>
      <w:r w:rsidR="002135AC" w:rsidRPr="002135AC">
        <w:t xml:space="preserve"> re-enter</w:t>
      </w:r>
      <w:r w:rsidR="00855AF6">
        <w:t>ing</w:t>
      </w:r>
      <w:r w:rsidR="002135AC" w:rsidRPr="002135AC">
        <w:t xml:space="preserve"> foreign markets</w:t>
      </w:r>
      <w:r w:rsidR="00B52EF9">
        <w:t xml:space="preserve"> (</w:t>
      </w:r>
      <w:r w:rsidR="00BD4405">
        <w:t xml:space="preserve">Casillas et al., 2009; </w:t>
      </w:r>
      <w:r w:rsidR="00B52EF9">
        <w:t xml:space="preserve">Ganotakis </w:t>
      </w:r>
      <w:r w:rsidR="00300954">
        <w:t>&amp;</w:t>
      </w:r>
      <w:r w:rsidR="00B52EF9">
        <w:t xml:space="preserve"> Love, 2012</w:t>
      </w:r>
      <w:r w:rsidR="00CB3488">
        <w:t>, Vissak et al., 2020)</w:t>
      </w:r>
      <w:r w:rsidR="001952C0">
        <w:t>,</w:t>
      </w:r>
      <w:r w:rsidR="002135AC" w:rsidRPr="002135AC">
        <w:t xml:space="preserve"> the </w:t>
      </w:r>
      <w:r w:rsidR="00CB3488">
        <w:t xml:space="preserve">application </w:t>
      </w:r>
      <w:r w:rsidR="002135AC" w:rsidRPr="002135AC">
        <w:t>of the same</w:t>
      </w:r>
      <w:r w:rsidR="00FC7C91">
        <w:t xml:space="preserve"> </w:t>
      </w:r>
      <w:r w:rsidR="002135AC" w:rsidRPr="002135AC">
        <w:t>knowledge may misdirect managers</w:t>
      </w:r>
      <w:r w:rsidR="00085C78">
        <w:t xml:space="preserve"> </w:t>
      </w:r>
      <w:r w:rsidR="00A102D4">
        <w:t>toward</w:t>
      </w:r>
      <w:r w:rsidR="00FC7C91">
        <w:t xml:space="preserve"> </w:t>
      </w:r>
      <w:r w:rsidR="007153EA">
        <w:t>implementing</w:t>
      </w:r>
      <w:r w:rsidR="00D1124E" w:rsidRPr="00D1124E">
        <w:t xml:space="preserve"> </w:t>
      </w:r>
      <w:r w:rsidR="00330E55" w:rsidRPr="002135AC">
        <w:t>strategies</w:t>
      </w:r>
      <w:r w:rsidR="00330E55">
        <w:t xml:space="preserve"> that are ineffective </w:t>
      </w:r>
      <w:r w:rsidR="0059161A" w:rsidRPr="002135AC">
        <w:t>when foreign market conditions change</w:t>
      </w:r>
      <w:r w:rsidR="002135AC" w:rsidRPr="002135AC">
        <w:t xml:space="preserve"> (Ozkan, 2020; Surdu et al., 2019)</w:t>
      </w:r>
      <w:r w:rsidR="000E40E3">
        <w:t>,</w:t>
      </w:r>
      <w:r w:rsidR="00D62703">
        <w:t xml:space="preserve"> resu</w:t>
      </w:r>
      <w:r w:rsidR="009B64A3">
        <w:t xml:space="preserve">lting in </w:t>
      </w:r>
      <w:r w:rsidR="005E0A82">
        <w:t>lower</w:t>
      </w:r>
      <w:r w:rsidR="002C6800">
        <w:t xml:space="preserve"> </w:t>
      </w:r>
      <w:r w:rsidR="0053068D">
        <w:t xml:space="preserve">re-entry </w:t>
      </w:r>
      <w:r w:rsidR="00FD54E6">
        <w:t>performance</w:t>
      </w:r>
      <w:r w:rsidR="002135AC" w:rsidRPr="002135AC">
        <w:t xml:space="preserve">. </w:t>
      </w:r>
      <w:r w:rsidR="0046162A" w:rsidRPr="00BE5436">
        <w:t xml:space="preserve">This </w:t>
      </w:r>
      <w:r w:rsidR="001D74FE">
        <w:t xml:space="preserve">challenge </w:t>
      </w:r>
      <w:r w:rsidR="0046162A" w:rsidRPr="00BE5436">
        <w:t xml:space="preserve">becomes </w:t>
      </w:r>
      <w:r w:rsidR="0046162A">
        <w:t>particularly</w:t>
      </w:r>
      <w:r w:rsidR="0046162A" w:rsidRPr="00BE5436">
        <w:t xml:space="preserve"> important when firms re-enter at a later </w:t>
      </w:r>
      <w:r w:rsidR="008338F8">
        <w:t>phase</w:t>
      </w:r>
      <w:r w:rsidR="008338F8" w:rsidRPr="00BE5436">
        <w:t xml:space="preserve"> </w:t>
      </w:r>
      <w:r w:rsidR="0046162A" w:rsidRPr="00BE5436">
        <w:t xml:space="preserve">of the time-out period </w:t>
      </w:r>
      <w:r w:rsidR="0046162A">
        <w:t>as</w:t>
      </w:r>
      <w:r w:rsidR="0046162A" w:rsidRPr="00BE5436">
        <w:t xml:space="preserve"> experiential knowledge </w:t>
      </w:r>
      <w:r w:rsidR="00480B1F">
        <w:t>might become</w:t>
      </w:r>
      <w:r w:rsidR="0046162A" w:rsidRPr="00BE5436">
        <w:t xml:space="preserve"> less useful</w:t>
      </w:r>
      <w:r w:rsidR="00480B1F">
        <w:t xml:space="preserve"> </w:t>
      </w:r>
      <w:r w:rsidR="0046162A" w:rsidRPr="00BE5436">
        <w:t>over time.</w:t>
      </w:r>
    </w:p>
    <w:p w14:paraId="38B7D1BB" w14:textId="0A00FBFA" w:rsidR="00006065" w:rsidRDefault="006C76C8" w:rsidP="00006065">
      <w:pPr>
        <w:spacing w:line="480" w:lineRule="auto"/>
        <w:ind w:firstLine="284"/>
      </w:pPr>
      <w:r>
        <w:t>Second</w:t>
      </w:r>
      <w:r w:rsidR="00006065">
        <w:t xml:space="preserve">, </w:t>
      </w:r>
      <w:r w:rsidR="008C71ED">
        <w:t>research on</w:t>
      </w:r>
      <w:r w:rsidR="00006065">
        <w:t xml:space="preserve"> re-entry (e.g., </w:t>
      </w:r>
      <w:r w:rsidR="00006065" w:rsidRPr="00683A94">
        <w:t>Bernini et al., 2016; Chen et al., 2019</w:t>
      </w:r>
      <w:r w:rsidR="00006065">
        <w:t xml:space="preserve">) </w:t>
      </w:r>
      <w:r w:rsidR="009F32FE">
        <w:t xml:space="preserve">typically </w:t>
      </w:r>
      <w:r w:rsidR="00EA4E6C">
        <w:t>focus</w:t>
      </w:r>
      <w:r w:rsidR="008C71ED">
        <w:t>es</w:t>
      </w:r>
      <w:r w:rsidR="00006065">
        <w:t xml:space="preserve"> on</w:t>
      </w:r>
      <w:r w:rsidR="00B329B5">
        <w:t xml:space="preserve"> </w:t>
      </w:r>
      <w:r w:rsidR="00DB7463">
        <w:t xml:space="preserve">the </w:t>
      </w:r>
      <w:r w:rsidR="00B329B5">
        <w:t xml:space="preserve">conditions </w:t>
      </w:r>
      <w:r w:rsidR="00DB7463">
        <w:t xml:space="preserve">that occurred </w:t>
      </w:r>
      <w:r w:rsidR="00B329B5">
        <w:t xml:space="preserve">when </w:t>
      </w:r>
      <w:r w:rsidR="00DB7463">
        <w:t xml:space="preserve">the firm </w:t>
      </w:r>
      <w:r w:rsidR="00B329B5">
        <w:t>exit</w:t>
      </w:r>
      <w:r w:rsidR="00DB7463">
        <w:t>ed foreign markets</w:t>
      </w:r>
      <w:r w:rsidR="008563BC">
        <w:t xml:space="preserve"> </w:t>
      </w:r>
      <w:r w:rsidR="009F32FE">
        <w:t xml:space="preserve">but </w:t>
      </w:r>
      <w:r w:rsidR="008563BC">
        <w:t>pa</w:t>
      </w:r>
      <w:r w:rsidR="009F32FE">
        <w:t>ys</w:t>
      </w:r>
      <w:r w:rsidR="008563BC">
        <w:t xml:space="preserve"> </w:t>
      </w:r>
      <w:r w:rsidR="001413CE" w:rsidRPr="001413CE">
        <w:t>little attention to</w:t>
      </w:r>
      <w:r w:rsidR="00855AF6">
        <w:t xml:space="preserve"> </w:t>
      </w:r>
      <w:r w:rsidR="00006065">
        <w:t xml:space="preserve">contemporary </w:t>
      </w:r>
      <w:r w:rsidR="009F32FE">
        <w:t>aspects</w:t>
      </w:r>
      <w:r w:rsidR="00510E5C">
        <w:t>,</w:t>
      </w:r>
      <w:r w:rsidR="00006065">
        <w:t xml:space="preserve"> </w:t>
      </w:r>
      <w:r w:rsidR="0061599B">
        <w:t>such as</w:t>
      </w:r>
      <w:r w:rsidR="00006065">
        <w:t xml:space="preserve"> </w:t>
      </w:r>
      <w:r w:rsidR="00BF5586">
        <w:t xml:space="preserve">the </w:t>
      </w:r>
      <w:r w:rsidR="00006065">
        <w:t>external knowledge</w:t>
      </w:r>
      <w:r w:rsidR="00BF5586">
        <w:t xml:space="preserve"> that firms access</w:t>
      </w:r>
      <w:r w:rsidR="00006065">
        <w:t xml:space="preserve"> </w:t>
      </w:r>
      <w:r w:rsidR="00006065" w:rsidRPr="00DA5BA8">
        <w:rPr>
          <w:i/>
          <w:iCs/>
        </w:rPr>
        <w:t xml:space="preserve">during </w:t>
      </w:r>
      <w:r w:rsidR="00006065" w:rsidRPr="00BE5436">
        <w:t>the time</w:t>
      </w:r>
      <w:r w:rsidR="00DD526F" w:rsidRPr="00BE5436">
        <w:t>-</w:t>
      </w:r>
      <w:r w:rsidR="00006065" w:rsidRPr="00BE5436">
        <w:t>out period</w:t>
      </w:r>
      <w:r w:rsidR="00006065" w:rsidRPr="00DA5BA8">
        <w:rPr>
          <w:i/>
          <w:iCs/>
        </w:rPr>
        <w:t xml:space="preserve"> </w:t>
      </w:r>
      <w:r w:rsidR="00C03DF6" w:rsidRPr="00C03DF6">
        <w:t>(Kafouros et al., 202</w:t>
      </w:r>
      <w:r w:rsidR="001E0A3D">
        <w:t>2</w:t>
      </w:r>
      <w:r w:rsidR="00250966">
        <w:t>a</w:t>
      </w:r>
      <w:r w:rsidR="001413CE">
        <w:t>; Surdu et al., 2019; Vissak et al., 2020</w:t>
      </w:r>
      <w:r w:rsidR="00C03DF6" w:rsidRPr="00C03DF6">
        <w:t>).</w:t>
      </w:r>
      <w:r w:rsidR="00006065">
        <w:t xml:space="preserve"> </w:t>
      </w:r>
      <w:r w:rsidR="00510E5C">
        <w:t>As such,</w:t>
      </w:r>
      <w:r w:rsidR="00006065">
        <w:t xml:space="preserve"> </w:t>
      </w:r>
      <w:r w:rsidR="00510E5C">
        <w:t xml:space="preserve">we have a rather incomplete understanding </w:t>
      </w:r>
      <w:r w:rsidR="00310390">
        <w:t xml:space="preserve">of </w:t>
      </w:r>
      <w:r w:rsidR="00510E5C">
        <w:t xml:space="preserve">the implications of </w:t>
      </w:r>
      <w:r w:rsidR="00310390">
        <w:t xml:space="preserve">the </w:t>
      </w:r>
      <w:r w:rsidR="00510E5C">
        <w:t xml:space="preserve">knowledge </w:t>
      </w:r>
      <w:r w:rsidR="00310390">
        <w:t xml:space="preserve">that a firm </w:t>
      </w:r>
      <w:r w:rsidR="0095270E">
        <w:t xml:space="preserve">can </w:t>
      </w:r>
      <w:r w:rsidR="007731A6">
        <w:t xml:space="preserve">access </w:t>
      </w:r>
      <w:r w:rsidR="00510E5C">
        <w:t xml:space="preserve">while </w:t>
      </w:r>
      <w:r w:rsidR="00310390">
        <w:t>it</w:t>
      </w:r>
      <w:r w:rsidR="00510E5C">
        <w:t xml:space="preserve"> remains out of foreign markets</w:t>
      </w:r>
      <w:r w:rsidR="007A00F3">
        <w:t>,</w:t>
      </w:r>
      <w:r w:rsidR="00510E5C">
        <w:t xml:space="preserve"> and</w:t>
      </w:r>
      <w:r w:rsidR="007A00F3">
        <w:t xml:space="preserve"> </w:t>
      </w:r>
      <w:r w:rsidR="00510E5C">
        <w:t>how such knowledge adds to the experience that the firm</w:t>
      </w:r>
      <w:r w:rsidR="00310390">
        <w:t xml:space="preserve"> </w:t>
      </w:r>
      <w:r w:rsidR="000342A6">
        <w:t xml:space="preserve">previously </w:t>
      </w:r>
      <w:r w:rsidR="00310390">
        <w:t xml:space="preserve">gained from </w:t>
      </w:r>
      <w:r w:rsidR="0048300A">
        <w:t xml:space="preserve">internationalization. </w:t>
      </w:r>
      <w:r w:rsidR="000342A6">
        <w:t>This study addresses these questions by explaining</w:t>
      </w:r>
      <w:r w:rsidR="00006065">
        <w:t xml:space="preserve"> how</w:t>
      </w:r>
      <w:r w:rsidR="000342A6">
        <w:t xml:space="preserve"> the</w:t>
      </w:r>
      <w:r w:rsidR="00006065">
        <w:t xml:space="preserve"> knowledge</w:t>
      </w:r>
      <w:r w:rsidR="000342A6">
        <w:t xml:space="preserve"> that firms</w:t>
      </w:r>
      <w:r w:rsidR="00006065">
        <w:t xml:space="preserve"> </w:t>
      </w:r>
      <w:r w:rsidR="007731A6">
        <w:t xml:space="preserve">access </w:t>
      </w:r>
      <w:r w:rsidR="00A166E7">
        <w:t>from</w:t>
      </w:r>
      <w:r w:rsidR="00CE6D61">
        <w:t xml:space="preserve"> </w:t>
      </w:r>
      <w:r w:rsidR="008A02CD">
        <w:t>foreign</w:t>
      </w:r>
      <w:r w:rsidR="00AD3DD4">
        <w:t xml:space="preserve"> </w:t>
      </w:r>
      <w:r w:rsidR="00006065" w:rsidRPr="00B342FC">
        <w:t xml:space="preserve">collaboration </w:t>
      </w:r>
      <w:r w:rsidR="000342A6" w:rsidRPr="00BE5436">
        <w:t xml:space="preserve">during </w:t>
      </w:r>
      <w:r w:rsidR="000342A6" w:rsidRPr="00B342FC">
        <w:t>the time</w:t>
      </w:r>
      <w:r w:rsidR="000342A6" w:rsidRPr="00BE5436">
        <w:t>-</w:t>
      </w:r>
      <w:r w:rsidR="000342A6" w:rsidRPr="00A60ABE">
        <w:t>out period</w:t>
      </w:r>
      <w:r w:rsidR="000342A6" w:rsidRPr="00DA5BA8">
        <w:rPr>
          <w:i/>
          <w:iCs/>
        </w:rPr>
        <w:t xml:space="preserve"> </w:t>
      </w:r>
      <w:r w:rsidR="000342A6">
        <w:t>influences</w:t>
      </w:r>
      <w:r w:rsidR="00006065">
        <w:t xml:space="preserve"> the effect </w:t>
      </w:r>
      <w:r w:rsidR="000342A6">
        <w:t xml:space="preserve">of </w:t>
      </w:r>
      <w:r w:rsidR="00006065">
        <w:t>the time</w:t>
      </w:r>
      <w:r w:rsidR="003E6CC2">
        <w:t>-</w:t>
      </w:r>
      <w:r w:rsidR="00006065">
        <w:t>out period on</w:t>
      </w:r>
      <w:r w:rsidR="000342A6">
        <w:t xml:space="preserve"> a)</w:t>
      </w:r>
      <w:r w:rsidR="00006065">
        <w:t xml:space="preserve"> the </w:t>
      </w:r>
      <w:r w:rsidR="00A166E7">
        <w:t xml:space="preserve">likelihood </w:t>
      </w:r>
      <w:r w:rsidR="00006065">
        <w:t>of re-entry</w:t>
      </w:r>
      <w:r w:rsidR="000342A6">
        <w:t xml:space="preserve"> and</w:t>
      </w:r>
      <w:r w:rsidR="00714CFE">
        <w:t xml:space="preserve"> </w:t>
      </w:r>
      <w:r w:rsidR="000342A6">
        <w:t>b)</w:t>
      </w:r>
      <w:r w:rsidR="00006065">
        <w:t xml:space="preserve"> re-entry export performance</w:t>
      </w:r>
      <w:r w:rsidR="00867FB6">
        <w:t xml:space="preserve">. It also </w:t>
      </w:r>
      <w:r w:rsidR="001F06C2">
        <w:t>clarifies</w:t>
      </w:r>
      <w:r w:rsidR="00867FB6">
        <w:t xml:space="preserve"> </w:t>
      </w:r>
      <w:r w:rsidR="00E74C35" w:rsidRPr="00E74C35">
        <w:t>why</w:t>
      </w:r>
      <w:r w:rsidR="00D17F4A" w:rsidRPr="00D17F4A">
        <w:t xml:space="preserve"> </w:t>
      </w:r>
      <w:r w:rsidR="000342A6">
        <w:t>the effect on</w:t>
      </w:r>
      <w:r w:rsidR="00D17F4A" w:rsidRPr="00D17F4A">
        <w:t xml:space="preserve"> </w:t>
      </w:r>
      <w:r w:rsidR="00B06A50">
        <w:t>each outcome</w:t>
      </w:r>
      <w:r w:rsidR="000342A6">
        <w:t xml:space="preserve"> differs</w:t>
      </w:r>
      <w:r w:rsidR="00B06A50">
        <w:t>.</w:t>
      </w:r>
    </w:p>
    <w:p w14:paraId="6C0A1EEE" w14:textId="118F8F96" w:rsidR="00586E99" w:rsidRPr="00B367AC" w:rsidRDefault="008A4620" w:rsidP="00586E99">
      <w:pPr>
        <w:spacing w:line="480" w:lineRule="auto"/>
        <w:ind w:firstLine="284"/>
      </w:pPr>
      <w:r>
        <w:t xml:space="preserve">By addressing the above two </w:t>
      </w:r>
      <w:r w:rsidR="00337479">
        <w:t>objectives</w:t>
      </w:r>
      <w:r>
        <w:t xml:space="preserve">, </w:t>
      </w:r>
      <w:r w:rsidR="00BF7D24">
        <w:t>the study</w:t>
      </w:r>
      <w:r w:rsidR="001F06C2">
        <w:t xml:space="preserve"> </w:t>
      </w:r>
      <w:r>
        <w:t>contribute</w:t>
      </w:r>
      <w:r w:rsidR="00BF7D24">
        <w:t>s</w:t>
      </w:r>
      <w:r>
        <w:t xml:space="preserve"> </w:t>
      </w:r>
      <w:r w:rsidR="00503D67">
        <w:t>to research on re-</w:t>
      </w:r>
      <w:r w:rsidR="00DF42C1">
        <w:t xml:space="preserve">entry </w:t>
      </w:r>
      <w:r w:rsidR="00503D67">
        <w:t xml:space="preserve">and organizational learning theory </w:t>
      </w:r>
      <w:r w:rsidR="00503D67" w:rsidRPr="00AD3DD4">
        <w:t>(Huber, 1991; Dodgson, 1993)</w:t>
      </w:r>
      <w:r w:rsidR="00006065">
        <w:t xml:space="preserve">. </w:t>
      </w:r>
      <w:r w:rsidR="00832BBF">
        <w:t>First</w:t>
      </w:r>
      <w:r>
        <w:t>, a</w:t>
      </w:r>
      <w:r w:rsidR="0073385D">
        <w:t xml:space="preserve">lthough </w:t>
      </w:r>
      <w:r w:rsidR="00503D67">
        <w:t xml:space="preserve">organizational learning </w:t>
      </w:r>
      <w:r w:rsidR="00C25B08" w:rsidRPr="00C25B08">
        <w:t>theory</w:t>
      </w:r>
      <w:r w:rsidR="008D37BE">
        <w:t xml:space="preserve"> </w:t>
      </w:r>
      <w:r w:rsidR="00C25B08" w:rsidRPr="00C25B08">
        <w:t xml:space="preserve">suggests that </w:t>
      </w:r>
      <w:r w:rsidR="00AC7986" w:rsidRPr="00AC7986">
        <w:t xml:space="preserve">unlearning </w:t>
      </w:r>
      <w:r w:rsidR="006F2D4D">
        <w:t>is</w:t>
      </w:r>
      <w:r w:rsidR="00AC7986" w:rsidRPr="00AC7986">
        <w:t xml:space="preserve"> detrimental</w:t>
      </w:r>
      <w:r w:rsidR="0073385D">
        <w:t xml:space="preserve"> </w:t>
      </w:r>
      <w:r w:rsidR="0073385D" w:rsidRPr="0073385D">
        <w:t>in some instances</w:t>
      </w:r>
      <w:r w:rsidR="0073385D">
        <w:t xml:space="preserve"> and</w:t>
      </w:r>
      <w:r w:rsidR="00AC7986" w:rsidRPr="00AC7986">
        <w:t xml:space="preserve"> beneficial </w:t>
      </w:r>
      <w:r w:rsidR="0073385D" w:rsidRPr="0073385D">
        <w:t xml:space="preserve">in </w:t>
      </w:r>
      <w:r w:rsidR="0073385D" w:rsidRPr="0073385D">
        <w:lastRenderedPageBreak/>
        <w:t>others</w:t>
      </w:r>
      <w:r w:rsidR="0073385D">
        <w:t>,</w:t>
      </w:r>
      <w:r w:rsidR="0073385D" w:rsidRPr="0073385D">
        <w:t xml:space="preserve"> </w:t>
      </w:r>
      <w:r w:rsidR="00F22E61">
        <w:t xml:space="preserve">the theory </w:t>
      </w:r>
      <w:r w:rsidR="0073385D">
        <w:t xml:space="preserve">is </w:t>
      </w:r>
      <w:r w:rsidR="00AC7986" w:rsidRPr="00AC7986">
        <w:t xml:space="preserve">less explicit </w:t>
      </w:r>
      <w:r w:rsidR="00503D67">
        <w:t>about</w:t>
      </w:r>
      <w:r w:rsidR="00503D67" w:rsidRPr="00AC7986">
        <w:t xml:space="preserve"> </w:t>
      </w:r>
      <w:r w:rsidR="00AC7986" w:rsidRPr="00AC7986">
        <w:t>the situations under which each scenario occurs.</w:t>
      </w:r>
      <w:r w:rsidR="00B148FD">
        <w:t xml:space="preserve"> </w:t>
      </w:r>
      <w:r w:rsidR="0020464F">
        <w:t>W</w:t>
      </w:r>
      <w:r w:rsidR="00AC7986" w:rsidRPr="00AC7986">
        <w:t xml:space="preserve">e </w:t>
      </w:r>
      <w:r w:rsidR="00247192">
        <w:t>show</w:t>
      </w:r>
      <w:r w:rsidR="00AC7986" w:rsidRPr="00AC7986">
        <w:t xml:space="preserve"> </w:t>
      </w:r>
      <w:r w:rsidR="00247192">
        <w:t>that</w:t>
      </w:r>
      <w:r w:rsidR="00247192" w:rsidRPr="00AC7986">
        <w:t xml:space="preserve"> </w:t>
      </w:r>
      <w:r w:rsidR="00AC7986" w:rsidRPr="002234DC">
        <w:t>extensive</w:t>
      </w:r>
      <w:r w:rsidR="00AC7986" w:rsidRPr="00AC7986">
        <w:t xml:space="preserve"> unlearning </w:t>
      </w:r>
      <w:r w:rsidR="0020464F">
        <w:t>is</w:t>
      </w:r>
      <w:r w:rsidR="00AC7986" w:rsidRPr="00AC7986">
        <w:t xml:space="preserve"> detrimental </w:t>
      </w:r>
      <w:r w:rsidR="00A102D4">
        <w:t>to</w:t>
      </w:r>
      <w:r w:rsidR="00AC7986" w:rsidRPr="00AC7986">
        <w:t xml:space="preserve"> </w:t>
      </w:r>
      <w:r w:rsidR="00247192">
        <w:t>a firm’s</w:t>
      </w:r>
      <w:r w:rsidR="00247192" w:rsidRPr="00AC7986">
        <w:t xml:space="preserve"> </w:t>
      </w:r>
      <w:r w:rsidR="00AC7986" w:rsidRPr="00AC7986">
        <w:t>ability to restart an activity</w:t>
      </w:r>
      <w:r w:rsidR="0020464F">
        <w:t xml:space="preserve"> (</w:t>
      </w:r>
      <w:r w:rsidR="008D37BE">
        <w:t xml:space="preserve">i.e., </w:t>
      </w:r>
      <w:r w:rsidR="0020464F">
        <w:t>exporting)</w:t>
      </w:r>
      <w:r w:rsidR="00AC7986" w:rsidRPr="00AC7986">
        <w:t xml:space="preserve"> because </w:t>
      </w:r>
      <w:r w:rsidR="00AD3DD4">
        <w:t xml:space="preserve">it </w:t>
      </w:r>
      <w:r w:rsidR="00AC7986" w:rsidRPr="00AC7986">
        <w:t xml:space="preserve">reduces </w:t>
      </w:r>
      <w:r w:rsidR="0067183D">
        <w:t xml:space="preserve">the </w:t>
      </w:r>
      <w:r w:rsidR="00AC7986" w:rsidRPr="00AC7986">
        <w:t xml:space="preserve">managerial confidence needed to </w:t>
      </w:r>
      <w:r>
        <w:t>re-engage</w:t>
      </w:r>
      <w:r w:rsidRPr="00AC7986">
        <w:t xml:space="preserve"> </w:t>
      </w:r>
      <w:r>
        <w:t xml:space="preserve">in </w:t>
      </w:r>
      <w:r w:rsidR="00AC7986" w:rsidRPr="00AC7986">
        <w:t xml:space="preserve">that activity. </w:t>
      </w:r>
      <w:r w:rsidR="003C134E" w:rsidRPr="003C134E">
        <w:t xml:space="preserve">However, </w:t>
      </w:r>
      <w:r w:rsidR="00937900">
        <w:t>when</w:t>
      </w:r>
      <w:r w:rsidR="003C134E" w:rsidRPr="003C134E">
        <w:t xml:space="preserve"> firm</w:t>
      </w:r>
      <w:r w:rsidR="00937900">
        <w:t xml:space="preserve">s </w:t>
      </w:r>
      <w:r w:rsidR="003C134E" w:rsidRPr="003C134E">
        <w:t xml:space="preserve">decide to re-start </w:t>
      </w:r>
      <w:r w:rsidR="00A73E8A">
        <w:t>such</w:t>
      </w:r>
      <w:r w:rsidR="00A73E8A" w:rsidRPr="003C134E">
        <w:t xml:space="preserve"> </w:t>
      </w:r>
      <w:r w:rsidR="003C134E" w:rsidRPr="003C134E">
        <w:t>activity</w:t>
      </w:r>
      <w:r w:rsidR="00962841">
        <w:t xml:space="preserve"> </w:t>
      </w:r>
      <w:r w:rsidR="00F22E61">
        <w:t>(</w:t>
      </w:r>
      <w:r w:rsidR="00962841">
        <w:t>export</w:t>
      </w:r>
      <w:r w:rsidR="00F22E61">
        <w:t>ing)</w:t>
      </w:r>
      <w:r w:rsidR="003C134E" w:rsidRPr="003C134E">
        <w:t xml:space="preserve">, </w:t>
      </w:r>
      <w:r w:rsidR="002234DC">
        <w:t xml:space="preserve">extensive </w:t>
      </w:r>
      <w:r w:rsidR="003C134E" w:rsidRPr="003C134E">
        <w:t>unlearning assist</w:t>
      </w:r>
      <w:r w:rsidR="00A73E8A">
        <w:t>s</w:t>
      </w:r>
      <w:r w:rsidR="003C134E" w:rsidRPr="003C134E">
        <w:t xml:space="preserve"> in forgetting aspects of previous strategies that </w:t>
      </w:r>
      <w:r w:rsidR="00526BEA">
        <w:t>become ineffective</w:t>
      </w:r>
      <w:r w:rsidR="003C134E" w:rsidRPr="003C134E">
        <w:t xml:space="preserve"> due to changed external conditions. This </w:t>
      </w:r>
      <w:r w:rsidR="00F22E61">
        <w:t>helps</w:t>
      </w:r>
      <w:r w:rsidR="00F22E61" w:rsidRPr="003C134E">
        <w:t xml:space="preserve"> </w:t>
      </w:r>
      <w:r w:rsidR="003C134E" w:rsidRPr="003C134E">
        <w:t xml:space="preserve">firms avoid knowledge rigidities </w:t>
      </w:r>
      <w:r w:rsidR="00470335" w:rsidRPr="003C134E">
        <w:t xml:space="preserve">(Lane and Lubatkin, 1998) </w:t>
      </w:r>
      <w:r w:rsidR="003C134E" w:rsidRPr="003C134E">
        <w:t>while</w:t>
      </w:r>
      <w:r w:rsidR="000C4679">
        <w:t xml:space="preserve"> </w:t>
      </w:r>
      <w:r w:rsidR="003C134E" w:rsidRPr="003C134E">
        <w:t xml:space="preserve">learning new knowledge that </w:t>
      </w:r>
      <w:r w:rsidR="00F342E3">
        <w:t>assists</w:t>
      </w:r>
      <w:r w:rsidR="00F342E3" w:rsidRPr="003C134E">
        <w:t xml:space="preserve"> </w:t>
      </w:r>
      <w:r w:rsidR="003C134E" w:rsidRPr="003C134E">
        <w:t xml:space="preserve">in the implementation of </w:t>
      </w:r>
      <w:r w:rsidR="00B851A8">
        <w:t xml:space="preserve">internationalization </w:t>
      </w:r>
      <w:r w:rsidR="00B851A8" w:rsidRPr="003C134E">
        <w:t xml:space="preserve">strategies </w:t>
      </w:r>
      <w:r w:rsidR="00EA2A65">
        <w:t>that respond to</w:t>
      </w:r>
      <w:r w:rsidR="003C134E" w:rsidRPr="003C134E">
        <w:t xml:space="preserve"> external conditions</w:t>
      </w:r>
      <w:r w:rsidR="00445938">
        <w:t xml:space="preserve"> more effectively</w:t>
      </w:r>
      <w:r w:rsidR="003C134E" w:rsidRPr="003C134E">
        <w:t>.</w:t>
      </w:r>
      <w:r w:rsidR="007C28E7">
        <w:t xml:space="preserve"> </w:t>
      </w:r>
    </w:p>
    <w:p w14:paraId="15466A9D" w14:textId="7F0ACB5E" w:rsidR="00653B74" w:rsidRDefault="00832BBF" w:rsidP="009E42C7">
      <w:pPr>
        <w:spacing w:line="480" w:lineRule="auto"/>
        <w:ind w:firstLine="284"/>
      </w:pPr>
      <w:r>
        <w:t>Second</w:t>
      </w:r>
      <w:r w:rsidR="003C7CD6">
        <w:t>, o</w:t>
      </w:r>
      <w:r w:rsidR="00CB0522" w:rsidRPr="00CB0522">
        <w:t>rganizational learning theory</w:t>
      </w:r>
      <w:r w:rsidR="006E0227">
        <w:t xml:space="preserve"> </w:t>
      </w:r>
      <w:r w:rsidR="00006065" w:rsidRPr="001C4D04">
        <w:t xml:space="preserve">suggests that </w:t>
      </w:r>
      <w:r w:rsidR="00006065">
        <w:t>‘</w:t>
      </w:r>
      <w:r w:rsidR="00006065" w:rsidRPr="001C4D04">
        <w:t>focused search</w:t>
      </w:r>
      <w:r w:rsidR="00006065">
        <w:t>’</w:t>
      </w:r>
      <w:r w:rsidR="00006065" w:rsidRPr="001C4D04">
        <w:t xml:space="preserve"> </w:t>
      </w:r>
      <w:r w:rsidR="00B72C48">
        <w:t>(</w:t>
      </w:r>
      <w:r w:rsidR="00B329B5">
        <w:t>e.g.,</w:t>
      </w:r>
      <w:r w:rsidR="00B72C48">
        <w:t xml:space="preserve"> </w:t>
      </w:r>
      <w:r w:rsidR="003C7CD6">
        <w:t>through</w:t>
      </w:r>
      <w:r w:rsidR="00BB0E79">
        <w:t xml:space="preserve"> </w:t>
      </w:r>
      <w:r w:rsidR="003F053A">
        <w:t>collaborations</w:t>
      </w:r>
      <w:r w:rsidR="00B72C48">
        <w:t>)</w:t>
      </w:r>
      <w:r w:rsidR="003C7CD6">
        <w:t xml:space="preserve"> provides firms with</w:t>
      </w:r>
      <w:r w:rsidR="00006065" w:rsidRPr="001C4D04">
        <w:t xml:space="preserve"> expertise that </w:t>
      </w:r>
      <w:r w:rsidR="003C7CD6">
        <w:t xml:space="preserve">can </w:t>
      </w:r>
      <w:r w:rsidR="00006065" w:rsidRPr="001C4D04">
        <w:t xml:space="preserve">substitute internal experiential knowledge (Huber, 1991). </w:t>
      </w:r>
      <w:r w:rsidR="002E00AE">
        <w:t>Hence</w:t>
      </w:r>
      <w:r w:rsidR="00006065" w:rsidRPr="001C4D04">
        <w:t xml:space="preserve">, </w:t>
      </w:r>
      <w:r w:rsidR="00006065">
        <w:t>when</w:t>
      </w:r>
      <w:r w:rsidR="00006065" w:rsidRPr="001C4D04">
        <w:t xml:space="preserve"> a firm stops carrying out a</w:t>
      </w:r>
      <w:r w:rsidR="002E00AE">
        <w:t>n</w:t>
      </w:r>
      <w:r w:rsidR="00006065" w:rsidRPr="001C4D04">
        <w:t xml:space="preserve"> activity, </w:t>
      </w:r>
      <w:r w:rsidR="00006065">
        <w:t>it</w:t>
      </w:r>
      <w:r w:rsidR="00006065" w:rsidRPr="001C4D04">
        <w:t xml:space="preserve"> can engage in </w:t>
      </w:r>
      <w:r w:rsidR="00A102D4">
        <w:t xml:space="preserve">an </w:t>
      </w:r>
      <w:r w:rsidR="00006065" w:rsidRPr="001C4D04">
        <w:t xml:space="preserve">external search </w:t>
      </w:r>
      <w:r w:rsidR="008D15D7" w:rsidRPr="001C4D04">
        <w:t>to</w:t>
      </w:r>
      <w:r w:rsidR="00006065" w:rsidRPr="001C4D04">
        <w:t xml:space="preserve"> compensate </w:t>
      </w:r>
      <w:r w:rsidR="00006065">
        <w:t xml:space="preserve">for </w:t>
      </w:r>
      <w:r w:rsidR="00006065" w:rsidRPr="001C4D04">
        <w:t xml:space="preserve">the experiential knowledge </w:t>
      </w:r>
      <w:r w:rsidR="00F64E8F">
        <w:t xml:space="preserve">that is </w:t>
      </w:r>
      <w:r w:rsidR="00006065" w:rsidRPr="001C4D04">
        <w:t>lost due to unlearning (Huber, 1991).</w:t>
      </w:r>
      <w:r w:rsidR="00AC5D5D">
        <w:t xml:space="preserve"> E</w:t>
      </w:r>
      <w:r w:rsidR="00006065" w:rsidRPr="001C4D04">
        <w:t xml:space="preserve">xternal search </w:t>
      </w:r>
      <w:r w:rsidR="002E00AE">
        <w:t>may</w:t>
      </w:r>
      <w:r w:rsidR="009E42C7">
        <w:t>,</w:t>
      </w:r>
      <w:r w:rsidR="002E00AE">
        <w:t xml:space="preserve"> </w:t>
      </w:r>
      <w:r w:rsidR="00AC5D5D">
        <w:t>therefore</w:t>
      </w:r>
      <w:r w:rsidR="009E42C7">
        <w:t>,</w:t>
      </w:r>
      <w:r w:rsidR="00006065" w:rsidRPr="001C4D04">
        <w:t xml:space="preserve"> improve the effect </w:t>
      </w:r>
      <w:r w:rsidR="00B3545A">
        <w:t>of</w:t>
      </w:r>
      <w:r w:rsidR="00006065" w:rsidRPr="001C4D04">
        <w:t xml:space="preserve"> depreciated </w:t>
      </w:r>
      <w:r w:rsidR="00551DB9">
        <w:t>experiential</w:t>
      </w:r>
      <w:r w:rsidR="00551DB9" w:rsidRPr="001C4D04">
        <w:t xml:space="preserve"> </w:t>
      </w:r>
      <w:r w:rsidR="00006065" w:rsidRPr="001C4D04">
        <w:t xml:space="preserve">knowledge on the </w:t>
      </w:r>
      <w:r w:rsidR="00604859">
        <w:t>likelihood</w:t>
      </w:r>
      <w:r w:rsidR="00604859" w:rsidRPr="001C4D04">
        <w:t xml:space="preserve"> </w:t>
      </w:r>
      <w:r w:rsidR="00006065" w:rsidRPr="001C4D04">
        <w:t xml:space="preserve">of a firm </w:t>
      </w:r>
      <w:r w:rsidR="000B6781">
        <w:t>re-starting</w:t>
      </w:r>
      <w:r w:rsidR="000B6781" w:rsidRPr="00091C8B">
        <w:t xml:space="preserve"> </w:t>
      </w:r>
      <w:r w:rsidR="00604859">
        <w:t>an</w:t>
      </w:r>
      <w:r w:rsidR="00604859" w:rsidRPr="001C4D04">
        <w:t xml:space="preserve"> </w:t>
      </w:r>
      <w:r w:rsidR="00006065" w:rsidRPr="001C4D04">
        <w:t xml:space="preserve">activity </w:t>
      </w:r>
      <w:r w:rsidR="00443DBD">
        <w:t>and</w:t>
      </w:r>
      <w:r w:rsidR="00006065" w:rsidRPr="001C4D04">
        <w:t xml:space="preserve"> on </w:t>
      </w:r>
      <w:r w:rsidR="00AF2904">
        <w:t>its</w:t>
      </w:r>
      <w:r w:rsidR="00AF2904" w:rsidRPr="001C4D04">
        <w:t xml:space="preserve"> </w:t>
      </w:r>
      <w:r w:rsidR="00006065" w:rsidRPr="001C4D04">
        <w:t>performance</w:t>
      </w:r>
      <w:r w:rsidR="006D3020">
        <w:t xml:space="preserve">. </w:t>
      </w:r>
      <w:r w:rsidR="00E8356A" w:rsidRPr="00E8356A">
        <w:t xml:space="preserve">However, the theory </w:t>
      </w:r>
      <w:r w:rsidR="0024387E">
        <w:t xml:space="preserve">does not explicitly </w:t>
      </w:r>
      <w:r w:rsidR="005C1BC2">
        <w:t>clarify</w:t>
      </w:r>
      <w:r w:rsidR="00E8356A" w:rsidRPr="00E8356A">
        <w:t xml:space="preserve"> whether </w:t>
      </w:r>
      <w:r w:rsidR="002E00AE">
        <w:t xml:space="preserve">the benefits of </w:t>
      </w:r>
      <w:r w:rsidR="00E8356A" w:rsidRPr="00E8356A">
        <w:t>external knowledge</w:t>
      </w:r>
      <w:r w:rsidR="002E00AE">
        <w:t xml:space="preserve"> (in terms of</w:t>
      </w:r>
      <w:r w:rsidR="00E8356A" w:rsidRPr="00E8356A">
        <w:t xml:space="preserve"> compensating for the depreciation of </w:t>
      </w:r>
      <w:r w:rsidR="009B059A">
        <w:t xml:space="preserve">internal </w:t>
      </w:r>
      <w:r w:rsidR="00B0215B">
        <w:t>experiential</w:t>
      </w:r>
      <w:r w:rsidR="00E8356A" w:rsidRPr="00E8356A">
        <w:t xml:space="preserve"> knowledge</w:t>
      </w:r>
      <w:r w:rsidR="002E00AE">
        <w:t>)</w:t>
      </w:r>
      <w:r w:rsidR="00E8356A" w:rsidRPr="00E8356A">
        <w:t xml:space="preserve"> </w:t>
      </w:r>
      <w:r w:rsidR="002E00AE">
        <w:t>are</w:t>
      </w:r>
      <w:r w:rsidR="002E00AE" w:rsidRPr="00E8356A">
        <w:t xml:space="preserve"> </w:t>
      </w:r>
      <w:r w:rsidR="00E8356A" w:rsidRPr="00E8356A">
        <w:t>as useful across different levels of unlearning, and for different outcomes of an activity</w:t>
      </w:r>
      <w:r w:rsidR="00A877BF">
        <w:t xml:space="preserve">. </w:t>
      </w:r>
      <w:r w:rsidR="00BA0B6E">
        <w:t>In this regard, w</w:t>
      </w:r>
      <w:r w:rsidR="001832A9">
        <w:t>e</w:t>
      </w:r>
      <w:r w:rsidR="00E8356A" w:rsidRPr="00E8356A">
        <w:t xml:space="preserve"> contribut</w:t>
      </w:r>
      <w:r w:rsidR="0024387E">
        <w:t>e</w:t>
      </w:r>
      <w:r w:rsidR="00E8356A" w:rsidRPr="00E8356A">
        <w:t xml:space="preserve"> to </w:t>
      </w:r>
      <w:r w:rsidR="00EE60C8">
        <w:t>o</w:t>
      </w:r>
      <w:r w:rsidR="00EE60C8" w:rsidRPr="00CB0522">
        <w:t>rganizational learning theory</w:t>
      </w:r>
      <w:r w:rsidR="00EE60C8">
        <w:t xml:space="preserve"> </w:t>
      </w:r>
      <w:r w:rsidR="001832A9">
        <w:t>and the</w:t>
      </w:r>
      <w:r w:rsidR="00892FA8">
        <w:t xml:space="preserve"> </w:t>
      </w:r>
      <w:r w:rsidR="001832A9">
        <w:t>literature</w:t>
      </w:r>
      <w:r w:rsidR="005A35E6">
        <w:t xml:space="preserve"> </w:t>
      </w:r>
      <w:r w:rsidR="00653B74">
        <w:t>on re-entry</w:t>
      </w:r>
      <w:r w:rsidR="005A35E6">
        <w:t xml:space="preserve"> </w:t>
      </w:r>
      <w:r w:rsidR="00E8356A" w:rsidRPr="00E8356A">
        <w:t xml:space="preserve">by showing that </w:t>
      </w:r>
      <w:r w:rsidR="0024387E">
        <w:t xml:space="preserve">although </w:t>
      </w:r>
      <w:r w:rsidR="00EE60C8">
        <w:t>external</w:t>
      </w:r>
      <w:r w:rsidR="00EE60C8" w:rsidRPr="00E8356A">
        <w:t xml:space="preserve"> </w:t>
      </w:r>
      <w:r w:rsidR="00E8356A" w:rsidRPr="00E8356A">
        <w:t>knowledge enhance</w:t>
      </w:r>
      <w:r w:rsidR="0024387E">
        <w:t>s</w:t>
      </w:r>
      <w:r w:rsidR="00E8356A" w:rsidRPr="00E8356A">
        <w:t xml:space="preserve"> </w:t>
      </w:r>
      <w:bookmarkStart w:id="5" w:name="_Hlk99647827"/>
      <w:r w:rsidR="00E8356A" w:rsidRPr="00E8356A">
        <w:t xml:space="preserve">the effect </w:t>
      </w:r>
      <w:r w:rsidR="005C2B36">
        <w:t>of</w:t>
      </w:r>
      <w:r w:rsidR="001A4AE9">
        <w:t xml:space="preserve"> internal</w:t>
      </w:r>
      <w:r w:rsidR="00E8356A" w:rsidRPr="00E8356A">
        <w:t xml:space="preserve"> </w:t>
      </w:r>
      <w:r w:rsidR="007C4858">
        <w:t>experiential</w:t>
      </w:r>
      <w:r w:rsidR="000513FC" w:rsidRPr="000513FC">
        <w:t xml:space="preserve"> </w:t>
      </w:r>
      <w:r w:rsidR="00E8356A" w:rsidRPr="00E8356A">
        <w:t>knowledge on</w:t>
      </w:r>
      <w:r w:rsidR="00C64E12">
        <w:t xml:space="preserve"> </w:t>
      </w:r>
      <w:r w:rsidR="00E8356A" w:rsidRPr="00E8356A">
        <w:t>the likelihood of re-starting an activity</w:t>
      </w:r>
      <w:bookmarkEnd w:id="5"/>
      <w:r w:rsidR="00E8356A" w:rsidRPr="00E8356A">
        <w:t xml:space="preserve"> </w:t>
      </w:r>
      <w:r w:rsidR="005C2B36">
        <w:t>(exporting)</w:t>
      </w:r>
      <w:r w:rsidR="00AD6E22">
        <w:t xml:space="preserve"> and</w:t>
      </w:r>
      <w:r w:rsidR="00EE60C8">
        <w:t xml:space="preserve"> on</w:t>
      </w:r>
      <w:r w:rsidR="00C64E12">
        <w:t xml:space="preserve"> </w:t>
      </w:r>
      <w:r w:rsidR="00152C5D">
        <w:t>the performance of that activity</w:t>
      </w:r>
      <w:r w:rsidR="00DF0453">
        <w:t>,</w:t>
      </w:r>
      <w:r w:rsidR="003F3F98">
        <w:t xml:space="preserve"> it does so</w:t>
      </w:r>
      <w:r w:rsidR="00C95B44">
        <w:t xml:space="preserve"> at different </w:t>
      </w:r>
      <w:r w:rsidR="0024387E">
        <w:t>stages</w:t>
      </w:r>
      <w:r w:rsidR="00C95B44">
        <w:t xml:space="preserve"> </w:t>
      </w:r>
      <w:r w:rsidR="00635D73">
        <w:t>of the time-out period</w:t>
      </w:r>
      <w:r w:rsidR="003F3F98">
        <w:t xml:space="preserve"> for each outcome</w:t>
      </w:r>
      <w:r w:rsidR="006F040D">
        <w:t>.</w:t>
      </w:r>
      <w:r w:rsidR="005C2B36">
        <w:t xml:space="preserve"> </w:t>
      </w:r>
      <w:r w:rsidR="0024387E">
        <w:t>Specifically</w:t>
      </w:r>
      <w:r w:rsidR="005851CA">
        <w:t xml:space="preserve">, we </w:t>
      </w:r>
      <w:r w:rsidR="00696E69">
        <w:t xml:space="preserve">show that </w:t>
      </w:r>
      <w:r w:rsidR="00091C8B">
        <w:t>external knowledge</w:t>
      </w:r>
      <w:r w:rsidR="009174C9">
        <w:t xml:space="preserve"> </w:t>
      </w:r>
      <w:r w:rsidR="00696E69">
        <w:t>enhances</w:t>
      </w:r>
      <w:r w:rsidR="00BB6445">
        <w:t xml:space="preserve"> </w:t>
      </w:r>
      <w:r w:rsidR="00091C8B" w:rsidRPr="00091C8B">
        <w:t>the effect of internal experiential knowledge on the likelihood of re-</w:t>
      </w:r>
      <w:r w:rsidR="000B6781">
        <w:t>starting</w:t>
      </w:r>
      <w:r w:rsidR="00091C8B" w:rsidRPr="00091C8B">
        <w:t xml:space="preserve"> an activity</w:t>
      </w:r>
      <w:r w:rsidR="005851CA">
        <w:t xml:space="preserve"> </w:t>
      </w:r>
      <w:r w:rsidR="00E8356A" w:rsidRPr="00E8356A">
        <w:t xml:space="preserve">during the </w:t>
      </w:r>
      <w:r w:rsidR="00FC56CA">
        <w:t>earlier</w:t>
      </w:r>
      <w:r w:rsidR="00FC56CA" w:rsidRPr="00E8356A">
        <w:t xml:space="preserve"> </w:t>
      </w:r>
      <w:r w:rsidR="00EE60C8">
        <w:t>(</w:t>
      </w:r>
      <w:r w:rsidR="00E8356A" w:rsidRPr="00E8356A">
        <w:t>rather than the later</w:t>
      </w:r>
      <w:r w:rsidR="00EE60C8">
        <w:t>)</w:t>
      </w:r>
      <w:r w:rsidR="00E8356A" w:rsidRPr="00E8356A">
        <w:t xml:space="preserve"> phases</w:t>
      </w:r>
      <w:r w:rsidR="00EE60C8">
        <w:t xml:space="preserve"> of</w:t>
      </w:r>
      <w:r w:rsidR="00E8356A" w:rsidRPr="00E8356A">
        <w:t xml:space="preserve"> </w:t>
      </w:r>
      <w:r w:rsidR="00EE60C8">
        <w:t>the time-out period</w:t>
      </w:r>
      <w:r w:rsidR="00E8356A" w:rsidRPr="00E8356A">
        <w:t xml:space="preserve">. </w:t>
      </w:r>
      <w:r w:rsidR="004F00D8">
        <w:t xml:space="preserve">We </w:t>
      </w:r>
      <w:r w:rsidR="00DC2C89">
        <w:t xml:space="preserve">explain </w:t>
      </w:r>
      <w:r w:rsidR="004A4BD7">
        <w:t>that</w:t>
      </w:r>
      <w:r w:rsidR="008B2472">
        <w:t xml:space="preserve"> </w:t>
      </w:r>
      <w:r w:rsidR="0029488F">
        <w:t>n</w:t>
      </w:r>
      <w:r w:rsidR="00316DA3">
        <w:t xml:space="preserve">ot </w:t>
      </w:r>
      <w:r w:rsidR="00C57590">
        <w:t xml:space="preserve">being able to </w:t>
      </w:r>
      <w:r w:rsidR="000B6781">
        <w:t>re-start</w:t>
      </w:r>
      <w:r w:rsidR="0024387E" w:rsidRPr="00091C8B">
        <w:t xml:space="preserve"> </w:t>
      </w:r>
      <w:r w:rsidR="00775865">
        <w:t>exporting</w:t>
      </w:r>
      <w:r w:rsidR="00CF1002">
        <w:t xml:space="preserve"> </w:t>
      </w:r>
      <w:r w:rsidR="00A20084">
        <w:t xml:space="preserve">after </w:t>
      </w:r>
      <w:r w:rsidR="00824C2E">
        <w:t>gaining access</w:t>
      </w:r>
      <w:r w:rsidR="009366C4">
        <w:t xml:space="preserve"> to </w:t>
      </w:r>
      <w:r w:rsidR="00E34055">
        <w:t>external</w:t>
      </w:r>
      <w:r w:rsidR="00C57590">
        <w:t xml:space="preserve"> </w:t>
      </w:r>
      <w:r w:rsidR="00824C2E">
        <w:t xml:space="preserve">knowledge </w:t>
      </w:r>
      <w:r w:rsidR="0029488F">
        <w:t xml:space="preserve">during </w:t>
      </w:r>
      <w:r w:rsidR="00EE60C8">
        <w:t>the</w:t>
      </w:r>
      <w:r w:rsidR="00C61D44">
        <w:t xml:space="preserve"> </w:t>
      </w:r>
      <w:r w:rsidR="0029488F">
        <w:t>time-out period</w:t>
      </w:r>
      <w:r w:rsidR="009366C4">
        <w:t xml:space="preserve"> </w:t>
      </w:r>
      <w:r w:rsidR="00EF6A8C">
        <w:t xml:space="preserve">can </w:t>
      </w:r>
      <w:r w:rsidR="00A20084" w:rsidRPr="000F3A2B">
        <w:t>further reduce</w:t>
      </w:r>
      <w:r w:rsidR="00A20084" w:rsidRPr="006875B6">
        <w:rPr>
          <w:i/>
          <w:iCs/>
        </w:rPr>
        <w:t xml:space="preserve"> </w:t>
      </w:r>
      <w:r w:rsidR="003F64E6" w:rsidRPr="00FC2F9C">
        <w:t>manager</w:t>
      </w:r>
      <w:r w:rsidR="00B42AEB" w:rsidRPr="00FC2F9C">
        <w:t>s’</w:t>
      </w:r>
      <w:r w:rsidR="003F64E6" w:rsidRPr="00FC2F9C">
        <w:t xml:space="preserve"> </w:t>
      </w:r>
      <w:r w:rsidR="00772535" w:rsidRPr="00FC2F9C">
        <w:t>confidence</w:t>
      </w:r>
      <w:r w:rsidR="00772535">
        <w:t xml:space="preserve"> </w:t>
      </w:r>
      <w:r w:rsidR="00D32AB0">
        <w:t>about their ability to</w:t>
      </w:r>
      <w:r w:rsidR="0019005B">
        <w:t xml:space="preserve"> </w:t>
      </w:r>
      <w:r w:rsidR="000B6781">
        <w:t>re-start</w:t>
      </w:r>
      <w:r w:rsidR="000B6781" w:rsidRPr="00091C8B">
        <w:t xml:space="preserve"> </w:t>
      </w:r>
      <w:r w:rsidR="00775865">
        <w:t>exporting</w:t>
      </w:r>
      <w:r w:rsidR="00420B29">
        <w:t xml:space="preserve"> </w:t>
      </w:r>
      <w:r w:rsidR="00DE24A3">
        <w:t>and</w:t>
      </w:r>
      <w:r w:rsidR="008B2373">
        <w:t xml:space="preserve"> </w:t>
      </w:r>
      <w:r w:rsidR="00653B74">
        <w:t xml:space="preserve">the </w:t>
      </w:r>
      <w:r w:rsidR="00B92A4F">
        <w:t>useful</w:t>
      </w:r>
      <w:r w:rsidR="00653B74">
        <w:t>ness of</w:t>
      </w:r>
      <w:r w:rsidR="004068DB">
        <w:t xml:space="preserve"> </w:t>
      </w:r>
      <w:r w:rsidR="00775865">
        <w:t>such</w:t>
      </w:r>
      <w:r w:rsidR="008F5A03">
        <w:t xml:space="preserve"> external </w:t>
      </w:r>
      <w:r w:rsidR="00775865">
        <w:t xml:space="preserve">knowledge </w:t>
      </w:r>
      <w:r w:rsidR="008F5A03">
        <w:t>sources</w:t>
      </w:r>
      <w:r w:rsidR="00AF2904">
        <w:t>.</w:t>
      </w:r>
      <w:r w:rsidR="00267461">
        <w:t xml:space="preserve"> </w:t>
      </w:r>
    </w:p>
    <w:p w14:paraId="1799943C" w14:textId="46453FCC" w:rsidR="00E8356A" w:rsidRPr="00E8356A" w:rsidRDefault="00636F9A" w:rsidP="00BA0B6E">
      <w:pPr>
        <w:spacing w:line="480" w:lineRule="auto"/>
        <w:ind w:firstLine="284"/>
      </w:pPr>
      <w:r>
        <w:lastRenderedPageBreak/>
        <w:t>Regarding</w:t>
      </w:r>
      <w:r w:rsidR="00E8356A" w:rsidRPr="00E8356A">
        <w:t xml:space="preserve"> </w:t>
      </w:r>
      <w:r w:rsidR="00EE60C8">
        <w:t xml:space="preserve">the corresponding effects on </w:t>
      </w:r>
      <w:r w:rsidR="005E1DAA">
        <w:t>export performance</w:t>
      </w:r>
      <w:r w:rsidR="00FC2F9C">
        <w:t>,</w:t>
      </w:r>
      <w:r w:rsidR="00F56F90">
        <w:t xml:space="preserve"> </w:t>
      </w:r>
      <w:r w:rsidR="004C0738">
        <w:t>we</w:t>
      </w:r>
      <w:r w:rsidR="0033570B">
        <w:t xml:space="preserve"> </w:t>
      </w:r>
      <w:r w:rsidR="005C1BC2">
        <w:t xml:space="preserve">show that </w:t>
      </w:r>
      <w:r w:rsidR="00E8356A" w:rsidRPr="00E8356A">
        <w:t xml:space="preserve">the influence </w:t>
      </w:r>
      <w:r w:rsidR="005E1DAA">
        <w:t>of</w:t>
      </w:r>
      <w:r w:rsidR="00E8356A" w:rsidRPr="00E8356A">
        <w:t xml:space="preserve"> external knowledge on experiential knowledge is more pronounced </w:t>
      </w:r>
      <w:r w:rsidR="00FC56CA">
        <w:t>at the later</w:t>
      </w:r>
      <w:r w:rsidR="00045307">
        <w:t xml:space="preserve"> (rather than the </w:t>
      </w:r>
      <w:r w:rsidR="00EF7C36">
        <w:t>earlier)</w:t>
      </w:r>
      <w:r w:rsidR="00FC56CA">
        <w:t xml:space="preserve"> stages of the time-out period</w:t>
      </w:r>
      <w:r w:rsidR="00E8356A" w:rsidRPr="00E8356A">
        <w:t xml:space="preserve">. </w:t>
      </w:r>
      <w:r w:rsidR="006A6BD5">
        <w:t>We explain that t</w:t>
      </w:r>
      <w:r w:rsidR="0063097F">
        <w:t>he reason for this effect is that m</w:t>
      </w:r>
      <w:r w:rsidR="00B42AEB">
        <w:t>anagers</w:t>
      </w:r>
      <w:r w:rsidR="00E8356A" w:rsidRPr="00E8356A">
        <w:t xml:space="preserve"> that </w:t>
      </w:r>
      <w:r w:rsidR="0024387E">
        <w:t>re-initiate</w:t>
      </w:r>
      <w:r w:rsidR="0024387E" w:rsidRPr="00091C8B">
        <w:t xml:space="preserve"> </w:t>
      </w:r>
      <w:r w:rsidR="0033405E">
        <w:t xml:space="preserve">exporting </w:t>
      </w:r>
      <w:r w:rsidR="00E8356A" w:rsidRPr="00E8356A">
        <w:t xml:space="preserve">soon after </w:t>
      </w:r>
      <w:r w:rsidR="005C54B6">
        <w:t xml:space="preserve">the </w:t>
      </w:r>
      <w:r w:rsidR="0063097F">
        <w:t>exit</w:t>
      </w:r>
      <w:r w:rsidR="00E8356A" w:rsidRPr="00E8356A">
        <w:t xml:space="preserve"> might </w:t>
      </w:r>
      <w:r w:rsidR="00FE0985">
        <w:t>be</w:t>
      </w:r>
      <w:r w:rsidR="00FB03F0">
        <w:t>come</w:t>
      </w:r>
      <w:r w:rsidR="007A4204">
        <w:t xml:space="preserve"> </w:t>
      </w:r>
      <w:r w:rsidR="00FE0985">
        <w:t>over</w:t>
      </w:r>
      <w:r w:rsidR="00AF2904">
        <w:t>confident</w:t>
      </w:r>
      <w:r w:rsidR="00E8356A" w:rsidRPr="00E8356A">
        <w:t xml:space="preserve"> </w:t>
      </w:r>
      <w:r w:rsidR="00390C18">
        <w:t>(</w:t>
      </w:r>
      <w:r w:rsidR="009227F0">
        <w:t>Aguzzoli</w:t>
      </w:r>
      <w:r w:rsidR="00906C7D">
        <w:t xml:space="preserve"> </w:t>
      </w:r>
      <w:r w:rsidR="0045337F">
        <w:t>et al</w:t>
      </w:r>
      <w:r w:rsidR="00906C7D">
        <w:t>., 202</w:t>
      </w:r>
      <w:r w:rsidR="00BD289D">
        <w:t>1</w:t>
      </w:r>
      <w:r w:rsidR="00AD6639">
        <w:t>;</w:t>
      </w:r>
      <w:r w:rsidR="00411D67">
        <w:t xml:space="preserve"> Welch </w:t>
      </w:r>
      <w:r w:rsidR="00300954">
        <w:t>&amp;</w:t>
      </w:r>
      <w:r w:rsidR="00411D67">
        <w:t xml:space="preserve"> Welch, 2009</w:t>
      </w:r>
      <w:r w:rsidR="00906C7D">
        <w:t xml:space="preserve">) </w:t>
      </w:r>
      <w:r w:rsidR="009227F0">
        <w:t>and largely ignore</w:t>
      </w:r>
      <w:r w:rsidR="009227F0" w:rsidRPr="00DE419B">
        <w:t xml:space="preserve"> external information</w:t>
      </w:r>
      <w:r w:rsidR="009227F0">
        <w:t xml:space="preserve"> thinking </w:t>
      </w:r>
      <w:r w:rsidR="00E8356A" w:rsidRPr="00E8356A">
        <w:t>that</w:t>
      </w:r>
      <w:r w:rsidR="009227F0">
        <w:t xml:space="preserve"> the</w:t>
      </w:r>
      <w:r w:rsidR="00E8356A" w:rsidRPr="00E8356A">
        <w:t xml:space="preserve"> </w:t>
      </w:r>
      <w:r w:rsidR="00E8356A" w:rsidRPr="005C54B6">
        <w:t xml:space="preserve">recently accumulated experience is sufficient for the development of </w:t>
      </w:r>
      <w:r w:rsidR="00E8356A" w:rsidRPr="00BE5436">
        <w:t xml:space="preserve">appropriate </w:t>
      </w:r>
      <w:r w:rsidR="004D3C99">
        <w:t xml:space="preserve">internationalization </w:t>
      </w:r>
      <w:r w:rsidR="00E8356A" w:rsidRPr="00BE5436">
        <w:t>strategies</w:t>
      </w:r>
      <w:r w:rsidR="00DE419B" w:rsidRPr="00DE419B">
        <w:t>.</w:t>
      </w:r>
      <w:r w:rsidR="0063097F">
        <w:t xml:space="preserve"> </w:t>
      </w:r>
    </w:p>
    <w:bookmarkEnd w:id="1"/>
    <w:bookmarkEnd w:id="3"/>
    <w:bookmarkEnd w:id="4"/>
    <w:p w14:paraId="37B3BE80" w14:textId="77777777" w:rsidR="00CC0933" w:rsidRPr="00CC0933" w:rsidRDefault="00CC0933" w:rsidP="00BE5436">
      <w:pPr>
        <w:spacing w:line="480" w:lineRule="auto"/>
      </w:pPr>
    </w:p>
    <w:p w14:paraId="05A01430" w14:textId="77777777" w:rsidR="00CC0933" w:rsidRPr="00CC0933" w:rsidRDefault="00CC0933" w:rsidP="008F4925">
      <w:pPr>
        <w:spacing w:line="480" w:lineRule="auto"/>
        <w:rPr>
          <w:b/>
          <w:bCs/>
        </w:rPr>
      </w:pPr>
      <w:r w:rsidRPr="00CC0933">
        <w:rPr>
          <w:b/>
          <w:bCs/>
        </w:rPr>
        <w:t xml:space="preserve">2. Theoretical Background and Hypotheses Development </w:t>
      </w:r>
    </w:p>
    <w:p w14:paraId="69332730" w14:textId="77777777" w:rsidR="00CC0933" w:rsidRPr="00CC0933" w:rsidRDefault="00CC0933" w:rsidP="008F4925">
      <w:pPr>
        <w:spacing w:line="480" w:lineRule="auto"/>
        <w:rPr>
          <w:bCs/>
          <w:i/>
          <w:u w:val="single"/>
        </w:rPr>
      </w:pPr>
      <w:r w:rsidRPr="00CC0933">
        <w:rPr>
          <w:bCs/>
          <w:i/>
          <w:u w:val="single"/>
        </w:rPr>
        <w:t>2.1 Understanding export re-entry through Organizational Learning Theory</w:t>
      </w:r>
    </w:p>
    <w:p w14:paraId="6476EB1D" w14:textId="2461836D" w:rsidR="00CC0933" w:rsidRPr="00CC0933" w:rsidRDefault="007F6BA6" w:rsidP="00387797">
      <w:pPr>
        <w:spacing w:line="480" w:lineRule="auto"/>
        <w:ind w:firstLine="284"/>
      </w:pPr>
      <w:r>
        <w:t>The proposed</w:t>
      </w:r>
      <w:r w:rsidR="00CC0933" w:rsidRPr="00CC0933">
        <w:t xml:space="preserve"> framework </w:t>
      </w:r>
      <w:r>
        <w:t xml:space="preserve">in this study relies on </w:t>
      </w:r>
      <w:r w:rsidR="00CC0933" w:rsidRPr="00CC0933">
        <w:t>organizational learning theory</w:t>
      </w:r>
      <w:r w:rsidR="007920F1">
        <w:t xml:space="preserve"> </w:t>
      </w:r>
      <w:r w:rsidR="00CC0933" w:rsidRPr="00CC0933">
        <w:t xml:space="preserve">(Huber, 1991; Dodgson, 1993; Levitt </w:t>
      </w:r>
      <w:r w:rsidR="00FD7C51">
        <w:t>&amp;</w:t>
      </w:r>
      <w:r w:rsidR="00CC0933" w:rsidRPr="00CC0933">
        <w:t xml:space="preserve"> March, 1998). </w:t>
      </w:r>
      <w:r w:rsidR="00877DA2">
        <w:t>It</w:t>
      </w:r>
      <w:r w:rsidR="007920F1">
        <w:t xml:space="preserve"> focuses on</w:t>
      </w:r>
      <w:r w:rsidR="00CC0933" w:rsidRPr="00CC0933">
        <w:t xml:space="preserve"> </w:t>
      </w:r>
      <w:r w:rsidR="008F15CB">
        <w:t>how</w:t>
      </w:r>
      <w:r w:rsidR="00CC0933" w:rsidRPr="00CC0933">
        <w:t xml:space="preserve"> firms learn from </w:t>
      </w:r>
      <w:r w:rsidR="00673781">
        <w:t xml:space="preserve">prior </w:t>
      </w:r>
      <w:r w:rsidR="007920F1">
        <w:t>activities and</w:t>
      </w:r>
      <w:r w:rsidR="00CC0933" w:rsidRPr="00CC0933">
        <w:t xml:space="preserve"> experience (from exporting), how they unlearn knowledge </w:t>
      </w:r>
      <w:r w:rsidR="008F15CB">
        <w:t>when</w:t>
      </w:r>
      <w:r w:rsidR="008F15CB" w:rsidRPr="00CC0933">
        <w:t xml:space="preserve"> </w:t>
      </w:r>
      <w:r w:rsidR="00CC0933" w:rsidRPr="00CC0933">
        <w:t>they stop carrying out a</w:t>
      </w:r>
      <w:r w:rsidR="00620CE6">
        <w:t>n</w:t>
      </w:r>
      <w:r w:rsidR="00CC0933" w:rsidRPr="00CC0933">
        <w:t xml:space="preserve"> activity</w:t>
      </w:r>
      <w:r w:rsidR="007920F1">
        <w:t>,</w:t>
      </w:r>
      <w:r w:rsidR="00CC0933" w:rsidRPr="00CC0933">
        <w:t xml:space="preserve"> and the consequences of unlearning. </w:t>
      </w:r>
      <w:r w:rsidR="00673781">
        <w:t>It</w:t>
      </w:r>
      <w:r w:rsidR="00387797">
        <w:t xml:space="preserve"> also considers</w:t>
      </w:r>
      <w:r w:rsidR="00CC0933" w:rsidRPr="00CC0933">
        <w:t xml:space="preserve"> how external focused search </w:t>
      </w:r>
      <w:r w:rsidR="007920F1">
        <w:t>from</w:t>
      </w:r>
      <w:r w:rsidR="00CC0933" w:rsidRPr="00CC0933">
        <w:t xml:space="preserve"> foreign collaborations can </w:t>
      </w:r>
      <w:r w:rsidR="00CC0933" w:rsidRPr="00C61A2F">
        <w:t>compensate for</w:t>
      </w:r>
      <w:r w:rsidR="00CC0933" w:rsidRPr="00CC0933">
        <w:t xml:space="preserve"> the </w:t>
      </w:r>
      <w:r w:rsidR="00D4249B">
        <w:t xml:space="preserve">internationalization </w:t>
      </w:r>
      <w:r w:rsidR="00CC0933" w:rsidRPr="00CC0933">
        <w:t xml:space="preserve">knowledge that a firm </w:t>
      </w:r>
      <w:r w:rsidR="00387797">
        <w:t>gradually unlearns</w:t>
      </w:r>
      <w:r w:rsidR="00CC0933" w:rsidRPr="00CC0933">
        <w:t xml:space="preserve">. </w:t>
      </w:r>
      <w:r w:rsidR="007920F1">
        <w:t>Accordingly,</w:t>
      </w:r>
      <w:r w:rsidR="00CC0933" w:rsidRPr="00CC0933">
        <w:t xml:space="preserve"> </w:t>
      </w:r>
      <w:r w:rsidR="00A053A5">
        <w:t xml:space="preserve">in the following </w:t>
      </w:r>
      <w:r w:rsidR="00B92A4F">
        <w:t>sub</w:t>
      </w:r>
      <w:r w:rsidR="00A053A5">
        <w:t>sections</w:t>
      </w:r>
      <w:r w:rsidR="007920F1">
        <w:t>,</w:t>
      </w:r>
      <w:r w:rsidR="00CC0933" w:rsidRPr="00CC0933">
        <w:t xml:space="preserve"> we </w:t>
      </w:r>
      <w:r w:rsidR="00673781">
        <w:t xml:space="preserve">develop </w:t>
      </w:r>
      <w:r w:rsidR="00CC0933" w:rsidRPr="00CC0933">
        <w:t xml:space="preserve">hypotheses regarding the effect </w:t>
      </w:r>
      <w:r w:rsidR="007920F1">
        <w:t>of</w:t>
      </w:r>
      <w:r w:rsidR="007920F1" w:rsidRPr="00CC0933">
        <w:t xml:space="preserve"> </w:t>
      </w:r>
      <w:r w:rsidR="00CC0933" w:rsidRPr="00CC0933">
        <w:t>the time</w:t>
      </w:r>
      <w:r w:rsidR="009D58B8">
        <w:t>-</w:t>
      </w:r>
      <w:r w:rsidR="00CC0933" w:rsidRPr="00CC0933">
        <w:t>out period on the likelihood of re-starting exporting</w:t>
      </w:r>
      <w:r w:rsidR="00D00DD0">
        <w:t>,</w:t>
      </w:r>
      <w:r w:rsidR="00CC0933" w:rsidRPr="00CC0933">
        <w:t xml:space="preserve"> on </w:t>
      </w:r>
      <w:r w:rsidR="00EA6534">
        <w:t>re</w:t>
      </w:r>
      <w:r w:rsidR="00CC0933" w:rsidRPr="00CC0933">
        <w:t>-entry export performance</w:t>
      </w:r>
      <w:r w:rsidR="00704CBC">
        <w:t>,</w:t>
      </w:r>
      <w:r w:rsidR="00CC0933" w:rsidRPr="00CC0933">
        <w:t xml:space="preserve"> and on how foreign </w:t>
      </w:r>
      <w:r w:rsidR="00155822">
        <w:t>collaborations</w:t>
      </w:r>
      <w:r w:rsidR="00CC0933" w:rsidRPr="00CC0933">
        <w:t xml:space="preserve"> </w:t>
      </w:r>
      <w:r w:rsidR="00704CBC">
        <w:t>influence</w:t>
      </w:r>
      <w:r w:rsidR="00CC0933" w:rsidRPr="00CC0933">
        <w:t xml:space="preserve"> </w:t>
      </w:r>
      <w:r w:rsidR="00F243CD">
        <w:t>both</w:t>
      </w:r>
      <w:r w:rsidR="00387797" w:rsidRPr="00CC0933">
        <w:t xml:space="preserve"> </w:t>
      </w:r>
      <w:r w:rsidR="00CC0933" w:rsidRPr="00CC0933">
        <w:t xml:space="preserve">relationships. </w:t>
      </w:r>
    </w:p>
    <w:p w14:paraId="025B8241" w14:textId="03F0E3C6" w:rsidR="00CC0933" w:rsidRPr="00CC0933" w:rsidRDefault="00CC0933" w:rsidP="00115994">
      <w:pPr>
        <w:spacing w:line="480" w:lineRule="auto"/>
        <w:ind w:firstLine="284"/>
      </w:pPr>
      <w:r w:rsidRPr="00CC0933">
        <w:t xml:space="preserve">Organizational learning theory (Huber, 1991; Dodgson, 1993; </w:t>
      </w:r>
      <w:r w:rsidRPr="0076046B">
        <w:t xml:space="preserve">Levitt </w:t>
      </w:r>
      <w:r w:rsidR="00F756EB" w:rsidRPr="00DA0FCE">
        <w:t>&amp;</w:t>
      </w:r>
      <w:r w:rsidRPr="003D7DDD">
        <w:t xml:space="preserve"> March, 1998) suggests that learning from certain activities is transformed into practices</w:t>
      </w:r>
      <w:r w:rsidRPr="00B40513">
        <w:t xml:space="preserve"> and</w:t>
      </w:r>
      <w:r w:rsidR="00D00DD0" w:rsidRPr="00B40513">
        <w:t xml:space="preserve"> </w:t>
      </w:r>
      <w:r w:rsidRPr="00B40513">
        <w:t>routines</w:t>
      </w:r>
      <w:r w:rsidRPr="0076046B">
        <w:t xml:space="preserve"> that are </w:t>
      </w:r>
      <w:r w:rsidR="00673781" w:rsidRPr="00DB2FAA">
        <w:t xml:space="preserve">kept </w:t>
      </w:r>
      <w:r w:rsidRPr="00E9364D">
        <w:t xml:space="preserve">in </w:t>
      </w:r>
      <w:r w:rsidR="00A20FF4" w:rsidRPr="006A6BD5">
        <w:t xml:space="preserve">a firm’s </w:t>
      </w:r>
      <w:r w:rsidR="00704CBC" w:rsidRPr="006A6BD5">
        <w:t>organizational memory</w:t>
      </w:r>
      <w:r w:rsidRPr="00FA6D96">
        <w:t xml:space="preserve">. Therefore, when firms engage in exporting, they </w:t>
      </w:r>
      <w:r w:rsidR="00256A42" w:rsidRPr="007E2622">
        <w:t>accumulate</w:t>
      </w:r>
      <w:r w:rsidR="00256A42" w:rsidRPr="00D20300">
        <w:t xml:space="preserve"> </w:t>
      </w:r>
      <w:r w:rsidRPr="008E08E2">
        <w:t xml:space="preserve">market-specific </w:t>
      </w:r>
      <w:r w:rsidR="00256A42" w:rsidRPr="00C24AE6">
        <w:t>and</w:t>
      </w:r>
      <w:r w:rsidRPr="0076046B">
        <w:t xml:space="preserve"> general internationalization knowledge and</w:t>
      </w:r>
      <w:r w:rsidR="00256A42" w:rsidRPr="0076046B">
        <w:t xml:space="preserve"> develop</w:t>
      </w:r>
      <w:r w:rsidRPr="0076046B">
        <w:t xml:space="preserve"> </w:t>
      </w:r>
      <w:r w:rsidRPr="00B40513">
        <w:t>routines</w:t>
      </w:r>
      <w:r w:rsidRPr="00CC0933">
        <w:t xml:space="preserve"> (Eriksson et al., 1997; Hsieh, et al., 2018) that </w:t>
      </w:r>
      <w:r w:rsidR="00256A42">
        <w:t>can be used in</w:t>
      </w:r>
      <w:r w:rsidRPr="00CC0933">
        <w:t xml:space="preserve"> future exporting efforts (D’Angelo et al., 2020). </w:t>
      </w:r>
      <w:r w:rsidR="00115994">
        <w:t>W</w:t>
      </w:r>
      <w:r w:rsidRPr="00CC0933">
        <w:t xml:space="preserve">hen </w:t>
      </w:r>
      <w:r w:rsidR="003510A2">
        <w:t xml:space="preserve">a firm stops conducting </w:t>
      </w:r>
      <w:r w:rsidRPr="00CC0933">
        <w:t xml:space="preserve">an activity </w:t>
      </w:r>
      <w:r w:rsidR="003510A2">
        <w:t>(such as</w:t>
      </w:r>
      <w:r w:rsidR="003510A2" w:rsidRPr="00CC0933">
        <w:t xml:space="preserve"> </w:t>
      </w:r>
      <w:r w:rsidRPr="00CC0933">
        <w:t>exporting</w:t>
      </w:r>
      <w:r w:rsidR="003510A2">
        <w:t>),</w:t>
      </w:r>
      <w:r w:rsidRPr="00CC0933">
        <w:t xml:space="preserve"> the associated </w:t>
      </w:r>
      <w:r w:rsidRPr="0076046B">
        <w:t>knowledge progressively depreciate</w:t>
      </w:r>
      <w:r w:rsidR="003510A2" w:rsidRPr="00DA0FCE">
        <w:t>s</w:t>
      </w:r>
      <w:r w:rsidRPr="0063304E">
        <w:t xml:space="preserve"> and the firm starts to “unlearn” </w:t>
      </w:r>
      <w:r w:rsidR="003510A2" w:rsidRPr="0063304E">
        <w:t xml:space="preserve">and eventually </w:t>
      </w:r>
      <w:r w:rsidR="001B1F66" w:rsidRPr="0063304E">
        <w:t xml:space="preserve">largely </w:t>
      </w:r>
      <w:r w:rsidR="003510A2" w:rsidRPr="0063304E">
        <w:t>forget</w:t>
      </w:r>
      <w:r w:rsidR="00933C1A" w:rsidRPr="003D7DDD">
        <w:t>s</w:t>
      </w:r>
      <w:r w:rsidR="003510A2" w:rsidRPr="003D7DDD">
        <w:t xml:space="preserve"> </w:t>
      </w:r>
      <w:r w:rsidR="00620CE6" w:rsidRPr="00437A9C">
        <w:t>related</w:t>
      </w:r>
      <w:r w:rsidRPr="00697954">
        <w:t xml:space="preserve"> </w:t>
      </w:r>
      <w:r w:rsidRPr="00B40513">
        <w:t>routine</w:t>
      </w:r>
      <w:r w:rsidR="003976EC" w:rsidRPr="0076046B">
        <w:t xml:space="preserve">s </w:t>
      </w:r>
      <w:r w:rsidR="003976EC" w:rsidRPr="00DA0FCE">
        <w:t>(Huber, 1991</w:t>
      </w:r>
      <w:r w:rsidR="003510A2">
        <w:t xml:space="preserve">; </w:t>
      </w:r>
      <w:r w:rsidRPr="00CC0933">
        <w:t xml:space="preserve">Levitt </w:t>
      </w:r>
      <w:r w:rsidR="00F756EB">
        <w:t>&amp;</w:t>
      </w:r>
      <w:r w:rsidRPr="00CC0933">
        <w:t xml:space="preserve"> March, 1998). </w:t>
      </w:r>
      <w:r w:rsidR="0012587F">
        <w:t>T</w:t>
      </w:r>
      <w:r w:rsidRPr="00CC0933">
        <w:t>he firm is</w:t>
      </w:r>
      <w:r w:rsidR="00933C1A">
        <w:t>,</w:t>
      </w:r>
      <w:r w:rsidR="0012587F">
        <w:t xml:space="preserve"> therefore</w:t>
      </w:r>
      <w:r w:rsidR="00933C1A">
        <w:t>,</w:t>
      </w:r>
      <w:r w:rsidRPr="00CC0933">
        <w:t xml:space="preserve"> </w:t>
      </w:r>
      <w:r w:rsidRPr="00CC0933">
        <w:lastRenderedPageBreak/>
        <w:t>left with a small</w:t>
      </w:r>
      <w:r w:rsidR="00123C2A">
        <w:t>er</w:t>
      </w:r>
      <w:r w:rsidRPr="00CC0933">
        <w:t xml:space="preserve"> part of the blueprint that</w:t>
      </w:r>
      <w:r w:rsidR="00F40F58">
        <w:t xml:space="preserve"> it</w:t>
      </w:r>
      <w:r w:rsidRPr="00CC0933">
        <w:t xml:space="preserve"> previously possessed (Levitt </w:t>
      </w:r>
      <w:r w:rsidR="000D32F3">
        <w:t>&amp;</w:t>
      </w:r>
      <w:r w:rsidRPr="00CC0933">
        <w:t xml:space="preserve"> March, 1998). This makes </w:t>
      </w:r>
      <w:r w:rsidR="00933C1A">
        <w:t>it</w:t>
      </w:r>
      <w:r w:rsidRPr="00CC0933">
        <w:t xml:space="preserve"> difficult for the firm to perform future exporting activities (</w:t>
      </w:r>
      <w:r w:rsidRPr="00CC0933">
        <w:rPr>
          <w:iCs/>
        </w:rPr>
        <w:t xml:space="preserve">Chen et al., 2019; </w:t>
      </w:r>
      <w:r w:rsidRPr="00CC0933">
        <w:t xml:space="preserve">Welch </w:t>
      </w:r>
      <w:r w:rsidR="000D32F3">
        <w:t>&amp;</w:t>
      </w:r>
      <w:r w:rsidRPr="00CC0933">
        <w:t xml:space="preserve"> Welch, 2009). </w:t>
      </w:r>
    </w:p>
    <w:p w14:paraId="1967AA79" w14:textId="5A62A76C" w:rsidR="008005AD" w:rsidRDefault="00CC0933" w:rsidP="008005AD">
      <w:pPr>
        <w:spacing w:line="480" w:lineRule="auto"/>
        <w:ind w:firstLine="284"/>
      </w:pPr>
      <w:r w:rsidRPr="00CC0933">
        <w:t>However, the theory also suggests (Dodgson, 1993) that</w:t>
      </w:r>
      <w:r w:rsidR="00933C1A">
        <w:t>,</w:t>
      </w:r>
      <w:r w:rsidRPr="00CC0933">
        <w:t xml:space="preserve"> in other instances, unlearning can potentially </w:t>
      </w:r>
      <w:r w:rsidR="00804A55">
        <w:t>create room for</w:t>
      </w:r>
      <w:r w:rsidR="00804A55" w:rsidRPr="00CC0933">
        <w:t xml:space="preserve"> </w:t>
      </w:r>
      <w:r w:rsidRPr="00CC0933">
        <w:t>new</w:t>
      </w:r>
      <w:r w:rsidR="0018750B">
        <w:t xml:space="preserve"> </w:t>
      </w:r>
      <w:r w:rsidRPr="00CC0933">
        <w:t xml:space="preserve">learning </w:t>
      </w:r>
      <w:r w:rsidR="00804A55">
        <w:t>that</w:t>
      </w:r>
      <w:r w:rsidR="00804A55" w:rsidRPr="00CC0933">
        <w:t xml:space="preserve"> </w:t>
      </w:r>
      <w:r w:rsidRPr="00CC0933">
        <w:t xml:space="preserve">becomes more effective when a firm has fewer old practices to unlearn (Nonaka </w:t>
      </w:r>
      <w:r w:rsidR="00B72130">
        <w:t>&amp;</w:t>
      </w:r>
      <w:r w:rsidRPr="00CC0933">
        <w:t xml:space="preserve"> Takeuchi, 1995). </w:t>
      </w:r>
      <w:r w:rsidR="00804A55">
        <w:t>Applying t</w:t>
      </w:r>
      <w:r w:rsidRPr="00CC0933">
        <w:t>his reasoning</w:t>
      </w:r>
      <w:r w:rsidR="00804A55">
        <w:t xml:space="preserve"> </w:t>
      </w:r>
      <w:r w:rsidR="00E37D76">
        <w:t>in</w:t>
      </w:r>
      <w:r w:rsidRPr="00CC0933">
        <w:t xml:space="preserve"> the context of market re-entry</w:t>
      </w:r>
      <w:r w:rsidR="00804A55">
        <w:t xml:space="preserve"> implies</w:t>
      </w:r>
      <w:r w:rsidRPr="00CC0933">
        <w:t xml:space="preserve"> that firms can benefit from unlearning </w:t>
      </w:r>
      <w:r w:rsidR="00096A23">
        <w:t xml:space="preserve">old </w:t>
      </w:r>
      <w:r w:rsidRPr="00CC0933">
        <w:t xml:space="preserve">routines that are based on obsolete knowledge </w:t>
      </w:r>
      <w:r w:rsidR="00EB684A">
        <w:t>because</w:t>
      </w:r>
      <w:r w:rsidR="00EB684A" w:rsidRPr="00CC0933">
        <w:t xml:space="preserve"> </w:t>
      </w:r>
      <w:r w:rsidR="00EA1E5B">
        <w:t>they</w:t>
      </w:r>
      <w:r w:rsidR="00EA1E5B" w:rsidRPr="00CC0933">
        <w:t xml:space="preserve"> </w:t>
      </w:r>
      <w:r w:rsidRPr="00CC0933">
        <w:t xml:space="preserve">constrain the assimilation of more relevant knowledge regarding new foreign market conditions (Surdu </w:t>
      </w:r>
      <w:r w:rsidR="0076668E">
        <w:t>&amp;</w:t>
      </w:r>
      <w:r w:rsidRPr="00CC0933">
        <w:t xml:space="preserve"> Narula, 202</w:t>
      </w:r>
      <w:r w:rsidR="006A15E2">
        <w:t>1</w:t>
      </w:r>
      <w:r w:rsidRPr="00CC0933">
        <w:t xml:space="preserve">). </w:t>
      </w:r>
      <w:r w:rsidR="0078052F">
        <w:t>However</w:t>
      </w:r>
      <w:r w:rsidRPr="00CC0933">
        <w:t xml:space="preserve">, organizational learning theory </w:t>
      </w:r>
      <w:r w:rsidR="002A2521">
        <w:t>does not</w:t>
      </w:r>
      <w:r w:rsidRPr="00CC0933">
        <w:t xml:space="preserve"> explicit</w:t>
      </w:r>
      <w:r w:rsidR="002A2521">
        <w:t>ly</w:t>
      </w:r>
      <w:r w:rsidR="00E70D17">
        <w:t xml:space="preserve"> specify</w:t>
      </w:r>
      <w:r w:rsidRPr="00CC0933">
        <w:t xml:space="preserve"> the situations under which unlearning can limit the scope of </w:t>
      </w:r>
      <w:r w:rsidR="00E70D17">
        <w:t xml:space="preserve">a firm’s </w:t>
      </w:r>
      <w:r w:rsidRPr="00CC0933">
        <w:t xml:space="preserve">strategic choices </w:t>
      </w:r>
      <w:r w:rsidR="00E70D17">
        <w:t>regarding</w:t>
      </w:r>
      <w:r w:rsidRPr="00CC0933">
        <w:t xml:space="preserve"> a</w:t>
      </w:r>
      <w:r w:rsidR="006D1E58">
        <w:t>n</w:t>
      </w:r>
      <w:r w:rsidRPr="00CC0933">
        <w:t xml:space="preserve"> activity or when it can have a positive outcome on that activity.</w:t>
      </w:r>
      <w:r w:rsidR="00E70D17">
        <w:t xml:space="preserve"> </w:t>
      </w:r>
    </w:p>
    <w:p w14:paraId="1B28E164" w14:textId="740D03FE" w:rsidR="004177B2" w:rsidRDefault="00CC0933" w:rsidP="00CC0933">
      <w:pPr>
        <w:spacing w:line="480" w:lineRule="auto"/>
        <w:ind w:firstLine="284"/>
      </w:pPr>
      <w:r w:rsidRPr="00CC0933">
        <w:t xml:space="preserve">Moreover, the theory posits that when a firm </w:t>
      </w:r>
      <w:r w:rsidR="000073C0">
        <w:t xml:space="preserve">is underperforming </w:t>
      </w:r>
      <w:r w:rsidRPr="00CC0933">
        <w:t xml:space="preserve">in </w:t>
      </w:r>
      <w:r w:rsidR="00343354">
        <w:t>an</w:t>
      </w:r>
      <w:r w:rsidRPr="00CC0933">
        <w:t xml:space="preserve"> activity </w:t>
      </w:r>
      <w:r w:rsidR="00343354">
        <w:t>such as</w:t>
      </w:r>
      <w:r w:rsidR="00EC79D4">
        <w:t xml:space="preserve"> </w:t>
      </w:r>
      <w:r w:rsidRPr="00CC0933">
        <w:t xml:space="preserve">exporting, managers are likely to engage in </w:t>
      </w:r>
      <w:r w:rsidR="00590379">
        <w:t xml:space="preserve">external </w:t>
      </w:r>
      <w:r w:rsidRPr="00CC0933">
        <w:t xml:space="preserve">focused search </w:t>
      </w:r>
      <w:r w:rsidR="000073C0">
        <w:t>to find</w:t>
      </w:r>
      <w:r w:rsidRPr="00CC0933">
        <w:t xml:space="preserve"> solutions (Dodgson, 1993)</w:t>
      </w:r>
      <w:r w:rsidR="000073C0">
        <w:t>;</w:t>
      </w:r>
      <w:r w:rsidRPr="00CC0933">
        <w:t xml:space="preserve"> </w:t>
      </w:r>
      <w:r w:rsidR="00C1456D">
        <w:t>for</w:t>
      </w:r>
      <w:r w:rsidR="0063304E">
        <w:t xml:space="preserve"> example</w:t>
      </w:r>
      <w:r w:rsidR="000073C0">
        <w:t>,</w:t>
      </w:r>
      <w:r w:rsidRPr="00CC0933">
        <w:t xml:space="preserve"> through </w:t>
      </w:r>
      <w:r w:rsidR="00A102D4">
        <w:t>inter-organizational</w:t>
      </w:r>
      <w:r w:rsidRPr="00CC0933">
        <w:t xml:space="preserve"> linkages </w:t>
      </w:r>
      <w:r w:rsidR="008A24D8">
        <w:t>such as</w:t>
      </w:r>
      <w:r w:rsidR="0062074D">
        <w:t xml:space="preserve"> </w:t>
      </w:r>
      <w:r w:rsidRPr="00CC0933">
        <w:t>foreign collaborative agreements (Hsieh et al., 2018; Kafouros et al., 2020). These linkages help firms assimilate foreign market knowledge that can compensate for the loss of internal capabilities due to unlearning.</w:t>
      </w:r>
      <w:r w:rsidR="000434A8">
        <w:t xml:space="preserve"> </w:t>
      </w:r>
      <w:r w:rsidR="00F06A2F">
        <w:t xml:space="preserve">In this regard, </w:t>
      </w:r>
      <w:r w:rsidR="000434A8">
        <w:t>a</w:t>
      </w:r>
      <w:r w:rsidRPr="00CC0933">
        <w:t xml:space="preserve">lthough the theory highlights the importance of external focused search, </w:t>
      </w:r>
      <w:r w:rsidR="00AA2399">
        <w:t>it is less clear</w:t>
      </w:r>
      <w:r w:rsidRPr="00CC0933">
        <w:t xml:space="preserve"> how </w:t>
      </w:r>
      <w:r w:rsidR="00C1456D">
        <w:t>it</w:t>
      </w:r>
      <w:r w:rsidRPr="00CC0933">
        <w:t xml:space="preserve"> influences the effect of experiential knowledge at different stages of unlearning and for different outcomes, including performance. </w:t>
      </w:r>
      <w:r w:rsidR="00EA1E5B">
        <w:t>T</w:t>
      </w:r>
      <w:r w:rsidR="00A7647C">
        <w:t xml:space="preserve">he </w:t>
      </w:r>
      <w:r w:rsidR="00B92A4F">
        <w:t>following sub</w:t>
      </w:r>
      <w:r w:rsidR="00A7647C">
        <w:t>sections</w:t>
      </w:r>
      <w:r w:rsidR="00AA2399">
        <w:t xml:space="preserve"> seek to address these</w:t>
      </w:r>
      <w:r w:rsidR="00EB1EDE">
        <w:t xml:space="preserve"> two</w:t>
      </w:r>
      <w:r w:rsidRPr="00CC0933">
        <w:t xml:space="preserve"> </w:t>
      </w:r>
      <w:r w:rsidR="00A7647C">
        <w:t xml:space="preserve">limitations in our understanding. </w:t>
      </w:r>
    </w:p>
    <w:p w14:paraId="1A61B05C" w14:textId="77777777" w:rsidR="003768A0" w:rsidRDefault="003768A0" w:rsidP="00AF0CD8">
      <w:pPr>
        <w:spacing w:line="480" w:lineRule="auto"/>
      </w:pPr>
      <w:bookmarkStart w:id="6" w:name="_Hlk49451260"/>
      <w:bookmarkEnd w:id="2"/>
    </w:p>
    <w:p w14:paraId="16C060C6" w14:textId="7FEF4CC9" w:rsidR="00483655" w:rsidRDefault="00483655" w:rsidP="00AF0CD8">
      <w:pPr>
        <w:spacing w:line="480" w:lineRule="auto"/>
      </w:pPr>
      <w:r>
        <w:rPr>
          <w:i/>
          <w:iCs/>
          <w:u w:val="single"/>
        </w:rPr>
        <w:t xml:space="preserve">2.2 </w:t>
      </w:r>
      <w:r w:rsidRPr="00A57C24">
        <w:rPr>
          <w:i/>
          <w:iCs/>
          <w:u w:val="single"/>
        </w:rPr>
        <w:t>Effects of exporting time-out period on the probability of re-starting exporting</w:t>
      </w:r>
      <w:bookmarkStart w:id="7" w:name="_Hlk49366636"/>
    </w:p>
    <w:p w14:paraId="22548AC6" w14:textId="2C473A32" w:rsidR="00483655" w:rsidRDefault="00064281">
      <w:pPr>
        <w:spacing w:line="480" w:lineRule="auto"/>
        <w:ind w:firstLine="284"/>
      </w:pPr>
      <w:r>
        <w:t>W</w:t>
      </w:r>
      <w:r w:rsidR="00483655" w:rsidRPr="002628BE">
        <w:t xml:space="preserve">e </w:t>
      </w:r>
      <w:r w:rsidR="00ED48D2">
        <w:t>expect</w:t>
      </w:r>
      <w:r w:rsidR="00ED48D2" w:rsidRPr="002628BE">
        <w:t xml:space="preserve"> </w:t>
      </w:r>
      <w:r w:rsidR="00483655" w:rsidRPr="002628BE">
        <w:t>that</w:t>
      </w:r>
      <w:r w:rsidR="00483655">
        <w:t xml:space="preserve"> at any point across the </w:t>
      </w:r>
      <w:r w:rsidR="009B73EF">
        <w:t>time-out</w:t>
      </w:r>
      <w:r w:rsidR="00483655">
        <w:t xml:space="preserve"> period, the </w:t>
      </w:r>
      <w:r w:rsidR="00D50AEC">
        <w:t xml:space="preserve">likelihood </w:t>
      </w:r>
      <w:r w:rsidR="00483655">
        <w:t>of re-starting export</w:t>
      </w:r>
      <w:r w:rsidR="00A7647C">
        <w:t>ing</w:t>
      </w:r>
      <w:r w:rsidR="00483655">
        <w:t xml:space="preserve"> will </w:t>
      </w:r>
      <w:r w:rsidR="00D50AEC">
        <w:t xml:space="preserve">be driven by </w:t>
      </w:r>
      <w:r w:rsidR="00483655">
        <w:t>two mechanisms</w:t>
      </w:r>
      <w:r w:rsidR="00D50AEC">
        <w:t>:</w:t>
      </w:r>
      <w:r w:rsidR="00483655" w:rsidRPr="002628BE">
        <w:t xml:space="preserve"> (1) prior export</w:t>
      </w:r>
      <w:r w:rsidR="00D50AEC">
        <w:t>ing</w:t>
      </w:r>
      <w:r w:rsidR="00483655" w:rsidRPr="002628BE">
        <w:t xml:space="preserve"> experience</w:t>
      </w:r>
      <w:r w:rsidR="00D50AEC">
        <w:t xml:space="preserve"> that</w:t>
      </w:r>
      <w:r w:rsidR="00483655" w:rsidRPr="002628BE">
        <w:t xml:space="preserve"> </w:t>
      </w:r>
      <w:r w:rsidR="00483655">
        <w:t>provides firms with market-specific and general internationalization knowledge</w:t>
      </w:r>
      <w:r w:rsidR="00C24AE6">
        <w:t>, which</w:t>
      </w:r>
      <w:r w:rsidR="00D50AEC">
        <w:t xml:space="preserve"> in turn</w:t>
      </w:r>
      <w:r w:rsidR="00483655">
        <w:t xml:space="preserve"> enhance</w:t>
      </w:r>
      <w:r w:rsidR="00D50AEC">
        <w:t>s</w:t>
      </w:r>
      <w:r w:rsidR="00483655">
        <w:t xml:space="preserve"> </w:t>
      </w:r>
      <w:r w:rsidR="00D50AEC">
        <w:lastRenderedPageBreak/>
        <w:t xml:space="preserve">managers’ </w:t>
      </w:r>
      <w:r w:rsidR="00483655">
        <w:t xml:space="preserve">confidence and </w:t>
      </w:r>
      <w:r w:rsidR="00D50AEC">
        <w:t xml:space="preserve">therefore </w:t>
      </w:r>
      <w:r w:rsidR="00483655">
        <w:t xml:space="preserve">the </w:t>
      </w:r>
      <w:r w:rsidR="00D50AEC">
        <w:t xml:space="preserve">likelihood </w:t>
      </w:r>
      <w:r w:rsidR="00483655">
        <w:t xml:space="preserve">of </w:t>
      </w:r>
      <w:r w:rsidR="00483655" w:rsidRPr="008B1E07">
        <w:t xml:space="preserve">re-entry (Tan </w:t>
      </w:r>
      <w:r w:rsidR="0076668E">
        <w:t>&amp;</w:t>
      </w:r>
      <w:r w:rsidR="00483655" w:rsidRPr="008B1E07">
        <w:t xml:space="preserve"> Sousa, 2019;</w:t>
      </w:r>
      <w:r w:rsidR="00483655" w:rsidRPr="00C62C50">
        <w:t xml:space="preserve"> Vissak et al</w:t>
      </w:r>
      <w:r w:rsidR="00483655" w:rsidRPr="00296E79">
        <w:t xml:space="preserve"> 2020</w:t>
      </w:r>
      <w:r w:rsidR="00483655">
        <w:t>)</w:t>
      </w:r>
      <w:r w:rsidR="00D50AEC">
        <w:t>;</w:t>
      </w:r>
      <w:r w:rsidR="00483655">
        <w:t xml:space="preserve"> </w:t>
      </w:r>
      <w:r w:rsidR="00483655" w:rsidRPr="002628BE">
        <w:t xml:space="preserve">and (2) the </w:t>
      </w:r>
      <w:r w:rsidR="00483655">
        <w:t>impact of</w:t>
      </w:r>
      <w:r w:rsidR="00F36DE5">
        <w:t xml:space="preserve"> a</w:t>
      </w:r>
      <w:r w:rsidR="00483655">
        <w:t xml:space="preserve"> critical event (</w:t>
      </w:r>
      <w:r w:rsidR="007D4870">
        <w:t>e.g.,</w:t>
      </w:r>
      <w:r w:rsidR="00483655">
        <w:t xml:space="preserve"> exit) </w:t>
      </w:r>
      <w:r w:rsidR="00D50AEC">
        <w:t xml:space="preserve">that </w:t>
      </w:r>
      <w:r w:rsidR="00483655">
        <w:t>reduce</w:t>
      </w:r>
      <w:r w:rsidR="00F36DE5">
        <w:t>s managers’</w:t>
      </w:r>
      <w:r w:rsidR="00483655">
        <w:t xml:space="preserve"> confidence about foreign operations as </w:t>
      </w:r>
      <w:r w:rsidR="000C5675">
        <w:t>failure</w:t>
      </w:r>
      <w:r w:rsidR="00483655">
        <w:t xml:space="preserve"> </w:t>
      </w:r>
      <w:r w:rsidR="00F36DE5">
        <w:t>creates</w:t>
      </w:r>
      <w:r w:rsidR="00483655">
        <w:t xml:space="preserve"> a negative predisposition towards market re-entry (</w:t>
      </w:r>
      <w:r w:rsidR="00483655" w:rsidRPr="007C004A">
        <w:t xml:space="preserve">Surdu </w:t>
      </w:r>
      <w:r w:rsidR="0076668E">
        <w:t>&amp;</w:t>
      </w:r>
      <w:r w:rsidR="00483655" w:rsidRPr="007C004A">
        <w:t xml:space="preserve"> Narula, 202</w:t>
      </w:r>
      <w:r w:rsidR="00060229">
        <w:t>1</w:t>
      </w:r>
      <w:r w:rsidR="00483655">
        <w:t xml:space="preserve">; </w:t>
      </w:r>
      <w:r w:rsidR="00483655" w:rsidRPr="00D414A9">
        <w:t xml:space="preserve">Welch </w:t>
      </w:r>
      <w:r w:rsidR="0076668E">
        <w:t>&amp;</w:t>
      </w:r>
      <w:r w:rsidR="00483655" w:rsidRPr="00D414A9">
        <w:t xml:space="preserve"> Welch, 2009</w:t>
      </w:r>
      <w:r w:rsidR="00483655">
        <w:t>).</w:t>
      </w:r>
      <w:r w:rsidR="003D21AC">
        <w:t xml:space="preserve"> </w:t>
      </w:r>
      <w:r w:rsidR="00146DBC">
        <w:t xml:space="preserve">In </w:t>
      </w:r>
      <w:r w:rsidR="00B92A4F">
        <w:t>the</w:t>
      </w:r>
      <w:r w:rsidR="00146DBC">
        <w:t xml:space="preserve"> first hypothesis, we</w:t>
      </w:r>
      <w:r w:rsidR="00C827F9">
        <w:t xml:space="preserve"> e</w:t>
      </w:r>
      <w:r w:rsidR="00483655" w:rsidRPr="002628BE">
        <w:t xml:space="preserve">xplain </w:t>
      </w:r>
      <w:r w:rsidR="00483655">
        <w:t>how</w:t>
      </w:r>
      <w:r w:rsidR="00483655" w:rsidRPr="00316703">
        <w:t xml:space="preserve"> </w:t>
      </w:r>
      <w:r w:rsidR="00483655" w:rsidRPr="002628BE">
        <w:t>these two mechanisms work together</w:t>
      </w:r>
      <w:r w:rsidR="00FA473F" w:rsidRPr="00FA473F">
        <w:t xml:space="preserve"> in a multiplicative form (Haans et al., 2016)</w:t>
      </w:r>
      <w:r w:rsidR="00360809">
        <w:t>, leading</w:t>
      </w:r>
      <w:r w:rsidR="00483655" w:rsidRPr="002628BE">
        <w:t xml:space="preserve"> to </w:t>
      </w:r>
      <w:r w:rsidR="002665B8">
        <w:t>an inverted U</w:t>
      </w:r>
      <w:r w:rsidR="00EB0F2B">
        <w:t>-</w:t>
      </w:r>
      <w:r w:rsidR="002665B8">
        <w:t>shape</w:t>
      </w:r>
      <w:r w:rsidR="00EB0F2B">
        <w:t>d</w:t>
      </w:r>
      <w:r w:rsidR="002665B8">
        <w:t xml:space="preserve"> relationship between</w:t>
      </w:r>
      <w:r w:rsidR="00C827F9">
        <w:t xml:space="preserve"> the</w:t>
      </w:r>
      <w:r w:rsidR="002665B8">
        <w:t xml:space="preserve"> time-out period and </w:t>
      </w:r>
      <w:r w:rsidR="00B67FBF">
        <w:t xml:space="preserve">the </w:t>
      </w:r>
      <w:r w:rsidR="00C827F9">
        <w:t xml:space="preserve">likelihood </w:t>
      </w:r>
      <w:r w:rsidR="00B67FBF">
        <w:t xml:space="preserve">of </w:t>
      </w:r>
      <w:r w:rsidR="002665B8">
        <w:t>re-entry.</w:t>
      </w:r>
      <w:r w:rsidR="00483655" w:rsidRPr="002628BE">
        <w:t xml:space="preserve"> </w:t>
      </w:r>
    </w:p>
    <w:p w14:paraId="17EE83AE" w14:textId="5DF92A3E" w:rsidR="00483655" w:rsidRDefault="00483655" w:rsidP="00AF0CD8">
      <w:pPr>
        <w:spacing w:line="480" w:lineRule="auto"/>
        <w:ind w:firstLine="284"/>
        <w:jc w:val="center"/>
      </w:pPr>
      <w:bookmarkStart w:id="8" w:name="_Hlk49686377"/>
      <w:r w:rsidRPr="000B4333">
        <w:t>** Insert Figure 1 here **</w:t>
      </w:r>
      <w:bookmarkEnd w:id="7"/>
      <w:bookmarkEnd w:id="8"/>
    </w:p>
    <w:p w14:paraId="5996E3D9" w14:textId="0A3FBACE" w:rsidR="00483655" w:rsidRPr="00F43F16" w:rsidRDefault="00BB666C" w:rsidP="00437A9C">
      <w:pPr>
        <w:spacing w:line="480" w:lineRule="auto"/>
        <w:ind w:firstLine="284"/>
      </w:pPr>
      <w:r>
        <w:t>E</w:t>
      </w:r>
      <w:r w:rsidRPr="00F43F16">
        <w:t>xporting</w:t>
      </w:r>
      <w:r>
        <w:t xml:space="preserve"> helps</w:t>
      </w:r>
      <w:r w:rsidRPr="00F43F16">
        <w:t xml:space="preserve"> </w:t>
      </w:r>
      <w:r>
        <w:t>f</w:t>
      </w:r>
      <w:r w:rsidR="00483655" w:rsidRPr="00F43F16">
        <w:t>irms accumulate two types of experiential knowledge</w:t>
      </w:r>
      <w:r w:rsidR="00A261F0">
        <w:t>:</w:t>
      </w:r>
      <w:r w:rsidR="00483655" w:rsidRPr="001064C8">
        <w:t xml:space="preserve"> </w:t>
      </w:r>
      <w:r w:rsidR="00A261F0" w:rsidRPr="001064C8">
        <w:t>m</w:t>
      </w:r>
      <w:r w:rsidR="00483655" w:rsidRPr="001064C8">
        <w:t xml:space="preserve">arket-specific knowledge </w:t>
      </w:r>
      <w:r w:rsidR="00483655" w:rsidRPr="008C7A2B">
        <w:t>which enhances understanding of market conditions and institutions</w:t>
      </w:r>
      <w:r w:rsidR="00483655" w:rsidRPr="00F43F16">
        <w:t xml:space="preserve">, </w:t>
      </w:r>
      <w:r w:rsidR="00CE5EBA">
        <w:t>and</w:t>
      </w:r>
      <w:r w:rsidR="00CE5EBA" w:rsidRPr="00F43F16">
        <w:t xml:space="preserve"> </w:t>
      </w:r>
      <w:r w:rsidR="00483655" w:rsidRPr="00F43F16">
        <w:t xml:space="preserve">general internationalization knowledge </w:t>
      </w:r>
      <w:r w:rsidR="00A102D4">
        <w:t>which</w:t>
      </w:r>
      <w:r w:rsidR="00775C58">
        <w:t xml:space="preserve"> </w:t>
      </w:r>
      <w:r w:rsidR="00A261F0">
        <w:t xml:space="preserve">helps firms understand </w:t>
      </w:r>
      <w:r w:rsidR="00483655" w:rsidRPr="008C7A2B">
        <w:t xml:space="preserve">the </w:t>
      </w:r>
      <w:r w:rsidR="00483655" w:rsidRPr="008D54F0">
        <w:t>practicalities of the internationalization process</w:t>
      </w:r>
      <w:r w:rsidR="00483655" w:rsidRPr="00F43F16">
        <w:t xml:space="preserve"> (Eriksson et al., 1997; Javalgi et al., 2011). Both types of </w:t>
      </w:r>
      <w:r w:rsidR="001064C8" w:rsidRPr="00F43F16">
        <w:t>experiential knowledge</w:t>
      </w:r>
      <w:r w:rsidR="001064C8" w:rsidRPr="00F43F16" w:rsidDel="001064C8">
        <w:t xml:space="preserve"> </w:t>
      </w:r>
      <w:r w:rsidR="00754432">
        <w:t xml:space="preserve">can increase the </w:t>
      </w:r>
      <w:r w:rsidR="00C827F9">
        <w:t>likelihood</w:t>
      </w:r>
      <w:r w:rsidR="00754432">
        <w:t xml:space="preserve"> of re-entry</w:t>
      </w:r>
      <w:r w:rsidR="00483655" w:rsidRPr="00F43F16">
        <w:t xml:space="preserve"> </w:t>
      </w:r>
      <w:r w:rsidR="00754432">
        <w:t>by</w:t>
      </w:r>
      <w:r w:rsidR="00483655" w:rsidRPr="00F43F16">
        <w:t xml:space="preserve"> reducing the level of uncertainty and perceived risk that managers have towards</w:t>
      </w:r>
      <w:r w:rsidR="00754432">
        <w:t xml:space="preserve"> </w:t>
      </w:r>
      <w:r w:rsidR="00064281">
        <w:t>re-</w:t>
      </w:r>
      <w:r w:rsidR="00AD76E0">
        <w:t>starting</w:t>
      </w:r>
      <w:r w:rsidR="002C28C4">
        <w:t xml:space="preserve"> </w:t>
      </w:r>
      <w:r w:rsidR="00AD76E0">
        <w:t>exporting activities</w:t>
      </w:r>
      <w:r w:rsidR="002C28C4">
        <w:t xml:space="preserve"> </w:t>
      </w:r>
      <w:r w:rsidR="00483655" w:rsidRPr="00F43F16">
        <w:t>(Aguzzoli et al., 2021). Firms with market</w:t>
      </w:r>
      <w:r w:rsidR="00483655">
        <w:t>-</w:t>
      </w:r>
      <w:r w:rsidR="00483655" w:rsidRPr="00F43F16">
        <w:t xml:space="preserve">specific experience </w:t>
      </w:r>
      <w:r w:rsidR="00787FEE">
        <w:t xml:space="preserve">possess a greater </w:t>
      </w:r>
      <w:r w:rsidR="00787FEE" w:rsidRPr="008C7A2B">
        <w:t xml:space="preserve">understanding of customers’ preferences, </w:t>
      </w:r>
      <w:r w:rsidR="00787FEE">
        <w:t>the</w:t>
      </w:r>
      <w:r w:rsidR="00787FEE" w:rsidRPr="008C7A2B">
        <w:t xml:space="preserve"> competitive </w:t>
      </w:r>
      <w:r w:rsidR="00787FEE">
        <w:t>landscape</w:t>
      </w:r>
      <w:r w:rsidR="00CF1263">
        <w:t>,</w:t>
      </w:r>
      <w:r w:rsidR="00787FEE" w:rsidRPr="008C7A2B">
        <w:t xml:space="preserve"> </w:t>
      </w:r>
      <w:r w:rsidR="00787FEE">
        <w:t>and institutions (both</w:t>
      </w:r>
      <w:r w:rsidR="00787FEE" w:rsidRPr="008C7A2B">
        <w:t xml:space="preserve"> formal </w:t>
      </w:r>
      <w:r w:rsidR="00787FEE">
        <w:t xml:space="preserve">such as </w:t>
      </w:r>
      <w:r w:rsidR="00787FEE" w:rsidRPr="008C7A2B">
        <w:t xml:space="preserve">laws </w:t>
      </w:r>
      <w:r w:rsidR="00787FEE">
        <w:t xml:space="preserve">and </w:t>
      </w:r>
      <w:r w:rsidR="00787FEE" w:rsidRPr="008C7A2B">
        <w:t>regulations</w:t>
      </w:r>
      <w:r w:rsidR="00A102D4">
        <w:t>,</w:t>
      </w:r>
      <w:r w:rsidR="00787FEE" w:rsidRPr="008C7A2B">
        <w:t xml:space="preserve"> and informal </w:t>
      </w:r>
      <w:r w:rsidR="00787FEE">
        <w:t xml:space="preserve">such as </w:t>
      </w:r>
      <w:r w:rsidR="00787FEE" w:rsidRPr="008C7A2B">
        <w:t>culture</w:t>
      </w:r>
      <w:r w:rsidR="00653848">
        <w:t>)</w:t>
      </w:r>
      <w:r w:rsidR="00787FEE" w:rsidRPr="008C7A2B">
        <w:t xml:space="preserve"> </w:t>
      </w:r>
      <w:r w:rsidR="00787FEE" w:rsidRPr="00F43F16">
        <w:t xml:space="preserve">(Javalgi et al., 2011; Surdu </w:t>
      </w:r>
      <w:r w:rsidR="007A0A99">
        <w:t>&amp;</w:t>
      </w:r>
      <w:r w:rsidR="00787FEE" w:rsidRPr="00F43F16">
        <w:t xml:space="preserve"> Narula, </w:t>
      </w:r>
      <w:r w:rsidR="00787FEE" w:rsidRPr="00C62C50">
        <w:t>202</w:t>
      </w:r>
      <w:r w:rsidR="008A42E8">
        <w:t>1</w:t>
      </w:r>
      <w:r w:rsidR="00787FEE" w:rsidRPr="00C62C50">
        <w:t xml:space="preserve">; Tan </w:t>
      </w:r>
      <w:r w:rsidR="00AB605F">
        <w:t>&amp;</w:t>
      </w:r>
      <w:r w:rsidR="00787FEE" w:rsidRPr="00C62C50">
        <w:t xml:space="preserve"> Sousa, 2019</w:t>
      </w:r>
      <w:r w:rsidR="00787FEE" w:rsidRPr="00DE2EFF">
        <w:t>).</w:t>
      </w:r>
      <w:r w:rsidR="00653848">
        <w:t xml:space="preserve"> They are therefore </w:t>
      </w:r>
      <w:r w:rsidR="00483655" w:rsidRPr="00F43F16">
        <w:t>more capable of identifying and</w:t>
      </w:r>
      <w:r w:rsidR="00B46C61">
        <w:t xml:space="preserve"> </w:t>
      </w:r>
      <w:r w:rsidR="00B46C61" w:rsidRPr="008C7A2B">
        <w:t>analy</w:t>
      </w:r>
      <w:r w:rsidR="00B46C61">
        <w:t>z</w:t>
      </w:r>
      <w:r w:rsidR="00B46C61" w:rsidRPr="008C7A2B">
        <w:t>ing</w:t>
      </w:r>
      <w:r w:rsidR="00483655" w:rsidRPr="008C7A2B">
        <w:t xml:space="preserve"> opportunities and threats</w:t>
      </w:r>
      <w:r w:rsidR="00E972DB">
        <w:t xml:space="preserve"> in the relevant country</w:t>
      </w:r>
      <w:r w:rsidR="00483655" w:rsidRPr="008C7A2B">
        <w:t xml:space="preserve"> </w:t>
      </w:r>
      <w:r w:rsidR="00483655" w:rsidRPr="00F43F16">
        <w:t xml:space="preserve">(Bernini et al., 2016; Casillias et al., 2009). </w:t>
      </w:r>
      <w:r w:rsidR="00483655" w:rsidRPr="003C3865">
        <w:rPr>
          <w:lang w:val="en-US"/>
        </w:rPr>
        <w:t>General</w:t>
      </w:r>
      <w:r w:rsidR="00483655" w:rsidRPr="00F43F16">
        <w:t xml:space="preserve"> experience </w:t>
      </w:r>
      <w:r w:rsidR="00483655" w:rsidRPr="009F1CBB">
        <w:t xml:space="preserve">allows firms to learn how to </w:t>
      </w:r>
      <w:r w:rsidR="00483655" w:rsidRPr="003C3865">
        <w:rPr>
          <w:lang w:val="en-US"/>
        </w:rPr>
        <w:t>organi</w:t>
      </w:r>
      <w:r w:rsidR="00653848" w:rsidRPr="003C3865">
        <w:rPr>
          <w:lang w:val="en-US"/>
        </w:rPr>
        <w:t>z</w:t>
      </w:r>
      <w:r w:rsidR="00483655" w:rsidRPr="003C3865">
        <w:rPr>
          <w:lang w:val="en-US"/>
        </w:rPr>
        <w:t>e</w:t>
      </w:r>
      <w:r w:rsidR="00483655" w:rsidRPr="009F1CBB">
        <w:t xml:space="preserve"> </w:t>
      </w:r>
      <w:r w:rsidR="00697954">
        <w:t xml:space="preserve">and manage </w:t>
      </w:r>
      <w:r w:rsidR="00483655" w:rsidRPr="009F1CBB">
        <w:t>the internationalization</w:t>
      </w:r>
      <w:r w:rsidR="00697954">
        <w:t>,</w:t>
      </w:r>
      <w:r w:rsidR="00483655" w:rsidRPr="009F1CBB">
        <w:t xml:space="preserve"> </w:t>
      </w:r>
      <w:r w:rsidR="001D71C8" w:rsidRPr="001D71C8">
        <w:t xml:space="preserve">transportation and distribution </w:t>
      </w:r>
      <w:r w:rsidR="00697954" w:rsidRPr="009F1CBB">
        <w:t xml:space="preserve">procedures </w:t>
      </w:r>
      <w:r w:rsidR="00697954">
        <w:t xml:space="preserve">and </w:t>
      </w:r>
      <w:r w:rsidR="001D71C8" w:rsidRPr="001D71C8">
        <w:t>process</w:t>
      </w:r>
      <w:r w:rsidR="00177A62">
        <w:t>es</w:t>
      </w:r>
      <w:r w:rsidR="00437A9C" w:rsidRPr="00437A9C">
        <w:t xml:space="preserve"> </w:t>
      </w:r>
      <w:r w:rsidR="00437A9C">
        <w:t xml:space="preserve">that </w:t>
      </w:r>
      <w:r w:rsidR="00437A9C" w:rsidRPr="009F1CBB">
        <w:t>need to be followed</w:t>
      </w:r>
      <w:r w:rsidR="00697954">
        <w:t>,</w:t>
      </w:r>
      <w:r w:rsidR="00EE72AE">
        <w:t xml:space="preserve"> </w:t>
      </w:r>
      <w:r w:rsidR="00697954">
        <w:t>understand</w:t>
      </w:r>
      <w:r w:rsidR="00437A9C">
        <w:t xml:space="preserve"> how to develop and maintain </w:t>
      </w:r>
      <w:r w:rsidR="00437A9C" w:rsidRPr="009F1CBB">
        <w:t>relationships</w:t>
      </w:r>
      <w:r w:rsidR="00697954">
        <w:t>,</w:t>
      </w:r>
      <w:r w:rsidR="00437A9C" w:rsidRPr="009F1CBB">
        <w:t xml:space="preserve"> </w:t>
      </w:r>
      <w:r w:rsidR="00697954">
        <w:t>and</w:t>
      </w:r>
      <w:r w:rsidR="00665E6E">
        <w:t xml:space="preserve"> find and collect the</w:t>
      </w:r>
      <w:r w:rsidR="00483655" w:rsidRPr="009F1CBB">
        <w:t xml:space="preserve"> information required under different conditions</w:t>
      </w:r>
      <w:r w:rsidR="00483655" w:rsidRPr="00F43F16">
        <w:t xml:space="preserve"> (Eri</w:t>
      </w:r>
      <w:r w:rsidR="00EB70FC">
        <w:t xml:space="preserve">ksson et al., 1997; Love </w:t>
      </w:r>
      <w:r w:rsidR="00AB605F">
        <w:t>&amp;</w:t>
      </w:r>
      <w:r w:rsidR="00EB70FC" w:rsidRPr="00FC56CA">
        <w:t xml:space="preserve"> Ma</w:t>
      </w:r>
      <w:r w:rsidR="00EB70FC" w:rsidRPr="00B62FF6">
        <w:t>ñ</w:t>
      </w:r>
      <w:r w:rsidR="00483655" w:rsidRPr="00FC56CA">
        <w:t>ez, 2019</w:t>
      </w:r>
      <w:r w:rsidR="00483655" w:rsidRPr="00F43F16">
        <w:t xml:space="preserve">). </w:t>
      </w:r>
    </w:p>
    <w:p w14:paraId="2BD3F07A" w14:textId="064C30DC" w:rsidR="00483655" w:rsidRPr="00F43F16" w:rsidRDefault="001718D9" w:rsidP="00483655">
      <w:pPr>
        <w:spacing w:line="480" w:lineRule="auto"/>
        <w:ind w:firstLine="284"/>
      </w:pPr>
      <w:r w:rsidRPr="001718D9">
        <w:t xml:space="preserve">However, the </w:t>
      </w:r>
      <w:r w:rsidR="00393F36">
        <w:t>benefits</w:t>
      </w:r>
      <w:r w:rsidRPr="001718D9">
        <w:t xml:space="preserve"> of </w:t>
      </w:r>
      <w:r>
        <w:t xml:space="preserve">both </w:t>
      </w:r>
      <w:r w:rsidRPr="00B47E2D">
        <w:t xml:space="preserve">types of </w:t>
      </w:r>
      <w:r w:rsidR="00AA6F56" w:rsidRPr="00B47E2D">
        <w:t>experiential knowledge</w:t>
      </w:r>
      <w:r w:rsidRPr="00B47E2D">
        <w:t xml:space="preserve"> decline progressively</w:t>
      </w:r>
      <w:r w:rsidR="00AD5038" w:rsidRPr="00B47E2D">
        <w:t xml:space="preserve"> </w:t>
      </w:r>
      <w:r w:rsidR="00393F36" w:rsidRPr="00B47E2D">
        <w:t xml:space="preserve">over </w:t>
      </w:r>
      <w:r w:rsidRPr="00B47E2D">
        <w:t>the time</w:t>
      </w:r>
      <w:r w:rsidR="00EA4331" w:rsidRPr="00B47E2D">
        <w:t>-</w:t>
      </w:r>
      <w:r w:rsidRPr="00B47E2D">
        <w:t xml:space="preserve">out period (Love </w:t>
      </w:r>
      <w:r w:rsidR="00AB605F">
        <w:t>&amp;</w:t>
      </w:r>
      <w:r w:rsidRPr="00B47E2D">
        <w:t xml:space="preserve"> Mañez, 2019)</w:t>
      </w:r>
      <w:r w:rsidR="00393F36" w:rsidRPr="00B47E2D">
        <w:t>.</w:t>
      </w:r>
      <w:r w:rsidR="00483655" w:rsidRPr="00B47E2D">
        <w:t xml:space="preserve"> </w:t>
      </w:r>
      <w:r w:rsidR="003C248D" w:rsidRPr="00B47E2D">
        <w:t>After exit</w:t>
      </w:r>
      <w:r w:rsidR="00393F36" w:rsidRPr="00B47E2D">
        <w:t>ing foreign markets</w:t>
      </w:r>
      <w:r w:rsidR="003C248D" w:rsidRPr="00B47E2D">
        <w:t xml:space="preserve">, </w:t>
      </w:r>
      <w:r w:rsidR="002F700E" w:rsidRPr="00B47E2D">
        <w:t xml:space="preserve">firms </w:t>
      </w:r>
      <w:r w:rsidR="000807BD" w:rsidRPr="00B47E2D">
        <w:t xml:space="preserve">gradually </w:t>
      </w:r>
      <w:r w:rsidR="002F700E" w:rsidRPr="00B47E2D">
        <w:t xml:space="preserve">unlearn </w:t>
      </w:r>
      <w:r w:rsidR="00393F36" w:rsidRPr="00B47E2D">
        <w:t xml:space="preserve">the </w:t>
      </w:r>
      <w:r w:rsidR="002F700E" w:rsidRPr="00B47E2D">
        <w:t xml:space="preserve">relevant knowledge </w:t>
      </w:r>
      <w:r w:rsidR="00393F36" w:rsidRPr="00B47E2D">
        <w:t>and</w:t>
      </w:r>
      <w:r w:rsidR="002F700E" w:rsidRPr="00B47E2D">
        <w:t xml:space="preserve"> </w:t>
      </w:r>
      <w:r w:rsidR="00C16F1C" w:rsidRPr="00B47E2D">
        <w:t>routines</w:t>
      </w:r>
      <w:r w:rsidR="00393F36" w:rsidRPr="00B47E2D">
        <w:t xml:space="preserve">. </w:t>
      </w:r>
      <w:r w:rsidR="00C10EB5">
        <w:t>Eventually</w:t>
      </w:r>
      <w:r w:rsidR="00806B5C">
        <w:t>,</w:t>
      </w:r>
      <w:r w:rsidR="00806B5C" w:rsidRPr="00806B5C">
        <w:t xml:space="preserve"> </w:t>
      </w:r>
      <w:r w:rsidR="007F27BA">
        <w:t>past knowledge</w:t>
      </w:r>
      <w:r w:rsidR="00D93AE9" w:rsidRPr="00B47E2D">
        <w:t xml:space="preserve"> </w:t>
      </w:r>
      <w:r w:rsidR="00A0627A">
        <w:t>can</w:t>
      </w:r>
      <w:r w:rsidR="00C07E20" w:rsidRPr="00B47E2D">
        <w:t xml:space="preserve"> become inaccessible</w:t>
      </w:r>
      <w:r w:rsidR="007F27BA">
        <w:t xml:space="preserve"> </w:t>
      </w:r>
      <w:r w:rsidR="00C10EB5">
        <w:t xml:space="preserve">as </w:t>
      </w:r>
      <w:r w:rsidR="00C10EB5" w:rsidRPr="00C10EB5">
        <w:t xml:space="preserve">a significant amount </w:t>
      </w:r>
      <w:r w:rsidR="00EC0B62">
        <w:t>is</w:t>
      </w:r>
      <w:r w:rsidR="00C10EB5" w:rsidRPr="00C10EB5">
        <w:t xml:space="preserve"> forgotten </w:t>
      </w:r>
      <w:r w:rsidR="00483655" w:rsidRPr="00B47E2D">
        <w:t xml:space="preserve">(Chen et al., 2019; Javalgi et al., 2011). </w:t>
      </w:r>
      <w:r w:rsidR="0099107E" w:rsidRPr="00B47E2D">
        <w:lastRenderedPageBreak/>
        <w:t>Therefore</w:t>
      </w:r>
      <w:r w:rsidR="00483655" w:rsidRPr="00B47E2D">
        <w:t xml:space="preserve">, as the time-out period </w:t>
      </w:r>
      <w:r w:rsidR="00E50BA4" w:rsidRPr="00B47E2D">
        <w:t>lapses</w:t>
      </w:r>
      <w:r w:rsidR="00134935" w:rsidRPr="00B47E2D">
        <w:t>,</w:t>
      </w:r>
      <w:r w:rsidR="00483655" w:rsidRPr="00B47E2D">
        <w:t xml:space="preserve"> firm</w:t>
      </w:r>
      <w:r w:rsidR="00E50BA4" w:rsidRPr="00B47E2D">
        <w:t>s</w:t>
      </w:r>
      <w:r w:rsidR="00E117BF" w:rsidRPr="00B47E2D">
        <w:t xml:space="preserve"> </w:t>
      </w:r>
      <w:r w:rsidR="000E70F6" w:rsidRPr="00B47E2D">
        <w:t>have</w:t>
      </w:r>
      <w:r w:rsidR="00E50BA4" w:rsidRPr="00B47E2D">
        <w:t xml:space="preserve"> access </w:t>
      </w:r>
      <w:r w:rsidR="000E70F6" w:rsidRPr="00B47E2D">
        <w:t>to a</w:t>
      </w:r>
      <w:r w:rsidR="00E50BA4" w:rsidRPr="00B47E2D">
        <w:t xml:space="preserve"> reduced</w:t>
      </w:r>
      <w:r w:rsidR="00E50829" w:rsidRPr="00B47E2D">
        <w:t xml:space="preserve"> </w:t>
      </w:r>
      <w:r w:rsidR="00E117BF" w:rsidRPr="00B47E2D">
        <w:t>stock</w:t>
      </w:r>
      <w:r w:rsidR="00E50BA4" w:rsidRPr="00B47E2D">
        <w:t xml:space="preserve"> of </w:t>
      </w:r>
      <w:r w:rsidR="00483655" w:rsidRPr="00B47E2D">
        <w:t xml:space="preserve">experiential knowledge </w:t>
      </w:r>
      <w:r w:rsidR="00036516" w:rsidRPr="00B47E2D">
        <w:t>(Cas</w:t>
      </w:r>
      <w:r w:rsidR="00E577D4" w:rsidRPr="00B47E2D">
        <w:t>illias et al., 2009</w:t>
      </w:r>
      <w:r w:rsidR="002D03C8" w:rsidRPr="00B47E2D">
        <w:t xml:space="preserve">; Welch </w:t>
      </w:r>
      <w:r w:rsidR="00AB605F">
        <w:t>&amp;</w:t>
      </w:r>
      <w:r w:rsidR="002D03C8" w:rsidRPr="00B47E2D">
        <w:t xml:space="preserve"> Welch, 2009</w:t>
      </w:r>
      <w:r w:rsidR="00E577D4" w:rsidRPr="00B47E2D">
        <w:t>)</w:t>
      </w:r>
      <w:r w:rsidR="000E70F6" w:rsidRPr="00B47E2D">
        <w:t>, which in turn</w:t>
      </w:r>
      <w:r w:rsidR="00483655" w:rsidRPr="00B47E2D">
        <w:t xml:space="preserve"> increases re-entry barriers and uncertainty about re-starting exporting. </w:t>
      </w:r>
      <w:r w:rsidR="008B75E5">
        <w:t>Hence,</w:t>
      </w:r>
      <w:r w:rsidR="00726EBF" w:rsidRPr="00B47E2D">
        <w:t xml:space="preserve"> t</w:t>
      </w:r>
      <w:r w:rsidR="00483655" w:rsidRPr="00B47E2D">
        <w:t xml:space="preserve">he longer firms stay out </w:t>
      </w:r>
      <w:r w:rsidR="00726EBF" w:rsidRPr="00B47E2D">
        <w:t xml:space="preserve">of </w:t>
      </w:r>
      <w:r w:rsidR="00483655" w:rsidRPr="00B47E2D">
        <w:t xml:space="preserve">foreign markets, the less likely it is that they will re-start </w:t>
      </w:r>
      <w:r w:rsidR="00570A4A" w:rsidRPr="00B47E2D">
        <w:t>exporting</w:t>
      </w:r>
      <w:r w:rsidR="00483655" w:rsidRPr="00B47E2D">
        <w:t xml:space="preserve"> as managers’ self-assurance about their export</w:t>
      </w:r>
      <w:r w:rsidR="00B04CCE" w:rsidRPr="00B47E2D">
        <w:t>-</w:t>
      </w:r>
      <w:r w:rsidR="00483655" w:rsidRPr="00B47E2D">
        <w:t xml:space="preserve">related skills and knowledge </w:t>
      </w:r>
      <w:r w:rsidR="00B04CCE" w:rsidRPr="00B47E2D">
        <w:t xml:space="preserve">declines </w:t>
      </w:r>
      <w:r w:rsidR="00483655" w:rsidRPr="00B47E2D">
        <w:t>(Javalgi et al., 2011;</w:t>
      </w:r>
      <w:r w:rsidR="00483655" w:rsidRPr="00B47E2D">
        <w:rPr>
          <w:b/>
          <w:bCs/>
        </w:rPr>
        <w:t xml:space="preserve"> </w:t>
      </w:r>
      <w:r w:rsidR="00483655" w:rsidRPr="00B47E2D">
        <w:t xml:space="preserve">Vissak </w:t>
      </w:r>
      <w:r w:rsidR="00AB605F">
        <w:t>&amp;</w:t>
      </w:r>
      <w:r w:rsidR="00483655" w:rsidRPr="00B47E2D">
        <w:t xml:space="preserve"> Francioni, 2013). </w:t>
      </w:r>
      <w:r w:rsidR="0073598F">
        <w:t>T</w:t>
      </w:r>
      <w:r w:rsidR="00AC0816" w:rsidRPr="00AC0816">
        <w:t>herefore</w:t>
      </w:r>
      <w:r w:rsidR="0073598F">
        <w:t>,</w:t>
      </w:r>
      <w:r w:rsidR="00AC0816" w:rsidRPr="00AC0816">
        <w:t xml:space="preserve"> if we look at this latent mechanism on its own</w:t>
      </w:r>
      <w:r w:rsidR="00722B04">
        <w:t>,</w:t>
      </w:r>
      <w:r w:rsidR="00AC0816" w:rsidRPr="00AC0816">
        <w:t xml:space="preserve"> we </w:t>
      </w:r>
      <w:r w:rsidR="00777DAC" w:rsidRPr="00AC0816">
        <w:t>expect</w:t>
      </w:r>
      <w:r w:rsidR="00AC0816" w:rsidRPr="00AC0816">
        <w:t xml:space="preserve"> the </w:t>
      </w:r>
      <w:r w:rsidR="00C827F9">
        <w:t>likelihood</w:t>
      </w:r>
      <w:r w:rsidR="00AC0816" w:rsidRPr="00AC0816">
        <w:t xml:space="preserve"> of re-entry to be higher during the initial phase</w:t>
      </w:r>
      <w:r w:rsidR="00FF17BA">
        <w:t>s</w:t>
      </w:r>
      <w:r w:rsidR="00AC0816" w:rsidRPr="00AC0816">
        <w:t xml:space="preserve"> of the time</w:t>
      </w:r>
      <w:r w:rsidR="00FF17BA">
        <w:t>-</w:t>
      </w:r>
      <w:r w:rsidR="00AC0816" w:rsidRPr="00AC0816">
        <w:t>out period because of the greater level of experiential knowledge available</w:t>
      </w:r>
      <w:r w:rsidR="00B15E2F">
        <w:t>.</w:t>
      </w:r>
      <w:r w:rsidR="00AC0816" w:rsidRPr="00AC0816">
        <w:t xml:space="preserve"> </w:t>
      </w:r>
      <w:r w:rsidR="00B15E2F">
        <w:t>This likelihood will</w:t>
      </w:r>
      <w:r w:rsidR="00AC0816" w:rsidRPr="00AC0816">
        <w:t xml:space="preserve"> progressively </w:t>
      </w:r>
      <w:r w:rsidR="00B15E2F">
        <w:t xml:space="preserve">be lower during the later phases of the </w:t>
      </w:r>
      <w:r w:rsidR="00B15E2F" w:rsidRPr="00AC0816">
        <w:t>time</w:t>
      </w:r>
      <w:r w:rsidR="00B15E2F">
        <w:t>-</w:t>
      </w:r>
      <w:r w:rsidR="00B15E2F" w:rsidRPr="00AC0816">
        <w:t xml:space="preserve">out period </w:t>
      </w:r>
      <w:r w:rsidR="00AC0816" w:rsidRPr="00AC0816">
        <w:t xml:space="preserve">as </w:t>
      </w:r>
      <w:r w:rsidR="00B15E2F">
        <w:t xml:space="preserve">the stock of such </w:t>
      </w:r>
      <w:r w:rsidR="00AC0816" w:rsidRPr="00AC0816">
        <w:t xml:space="preserve">knowledge </w:t>
      </w:r>
      <w:r w:rsidR="00B15E2F">
        <w:t>declines</w:t>
      </w:r>
      <w:r w:rsidR="00B15E2F" w:rsidRPr="00AC0816">
        <w:t xml:space="preserve"> </w:t>
      </w:r>
      <w:r w:rsidR="00AC0816" w:rsidRPr="00AC0816">
        <w:t>(</w:t>
      </w:r>
      <w:r w:rsidR="00B15E2F">
        <w:t>see F</w:t>
      </w:r>
      <w:r w:rsidR="00AC0816" w:rsidRPr="00AC0816">
        <w:t>igure 1</w:t>
      </w:r>
      <w:r w:rsidR="00490F14">
        <w:t>b</w:t>
      </w:r>
      <w:r w:rsidR="00AC0816" w:rsidRPr="00AC0816">
        <w:t>).</w:t>
      </w:r>
      <w:r w:rsidR="00483655" w:rsidRPr="00F43F16">
        <w:t xml:space="preserve">  </w:t>
      </w:r>
    </w:p>
    <w:p w14:paraId="7CBD49C4" w14:textId="6C5FB50B" w:rsidR="00483655" w:rsidRPr="00335523" w:rsidRDefault="00483655" w:rsidP="00483655">
      <w:pPr>
        <w:spacing w:line="480" w:lineRule="auto"/>
        <w:ind w:firstLine="284"/>
      </w:pPr>
      <w:r>
        <w:t xml:space="preserve">However, knowledge depreciation is not the only mechanism affecting re-entry. </w:t>
      </w:r>
      <w:r w:rsidR="00B15E2F">
        <w:t>Failure in foreign markets</w:t>
      </w:r>
      <w:r w:rsidRPr="00335523">
        <w:t xml:space="preserve"> </w:t>
      </w:r>
      <w:r w:rsidR="00E86464">
        <w:t>makes</w:t>
      </w:r>
      <w:r w:rsidR="00E86464" w:rsidRPr="00335523">
        <w:t xml:space="preserve"> </w:t>
      </w:r>
      <w:r w:rsidRPr="00335523">
        <w:t>managers view re-</w:t>
      </w:r>
      <w:r w:rsidR="00DE6B30">
        <w:t>entry</w:t>
      </w:r>
      <w:r w:rsidR="00DE6B30" w:rsidRPr="00335523">
        <w:t xml:space="preserve"> </w:t>
      </w:r>
      <w:r w:rsidRPr="00335523">
        <w:t>as a risky activity</w:t>
      </w:r>
      <w:r w:rsidR="00E86464">
        <w:t>.</w:t>
      </w:r>
      <w:r w:rsidRPr="00335523">
        <w:t xml:space="preserve"> </w:t>
      </w:r>
      <w:r w:rsidR="00E86464">
        <w:t>They</w:t>
      </w:r>
      <w:r w:rsidR="00E86464" w:rsidRPr="00335523">
        <w:t xml:space="preserve"> </w:t>
      </w:r>
      <w:r w:rsidRPr="00335523">
        <w:t xml:space="preserve">develop a negative perception about </w:t>
      </w:r>
      <w:r w:rsidR="00E86464">
        <w:t>re-starting</w:t>
      </w:r>
      <w:r w:rsidR="00E86464" w:rsidRPr="00335523">
        <w:t xml:space="preserve"> </w:t>
      </w:r>
      <w:r w:rsidRPr="00335523">
        <w:t>international operations</w:t>
      </w:r>
      <w:r w:rsidR="00FC3E0A">
        <w:t xml:space="preserve"> </w:t>
      </w:r>
      <w:r w:rsidR="00EC6582">
        <w:t>given that</w:t>
      </w:r>
      <w:r w:rsidR="00634321">
        <w:t xml:space="preserve"> </w:t>
      </w:r>
      <w:r w:rsidR="00FB113A">
        <w:t>a failed exit</w:t>
      </w:r>
      <w:r w:rsidR="00E86464">
        <w:t xml:space="preserve"> has</w:t>
      </w:r>
      <w:r w:rsidR="00634321">
        <w:t xml:space="preserve"> </w:t>
      </w:r>
      <w:r w:rsidRPr="009A5224">
        <w:t>financial consequences</w:t>
      </w:r>
      <w:r w:rsidR="00BA55C9">
        <w:t xml:space="preserve"> and</w:t>
      </w:r>
      <w:r w:rsidR="00634321" w:rsidRPr="00634321">
        <w:t xml:space="preserve"> </w:t>
      </w:r>
      <w:r w:rsidRPr="009A5224">
        <w:t xml:space="preserve">is </w:t>
      </w:r>
      <w:r w:rsidR="008338F8">
        <w:t xml:space="preserve">often </w:t>
      </w:r>
      <w:r w:rsidRPr="009A5224">
        <w:t>accompanied by</w:t>
      </w:r>
      <w:r>
        <w:t xml:space="preserve"> </w:t>
      </w:r>
      <w:r w:rsidR="00BA55C9">
        <w:t>the</w:t>
      </w:r>
      <w:r>
        <w:t xml:space="preserve"> </w:t>
      </w:r>
      <w:r w:rsidRPr="009A5224">
        <w:t xml:space="preserve">stigma of failure (Javalgi et al., 2011; Surdu et al., </w:t>
      </w:r>
      <w:r w:rsidR="00410C8E" w:rsidRPr="009A5224">
        <w:t>201</w:t>
      </w:r>
      <w:r w:rsidR="00410C8E">
        <w:t>8</w:t>
      </w:r>
      <w:r w:rsidRPr="009A5224">
        <w:t>)</w:t>
      </w:r>
      <w:r>
        <w:t>.</w:t>
      </w:r>
      <w:r w:rsidRPr="009A5224">
        <w:t xml:space="preserve"> </w:t>
      </w:r>
      <w:r w:rsidRPr="00335523">
        <w:t xml:space="preserve">Therefore, </w:t>
      </w:r>
      <w:r w:rsidRPr="00BE5436">
        <w:rPr>
          <w:i/>
          <w:iCs/>
        </w:rPr>
        <w:t>most</w:t>
      </w:r>
      <w:r>
        <w:t xml:space="preserve"> </w:t>
      </w:r>
      <w:r w:rsidRPr="00335523">
        <w:t xml:space="preserve">managers </w:t>
      </w:r>
      <w:r w:rsidR="00FF485E">
        <w:t>are not</w:t>
      </w:r>
      <w:r w:rsidRPr="00335523">
        <w:t xml:space="preserve"> confident </w:t>
      </w:r>
      <w:r w:rsidR="000F6473">
        <w:t>about</w:t>
      </w:r>
      <w:r w:rsidRPr="00335523">
        <w:t xml:space="preserve"> re-starting exporting </w:t>
      </w:r>
      <w:r w:rsidR="00E64516">
        <w:t>during</w:t>
      </w:r>
      <w:r w:rsidR="00BF4B34">
        <w:t xml:space="preserve"> the early stages </w:t>
      </w:r>
      <w:r w:rsidR="00F17320">
        <w:t>of the time-out period</w:t>
      </w:r>
      <w:r>
        <w:t xml:space="preserve"> (</w:t>
      </w:r>
      <w:r w:rsidRPr="005A1E5F">
        <w:t xml:space="preserve">Dominguez </w:t>
      </w:r>
      <w:r w:rsidR="0050747F">
        <w:t>&amp;</w:t>
      </w:r>
      <w:r w:rsidRPr="005A1E5F">
        <w:t xml:space="preserve"> Mayrhofer 2017</w:t>
      </w:r>
      <w:r>
        <w:t>)</w:t>
      </w:r>
      <w:r w:rsidR="00FF485E">
        <w:t>. They</w:t>
      </w:r>
      <w:r w:rsidRPr="00335523">
        <w:t xml:space="preserve"> will </w:t>
      </w:r>
      <w:r w:rsidR="00FF485E">
        <w:t xml:space="preserve">therefore </w:t>
      </w:r>
      <w:r w:rsidRPr="00335523">
        <w:t>resist doing so to avoid risking additional resources</w:t>
      </w:r>
      <w:r>
        <w:t xml:space="preserve">, </w:t>
      </w:r>
      <w:r w:rsidR="00FF485E">
        <w:t>increasing</w:t>
      </w:r>
      <w:r>
        <w:t xml:space="preserve"> </w:t>
      </w:r>
      <w:r w:rsidRPr="00335523">
        <w:t>financial loss</w:t>
      </w:r>
      <w:r w:rsidR="00A102D4">
        <w:t>,</w:t>
      </w:r>
      <w:r>
        <w:t xml:space="preserve"> and damaging their reputation</w:t>
      </w:r>
      <w:r w:rsidRPr="00335523">
        <w:t xml:space="preserve"> (Chen et al., 2019).</w:t>
      </w:r>
    </w:p>
    <w:p w14:paraId="04C3CF0E" w14:textId="10A147F8" w:rsidR="00483655" w:rsidRPr="00335523" w:rsidRDefault="00483655" w:rsidP="00371007">
      <w:pPr>
        <w:spacing w:line="480" w:lineRule="auto"/>
        <w:ind w:firstLine="284"/>
      </w:pPr>
      <w:r>
        <w:t xml:space="preserve">Moreover, </w:t>
      </w:r>
      <w:r w:rsidR="002C01F9">
        <w:t xml:space="preserve">because of </w:t>
      </w:r>
      <w:r>
        <w:t>t</w:t>
      </w:r>
      <w:r w:rsidRPr="00335523">
        <w:t>he</w:t>
      </w:r>
      <w:r w:rsidR="002C01F9">
        <w:t>ir</w:t>
      </w:r>
      <w:r w:rsidRPr="00335523">
        <w:t xml:space="preserve"> negative predisposition towards </w:t>
      </w:r>
      <w:r w:rsidR="002C01F9">
        <w:t>restarting</w:t>
      </w:r>
      <w:r w:rsidR="002C01F9" w:rsidRPr="00335523">
        <w:t xml:space="preserve"> </w:t>
      </w:r>
      <w:r w:rsidRPr="00335523">
        <w:t>exporting</w:t>
      </w:r>
      <w:r w:rsidR="002C01F9">
        <w:t>,</w:t>
      </w:r>
      <w:r w:rsidRPr="00335523">
        <w:t xml:space="preserve"> managers </w:t>
      </w:r>
      <w:r w:rsidR="002C01F9">
        <w:t>might</w:t>
      </w:r>
      <w:r w:rsidR="002C01F9" w:rsidRPr="00335523">
        <w:t xml:space="preserve"> </w:t>
      </w:r>
      <w:r w:rsidRPr="00335523">
        <w:t>be</w:t>
      </w:r>
      <w:r w:rsidR="00371007">
        <w:t>come</w:t>
      </w:r>
      <w:r>
        <w:t xml:space="preserve"> less</w:t>
      </w:r>
      <w:r w:rsidRPr="00335523">
        <w:t xml:space="preserve"> confident </w:t>
      </w:r>
      <w:r w:rsidR="00371007">
        <w:t>in</w:t>
      </w:r>
      <w:r w:rsidR="00371007" w:rsidRPr="00335523">
        <w:t xml:space="preserve"> </w:t>
      </w:r>
      <w:r w:rsidRPr="00335523">
        <w:t>us</w:t>
      </w:r>
      <w:r w:rsidR="00371007">
        <w:t>ing</w:t>
      </w:r>
      <w:r w:rsidRPr="00335523">
        <w:t xml:space="preserve"> </w:t>
      </w:r>
      <w:r w:rsidR="002C01F9">
        <w:t>prior</w:t>
      </w:r>
      <w:r w:rsidR="002C01F9" w:rsidRPr="00335523">
        <w:t xml:space="preserve"> </w:t>
      </w:r>
      <w:r w:rsidRPr="00335523">
        <w:t>export</w:t>
      </w:r>
      <w:r w:rsidR="002C01F9">
        <w:t>ing</w:t>
      </w:r>
      <w:r w:rsidRPr="00335523">
        <w:t xml:space="preserve"> experience</w:t>
      </w:r>
      <w:r w:rsidR="002C01F9">
        <w:t xml:space="preserve"> and knowledge</w:t>
      </w:r>
      <w:r w:rsidR="004D5079">
        <w:t>,</w:t>
      </w:r>
      <w:r w:rsidR="0086485E">
        <w:t xml:space="preserve"> </w:t>
      </w:r>
      <w:r w:rsidR="001C4094">
        <w:t>which</w:t>
      </w:r>
      <w:r w:rsidR="004D5079">
        <w:t xml:space="preserve"> </w:t>
      </w:r>
      <w:r w:rsidR="0086485E" w:rsidRPr="0086485E">
        <w:t>undermine</w:t>
      </w:r>
      <w:r w:rsidR="004D5079">
        <w:t>s</w:t>
      </w:r>
      <w:r w:rsidR="00570E41">
        <w:t xml:space="preserve"> </w:t>
      </w:r>
      <w:r w:rsidR="009B5842">
        <w:t>the</w:t>
      </w:r>
      <w:r w:rsidR="00570E41">
        <w:t xml:space="preserve"> influence</w:t>
      </w:r>
      <w:r w:rsidR="00E64516">
        <w:t xml:space="preserve"> </w:t>
      </w:r>
      <w:r w:rsidR="009B5842">
        <w:t xml:space="preserve">of </w:t>
      </w:r>
      <w:r w:rsidR="00C852DD">
        <w:t xml:space="preserve">such </w:t>
      </w:r>
      <w:r w:rsidR="009B5842">
        <w:t xml:space="preserve">knowledge </w:t>
      </w:r>
      <w:r w:rsidR="0086485E" w:rsidRPr="0086485E">
        <w:t xml:space="preserve">on </w:t>
      </w:r>
      <w:r w:rsidR="002C01F9">
        <w:t>the likelihood of</w:t>
      </w:r>
      <w:r w:rsidR="002C01F9" w:rsidRPr="0086485E">
        <w:t xml:space="preserve"> </w:t>
      </w:r>
      <w:r w:rsidR="0086485E" w:rsidRPr="0086485E">
        <w:t xml:space="preserve">re-entry </w:t>
      </w:r>
      <w:r>
        <w:t>(</w:t>
      </w:r>
      <w:r w:rsidRPr="00D75D84">
        <w:t>Aguzzoli et al., 2021</w:t>
      </w:r>
      <w:r>
        <w:t xml:space="preserve">; Surdu et al., 2019; </w:t>
      </w:r>
      <w:bookmarkStart w:id="9" w:name="_Hlk70359706"/>
      <w:r w:rsidRPr="00A705CD">
        <w:t xml:space="preserve">Welch </w:t>
      </w:r>
      <w:r w:rsidR="00CC55D4">
        <w:t>&amp;</w:t>
      </w:r>
      <w:r w:rsidRPr="00A705CD">
        <w:t xml:space="preserve"> Welch 2009</w:t>
      </w:r>
      <w:bookmarkEnd w:id="9"/>
      <w:r>
        <w:t>).</w:t>
      </w:r>
      <w:r w:rsidR="00570E41">
        <w:t xml:space="preserve"> </w:t>
      </w:r>
      <w:r w:rsidR="00C25702">
        <w:t xml:space="preserve">Such </w:t>
      </w:r>
      <w:r w:rsidR="00570E41">
        <w:t>lack of confidence</w:t>
      </w:r>
      <w:r w:rsidR="001C2860">
        <w:t xml:space="preserve"> </w:t>
      </w:r>
      <w:r w:rsidR="00C25702">
        <w:t>will</w:t>
      </w:r>
      <w:r w:rsidR="001C2860">
        <w:t xml:space="preserve"> be more pronounced</w:t>
      </w:r>
      <w:r w:rsidR="00E64516">
        <w:t xml:space="preserve"> during the early stages </w:t>
      </w:r>
      <w:r w:rsidR="00371007">
        <w:t xml:space="preserve">of the time-out period </w:t>
      </w:r>
      <w:r w:rsidR="00780D74">
        <w:t>due to</w:t>
      </w:r>
      <w:r w:rsidRPr="00335523">
        <w:t xml:space="preserve"> </w:t>
      </w:r>
      <w:r>
        <w:t xml:space="preserve">the </w:t>
      </w:r>
      <w:r w:rsidRPr="00335523">
        <w:t xml:space="preserve">recent and persistent memories of the </w:t>
      </w:r>
      <w:r w:rsidR="00780D74">
        <w:t>failure that</w:t>
      </w:r>
      <w:r w:rsidRPr="00335523">
        <w:t xml:space="preserve"> the firm </w:t>
      </w:r>
      <w:r w:rsidR="00780D74">
        <w:t>experienced in</w:t>
      </w:r>
      <w:r w:rsidR="00780D74" w:rsidRPr="00335523">
        <w:t xml:space="preserve"> </w:t>
      </w:r>
      <w:r w:rsidRPr="00335523">
        <w:t>foreign markets (</w:t>
      </w:r>
      <w:bookmarkStart w:id="10" w:name="_Hlk70361265"/>
      <w:r w:rsidRPr="0005435B">
        <w:t xml:space="preserve">Madsen </w:t>
      </w:r>
      <w:r w:rsidR="00883820">
        <w:t>&amp;</w:t>
      </w:r>
      <w:r w:rsidRPr="0005435B">
        <w:t xml:space="preserve"> Desai, 2010</w:t>
      </w:r>
      <w:r>
        <w:t xml:space="preserve">; </w:t>
      </w:r>
      <w:bookmarkEnd w:id="10"/>
      <w:r w:rsidRPr="00335523">
        <w:t>Surd</w:t>
      </w:r>
      <w:r w:rsidRPr="00A07FA2">
        <w:t>u</w:t>
      </w:r>
      <w:r w:rsidRPr="00335523">
        <w:t xml:space="preserve"> </w:t>
      </w:r>
      <w:r w:rsidR="00883820">
        <w:t>&amp;</w:t>
      </w:r>
      <w:r>
        <w:t xml:space="preserve"> Narula, 202</w:t>
      </w:r>
      <w:r w:rsidR="00C80597">
        <w:t>1</w:t>
      </w:r>
      <w:r w:rsidRPr="00335523">
        <w:t>)</w:t>
      </w:r>
      <w:r>
        <w:t>.</w:t>
      </w:r>
      <w:r w:rsidR="004D5079" w:rsidRPr="004D5079">
        <w:t xml:space="preserve"> </w:t>
      </w:r>
      <w:r w:rsidR="00066681">
        <w:t>Hence, the desire to</w:t>
      </w:r>
      <w:r w:rsidR="004D5079" w:rsidRPr="004D5079">
        <w:t xml:space="preserve"> re-enter foreign markets</w:t>
      </w:r>
      <w:r w:rsidR="00F219A7">
        <w:t xml:space="preserve"> is expected</w:t>
      </w:r>
      <w:r w:rsidR="004D5079" w:rsidRPr="004D5079">
        <w:t xml:space="preserve"> to be low</w:t>
      </w:r>
      <w:r w:rsidR="00066681" w:rsidRPr="00066681">
        <w:t xml:space="preserve"> </w:t>
      </w:r>
      <w:r w:rsidR="00066681">
        <w:t xml:space="preserve">during </w:t>
      </w:r>
      <w:r w:rsidR="000F6473">
        <w:t>the</w:t>
      </w:r>
      <w:r w:rsidR="00066681">
        <w:t xml:space="preserve"> early stages</w:t>
      </w:r>
      <w:r w:rsidR="004D5079">
        <w:t>.</w:t>
      </w:r>
      <w:bookmarkStart w:id="11" w:name="_Hlk48328863"/>
    </w:p>
    <w:bookmarkEnd w:id="11"/>
    <w:p w14:paraId="08D8D76D" w14:textId="6E49B528" w:rsidR="004410DB" w:rsidRDefault="00483655" w:rsidP="00AB7DC5">
      <w:pPr>
        <w:spacing w:line="480" w:lineRule="auto"/>
        <w:ind w:firstLine="284"/>
      </w:pPr>
      <w:r w:rsidRPr="00335523">
        <w:lastRenderedPageBreak/>
        <w:t>After the initial exit shock</w:t>
      </w:r>
      <w:r>
        <w:t>,</w:t>
      </w:r>
      <w:r w:rsidRPr="00335523">
        <w:t xml:space="preserve"> </w:t>
      </w:r>
      <w:r w:rsidR="00C852DD">
        <w:t xml:space="preserve">however, </w:t>
      </w:r>
      <w:r w:rsidRPr="00335523">
        <w:t>the dismissive attitude and negative perception</w:t>
      </w:r>
      <w:r w:rsidR="00C852DD">
        <w:t>s</w:t>
      </w:r>
      <w:r w:rsidRPr="00335523">
        <w:t xml:space="preserve"> </w:t>
      </w:r>
      <w:r>
        <w:t>of</w:t>
      </w:r>
      <w:r w:rsidRPr="00335523">
        <w:t xml:space="preserve"> </w:t>
      </w:r>
      <w:r w:rsidRPr="00C852DD">
        <w:t>managers begin to subside as memories of the previous exit weaken</w:t>
      </w:r>
      <w:r w:rsidR="00C852DD" w:rsidRPr="00C852DD">
        <w:t>.</w:t>
      </w:r>
      <w:r w:rsidR="00686DE5" w:rsidRPr="00686DE5">
        <w:t xml:space="preserve"> </w:t>
      </w:r>
      <w:r w:rsidR="00C852DD" w:rsidRPr="00C852DD">
        <w:t>Hence,</w:t>
      </w:r>
      <w:r w:rsidR="00B81726" w:rsidRPr="00C852DD">
        <w:t xml:space="preserve"> the</w:t>
      </w:r>
      <w:r w:rsidR="00B81726" w:rsidRPr="00890BB1">
        <w:t xml:space="preserve"> importance that managers assign to it </w:t>
      </w:r>
      <w:r w:rsidR="00EB7B70" w:rsidRPr="00890BB1">
        <w:t xml:space="preserve">gradually </w:t>
      </w:r>
      <w:r w:rsidR="00B81726" w:rsidRPr="00890BB1">
        <w:t>decrease</w:t>
      </w:r>
      <w:r w:rsidR="00AE7A40" w:rsidRPr="00890BB1">
        <w:t>s</w:t>
      </w:r>
      <w:r w:rsidR="00B81726" w:rsidRPr="00890BB1">
        <w:t xml:space="preserve"> </w:t>
      </w:r>
      <w:r w:rsidRPr="00C852DD">
        <w:t>(Javalgi</w:t>
      </w:r>
      <w:r>
        <w:t xml:space="preserve"> et al., 2011)</w:t>
      </w:r>
      <w:r w:rsidRPr="00335523">
        <w:t xml:space="preserve">. </w:t>
      </w:r>
      <w:bookmarkStart w:id="12" w:name="_Hlk48388533"/>
      <w:r w:rsidR="009B7712" w:rsidRPr="009B7712">
        <w:t xml:space="preserve">For example, after exiting in 2000 from almost all </w:t>
      </w:r>
      <w:r w:rsidR="00FF768A">
        <w:t xml:space="preserve">Asian </w:t>
      </w:r>
      <w:r w:rsidR="009B7712" w:rsidRPr="009B7712">
        <w:t xml:space="preserve">markets, </w:t>
      </w:r>
      <w:r w:rsidR="003A4F34" w:rsidRPr="009B7712">
        <w:t>the Australian bank ANZ</w:t>
      </w:r>
      <w:r w:rsidR="003A4F34">
        <w:t xml:space="preserve"> </w:t>
      </w:r>
      <w:r w:rsidR="009B7712" w:rsidRPr="009B7712">
        <w:t>did not restart foreign expansion until 2003</w:t>
      </w:r>
      <w:r w:rsidR="003A4F34">
        <w:t xml:space="preserve"> </w:t>
      </w:r>
      <w:r w:rsidR="003A4F34" w:rsidRPr="00FA6084">
        <w:t xml:space="preserve">(Welch </w:t>
      </w:r>
      <w:r w:rsidR="009E568D">
        <w:t>&amp;</w:t>
      </w:r>
      <w:r w:rsidR="003A4F34" w:rsidRPr="00FA6084">
        <w:t xml:space="preserve"> Welch, 2009)</w:t>
      </w:r>
      <w:r w:rsidR="009B7712" w:rsidRPr="009B7712">
        <w:t xml:space="preserve">. When </w:t>
      </w:r>
      <w:r w:rsidR="00B439F4">
        <w:t>it</w:t>
      </w:r>
      <w:r w:rsidR="00B439F4" w:rsidRPr="009B7712">
        <w:t xml:space="preserve"> </w:t>
      </w:r>
      <w:r w:rsidR="009B7712" w:rsidRPr="009B7712">
        <w:t xml:space="preserve">did, </w:t>
      </w:r>
      <w:r w:rsidR="00B439F4">
        <w:t xml:space="preserve">it </w:t>
      </w:r>
      <w:r w:rsidR="000F6473">
        <w:t>did so</w:t>
      </w:r>
      <w:r w:rsidR="009B7712" w:rsidRPr="009B7712">
        <w:t xml:space="preserve"> </w:t>
      </w:r>
      <w:r w:rsidR="00A102D4">
        <w:t>cautiously</w:t>
      </w:r>
      <w:r w:rsidR="00FF768A">
        <w:t>,</w:t>
      </w:r>
      <w:r w:rsidR="009B7712" w:rsidRPr="009B7712">
        <w:t xml:space="preserve"> followed by a</w:t>
      </w:r>
      <w:r w:rsidR="00327A7B">
        <w:t>n</w:t>
      </w:r>
      <w:r w:rsidR="009B7712" w:rsidRPr="009B7712">
        <w:t xml:space="preserve"> </w:t>
      </w:r>
      <w:r w:rsidR="00924F99">
        <w:t xml:space="preserve">incremental </w:t>
      </w:r>
      <w:r w:rsidR="009B7712" w:rsidRPr="009B7712">
        <w:t>increase in</w:t>
      </w:r>
      <w:r w:rsidR="00E4517F">
        <w:t xml:space="preserve"> i</w:t>
      </w:r>
      <w:r w:rsidR="009B7712" w:rsidRPr="009B7712">
        <w:t xml:space="preserve">nternationalization over the coming years. </w:t>
      </w:r>
      <w:r w:rsidR="00AB7DC5" w:rsidRPr="00AB7DC5">
        <w:t>The fact that the bank waited for 3 years and chose a small-scale gradual increas</w:t>
      </w:r>
      <w:r w:rsidR="0017101D">
        <w:t>e in</w:t>
      </w:r>
      <w:r w:rsidR="00AB7DC5" w:rsidRPr="00AB7DC5">
        <w:t xml:space="preserve"> international activities was considered to be guided by the negative memories of the exit, and the progressive increase in the CEO’s confidence as time lapsed</w:t>
      </w:r>
      <w:r w:rsidR="00FA6084">
        <w:t>.</w:t>
      </w:r>
      <w:r w:rsidR="00570648">
        <w:t xml:space="preserve"> </w:t>
      </w:r>
    </w:p>
    <w:p w14:paraId="66EB0075" w14:textId="560B4166" w:rsidR="00483655" w:rsidRPr="00AE7A40" w:rsidRDefault="00803C57" w:rsidP="00AB7DC5">
      <w:pPr>
        <w:spacing w:line="480" w:lineRule="auto"/>
        <w:ind w:firstLine="284"/>
      </w:pPr>
      <w:r w:rsidRPr="00803C57">
        <w:t>Firms</w:t>
      </w:r>
      <w:r w:rsidR="00A102D4">
        <w:t>,</w:t>
      </w:r>
      <w:r w:rsidRPr="00803C57">
        <w:t xml:space="preserve"> therefore</w:t>
      </w:r>
      <w:r w:rsidR="00A102D4">
        <w:t>,</w:t>
      </w:r>
      <w:r w:rsidRPr="00803C57">
        <w:t xml:space="preserve"> start to increasingly reflect on and use prior international experience and be more open to evaluating information about foreign opportunities (Casillas et al., 2009; Chen et al., 2019). </w:t>
      </w:r>
      <w:r w:rsidR="0018771F">
        <w:t>The</w:t>
      </w:r>
      <w:r w:rsidR="00DE3FE2">
        <w:t xml:space="preserve"> </w:t>
      </w:r>
      <w:r w:rsidR="00AE7A40">
        <w:t xml:space="preserve">greater </w:t>
      </w:r>
      <w:r w:rsidR="007A0081">
        <w:t>us</w:t>
      </w:r>
      <w:r w:rsidR="00B32526">
        <w:t>e</w:t>
      </w:r>
      <w:r w:rsidR="0018771F">
        <w:t xml:space="preserve"> of</w:t>
      </w:r>
      <w:r w:rsidR="00483655" w:rsidRPr="00335523">
        <w:t xml:space="preserve"> </w:t>
      </w:r>
      <w:r w:rsidR="0018771F">
        <w:t xml:space="preserve">prior exporting </w:t>
      </w:r>
      <w:r w:rsidR="00483655" w:rsidRPr="00335523">
        <w:t xml:space="preserve">experiential knowledge </w:t>
      </w:r>
      <w:r w:rsidR="00C852DD">
        <w:t xml:space="preserve">reduces the </w:t>
      </w:r>
      <w:r w:rsidR="00483655" w:rsidRPr="00335523">
        <w:t>uncertainty</w:t>
      </w:r>
      <w:r w:rsidR="00C852DD">
        <w:t xml:space="preserve"> perceived by managers</w:t>
      </w:r>
      <w:r w:rsidR="00483655" w:rsidRPr="00335523">
        <w:t xml:space="preserve"> </w:t>
      </w:r>
      <w:r w:rsidR="00483655">
        <w:t>and increase</w:t>
      </w:r>
      <w:r w:rsidR="00B32526">
        <w:t>s</w:t>
      </w:r>
      <w:r w:rsidR="00483655">
        <w:t xml:space="preserve"> the </w:t>
      </w:r>
      <w:r w:rsidR="00C827F9">
        <w:t>likelihood</w:t>
      </w:r>
      <w:r w:rsidR="00483655">
        <w:t xml:space="preserve"> of re-entry</w:t>
      </w:r>
      <w:r w:rsidR="008F142F">
        <w:t xml:space="preserve"> </w:t>
      </w:r>
      <w:r w:rsidR="008F142F" w:rsidRPr="008F142F">
        <w:t>(Figure 1a)</w:t>
      </w:r>
      <w:r w:rsidR="00172C7B" w:rsidRPr="00172C7B">
        <w:t xml:space="preserve"> </w:t>
      </w:r>
      <w:r w:rsidR="005E4088" w:rsidRPr="005E4088">
        <w:t xml:space="preserve">(Casillas et al., 2009; Sousa </w:t>
      </w:r>
      <w:r w:rsidR="00B111BE">
        <w:t>&amp;</w:t>
      </w:r>
      <w:r w:rsidR="005E4088" w:rsidRPr="005E4088">
        <w:t xml:space="preserve"> Tan, 2015). </w:t>
      </w:r>
      <w:r w:rsidR="003B6827">
        <w:t>However</w:t>
      </w:r>
      <w:r w:rsidR="002C6941">
        <w:t>,</w:t>
      </w:r>
      <w:r w:rsidR="003B6827">
        <w:t xml:space="preserve"> this </w:t>
      </w:r>
      <w:r w:rsidR="002C6941">
        <w:t>effect</w:t>
      </w:r>
      <w:r w:rsidR="00401959">
        <w:t xml:space="preserve"> </w:t>
      </w:r>
      <w:r w:rsidR="003B6827">
        <w:t xml:space="preserve">occurs </w:t>
      </w:r>
      <w:r w:rsidR="00172C7B" w:rsidRPr="00172C7B">
        <w:t>at a reducing rate</w:t>
      </w:r>
      <w:r w:rsidR="00737A17">
        <w:t xml:space="preserve"> </w:t>
      </w:r>
      <w:r w:rsidR="00CA13D0">
        <w:t>over</w:t>
      </w:r>
      <w:r w:rsidR="00D207A7">
        <w:t xml:space="preserve"> </w:t>
      </w:r>
      <w:r w:rsidR="00F86E8A">
        <w:t>longer</w:t>
      </w:r>
      <w:r w:rsidR="00737A17">
        <w:t xml:space="preserve"> time-out periods</w:t>
      </w:r>
      <w:r w:rsidR="00334E73">
        <w:t>.</w:t>
      </w:r>
      <w:r w:rsidR="00A907FA">
        <w:t xml:space="preserve"> </w:t>
      </w:r>
      <w:r w:rsidR="00611832">
        <w:t xml:space="preserve">This </w:t>
      </w:r>
      <w:r w:rsidR="00B32526">
        <w:t xml:space="preserve">occurs </w:t>
      </w:r>
      <w:r w:rsidR="00611832">
        <w:t xml:space="preserve">because </w:t>
      </w:r>
      <w:r w:rsidR="004675B8">
        <w:t xml:space="preserve">at </w:t>
      </w:r>
      <w:r w:rsidR="00443F6B">
        <w:t>greater time-out periods</w:t>
      </w:r>
      <w:r w:rsidR="008C72EA">
        <w:t>,</w:t>
      </w:r>
      <w:r w:rsidR="00443F6B">
        <w:t xml:space="preserve"> </w:t>
      </w:r>
      <w:r w:rsidR="00611832">
        <w:t>firms</w:t>
      </w:r>
      <w:r w:rsidR="00CC6F41">
        <w:t xml:space="preserve"> have a </w:t>
      </w:r>
      <w:r w:rsidR="008E74FA">
        <w:t xml:space="preserve">lower </w:t>
      </w:r>
      <w:r w:rsidR="00CC6F41">
        <w:t>resistance</w:t>
      </w:r>
      <w:r w:rsidR="008E74FA">
        <w:t xml:space="preserve"> from the exit, </w:t>
      </w:r>
      <w:r w:rsidR="0001551E">
        <w:t xml:space="preserve">but </w:t>
      </w:r>
      <w:r w:rsidR="008E74FA">
        <w:t>they also have a</w:t>
      </w:r>
      <w:r w:rsidR="00611832">
        <w:t xml:space="preserve"> l</w:t>
      </w:r>
      <w:r w:rsidR="008E74FA">
        <w:t>ower</w:t>
      </w:r>
      <w:r w:rsidR="00D207A7">
        <w:t xml:space="preserve"> stock</w:t>
      </w:r>
      <w:r w:rsidR="00F70D99">
        <w:t xml:space="preserve"> of</w:t>
      </w:r>
      <w:r w:rsidR="00611832">
        <w:t xml:space="preserve"> </w:t>
      </w:r>
      <w:r w:rsidR="00D57467">
        <w:t xml:space="preserve">the initial </w:t>
      </w:r>
      <w:r w:rsidR="00611832">
        <w:t xml:space="preserve">experiential knowledge </w:t>
      </w:r>
      <w:r w:rsidR="008E74FA">
        <w:t xml:space="preserve">available, which reduces </w:t>
      </w:r>
      <w:r w:rsidR="002C6941">
        <w:t xml:space="preserve">their </w:t>
      </w:r>
      <w:r w:rsidR="008E74FA">
        <w:t>confidence</w:t>
      </w:r>
      <w:r w:rsidR="002C6941">
        <w:t xml:space="preserve">. </w:t>
      </w:r>
      <w:r w:rsidR="00CA13D0">
        <w:t xml:space="preserve"> </w:t>
      </w:r>
    </w:p>
    <w:p w14:paraId="607D876E" w14:textId="32EA536F" w:rsidR="00483655" w:rsidRDefault="00483655" w:rsidP="00483655">
      <w:pPr>
        <w:spacing w:line="480" w:lineRule="auto"/>
        <w:ind w:firstLine="284"/>
      </w:pPr>
      <w:bookmarkStart w:id="13" w:name="_Hlk49421990"/>
      <w:bookmarkEnd w:id="12"/>
      <w:r>
        <w:t xml:space="preserve"> </w:t>
      </w:r>
      <w:r w:rsidR="0001551E">
        <w:t>As time</w:t>
      </w:r>
      <w:r>
        <w:t xml:space="preserve"> pass</w:t>
      </w:r>
      <w:r w:rsidR="0001551E">
        <w:t>es</w:t>
      </w:r>
      <w:r>
        <w:t xml:space="preserve"> and</w:t>
      </w:r>
      <w:r w:rsidR="007E4201" w:rsidRPr="0076719C">
        <w:t xml:space="preserve"> </w:t>
      </w:r>
      <w:r w:rsidRPr="0076719C">
        <w:t xml:space="preserve">the memory of exit </w:t>
      </w:r>
      <w:r w:rsidR="0001551E">
        <w:t>disappears</w:t>
      </w:r>
      <w:r w:rsidRPr="0076719C">
        <w:t>, only the effect of the experiential knowledge remain</w:t>
      </w:r>
      <w:r w:rsidR="007E4201">
        <w:t>s</w:t>
      </w:r>
      <w:r w:rsidR="00C8370A">
        <w:t xml:space="preserve"> (Javalgi et al., 2011)</w:t>
      </w:r>
      <w:r w:rsidRPr="0076719C">
        <w:t xml:space="preserve">. </w:t>
      </w:r>
      <w:r>
        <w:t>From that point onwards,</w:t>
      </w:r>
      <w:r w:rsidR="003244DB">
        <w:t xml:space="preserve"> the likelihood of</w:t>
      </w:r>
      <w:r>
        <w:t xml:space="preserve"> </w:t>
      </w:r>
      <w:r w:rsidRPr="00147EC4">
        <w:t xml:space="preserve">re-entry </w:t>
      </w:r>
      <w:r>
        <w:t xml:space="preserve">is </w:t>
      </w:r>
      <w:r w:rsidRPr="00147EC4">
        <w:t>primarily driven by the depreciation of prior experien</w:t>
      </w:r>
      <w:r w:rsidR="002A37DF">
        <w:t>tial knowledge</w:t>
      </w:r>
      <w:r w:rsidR="00D0252B" w:rsidRPr="00D0252B">
        <w:t xml:space="preserve">. </w:t>
      </w:r>
      <w:r w:rsidRPr="00147EC4">
        <w:t xml:space="preserve">As a result, </w:t>
      </w:r>
      <w:r w:rsidR="00482A7E">
        <w:t xml:space="preserve">the likelihood of </w:t>
      </w:r>
      <w:r w:rsidR="002B20F2">
        <w:t xml:space="preserve">restarting </w:t>
      </w:r>
      <w:r w:rsidRPr="00147EC4">
        <w:t>export</w:t>
      </w:r>
      <w:r w:rsidR="00482A7E">
        <w:t>ing</w:t>
      </w:r>
      <w:r w:rsidRPr="00147EC4">
        <w:t xml:space="preserve"> start</w:t>
      </w:r>
      <w:r>
        <w:t>s</w:t>
      </w:r>
      <w:r w:rsidRPr="00147EC4">
        <w:t xml:space="preserve"> to</w:t>
      </w:r>
      <w:r>
        <w:t xml:space="preserve"> </w:t>
      </w:r>
      <w:r w:rsidRPr="00147EC4">
        <w:t xml:space="preserve">decline. </w:t>
      </w:r>
      <w:r w:rsidR="0001551E">
        <w:t>Hence</w:t>
      </w:r>
      <w:r w:rsidRPr="00147EC4">
        <w:t xml:space="preserve">, we </w:t>
      </w:r>
      <w:r w:rsidR="0001551E">
        <w:t>expect</w:t>
      </w:r>
      <w:r w:rsidR="0001551E" w:rsidRPr="00147EC4">
        <w:t xml:space="preserve"> </w:t>
      </w:r>
      <w:r w:rsidRPr="00147EC4">
        <w:t xml:space="preserve">that these two latent mechanisms will produce an inverted </w:t>
      </w:r>
      <w:r>
        <w:t>U</w:t>
      </w:r>
      <w:r w:rsidRPr="00147EC4">
        <w:t>-</w:t>
      </w:r>
      <w:r w:rsidR="007822FF">
        <w:t>shaped</w:t>
      </w:r>
      <w:r w:rsidR="007822FF" w:rsidRPr="00147EC4">
        <w:t xml:space="preserve"> </w:t>
      </w:r>
      <w:r w:rsidRPr="00147EC4">
        <w:t xml:space="preserve">relationship between the </w:t>
      </w:r>
      <w:r w:rsidR="009B73EF">
        <w:t>time-out</w:t>
      </w:r>
      <w:r w:rsidRPr="00147EC4">
        <w:t xml:space="preserve"> period and </w:t>
      </w:r>
      <w:r w:rsidR="007822FF">
        <w:t>the likelihood of</w:t>
      </w:r>
      <w:r w:rsidR="007822FF" w:rsidRPr="00147EC4">
        <w:t xml:space="preserve"> </w:t>
      </w:r>
      <w:r w:rsidRPr="00147EC4">
        <w:t xml:space="preserve">re-entry </w:t>
      </w:r>
      <w:r w:rsidR="007822FF">
        <w:t>(</w:t>
      </w:r>
      <w:r w:rsidRPr="00147EC4">
        <w:t xml:space="preserve">as illustrated in </w:t>
      </w:r>
      <w:r w:rsidR="00C85F41">
        <w:t>F</w:t>
      </w:r>
      <w:r w:rsidRPr="00147EC4">
        <w:t>igure 1</w:t>
      </w:r>
      <w:r w:rsidR="007822FF">
        <w:t>)</w:t>
      </w:r>
      <w:bookmarkEnd w:id="13"/>
      <w:r w:rsidRPr="00335523">
        <w:t>:</w:t>
      </w:r>
      <w:r>
        <w:t xml:space="preserve"> </w:t>
      </w:r>
    </w:p>
    <w:p w14:paraId="4AC17BA0" w14:textId="4CD43189" w:rsidR="00483655" w:rsidRDefault="00483655" w:rsidP="002D77C3">
      <w:pPr>
        <w:spacing w:line="480" w:lineRule="auto"/>
        <w:ind w:left="284"/>
        <w:rPr>
          <w:i/>
          <w:iCs/>
        </w:rPr>
      </w:pPr>
      <w:r w:rsidRPr="00335523">
        <w:rPr>
          <w:i/>
          <w:iCs/>
        </w:rPr>
        <w:t>Hypothesis 1</w:t>
      </w:r>
      <w:r w:rsidRPr="00335523">
        <w:t xml:space="preserve">: </w:t>
      </w:r>
      <w:r w:rsidR="008D2737" w:rsidRPr="00BE5436">
        <w:rPr>
          <w:i/>
          <w:iCs/>
        </w:rPr>
        <w:t xml:space="preserve">There is </w:t>
      </w:r>
      <w:r w:rsidR="008D2737" w:rsidRPr="008D2737">
        <w:rPr>
          <w:i/>
          <w:iCs/>
        </w:rPr>
        <w:t>a</w:t>
      </w:r>
      <w:r w:rsidRPr="008D2737">
        <w:rPr>
          <w:i/>
          <w:iCs/>
        </w:rPr>
        <w:t>n inve</w:t>
      </w:r>
      <w:r w:rsidRPr="00335523">
        <w:rPr>
          <w:i/>
          <w:iCs/>
        </w:rPr>
        <w:t>rted U</w:t>
      </w:r>
      <w:r>
        <w:rPr>
          <w:i/>
          <w:iCs/>
        </w:rPr>
        <w:t>-</w:t>
      </w:r>
      <w:r w:rsidRPr="00335523">
        <w:rPr>
          <w:i/>
          <w:iCs/>
        </w:rPr>
        <w:t>shape</w:t>
      </w:r>
      <w:r>
        <w:rPr>
          <w:i/>
          <w:iCs/>
        </w:rPr>
        <w:t>d</w:t>
      </w:r>
      <w:r w:rsidRPr="00335523">
        <w:rPr>
          <w:i/>
          <w:iCs/>
        </w:rPr>
        <w:t xml:space="preserve"> relationship between the exporting time</w:t>
      </w:r>
      <w:r>
        <w:rPr>
          <w:i/>
          <w:iCs/>
        </w:rPr>
        <w:t>-</w:t>
      </w:r>
      <w:r w:rsidRPr="00335523">
        <w:rPr>
          <w:i/>
          <w:iCs/>
        </w:rPr>
        <w:t xml:space="preserve">out period and the </w:t>
      </w:r>
      <w:r w:rsidR="004A5267">
        <w:rPr>
          <w:i/>
          <w:iCs/>
        </w:rPr>
        <w:t>likelihood</w:t>
      </w:r>
      <w:r w:rsidR="004A5267" w:rsidRPr="00335523">
        <w:rPr>
          <w:i/>
          <w:iCs/>
        </w:rPr>
        <w:t xml:space="preserve"> </w:t>
      </w:r>
      <w:r w:rsidRPr="00335523">
        <w:rPr>
          <w:i/>
          <w:iCs/>
        </w:rPr>
        <w:t>of re-</w:t>
      </w:r>
      <w:r w:rsidR="00CE6AED">
        <w:rPr>
          <w:i/>
          <w:iCs/>
        </w:rPr>
        <w:t>initiating</w:t>
      </w:r>
      <w:r w:rsidR="00CE6AED" w:rsidRPr="00335523">
        <w:rPr>
          <w:i/>
          <w:iCs/>
        </w:rPr>
        <w:t xml:space="preserve"> </w:t>
      </w:r>
      <w:r>
        <w:rPr>
          <w:i/>
          <w:iCs/>
        </w:rPr>
        <w:t xml:space="preserve">the firm’s </w:t>
      </w:r>
      <w:r w:rsidRPr="00335523">
        <w:rPr>
          <w:i/>
          <w:iCs/>
        </w:rPr>
        <w:t>export activities.</w:t>
      </w:r>
    </w:p>
    <w:p w14:paraId="73641599" w14:textId="77777777" w:rsidR="00BF4B34" w:rsidRDefault="00BF4B34" w:rsidP="00483655">
      <w:pPr>
        <w:spacing w:line="480" w:lineRule="auto"/>
        <w:rPr>
          <w:i/>
          <w:iCs/>
        </w:rPr>
      </w:pPr>
    </w:p>
    <w:bookmarkEnd w:id="6"/>
    <w:p w14:paraId="46074E07" w14:textId="13E3424B" w:rsidR="00A02E2A" w:rsidRPr="00A57C24" w:rsidRDefault="008D79CA" w:rsidP="00A02E2A">
      <w:pPr>
        <w:spacing w:line="480" w:lineRule="auto"/>
        <w:rPr>
          <w:u w:val="single"/>
        </w:rPr>
      </w:pPr>
      <w:r>
        <w:rPr>
          <w:i/>
          <w:iCs/>
        </w:rPr>
        <w:lastRenderedPageBreak/>
        <w:t xml:space="preserve">2.3 </w:t>
      </w:r>
      <w:r w:rsidR="00A02E2A">
        <w:rPr>
          <w:i/>
          <w:u w:val="single"/>
        </w:rPr>
        <w:t>The moderating effect of</w:t>
      </w:r>
      <w:r w:rsidR="00A02E2A" w:rsidRPr="00291423">
        <w:rPr>
          <w:i/>
          <w:u w:val="single"/>
        </w:rPr>
        <w:t xml:space="preserve"> collaboration </w:t>
      </w:r>
      <w:r w:rsidR="00A02E2A">
        <w:rPr>
          <w:i/>
          <w:u w:val="single"/>
        </w:rPr>
        <w:t xml:space="preserve">on </w:t>
      </w:r>
      <w:r w:rsidR="005525AB">
        <w:rPr>
          <w:i/>
          <w:iCs/>
          <w:u w:val="single"/>
        </w:rPr>
        <w:t>the</w:t>
      </w:r>
      <w:r w:rsidR="005525AB">
        <w:rPr>
          <w:i/>
          <w:u w:val="single"/>
        </w:rPr>
        <w:t xml:space="preserve"> relationship between</w:t>
      </w:r>
      <w:r w:rsidR="00A02E2A" w:rsidRPr="00A57C24">
        <w:rPr>
          <w:i/>
          <w:iCs/>
          <w:u w:val="single"/>
        </w:rPr>
        <w:t xml:space="preserve"> </w:t>
      </w:r>
      <w:r w:rsidR="004A5267">
        <w:rPr>
          <w:i/>
          <w:iCs/>
          <w:u w:val="single"/>
        </w:rPr>
        <w:t>the</w:t>
      </w:r>
      <w:r w:rsidR="004A5267" w:rsidRPr="00A57C24">
        <w:rPr>
          <w:i/>
          <w:iCs/>
          <w:u w:val="single"/>
        </w:rPr>
        <w:t xml:space="preserve"> </w:t>
      </w:r>
      <w:r w:rsidR="00A02E2A" w:rsidRPr="00A57C24">
        <w:rPr>
          <w:i/>
          <w:iCs/>
          <w:u w:val="single"/>
        </w:rPr>
        <w:t xml:space="preserve">time-out period </w:t>
      </w:r>
      <w:r w:rsidR="005525AB">
        <w:rPr>
          <w:i/>
          <w:iCs/>
          <w:u w:val="single"/>
        </w:rPr>
        <w:t>and</w:t>
      </w:r>
      <w:r w:rsidR="00A02E2A" w:rsidRPr="00A57C24">
        <w:rPr>
          <w:i/>
          <w:iCs/>
          <w:u w:val="single"/>
        </w:rPr>
        <w:t xml:space="preserve"> the </w:t>
      </w:r>
      <w:r w:rsidR="00165DB4">
        <w:rPr>
          <w:i/>
          <w:iCs/>
          <w:u w:val="single"/>
        </w:rPr>
        <w:t>likelihood</w:t>
      </w:r>
      <w:r w:rsidR="00165DB4" w:rsidRPr="00A57C24">
        <w:rPr>
          <w:i/>
          <w:iCs/>
          <w:u w:val="single"/>
        </w:rPr>
        <w:t xml:space="preserve"> </w:t>
      </w:r>
      <w:r w:rsidR="00A02E2A" w:rsidRPr="00A57C24">
        <w:rPr>
          <w:i/>
          <w:iCs/>
          <w:u w:val="single"/>
        </w:rPr>
        <w:t>of re-</w:t>
      </w:r>
      <w:r w:rsidR="00165DB4">
        <w:rPr>
          <w:i/>
          <w:iCs/>
          <w:u w:val="single"/>
        </w:rPr>
        <w:t>initiating</w:t>
      </w:r>
      <w:r w:rsidR="00165DB4" w:rsidRPr="00A57C24">
        <w:rPr>
          <w:i/>
          <w:iCs/>
          <w:u w:val="single"/>
        </w:rPr>
        <w:t xml:space="preserve"> </w:t>
      </w:r>
      <w:r w:rsidR="00A02E2A" w:rsidRPr="00A57C24">
        <w:rPr>
          <w:i/>
          <w:iCs/>
          <w:u w:val="single"/>
        </w:rPr>
        <w:t>exporting</w:t>
      </w:r>
    </w:p>
    <w:p w14:paraId="0E0F17BC" w14:textId="5C80D943" w:rsidR="00485F58" w:rsidRDefault="00166792" w:rsidP="004F3E5E">
      <w:pPr>
        <w:spacing w:line="480" w:lineRule="auto"/>
        <w:ind w:firstLine="284"/>
      </w:pPr>
      <w:r>
        <w:t xml:space="preserve"> </w:t>
      </w:r>
      <w:r w:rsidR="002B0D74">
        <w:t>We further argue that</w:t>
      </w:r>
      <w:r w:rsidR="001C1953">
        <w:t xml:space="preserve"> f</w:t>
      </w:r>
      <w:r>
        <w:t>irms</w:t>
      </w:r>
      <w:r w:rsidR="001C1953">
        <w:t xml:space="preserve"> </w:t>
      </w:r>
      <w:r w:rsidR="002B0D74">
        <w:t>accumulate</w:t>
      </w:r>
      <w:r w:rsidR="005E5059">
        <w:t xml:space="preserve"> </w:t>
      </w:r>
      <w:r w:rsidR="00200B93">
        <w:t>market</w:t>
      </w:r>
      <w:r w:rsidR="002005FC">
        <w:t>-</w:t>
      </w:r>
      <w:r w:rsidR="00200B93">
        <w:t xml:space="preserve">specific and general internationalization </w:t>
      </w:r>
      <w:r>
        <w:t>knowledge</w:t>
      </w:r>
      <w:r w:rsidR="00BA0094">
        <w:t xml:space="preserve"> </w:t>
      </w:r>
      <w:r w:rsidR="002B0D74">
        <w:t xml:space="preserve">not only through exporting but also </w:t>
      </w:r>
      <w:r w:rsidR="001C1953">
        <w:t>through collaborations</w:t>
      </w:r>
      <w:r>
        <w:t xml:space="preserve"> with </w:t>
      </w:r>
      <w:r w:rsidR="005F6E7E">
        <w:t>foreign</w:t>
      </w:r>
      <w:r>
        <w:t xml:space="preserve"> partners</w:t>
      </w:r>
      <w:r w:rsidR="002B0D74">
        <w:t>,</w:t>
      </w:r>
      <w:r>
        <w:t xml:space="preserve"> especially with suppliers, competitors</w:t>
      </w:r>
      <w:r w:rsidR="00A102D4">
        <w:t>,</w:t>
      </w:r>
      <w:r>
        <w:t xml:space="preserve"> and (prior) </w:t>
      </w:r>
      <w:r w:rsidRPr="00A07FA2">
        <w:t>customers</w:t>
      </w:r>
      <w:r>
        <w:t xml:space="preserve"> </w:t>
      </w:r>
      <w:r w:rsidRPr="00A07FA2">
        <w:t>(Casillas et al., 2009</w:t>
      </w:r>
      <w:r>
        <w:t>; Hsieh et al., 2018; Kafouros et al., 202</w:t>
      </w:r>
      <w:r w:rsidR="00250966">
        <w:t>2b</w:t>
      </w:r>
      <w:r>
        <w:t xml:space="preserve">, Li et al., 2008; </w:t>
      </w:r>
      <w:r w:rsidRPr="00A76B4C">
        <w:t xml:space="preserve">Surdu </w:t>
      </w:r>
      <w:r>
        <w:t xml:space="preserve">et al., 2019; </w:t>
      </w:r>
      <w:r w:rsidRPr="00475EC2">
        <w:t xml:space="preserve">Vissak </w:t>
      </w:r>
      <w:r w:rsidR="00E12CA6">
        <w:t>&amp;</w:t>
      </w:r>
      <w:r w:rsidRPr="00475EC2">
        <w:t xml:space="preserve"> Francioni, 2013</w:t>
      </w:r>
      <w:r>
        <w:t>).</w:t>
      </w:r>
      <w:r w:rsidR="00EF1681">
        <w:t xml:space="preserve"> </w:t>
      </w:r>
      <w:r w:rsidR="007B1CF3" w:rsidRPr="007B1CF3">
        <w:t>Collaboration in this study refers to active participation in innovation activities and excludes contracting out work</w:t>
      </w:r>
      <w:r w:rsidR="007B1CF3" w:rsidRPr="007B1CF3">
        <w:rPr>
          <w:i/>
          <w:iCs/>
        </w:rPr>
        <w:t xml:space="preserve"> </w:t>
      </w:r>
      <w:r w:rsidR="007B1CF3" w:rsidRPr="007B1CF3">
        <w:t>(De Marchi, 2012; Hsieh et al., 2018; Kafouros et al., 2020).</w:t>
      </w:r>
      <w:r w:rsidR="007B1CF3">
        <w:t xml:space="preserve"> </w:t>
      </w:r>
      <w:r w:rsidR="006139E5">
        <w:t>E</w:t>
      </w:r>
      <w:r w:rsidRPr="00872503">
        <w:t xml:space="preserve">ven </w:t>
      </w:r>
      <w:r w:rsidR="006B719D">
        <w:t>when</w:t>
      </w:r>
      <w:r w:rsidR="006B719D" w:rsidRPr="00872503">
        <w:t xml:space="preserve"> </w:t>
      </w:r>
      <w:r w:rsidRPr="00872503">
        <w:t>firms exit foreign markets</w:t>
      </w:r>
      <w:r w:rsidR="00632C1C">
        <w:t xml:space="preserve"> </w:t>
      </w:r>
      <w:r w:rsidR="006B719D">
        <w:t>(e.g.</w:t>
      </w:r>
      <w:r w:rsidR="00DC5970">
        <w:t>,</w:t>
      </w:r>
      <w:r w:rsidR="006B719D">
        <w:t xml:space="preserve"> they stop exporting)</w:t>
      </w:r>
      <w:r w:rsidRPr="00872503">
        <w:t>,</w:t>
      </w:r>
      <w:r>
        <w:t xml:space="preserve"> they</w:t>
      </w:r>
      <w:r w:rsidR="00787E5B">
        <w:t xml:space="preserve"> </w:t>
      </w:r>
      <w:r w:rsidR="008141D8">
        <w:t>can</w:t>
      </w:r>
      <w:r w:rsidR="009C1083">
        <w:t xml:space="preserve"> </w:t>
      </w:r>
      <w:r w:rsidR="00197D48">
        <w:t xml:space="preserve">create </w:t>
      </w:r>
      <w:r w:rsidR="008141D8" w:rsidRPr="008141D8">
        <w:t>new</w:t>
      </w:r>
      <w:r w:rsidR="0035139A">
        <w:t xml:space="preserve"> foreign collaborations</w:t>
      </w:r>
      <w:r w:rsidR="00303B7D">
        <w:t xml:space="preserve"> </w:t>
      </w:r>
      <w:r w:rsidR="004B795B">
        <w:t>during the time-out period</w:t>
      </w:r>
      <w:r w:rsidR="0035139A">
        <w:t xml:space="preserve"> or </w:t>
      </w:r>
      <w:r w:rsidR="0035139A" w:rsidRPr="0035139A">
        <w:t xml:space="preserve">maintain </w:t>
      </w:r>
      <w:r w:rsidR="002005FC">
        <w:t>those that</w:t>
      </w:r>
      <w:r w:rsidR="0035139A" w:rsidRPr="0035139A">
        <w:t xml:space="preserve"> </w:t>
      </w:r>
      <w:r w:rsidR="008105B6">
        <w:t>were</w:t>
      </w:r>
      <w:r w:rsidR="0035139A" w:rsidRPr="0035139A">
        <w:t xml:space="preserve"> formed prior to exit</w:t>
      </w:r>
      <w:r w:rsidR="00ED42D1">
        <w:t xml:space="preserve"> </w:t>
      </w:r>
      <w:r w:rsidRPr="002E7DE1">
        <w:t xml:space="preserve">(Welch </w:t>
      </w:r>
      <w:r w:rsidR="00B51C33">
        <w:t>&amp;</w:t>
      </w:r>
      <w:r w:rsidRPr="002E7DE1">
        <w:t xml:space="preserve"> Welch, 2009; Yayla et al 2018). </w:t>
      </w:r>
      <w:r w:rsidRPr="002E7DE1" w:rsidDel="00110558">
        <w:t xml:space="preserve">Therefore, </w:t>
      </w:r>
      <w:r w:rsidR="00506371" w:rsidDel="00110558">
        <w:t>after market</w:t>
      </w:r>
      <w:r w:rsidR="00506371">
        <w:t xml:space="preserve"> exit</w:t>
      </w:r>
      <w:r w:rsidR="00506371" w:rsidDel="00110558">
        <w:t xml:space="preserve">, </w:t>
      </w:r>
      <w:r w:rsidRPr="002E7DE1" w:rsidDel="00110558">
        <w:t xml:space="preserve">foreign </w:t>
      </w:r>
      <w:r w:rsidDel="00110558">
        <w:t xml:space="preserve">collaborations </w:t>
      </w:r>
      <w:r w:rsidR="00741B16" w:rsidDel="00110558">
        <w:t xml:space="preserve">can </w:t>
      </w:r>
      <w:r w:rsidR="0071340A" w:rsidDel="00110558">
        <w:t>provide</w:t>
      </w:r>
      <w:r w:rsidRPr="002E7DE1" w:rsidDel="00110558">
        <w:t xml:space="preserve"> advantages </w:t>
      </w:r>
      <w:r w:rsidR="0015696B" w:rsidDel="00110558">
        <w:t>and may help firms</w:t>
      </w:r>
      <w:r w:rsidRPr="002E7DE1" w:rsidDel="00110558">
        <w:t xml:space="preserve"> re-enter foreign markets (Dominguez </w:t>
      </w:r>
      <w:r w:rsidR="00B51C33">
        <w:t>&amp;</w:t>
      </w:r>
      <w:r w:rsidRPr="002E7DE1" w:rsidDel="00110558">
        <w:t xml:space="preserve"> Mayrhofer 2017; Yayla et al 2018).</w:t>
      </w:r>
      <w:r w:rsidR="0015696B" w:rsidDel="00110558">
        <w:t xml:space="preserve"> </w:t>
      </w:r>
    </w:p>
    <w:p w14:paraId="49F11609" w14:textId="78B18FC5" w:rsidR="00166792" w:rsidRDefault="0015696B" w:rsidP="004F3E5E">
      <w:pPr>
        <w:spacing w:line="480" w:lineRule="auto"/>
        <w:ind w:firstLine="284"/>
      </w:pPr>
      <w:r>
        <w:t xml:space="preserve">Below, we </w:t>
      </w:r>
      <w:r w:rsidR="00AC7917">
        <w:t xml:space="preserve">describe </w:t>
      </w:r>
      <w:r w:rsidR="00523EC8" w:rsidRPr="002710DC">
        <w:rPr>
          <w:b/>
          <w:bCs/>
        </w:rPr>
        <w:t>a)</w:t>
      </w:r>
      <w:r w:rsidR="00523EC8">
        <w:t xml:space="preserve"> </w:t>
      </w:r>
      <w:r w:rsidR="00C71193">
        <w:t>the market</w:t>
      </w:r>
      <w:r w:rsidR="00A102D4">
        <w:t>-</w:t>
      </w:r>
      <w:r w:rsidR="00C71193">
        <w:t>specific and general</w:t>
      </w:r>
      <w:r w:rsidR="00EA04A6">
        <w:t xml:space="preserve"> internationalization</w:t>
      </w:r>
      <w:r w:rsidR="00C71193">
        <w:t xml:space="preserve"> </w:t>
      </w:r>
      <w:r w:rsidR="00EA04A6">
        <w:t>knowledge that firms</w:t>
      </w:r>
      <w:r w:rsidR="00350892">
        <w:t xml:space="preserve"> </w:t>
      </w:r>
      <w:r w:rsidR="00485F58">
        <w:t>access</w:t>
      </w:r>
      <w:r w:rsidR="00350892">
        <w:t xml:space="preserve"> from</w:t>
      </w:r>
      <w:r w:rsidR="007979E5">
        <w:t xml:space="preserve"> </w:t>
      </w:r>
      <w:r w:rsidR="001D5B33">
        <w:t>collaborations</w:t>
      </w:r>
      <w:r w:rsidR="00523EC8">
        <w:t xml:space="preserve"> and </w:t>
      </w:r>
      <w:r w:rsidR="00DD2184">
        <w:t xml:space="preserve">how </w:t>
      </w:r>
      <w:r w:rsidR="00D543FA">
        <w:t xml:space="preserve">it can </w:t>
      </w:r>
      <w:r w:rsidR="00DD2184">
        <w:t xml:space="preserve">help </w:t>
      </w:r>
      <w:r w:rsidR="00A46931">
        <w:t xml:space="preserve">managers </w:t>
      </w:r>
      <w:r w:rsidR="00DD2184">
        <w:t>understand</w:t>
      </w:r>
      <w:r w:rsidR="00523EC8">
        <w:t xml:space="preserve"> and overcome</w:t>
      </w:r>
      <w:r w:rsidR="00DD2184" w:rsidRPr="00DD2184">
        <w:t xml:space="preserve"> </w:t>
      </w:r>
      <w:r w:rsidR="00DD2184">
        <w:t>problems</w:t>
      </w:r>
      <w:r w:rsidR="00DD2184" w:rsidRPr="00DD2184">
        <w:t xml:space="preserve"> that led to </w:t>
      </w:r>
      <w:r w:rsidR="00A102D4">
        <w:t xml:space="preserve">the </w:t>
      </w:r>
      <w:r w:rsidR="00DD2184" w:rsidRPr="00DD2184">
        <w:t>exit</w:t>
      </w:r>
      <w:r w:rsidR="00A102D4">
        <w:t>,</w:t>
      </w:r>
      <w:r w:rsidR="00523EC8">
        <w:t xml:space="preserve"> and </w:t>
      </w:r>
      <w:r w:rsidR="00523EC8" w:rsidRPr="002710DC">
        <w:rPr>
          <w:b/>
          <w:bCs/>
        </w:rPr>
        <w:t>b)</w:t>
      </w:r>
      <w:r w:rsidR="00DD2184">
        <w:t xml:space="preserve"> </w:t>
      </w:r>
      <w:r w:rsidR="00432D44">
        <w:t xml:space="preserve">how </w:t>
      </w:r>
      <w:r w:rsidR="002C61CD">
        <w:t>collabora</w:t>
      </w:r>
      <w:r w:rsidR="00B55424">
        <w:t>tions</w:t>
      </w:r>
      <w:r w:rsidR="00432D44">
        <w:t xml:space="preserve"> </w:t>
      </w:r>
      <w:r w:rsidR="00F72879" w:rsidRPr="00F72879">
        <w:t xml:space="preserve">provide firms with </w:t>
      </w:r>
      <w:r w:rsidR="00AD3992">
        <w:t xml:space="preserve">recent and more </w:t>
      </w:r>
      <w:r w:rsidR="00485F58">
        <w:t>useful</w:t>
      </w:r>
      <w:r w:rsidR="00D63711">
        <w:t xml:space="preserve"> </w:t>
      </w:r>
      <w:r w:rsidR="00AD3992">
        <w:t>internationalization knowledge</w:t>
      </w:r>
      <w:r w:rsidR="00990E2E">
        <w:t xml:space="preserve"> </w:t>
      </w:r>
      <w:r w:rsidR="00FA575B">
        <w:t>that</w:t>
      </w:r>
      <w:r w:rsidR="00F935B1">
        <w:t xml:space="preserve"> can</w:t>
      </w:r>
      <w:r w:rsidR="00FA575B">
        <w:t xml:space="preserve"> </w:t>
      </w:r>
      <w:r w:rsidR="00F935B1">
        <w:t>supplemen</w:t>
      </w:r>
      <w:r w:rsidR="00B15A30">
        <w:t xml:space="preserve">t </w:t>
      </w:r>
      <w:r w:rsidR="00453A1E">
        <w:t xml:space="preserve">internal </w:t>
      </w:r>
      <w:r w:rsidR="00B15A30">
        <w:t xml:space="preserve">experiential knowledge. </w:t>
      </w:r>
      <w:r w:rsidR="00380936">
        <w:t>Th</w:t>
      </w:r>
      <w:r w:rsidR="00D543FA">
        <w:t>is</w:t>
      </w:r>
      <w:r w:rsidR="00380936">
        <w:t xml:space="preserve"> discussion allows us to </w:t>
      </w:r>
      <w:r w:rsidR="00C550BA">
        <w:t xml:space="preserve">explain </w:t>
      </w:r>
      <w:r w:rsidR="007E5116">
        <w:t>how</w:t>
      </w:r>
      <w:r w:rsidR="00166792" w:rsidRPr="00AC73EE">
        <w:t xml:space="preserve"> </w:t>
      </w:r>
      <w:r w:rsidR="00166792">
        <w:t xml:space="preserve">foreign </w:t>
      </w:r>
      <w:r w:rsidR="00166792" w:rsidRPr="00AC73EE">
        <w:t>collaboration</w:t>
      </w:r>
      <w:r w:rsidR="00B157E5">
        <w:t>s</w:t>
      </w:r>
      <w:r w:rsidR="00166792">
        <w:t xml:space="preserve"> </w:t>
      </w:r>
      <w:r w:rsidR="00294EBF">
        <w:t>reduce</w:t>
      </w:r>
      <w:r w:rsidR="00166792">
        <w:t xml:space="preserve"> the negative effect</w:t>
      </w:r>
      <w:r w:rsidR="004C0293">
        <w:t>s that</w:t>
      </w:r>
      <w:r w:rsidR="00B93295">
        <w:t xml:space="preserve"> </w:t>
      </w:r>
      <w:r w:rsidR="00743D2A" w:rsidRPr="00743D2A">
        <w:t xml:space="preserve">the </w:t>
      </w:r>
      <w:r w:rsidR="00743D2A">
        <w:t xml:space="preserve">two </w:t>
      </w:r>
      <w:r w:rsidR="00743D2A" w:rsidRPr="00743D2A">
        <w:t xml:space="preserve">mechanisms described in </w:t>
      </w:r>
      <w:r w:rsidR="007B0897">
        <w:t>H1</w:t>
      </w:r>
      <w:r w:rsidR="00294EBF">
        <w:t xml:space="preserve"> (</w:t>
      </w:r>
      <w:r w:rsidR="00743D2A">
        <w:t xml:space="preserve">i.e., the </w:t>
      </w:r>
      <w:r w:rsidR="00166792" w:rsidRPr="00AC73EE">
        <w:t xml:space="preserve">shock of </w:t>
      </w:r>
      <w:r w:rsidR="004C0293">
        <w:t>market</w:t>
      </w:r>
      <w:r w:rsidR="006B719D">
        <w:t xml:space="preserve"> </w:t>
      </w:r>
      <w:r w:rsidR="00166792" w:rsidRPr="00AC73EE">
        <w:t xml:space="preserve">exit </w:t>
      </w:r>
      <w:r w:rsidR="004C0293">
        <w:t>and</w:t>
      </w:r>
      <w:r w:rsidR="00166792">
        <w:t xml:space="preserve"> </w:t>
      </w:r>
      <w:r w:rsidR="00294EBF" w:rsidRPr="00AC73EE">
        <w:t>knowledge</w:t>
      </w:r>
      <w:r w:rsidR="00294EBF" w:rsidDel="00FB58C5">
        <w:t xml:space="preserve"> </w:t>
      </w:r>
      <w:bookmarkStart w:id="14" w:name="_Hlk83743737"/>
      <w:r w:rsidR="00237EDB">
        <w:t>depreciation</w:t>
      </w:r>
      <w:r w:rsidR="00294EBF">
        <w:t>)</w:t>
      </w:r>
      <w:bookmarkEnd w:id="14"/>
      <w:r w:rsidR="00743D2A">
        <w:t xml:space="preserve"> </w:t>
      </w:r>
      <w:r w:rsidR="00166792">
        <w:t>have on the level of uncertainty about re-starting exporting</w:t>
      </w:r>
      <w:r w:rsidR="00294EBF">
        <w:t xml:space="preserve"> </w:t>
      </w:r>
      <w:r w:rsidR="00C270A2">
        <w:t xml:space="preserve">and </w:t>
      </w:r>
      <w:r w:rsidR="0048057B">
        <w:t>consequently</w:t>
      </w:r>
      <w:r w:rsidR="00294EBF">
        <w:t xml:space="preserve"> </w:t>
      </w:r>
      <w:r w:rsidR="00D543FA">
        <w:t xml:space="preserve">on </w:t>
      </w:r>
      <w:r w:rsidR="003935AF">
        <w:t xml:space="preserve">how </w:t>
      </w:r>
      <w:r w:rsidR="00C550BA">
        <w:t>collaborations</w:t>
      </w:r>
      <w:r w:rsidR="003935AF">
        <w:t xml:space="preserve"> </w:t>
      </w:r>
      <w:r w:rsidR="0054514A">
        <w:t xml:space="preserve">change the </w:t>
      </w:r>
      <w:r w:rsidR="00A31DDC">
        <w:t>relationship between</w:t>
      </w:r>
      <w:r w:rsidR="0054514A">
        <w:t xml:space="preserve"> the time-out period </w:t>
      </w:r>
      <w:r w:rsidR="00A31DDC">
        <w:t xml:space="preserve">and </w:t>
      </w:r>
      <w:r w:rsidR="0054514A">
        <w:t xml:space="preserve">the </w:t>
      </w:r>
      <w:r w:rsidR="00294EBF">
        <w:t>likelihood</w:t>
      </w:r>
      <w:r w:rsidR="0054514A">
        <w:t xml:space="preserve"> </w:t>
      </w:r>
      <w:r w:rsidR="00294EBF">
        <w:t>of</w:t>
      </w:r>
      <w:r w:rsidR="0054514A">
        <w:t xml:space="preserve"> </w:t>
      </w:r>
      <w:r w:rsidR="00A31DDC">
        <w:t>re-initiating exporting</w:t>
      </w:r>
      <w:r w:rsidR="00166792">
        <w:t xml:space="preserve">. </w:t>
      </w:r>
    </w:p>
    <w:p w14:paraId="38F59F90" w14:textId="7BFCD01F" w:rsidR="00C668B1" w:rsidRDefault="00CA6818" w:rsidP="00DC58B5">
      <w:pPr>
        <w:spacing w:line="480" w:lineRule="auto"/>
        <w:ind w:firstLine="284"/>
      </w:pPr>
      <w:r>
        <w:t>C</w:t>
      </w:r>
      <w:r w:rsidR="00F8498F" w:rsidRPr="00F8498F">
        <w:t>ollaboration with foreign</w:t>
      </w:r>
      <w:r w:rsidR="00043041">
        <w:t xml:space="preserve"> suppliers</w:t>
      </w:r>
      <w:r w:rsidR="000D3069">
        <w:t>,</w:t>
      </w:r>
      <w:r w:rsidR="00F8498F" w:rsidRPr="00F8498F">
        <w:t xml:space="preserve"> </w:t>
      </w:r>
      <w:r w:rsidR="00905DAC">
        <w:t>(for</w:t>
      </w:r>
      <w:r w:rsidR="00966735">
        <w:t xml:space="preserve">mer) </w:t>
      </w:r>
      <w:r w:rsidR="00F8498F" w:rsidRPr="00F8498F">
        <w:t>customers</w:t>
      </w:r>
      <w:r w:rsidR="00A102D4">
        <w:t>,</w:t>
      </w:r>
      <w:r w:rsidR="000D3069">
        <w:t xml:space="preserve"> </w:t>
      </w:r>
      <w:r>
        <w:t>and</w:t>
      </w:r>
      <w:r w:rsidR="000D3069">
        <w:t xml:space="preserve"> competitors</w:t>
      </w:r>
      <w:r>
        <w:t xml:space="preserve"> helps</w:t>
      </w:r>
      <w:r w:rsidR="00043041">
        <w:t xml:space="preserve"> firms </w:t>
      </w:r>
      <w:r w:rsidR="00074D34">
        <w:t>develop</w:t>
      </w:r>
      <w:r w:rsidR="00F8498F" w:rsidRPr="00F8498F">
        <w:t xml:space="preserve"> </w:t>
      </w:r>
      <w:r w:rsidR="00AF6A4A" w:rsidRPr="00AF6A4A">
        <w:t xml:space="preserve">products that can </w:t>
      </w:r>
      <w:r w:rsidR="000F4DF2">
        <w:t>attract</w:t>
      </w:r>
      <w:r w:rsidR="00AF6A4A" w:rsidRPr="00AF6A4A">
        <w:t xml:space="preserve"> substantial demand if </w:t>
      </w:r>
      <w:r w:rsidR="00634C51">
        <w:t>managers</w:t>
      </w:r>
      <w:r w:rsidR="00634C51" w:rsidRPr="00AF6A4A">
        <w:t xml:space="preserve"> </w:t>
      </w:r>
      <w:r w:rsidR="00AF6A4A" w:rsidRPr="00AF6A4A">
        <w:t>choose to re-enter</w:t>
      </w:r>
      <w:r>
        <w:t xml:space="preserve"> foreign markets</w:t>
      </w:r>
      <w:r w:rsidR="00AF6A4A" w:rsidRPr="00AF6A4A">
        <w:t xml:space="preserve">. </w:t>
      </w:r>
      <w:r w:rsidR="00D13594">
        <w:t xml:space="preserve">Customers </w:t>
      </w:r>
      <w:r w:rsidR="00CD3B54">
        <w:t xml:space="preserve">can </w:t>
      </w:r>
      <w:r w:rsidR="00D13594">
        <w:t xml:space="preserve">provide firms </w:t>
      </w:r>
      <w:r w:rsidR="00DF2160">
        <w:t xml:space="preserve">with information about a </w:t>
      </w:r>
      <w:r w:rsidR="00A32790">
        <w:t>country’s</w:t>
      </w:r>
      <w:r w:rsidR="000A40C8">
        <w:t xml:space="preserve"> market</w:t>
      </w:r>
      <w:r>
        <w:t>,</w:t>
      </w:r>
      <w:r w:rsidR="000A40C8">
        <w:t xml:space="preserve"> </w:t>
      </w:r>
      <w:r w:rsidR="000349C3" w:rsidRPr="000349C3">
        <w:t>institutional</w:t>
      </w:r>
      <w:r w:rsidR="00DB5E82">
        <w:t>,</w:t>
      </w:r>
      <w:r w:rsidR="001B2EBB">
        <w:t xml:space="preserve"> </w:t>
      </w:r>
      <w:r w:rsidR="005B0927">
        <w:t xml:space="preserve">and </w:t>
      </w:r>
      <w:r w:rsidR="000349C3" w:rsidRPr="000349C3">
        <w:t>technolog</w:t>
      </w:r>
      <w:r>
        <w:t>ical</w:t>
      </w:r>
      <w:r w:rsidR="000349C3" w:rsidRPr="000349C3">
        <w:t xml:space="preserve"> </w:t>
      </w:r>
      <w:r w:rsidRPr="000349C3">
        <w:t>environment</w:t>
      </w:r>
      <w:r w:rsidR="000F6CFB">
        <w:t xml:space="preserve">. </w:t>
      </w:r>
      <w:r w:rsidR="00CD1335">
        <w:t xml:space="preserve">This </w:t>
      </w:r>
      <w:r w:rsidR="0062394B">
        <w:t xml:space="preserve">information assists </w:t>
      </w:r>
      <w:r w:rsidR="0049660F">
        <w:t xml:space="preserve">firms </w:t>
      </w:r>
      <w:r w:rsidR="0062394B">
        <w:t>in identifying</w:t>
      </w:r>
      <w:r w:rsidR="0043123B">
        <w:t xml:space="preserve"> </w:t>
      </w:r>
      <w:r>
        <w:t xml:space="preserve">new </w:t>
      </w:r>
      <w:r w:rsidR="00DD22AF">
        <w:t xml:space="preserve">product </w:t>
      </w:r>
      <w:r w:rsidR="0043123B">
        <w:t>ideas</w:t>
      </w:r>
      <w:r>
        <w:t xml:space="preserve"> </w:t>
      </w:r>
      <w:r>
        <w:lastRenderedPageBreak/>
        <w:t xml:space="preserve">and </w:t>
      </w:r>
      <w:r w:rsidR="001A0DA7">
        <w:t>opportunities</w:t>
      </w:r>
      <w:r w:rsidR="004C78B1" w:rsidRPr="004C78B1">
        <w:t xml:space="preserve"> that reflect </w:t>
      </w:r>
      <w:r w:rsidR="00AF4620">
        <w:t>market</w:t>
      </w:r>
      <w:r w:rsidR="00AF4620" w:rsidRPr="004C78B1">
        <w:t xml:space="preserve"> </w:t>
      </w:r>
      <w:r w:rsidR="004C78B1" w:rsidRPr="004C78B1">
        <w:t>preferences</w:t>
      </w:r>
      <w:r w:rsidR="00AF4620">
        <w:t xml:space="preserve"> well</w:t>
      </w:r>
      <w:r w:rsidR="004C78B1" w:rsidRPr="004C78B1">
        <w:t xml:space="preserve">, refine their </w:t>
      </w:r>
      <w:r w:rsidR="00AF4620">
        <w:t>offerings</w:t>
      </w:r>
      <w:r w:rsidR="004C78B1" w:rsidRPr="004C78B1">
        <w:t xml:space="preserve"> </w:t>
      </w:r>
      <w:r w:rsidR="00C4726F">
        <w:t>accordingly</w:t>
      </w:r>
      <w:r w:rsidR="00E77FBC">
        <w:t>,</w:t>
      </w:r>
      <w:r w:rsidR="00C4726F">
        <w:t xml:space="preserve"> </w:t>
      </w:r>
      <w:r w:rsidR="004C78B1" w:rsidRPr="004C78B1">
        <w:t>and co-develop</w:t>
      </w:r>
      <w:r w:rsidR="00F27949">
        <w:t xml:space="preserve"> </w:t>
      </w:r>
      <w:r w:rsidR="004C78B1" w:rsidRPr="004C78B1">
        <w:t xml:space="preserve">technological solutions to respond to </w:t>
      </w:r>
      <w:r w:rsidR="00AF4620">
        <w:t>market</w:t>
      </w:r>
      <w:r w:rsidR="00AF4620" w:rsidRPr="004C78B1">
        <w:t xml:space="preserve"> </w:t>
      </w:r>
      <w:r w:rsidR="004C78B1" w:rsidRPr="004C78B1">
        <w:t xml:space="preserve">needs (Hsieh et al., 2018; Kafouros et al., 2020; Nijssen et al., 2012). </w:t>
      </w:r>
      <w:r w:rsidR="007B6509">
        <w:t>Similarly, c</w:t>
      </w:r>
      <w:r w:rsidR="00A30B61">
        <w:t xml:space="preserve">ollaboration with </w:t>
      </w:r>
      <w:r w:rsidR="007B6509">
        <w:t xml:space="preserve">foreign </w:t>
      </w:r>
      <w:r w:rsidR="00A30B61">
        <w:t xml:space="preserve">suppliers </w:t>
      </w:r>
      <w:r w:rsidR="007B6509">
        <w:t xml:space="preserve">can </w:t>
      </w:r>
      <w:r w:rsidR="00A30B61">
        <w:t xml:space="preserve">lead to the </w:t>
      </w:r>
      <w:r w:rsidR="00F8498F" w:rsidRPr="00F8498F">
        <w:t xml:space="preserve">co-development of new </w:t>
      </w:r>
      <w:r w:rsidR="007B6509">
        <w:t xml:space="preserve">or improved products and </w:t>
      </w:r>
      <w:r w:rsidR="00F8498F" w:rsidRPr="00F8498F">
        <w:t xml:space="preserve">processes that </w:t>
      </w:r>
      <w:r w:rsidR="007B6509">
        <w:t xml:space="preserve">accommodate </w:t>
      </w:r>
      <w:r w:rsidR="000575FA">
        <w:t>not only customer</w:t>
      </w:r>
      <w:r w:rsidR="007B6509">
        <w:t xml:space="preserve"> needs </w:t>
      </w:r>
      <w:r w:rsidR="000575FA">
        <w:t>but also</w:t>
      </w:r>
      <w:r w:rsidR="007B6509">
        <w:t xml:space="preserve"> the technical requirements of foreign </w:t>
      </w:r>
      <w:r w:rsidR="000575FA">
        <w:t>countries</w:t>
      </w:r>
      <w:r w:rsidR="007B6509">
        <w:t xml:space="preserve"> </w:t>
      </w:r>
      <w:r w:rsidR="00F8498F" w:rsidRPr="00F8498F">
        <w:t xml:space="preserve">(Ganotakis </w:t>
      </w:r>
      <w:r w:rsidR="00C46276">
        <w:t>&amp;</w:t>
      </w:r>
      <w:r w:rsidR="00F8498F" w:rsidRPr="00F8498F">
        <w:t xml:space="preserve"> Love, 2012; Menguc et al., 2014; Un </w:t>
      </w:r>
      <w:r w:rsidR="00C46276">
        <w:t>&amp;</w:t>
      </w:r>
      <w:r w:rsidR="00F8498F" w:rsidRPr="00F8498F">
        <w:t xml:space="preserve"> Asakawa, 2015; van Beers </w:t>
      </w:r>
      <w:r w:rsidR="00C46276">
        <w:t>&amp;</w:t>
      </w:r>
      <w:r w:rsidR="00F8498F" w:rsidRPr="00F8498F">
        <w:t xml:space="preserve"> Zand, 2014).</w:t>
      </w:r>
      <w:r w:rsidR="000575FA">
        <w:t xml:space="preserve"> In a similar vein, collaborat</w:t>
      </w:r>
      <w:r w:rsidR="007C523B">
        <w:t>ion</w:t>
      </w:r>
      <w:r w:rsidR="000575FA">
        <w:t xml:space="preserve"> </w:t>
      </w:r>
      <w:r w:rsidR="00F8498F" w:rsidRPr="00F8498F">
        <w:t>with competitors</w:t>
      </w:r>
      <w:r w:rsidR="00DC58B5">
        <w:t xml:space="preserve"> help</w:t>
      </w:r>
      <w:r w:rsidR="007C523B">
        <w:t>s</w:t>
      </w:r>
      <w:r w:rsidR="00DC58B5">
        <w:t xml:space="preserve"> firms</w:t>
      </w:r>
      <w:r w:rsidR="00F8498F" w:rsidRPr="00F8498F">
        <w:t xml:space="preserve"> </w:t>
      </w:r>
      <w:r w:rsidR="00DC58B5">
        <w:t>respond</w:t>
      </w:r>
      <w:r w:rsidR="009A3DA2" w:rsidRPr="009A3DA2">
        <w:t xml:space="preserve"> to </w:t>
      </w:r>
      <w:r w:rsidR="001C7EB9">
        <w:t xml:space="preserve">new </w:t>
      </w:r>
      <w:r w:rsidR="009A3DA2" w:rsidRPr="009A3DA2">
        <w:t xml:space="preserve">government </w:t>
      </w:r>
      <w:r w:rsidR="007C523B">
        <w:t xml:space="preserve">policies </w:t>
      </w:r>
      <w:r w:rsidR="00DC58B5">
        <w:t xml:space="preserve">and industry </w:t>
      </w:r>
      <w:r w:rsidR="009A3DA2" w:rsidRPr="009A3DA2">
        <w:t>regulations</w:t>
      </w:r>
      <w:r w:rsidR="00DC58B5">
        <w:t>,</w:t>
      </w:r>
      <w:r w:rsidR="001C7EB9">
        <w:t xml:space="preserve"> </w:t>
      </w:r>
      <w:r w:rsidR="00F8498F" w:rsidRPr="00F8498F">
        <w:t>improve their competitive position</w:t>
      </w:r>
      <w:r w:rsidR="00CD3B54">
        <w:t xml:space="preserve"> </w:t>
      </w:r>
      <w:r w:rsidR="00DC58B5">
        <w:t>and</w:t>
      </w:r>
      <w:r w:rsidR="007C523B">
        <w:t>,</w:t>
      </w:r>
      <w:r w:rsidR="00DC58B5">
        <w:t xml:space="preserve"> </w:t>
      </w:r>
      <w:r w:rsidR="007C523B">
        <w:t>thereby,</w:t>
      </w:r>
      <w:r w:rsidR="00DC58B5">
        <w:t xml:space="preserve"> capture </w:t>
      </w:r>
      <w:r w:rsidR="00F8498F" w:rsidRPr="00F8498F">
        <w:t xml:space="preserve">market </w:t>
      </w:r>
      <w:r w:rsidR="00DC58B5">
        <w:t xml:space="preserve">share </w:t>
      </w:r>
      <w:r w:rsidR="007C523B">
        <w:t>in</w:t>
      </w:r>
      <w:r w:rsidR="00DC58B5">
        <w:t xml:space="preserve"> foreign countries</w:t>
      </w:r>
      <w:r w:rsidR="00F8498F" w:rsidRPr="00F8498F">
        <w:t xml:space="preserve"> (Hsieh et al., 2018; Harhoff et al., 2014). </w:t>
      </w:r>
    </w:p>
    <w:p w14:paraId="45FD7CDD" w14:textId="73ADE475" w:rsidR="00C80858" w:rsidRDefault="00CF1191" w:rsidP="00FA24A6">
      <w:pPr>
        <w:spacing w:line="480" w:lineRule="auto"/>
        <w:ind w:firstLine="284"/>
      </w:pPr>
      <w:r>
        <w:t>Hence</w:t>
      </w:r>
      <w:r w:rsidR="00081E88">
        <w:t>,</w:t>
      </w:r>
      <w:r w:rsidR="00301CE1">
        <w:t xml:space="preserve"> </w:t>
      </w:r>
      <w:r w:rsidR="009D0F7E">
        <w:t>f</w:t>
      </w:r>
      <w:r w:rsidR="00FD4DBC">
        <w:t>oreign collaborations</w:t>
      </w:r>
      <w:r w:rsidR="00407849">
        <w:t xml:space="preserve"> </w:t>
      </w:r>
      <w:r w:rsidR="003517A6">
        <w:t>enhance</w:t>
      </w:r>
      <w:r w:rsidR="00065686">
        <w:t xml:space="preserve"> manager</w:t>
      </w:r>
      <w:r w:rsidR="0039551B">
        <w:t>s’</w:t>
      </w:r>
      <w:r w:rsidR="00C668B1" w:rsidRPr="00C668B1">
        <w:t xml:space="preserve"> confidence </w:t>
      </w:r>
      <w:r w:rsidR="004D5967">
        <w:t xml:space="preserve">about </w:t>
      </w:r>
      <w:r w:rsidR="00C668B1" w:rsidRPr="00C668B1">
        <w:t>re-starting exporting</w:t>
      </w:r>
      <w:r w:rsidR="00016CB1">
        <w:t xml:space="preserve"> by</w:t>
      </w:r>
      <w:r w:rsidR="0092221C">
        <w:t xml:space="preserve"> </w:t>
      </w:r>
      <w:r w:rsidR="00375A1E">
        <w:t>providing</w:t>
      </w:r>
      <w:r w:rsidR="0041737B">
        <w:t xml:space="preserve"> </w:t>
      </w:r>
      <w:r w:rsidR="00230F2C">
        <w:t>market</w:t>
      </w:r>
      <w:r w:rsidR="007B0897">
        <w:t>-</w:t>
      </w:r>
      <w:r w:rsidR="00230F2C">
        <w:t>specific knowledge</w:t>
      </w:r>
      <w:r w:rsidR="001C0E86">
        <w:t>.</w:t>
      </w:r>
      <w:r w:rsidR="00C668B1" w:rsidRPr="00C668B1">
        <w:t xml:space="preserve"> </w:t>
      </w:r>
      <w:r w:rsidR="00EF1FC2">
        <w:t>For instance</w:t>
      </w:r>
      <w:r w:rsidR="00AC1772">
        <w:t xml:space="preserve">, </w:t>
      </w:r>
      <w:r w:rsidR="00C80858" w:rsidRPr="00C80858">
        <w:t xml:space="preserve">firms </w:t>
      </w:r>
      <w:r w:rsidR="00FA24A6">
        <w:t xml:space="preserve">can </w:t>
      </w:r>
      <w:r w:rsidR="00E03524">
        <w:t>access</w:t>
      </w:r>
      <w:r w:rsidR="00E03524" w:rsidRPr="00C80858">
        <w:t xml:space="preserve"> </w:t>
      </w:r>
      <w:r w:rsidR="00CB3A82">
        <w:t>information</w:t>
      </w:r>
      <w:r w:rsidR="00C80858" w:rsidRPr="00C80858">
        <w:t xml:space="preserve"> about </w:t>
      </w:r>
      <w:r w:rsidR="00FA24A6">
        <w:t>foreign</w:t>
      </w:r>
      <w:r w:rsidR="00FA24A6" w:rsidRPr="00C80858">
        <w:t xml:space="preserve"> </w:t>
      </w:r>
      <w:r w:rsidR="00C80858" w:rsidRPr="00E91DCB">
        <w:t>technologies that can</w:t>
      </w:r>
      <w:r w:rsidR="00DE76F2">
        <w:t xml:space="preserve"> be</w:t>
      </w:r>
      <w:r w:rsidR="00C80858" w:rsidRPr="00E91DCB">
        <w:t xml:space="preserve"> assimilate</w:t>
      </w:r>
      <w:r w:rsidR="0037577A">
        <w:t>d</w:t>
      </w:r>
      <w:r w:rsidR="00C80858" w:rsidRPr="00E91DCB">
        <w:t xml:space="preserve"> </w:t>
      </w:r>
      <w:r w:rsidR="00E77FBC">
        <w:t>into</w:t>
      </w:r>
      <w:r w:rsidR="00C80858" w:rsidRPr="00E91DCB">
        <w:t xml:space="preserve"> their</w:t>
      </w:r>
      <w:r w:rsidR="0039551B">
        <w:t xml:space="preserve"> </w:t>
      </w:r>
      <w:r w:rsidR="00C80858" w:rsidRPr="00E91DCB">
        <w:t>product development</w:t>
      </w:r>
      <w:r w:rsidR="00866254">
        <w:t>,</w:t>
      </w:r>
      <w:r w:rsidR="00C80858" w:rsidRPr="00E91DCB">
        <w:t xml:space="preserve"> </w:t>
      </w:r>
      <w:r w:rsidR="0039551B">
        <w:t>identify</w:t>
      </w:r>
      <w:r w:rsidR="00C80858" w:rsidRPr="00E91DCB">
        <w:t xml:space="preserve"> appropriate marketing practice</w:t>
      </w:r>
      <w:r w:rsidR="00C141ED">
        <w:t xml:space="preserve">s </w:t>
      </w:r>
      <w:r w:rsidR="00FA24A6">
        <w:t xml:space="preserve">for these markets </w:t>
      </w:r>
      <w:r w:rsidR="00662560" w:rsidRPr="00662560">
        <w:t>(D’Angelo et al., 2020; Kafouros et al., 2020)</w:t>
      </w:r>
      <w:r w:rsidR="00FA24A6">
        <w:t>,</w:t>
      </w:r>
      <w:r w:rsidR="00662560" w:rsidRPr="00662560">
        <w:t xml:space="preserve"> </w:t>
      </w:r>
      <w:r w:rsidR="00C141ED">
        <w:t>and</w:t>
      </w:r>
      <w:r w:rsidR="00C141ED" w:rsidRPr="00C141ED">
        <w:t xml:space="preserve"> </w:t>
      </w:r>
      <w:r w:rsidR="00FA24A6">
        <w:t xml:space="preserve">learn </w:t>
      </w:r>
      <w:r w:rsidR="00C141ED" w:rsidRPr="00C141ED">
        <w:t>about customer preferences</w:t>
      </w:r>
      <w:r w:rsidR="00FA24A6">
        <w:t xml:space="preserve"> and </w:t>
      </w:r>
      <w:r w:rsidR="00C141ED" w:rsidRPr="00C141ED">
        <w:t xml:space="preserve">needs </w:t>
      </w:r>
      <w:r w:rsidR="00C80858" w:rsidRPr="00C80858">
        <w:t>that they were not aware of during their previous export activities (Vissak et al., 2020).</w:t>
      </w:r>
      <w:r w:rsidR="00067C7D">
        <w:t xml:space="preserve"> </w:t>
      </w:r>
      <w:r w:rsidR="00FA24A6">
        <w:t>This information assists</w:t>
      </w:r>
      <w:r w:rsidR="00155B8D">
        <w:t xml:space="preserve"> in the</w:t>
      </w:r>
      <w:r w:rsidR="00D31DDF">
        <w:t xml:space="preserve"> </w:t>
      </w:r>
      <w:r w:rsidR="00C80858" w:rsidRPr="00C80858">
        <w:t>identification and evaluation of newly emerged opportunities (Casillas et al., 2009; D’Angelo et al., 2020; Surdu et al 2019)</w:t>
      </w:r>
      <w:r w:rsidR="00FA24A6">
        <w:t xml:space="preserve"> and helps</w:t>
      </w:r>
      <w:r w:rsidR="00144083">
        <w:t xml:space="preserve"> firms </w:t>
      </w:r>
      <w:r w:rsidR="00FA24A6">
        <w:t>assess</w:t>
      </w:r>
      <w:r w:rsidR="00FA24A6" w:rsidRPr="00C80858">
        <w:t xml:space="preserve"> </w:t>
      </w:r>
      <w:r w:rsidR="00FA24A6">
        <w:t>whether</w:t>
      </w:r>
      <w:r w:rsidR="00FA24A6" w:rsidRPr="00C80858">
        <w:t xml:space="preserve"> </w:t>
      </w:r>
      <w:r w:rsidR="00FA24A6">
        <w:t xml:space="preserve">they would be more </w:t>
      </w:r>
      <w:r w:rsidR="00FA24A6" w:rsidRPr="00C80858">
        <w:t>competitive</w:t>
      </w:r>
      <w:r w:rsidR="00FA24A6">
        <w:t xml:space="preserve"> if they were to </w:t>
      </w:r>
      <w:r w:rsidR="00C80858" w:rsidRPr="00C80858">
        <w:t>re-start exporting</w:t>
      </w:r>
      <w:r w:rsidR="00485F58">
        <w:t xml:space="preserve"> </w:t>
      </w:r>
      <w:r w:rsidR="00C80858" w:rsidRPr="00C80858">
        <w:t xml:space="preserve">(Aguzzoli et al., 2021; Laursen et al., 2012; Yayla et al., 2018). </w:t>
      </w:r>
      <w:r w:rsidR="00A52456">
        <w:t>It thus</w:t>
      </w:r>
      <w:r w:rsidR="00A52456" w:rsidRPr="000D4020">
        <w:t xml:space="preserve"> </w:t>
      </w:r>
      <w:r w:rsidR="00262F60">
        <w:t>reduces</w:t>
      </w:r>
      <w:r w:rsidR="00262F60" w:rsidRPr="000D4020">
        <w:t xml:space="preserve"> </w:t>
      </w:r>
      <w:r w:rsidR="000D4020" w:rsidRPr="000D4020">
        <w:t xml:space="preserve">concerns regarding future sales and profitability </w:t>
      </w:r>
      <w:r w:rsidR="00363FD7">
        <w:t xml:space="preserve">and </w:t>
      </w:r>
      <w:r w:rsidR="00A753BD">
        <w:t>decreases</w:t>
      </w:r>
      <w:r w:rsidR="009C5EC5">
        <w:t xml:space="preserve"> </w:t>
      </w:r>
      <w:r w:rsidR="000D4020" w:rsidRPr="000D4020">
        <w:t>uncertainty</w:t>
      </w:r>
      <w:r w:rsidR="009C5EC5">
        <w:t xml:space="preserve"> associated with re-initiating exporting. </w:t>
      </w:r>
      <w:r w:rsidR="000D4020" w:rsidRPr="000D4020">
        <w:t xml:space="preserve"> </w:t>
      </w:r>
    </w:p>
    <w:p w14:paraId="282FCF92" w14:textId="614D18BE" w:rsidR="00A04850" w:rsidRDefault="000A4650" w:rsidP="00653DEA">
      <w:pPr>
        <w:spacing w:line="480" w:lineRule="auto"/>
        <w:ind w:firstLine="284"/>
      </w:pPr>
      <w:r>
        <w:t xml:space="preserve">Foreign </w:t>
      </w:r>
      <w:r w:rsidR="007B0897">
        <w:t>collaborations</w:t>
      </w:r>
      <w:r w:rsidR="00BA0D7C">
        <w:t xml:space="preserve"> also provide </w:t>
      </w:r>
      <w:r w:rsidR="00B15F9B">
        <w:t>access</w:t>
      </w:r>
      <w:r w:rsidR="00BA0D7C">
        <w:t xml:space="preserve"> </w:t>
      </w:r>
      <w:r w:rsidR="00256DCF">
        <w:t>to</w:t>
      </w:r>
      <w:r w:rsidR="00B63071" w:rsidRPr="00B63071">
        <w:t xml:space="preserve"> general internationalization</w:t>
      </w:r>
      <w:r w:rsidR="002A629C">
        <w:t xml:space="preserve"> knowledge</w:t>
      </w:r>
      <w:r w:rsidR="00A7154F">
        <w:t>, helping firms</w:t>
      </w:r>
      <w:r w:rsidR="00653DEA">
        <w:t xml:space="preserve"> </w:t>
      </w:r>
      <w:r w:rsidR="000B568E">
        <w:t>gain</w:t>
      </w:r>
      <w:r w:rsidR="00725076">
        <w:t xml:space="preserve"> experien</w:t>
      </w:r>
      <w:r w:rsidR="00373D56">
        <w:t xml:space="preserve">ce </w:t>
      </w:r>
      <w:r w:rsidR="003C63DA">
        <w:t>and</w:t>
      </w:r>
      <w:r w:rsidR="00373D56">
        <w:t xml:space="preserve"> </w:t>
      </w:r>
      <w:r w:rsidR="00E03524">
        <w:t>access</w:t>
      </w:r>
      <w:r w:rsidR="00373D56">
        <w:t xml:space="preserve"> information</w:t>
      </w:r>
      <w:r w:rsidR="00A30673">
        <w:t xml:space="preserve"> </w:t>
      </w:r>
      <w:r w:rsidR="004012AC">
        <w:t xml:space="preserve">on </w:t>
      </w:r>
      <w:r w:rsidR="00B92C58">
        <w:t>organizing</w:t>
      </w:r>
      <w:r w:rsidR="00B41ED2">
        <w:t xml:space="preserve"> </w:t>
      </w:r>
      <w:r w:rsidR="00642BDF">
        <w:t xml:space="preserve">various activities </w:t>
      </w:r>
      <w:r w:rsidR="00B41ED2">
        <w:t xml:space="preserve">and </w:t>
      </w:r>
      <w:r w:rsidR="00B92C58">
        <w:t>managing</w:t>
      </w:r>
      <w:r w:rsidR="00B41ED2">
        <w:t xml:space="preserve"> </w:t>
      </w:r>
      <w:r w:rsidR="00671215">
        <w:t>issues related to</w:t>
      </w:r>
      <w:r w:rsidR="00076A47">
        <w:t xml:space="preserve"> the </w:t>
      </w:r>
      <w:r w:rsidR="0085646F">
        <w:t>practicalities</w:t>
      </w:r>
      <w:r w:rsidR="006E11ED">
        <w:t xml:space="preserve"> </w:t>
      </w:r>
      <w:r w:rsidR="00076A47">
        <w:t>of internationalization</w:t>
      </w:r>
      <w:r w:rsidR="005E3E2A">
        <w:t xml:space="preserve">. </w:t>
      </w:r>
      <w:r w:rsidR="00F32350">
        <w:t>Hence, t</w:t>
      </w:r>
      <w:r w:rsidR="00642BDF">
        <w:t xml:space="preserve">hey can </w:t>
      </w:r>
      <w:r w:rsidR="0066438F">
        <w:t>manage</w:t>
      </w:r>
      <w:r w:rsidR="00642BDF">
        <w:t xml:space="preserve"> more effectively the</w:t>
      </w:r>
      <w:r w:rsidR="006809DC">
        <w:t xml:space="preserve"> complexities</w:t>
      </w:r>
      <w:r w:rsidR="00A61AC3">
        <w:t xml:space="preserve"> </w:t>
      </w:r>
      <w:r w:rsidR="00642BDF">
        <w:t xml:space="preserve">associated with </w:t>
      </w:r>
      <w:r w:rsidR="00A61AC3">
        <w:t>differences in culture</w:t>
      </w:r>
      <w:r w:rsidR="00730808">
        <w:t xml:space="preserve"> (</w:t>
      </w:r>
      <w:r w:rsidR="00642BDF">
        <w:t>including</w:t>
      </w:r>
      <w:r w:rsidR="000A1E5C">
        <w:t xml:space="preserve"> </w:t>
      </w:r>
      <w:r w:rsidR="00730808">
        <w:t>communication</w:t>
      </w:r>
      <w:r w:rsidR="009F6B97">
        <w:t xml:space="preserve"> and</w:t>
      </w:r>
      <w:r w:rsidR="00730808">
        <w:t xml:space="preserve"> negotiation </w:t>
      </w:r>
      <w:r w:rsidR="00730808" w:rsidRPr="00222F7A">
        <w:t>issues)</w:t>
      </w:r>
      <w:r w:rsidR="00AC08B9" w:rsidRPr="00222F7A">
        <w:t>,</w:t>
      </w:r>
      <w:r w:rsidR="00E61BDC" w:rsidRPr="00222F7A">
        <w:t xml:space="preserve"> business systems</w:t>
      </w:r>
      <w:r w:rsidR="00196458" w:rsidRPr="00222F7A">
        <w:t xml:space="preserve"> (e.g.,</w:t>
      </w:r>
      <w:r w:rsidR="002B555C" w:rsidRPr="00222F7A">
        <w:t xml:space="preserve"> </w:t>
      </w:r>
      <w:r w:rsidR="009F6B97" w:rsidRPr="00222F7A">
        <w:t>organizational practices and coordination)</w:t>
      </w:r>
      <w:r w:rsidR="005C5719" w:rsidRPr="00222F7A">
        <w:t>,</w:t>
      </w:r>
      <w:r w:rsidR="00E61BDC" w:rsidRPr="00222F7A">
        <w:t xml:space="preserve"> </w:t>
      </w:r>
      <w:r w:rsidR="008F68E7">
        <w:t xml:space="preserve">and </w:t>
      </w:r>
      <w:r w:rsidR="00025BD8" w:rsidRPr="008408BE">
        <w:rPr>
          <w:color w:val="000000" w:themeColor="text1"/>
        </w:rPr>
        <w:t>institutions</w:t>
      </w:r>
      <w:r w:rsidR="004A2650" w:rsidRPr="008408BE">
        <w:rPr>
          <w:color w:val="000000" w:themeColor="text1"/>
        </w:rPr>
        <w:t xml:space="preserve"> (e.g., IPR</w:t>
      </w:r>
      <w:r w:rsidR="002B1A15" w:rsidRPr="008408BE">
        <w:rPr>
          <w:color w:val="000000" w:themeColor="text1"/>
        </w:rPr>
        <w:t>,</w:t>
      </w:r>
      <w:r w:rsidR="00B4702D" w:rsidRPr="008408BE">
        <w:rPr>
          <w:color w:val="000000" w:themeColor="text1"/>
        </w:rPr>
        <w:t xml:space="preserve"> contracts</w:t>
      </w:r>
      <w:r w:rsidR="00E77FBC">
        <w:rPr>
          <w:color w:val="000000" w:themeColor="text1"/>
        </w:rPr>
        <w:t>,</w:t>
      </w:r>
      <w:r w:rsidR="00642BDF">
        <w:rPr>
          <w:color w:val="000000" w:themeColor="text1"/>
        </w:rPr>
        <w:t xml:space="preserve"> and</w:t>
      </w:r>
      <w:r w:rsidR="00F3786E" w:rsidRPr="008408BE">
        <w:rPr>
          <w:color w:val="000000" w:themeColor="text1"/>
        </w:rPr>
        <w:t xml:space="preserve"> </w:t>
      </w:r>
      <w:r w:rsidR="00FD62E6" w:rsidRPr="008408BE">
        <w:rPr>
          <w:color w:val="000000" w:themeColor="text1"/>
        </w:rPr>
        <w:t>quality standards</w:t>
      </w:r>
      <w:r w:rsidR="000A1E5C" w:rsidRPr="008408BE">
        <w:rPr>
          <w:color w:val="000000" w:themeColor="text1"/>
        </w:rPr>
        <w:t>)</w:t>
      </w:r>
      <w:r w:rsidR="009C519A" w:rsidRPr="008408BE">
        <w:rPr>
          <w:color w:val="000000" w:themeColor="text1"/>
        </w:rPr>
        <w:t xml:space="preserve"> (</w:t>
      </w:r>
      <w:r w:rsidR="00D46AD2">
        <w:rPr>
          <w:color w:val="000000" w:themeColor="text1"/>
        </w:rPr>
        <w:t xml:space="preserve">Hashai et al., 2018; </w:t>
      </w:r>
      <w:r w:rsidR="005150C9" w:rsidRPr="008408BE">
        <w:rPr>
          <w:color w:val="000000" w:themeColor="text1"/>
        </w:rPr>
        <w:lastRenderedPageBreak/>
        <w:t xml:space="preserve">Barkema </w:t>
      </w:r>
      <w:r w:rsidR="005150C9">
        <w:t>et al., 1997)</w:t>
      </w:r>
      <w:r w:rsidR="006809DC" w:rsidRPr="00005AB1">
        <w:t>;</w:t>
      </w:r>
      <w:r w:rsidR="002E6F24" w:rsidRPr="00005AB1">
        <w:t xml:space="preserve"> issues</w:t>
      </w:r>
      <w:r w:rsidR="007945D4" w:rsidRPr="00005AB1">
        <w:t xml:space="preserve"> that are</w:t>
      </w:r>
      <w:r w:rsidR="002E6F24" w:rsidRPr="00005AB1">
        <w:t xml:space="preserve"> </w:t>
      </w:r>
      <w:r w:rsidR="006809DC" w:rsidRPr="00005AB1">
        <w:t>common to other internationalization activities including exporting</w:t>
      </w:r>
      <w:r w:rsidR="009F45A3" w:rsidRPr="00005AB1">
        <w:t xml:space="preserve"> (Barkema</w:t>
      </w:r>
      <w:r w:rsidR="00ED11D8">
        <w:t xml:space="preserve"> et al., 1997</w:t>
      </w:r>
      <w:r w:rsidR="00A95025" w:rsidRPr="00005AB1">
        <w:t>;</w:t>
      </w:r>
      <w:r w:rsidR="00A95025">
        <w:t xml:space="preserve"> Zhou et al., 2007)</w:t>
      </w:r>
      <w:r w:rsidR="00E61BDC" w:rsidRPr="009C519A">
        <w:t>.</w:t>
      </w:r>
      <w:r w:rsidR="008B36A1" w:rsidRPr="009C519A">
        <w:t xml:space="preserve"> </w:t>
      </w:r>
      <w:r w:rsidR="00641C05">
        <w:t>P</w:t>
      </w:r>
      <w:r w:rsidR="00222F7A">
        <w:t xml:space="preserve">rior research </w:t>
      </w:r>
      <w:r w:rsidR="00F32350">
        <w:t xml:space="preserve">reinforces </w:t>
      </w:r>
      <w:r w:rsidR="00641C05">
        <w:t xml:space="preserve">this view, showing </w:t>
      </w:r>
      <w:r w:rsidR="00CC2F27">
        <w:t>that</w:t>
      </w:r>
      <w:r w:rsidR="00393AAA">
        <w:t xml:space="preserve"> </w:t>
      </w:r>
      <w:r w:rsidR="00473F88">
        <w:t xml:space="preserve">collaborative relationships </w:t>
      </w:r>
      <w:r w:rsidR="00CC2F27">
        <w:t>provide</w:t>
      </w:r>
      <w:r w:rsidR="00B2389C">
        <w:t xml:space="preserve"> </w:t>
      </w:r>
      <w:r w:rsidR="00B1657B">
        <w:t xml:space="preserve">information </w:t>
      </w:r>
      <w:r w:rsidR="003C3B02">
        <w:t>about the</w:t>
      </w:r>
      <w:r w:rsidR="00D215E9">
        <w:t xml:space="preserve"> internationalization process itself</w:t>
      </w:r>
      <w:r w:rsidR="00427278">
        <w:t xml:space="preserve"> </w:t>
      </w:r>
      <w:r w:rsidR="00107950">
        <w:t>and</w:t>
      </w:r>
      <w:r w:rsidR="00D21A63">
        <w:t xml:space="preserve"> </w:t>
      </w:r>
      <w:r w:rsidR="007D37D3">
        <w:t xml:space="preserve">practices </w:t>
      </w:r>
      <w:r w:rsidR="00D215E9">
        <w:t>that can be adopted</w:t>
      </w:r>
      <w:r w:rsidR="00107950">
        <w:t xml:space="preserve"> </w:t>
      </w:r>
      <w:r w:rsidR="00C1403E">
        <w:t>to</w:t>
      </w:r>
      <w:r w:rsidR="00427278">
        <w:t xml:space="preserve"> </w:t>
      </w:r>
      <w:r w:rsidR="00031FD1">
        <w:t>overcome</w:t>
      </w:r>
      <w:r w:rsidR="009A52C7">
        <w:t xml:space="preserve"> </w:t>
      </w:r>
      <w:r w:rsidR="00CC2F27">
        <w:t xml:space="preserve">challenges </w:t>
      </w:r>
      <w:r w:rsidR="000969BF">
        <w:t xml:space="preserve">and operational issues </w:t>
      </w:r>
      <w:r w:rsidR="00CC2F27">
        <w:t>abroad</w:t>
      </w:r>
      <w:r w:rsidR="00CD5C3D">
        <w:t xml:space="preserve"> </w:t>
      </w:r>
      <w:r w:rsidR="005155BC">
        <w:t>(Costa et al 2016</w:t>
      </w:r>
      <w:r w:rsidR="005913F9">
        <w:t>; Musteen et al., 2010</w:t>
      </w:r>
      <w:r w:rsidR="005155BC">
        <w:t>)</w:t>
      </w:r>
      <w:r w:rsidR="00146934">
        <w:t>.</w:t>
      </w:r>
      <w:r w:rsidR="005155BC">
        <w:t xml:space="preserve"> </w:t>
      </w:r>
      <w:r w:rsidR="00CC2F27">
        <w:t>Overall, collaboration enables</w:t>
      </w:r>
      <w:r w:rsidR="00641C05">
        <w:t xml:space="preserve"> firms</w:t>
      </w:r>
      <w:r w:rsidR="00CC2F27">
        <w:t xml:space="preserve"> to</w:t>
      </w:r>
      <w:r w:rsidR="00641C05">
        <w:t xml:space="preserve"> maintain some level of information</w:t>
      </w:r>
      <w:r w:rsidR="00B21817">
        <w:t xml:space="preserve"> processing</w:t>
      </w:r>
      <w:r w:rsidR="00641C05">
        <w:t xml:space="preserve"> that</w:t>
      </w:r>
      <w:r w:rsidR="00CC2F27">
        <w:t xml:space="preserve"> in turn</w:t>
      </w:r>
      <w:r w:rsidR="00641C05">
        <w:t xml:space="preserve"> helps</w:t>
      </w:r>
      <w:r w:rsidR="00CC2F27">
        <w:t xml:space="preserve"> them</w:t>
      </w:r>
      <w:r w:rsidR="00641C05">
        <w:t xml:space="preserve"> </w:t>
      </w:r>
      <w:r w:rsidR="00E77FBC">
        <w:t>manage</w:t>
      </w:r>
      <w:r w:rsidR="00641C05">
        <w:t xml:space="preserve"> exporting activities in various foreign environments</w:t>
      </w:r>
      <w:r w:rsidR="00C44C99">
        <w:t>.</w:t>
      </w:r>
    </w:p>
    <w:p w14:paraId="5EB8752B" w14:textId="4E86D091" w:rsidR="00E81900" w:rsidRDefault="00F32350" w:rsidP="00C02249">
      <w:pPr>
        <w:tabs>
          <w:tab w:val="left" w:pos="1560"/>
        </w:tabs>
        <w:spacing w:line="480" w:lineRule="auto"/>
        <w:ind w:firstLine="284"/>
      </w:pPr>
      <w:bookmarkStart w:id="15" w:name="_Hlk85272984"/>
      <w:r>
        <w:t>T</w:t>
      </w:r>
      <w:r w:rsidR="002310D3">
        <w:t>herefore</w:t>
      </w:r>
      <w:r w:rsidR="00001A1C">
        <w:t>,</w:t>
      </w:r>
      <w:r w:rsidR="00133B6C">
        <w:t xml:space="preserve"> </w:t>
      </w:r>
      <w:r w:rsidR="007D4FDC">
        <w:t>both</w:t>
      </w:r>
      <w:r w:rsidR="002C42EC">
        <w:t xml:space="preserve"> </w:t>
      </w:r>
      <w:r w:rsidR="00EA08AB">
        <w:t>market-specific and general</w:t>
      </w:r>
      <w:r w:rsidR="001017E0">
        <w:t xml:space="preserve"> internationalization</w:t>
      </w:r>
      <w:r w:rsidR="005D7CE0">
        <w:t xml:space="preserve"> knowledge </w:t>
      </w:r>
      <w:r w:rsidR="00D86575">
        <w:t xml:space="preserve">from </w:t>
      </w:r>
      <w:r w:rsidR="00133B6C">
        <w:t>f</w:t>
      </w:r>
      <w:r w:rsidR="00166792" w:rsidRPr="00DB0456">
        <w:t>oreign collaborations</w:t>
      </w:r>
      <w:r w:rsidR="00166792">
        <w:t xml:space="preserve"> can</w:t>
      </w:r>
      <w:r w:rsidR="00C668B1">
        <w:t xml:space="preserve"> </w:t>
      </w:r>
      <w:r w:rsidR="00166792">
        <w:t>assist in</w:t>
      </w:r>
      <w:r w:rsidR="00166792" w:rsidRPr="00D67EA6">
        <w:t xml:space="preserve"> overcom</w:t>
      </w:r>
      <w:r w:rsidR="00166792">
        <w:t>ing</w:t>
      </w:r>
      <w:r w:rsidR="00166792" w:rsidRPr="00D67EA6">
        <w:t xml:space="preserve"> some of the </w:t>
      </w:r>
      <w:r w:rsidR="00D86575">
        <w:t>challenges</w:t>
      </w:r>
      <w:r w:rsidR="00D86575" w:rsidRPr="00D67EA6">
        <w:t xml:space="preserve"> </w:t>
      </w:r>
      <w:r w:rsidR="00166792" w:rsidRPr="00D67EA6">
        <w:t xml:space="preserve">that led to </w:t>
      </w:r>
      <w:r w:rsidR="00E77FBC">
        <w:t xml:space="preserve">the </w:t>
      </w:r>
      <w:r w:rsidR="00166792" w:rsidRPr="00D67EA6">
        <w:t>exit</w:t>
      </w:r>
      <w:r w:rsidR="00D86575">
        <w:t>. As such,</w:t>
      </w:r>
      <w:r w:rsidR="00166792" w:rsidRPr="00D67EA6">
        <w:t xml:space="preserve"> </w:t>
      </w:r>
      <w:r w:rsidR="00D86575" w:rsidRPr="00DB0456">
        <w:t>collaborations</w:t>
      </w:r>
      <w:r w:rsidR="00D86575">
        <w:t xml:space="preserve"> can</w:t>
      </w:r>
      <w:r w:rsidR="00166792" w:rsidRPr="00D67EA6">
        <w:t xml:space="preserve"> increase confidence about re-entering export markets even during the earlier stages </w:t>
      </w:r>
      <w:r w:rsidR="00D86575">
        <w:t>of the time-out period</w:t>
      </w:r>
      <w:r w:rsidR="00166792" w:rsidRPr="00D67EA6">
        <w:t xml:space="preserve"> (</w:t>
      </w:r>
      <w:bookmarkStart w:id="16" w:name="_Hlk73209012"/>
      <w:r w:rsidR="00166792" w:rsidRPr="00D67EA6">
        <w:t xml:space="preserve">Domininquez </w:t>
      </w:r>
      <w:r w:rsidR="00D24D7A">
        <w:t>&amp;</w:t>
      </w:r>
      <w:r w:rsidR="00166792" w:rsidRPr="00D67EA6">
        <w:t xml:space="preserve"> Mayrhofer, 2017</w:t>
      </w:r>
      <w:bookmarkEnd w:id="16"/>
      <w:r w:rsidR="00166792" w:rsidRPr="00D67EA6">
        <w:t xml:space="preserve">; Havila </w:t>
      </w:r>
      <w:r w:rsidR="0066167C">
        <w:t>&amp;</w:t>
      </w:r>
      <w:r w:rsidR="00166792" w:rsidRPr="00D67EA6">
        <w:t xml:space="preserve"> Wilkinson, 2002). </w:t>
      </w:r>
      <w:r w:rsidR="00AE294D">
        <w:t>Some of the challenges that led to</w:t>
      </w:r>
      <w:r w:rsidR="00166792">
        <w:t xml:space="preserve"> exit</w:t>
      </w:r>
      <w:r w:rsidR="008C7DEB">
        <w:t xml:space="preserve"> </w:t>
      </w:r>
      <w:r w:rsidR="00EA08AB">
        <w:t>include</w:t>
      </w:r>
      <w:r w:rsidR="00166792" w:rsidRPr="00DB0456">
        <w:t xml:space="preserve"> </w:t>
      </w:r>
      <w:bookmarkStart w:id="17" w:name="_Hlk73109166"/>
      <w:r w:rsidR="00166792" w:rsidRPr="00960076">
        <w:t>incomplete understanding of foreign market</w:t>
      </w:r>
      <w:r w:rsidR="00FD06AB">
        <w:t>s</w:t>
      </w:r>
      <w:r w:rsidR="005C18FC">
        <w:t>, culture</w:t>
      </w:r>
      <w:r w:rsidR="00E77FBC">
        <w:t>,</w:t>
      </w:r>
      <w:r w:rsidR="00166792">
        <w:t xml:space="preserve"> and</w:t>
      </w:r>
      <w:r w:rsidR="00166792" w:rsidRPr="00960076">
        <w:t xml:space="preserve"> customers</w:t>
      </w:r>
      <w:r w:rsidR="00166792">
        <w:t>,</w:t>
      </w:r>
      <w:r w:rsidR="00166792" w:rsidRPr="00960076">
        <w:t xml:space="preserve"> </w:t>
      </w:r>
      <w:r w:rsidR="00166792">
        <w:t>loss of competitiveness, falling demand</w:t>
      </w:r>
      <w:r w:rsidR="00360877">
        <w:t>,</w:t>
      </w:r>
      <w:r w:rsidR="003556CD">
        <w:t xml:space="preserve"> </w:t>
      </w:r>
      <w:r w:rsidR="00360877" w:rsidRPr="00360877">
        <w:t>operational</w:t>
      </w:r>
      <w:r w:rsidR="00826AF0">
        <w:t xml:space="preserve"> </w:t>
      </w:r>
      <w:r w:rsidR="00360877" w:rsidRPr="00360877">
        <w:t>failure</w:t>
      </w:r>
      <w:r w:rsidR="00FD06AB">
        <w:t xml:space="preserve"> as well as the</w:t>
      </w:r>
      <w:r w:rsidR="00360877" w:rsidRPr="00360877">
        <w:t xml:space="preserve"> </w:t>
      </w:r>
      <w:r w:rsidR="00166792">
        <w:t xml:space="preserve">inability to adjust to foreign institutions or </w:t>
      </w:r>
      <w:r w:rsidR="00166792" w:rsidRPr="003F697E">
        <w:t xml:space="preserve">meet </w:t>
      </w:r>
      <w:r w:rsidR="00166792">
        <w:t xml:space="preserve">new </w:t>
      </w:r>
      <w:r w:rsidR="00166792" w:rsidRPr="003F697E">
        <w:t>government</w:t>
      </w:r>
      <w:r w:rsidR="00166792">
        <w:t xml:space="preserve"> </w:t>
      </w:r>
      <w:r w:rsidR="00FD06AB">
        <w:t xml:space="preserve">regulations </w:t>
      </w:r>
      <w:bookmarkEnd w:id="17"/>
      <w:r w:rsidR="00166792">
        <w:t>(</w:t>
      </w:r>
      <w:r w:rsidR="00360877">
        <w:t xml:space="preserve">Chen et al., 2019; </w:t>
      </w:r>
      <w:r w:rsidR="00166792" w:rsidRPr="00D14718">
        <w:t>Sousa &amp; Tan, 2015; Vissak &amp; Francioni, 2013)</w:t>
      </w:r>
      <w:r w:rsidR="00166792">
        <w:t xml:space="preserve">. </w:t>
      </w:r>
    </w:p>
    <w:p w14:paraId="4D491A31" w14:textId="4BDE84CA" w:rsidR="00166792" w:rsidRDefault="000D192F" w:rsidP="00C02249">
      <w:pPr>
        <w:tabs>
          <w:tab w:val="left" w:pos="1560"/>
        </w:tabs>
        <w:spacing w:line="480" w:lineRule="auto"/>
        <w:ind w:firstLine="284"/>
      </w:pPr>
      <w:r>
        <w:t>C</w:t>
      </w:r>
      <w:r w:rsidR="00CD6C07" w:rsidRPr="00CD6C07">
        <w:t>ollaborations</w:t>
      </w:r>
      <w:r>
        <w:t xml:space="preserve"> </w:t>
      </w:r>
      <w:r w:rsidR="00AE294D">
        <w:t>help</w:t>
      </w:r>
      <w:r w:rsidR="00CD6C07" w:rsidRPr="00CD6C07">
        <w:t xml:space="preserve"> managers understand what went wrong in the previous export attempt, </w:t>
      </w:r>
      <w:r w:rsidR="00D67528">
        <w:t>identify</w:t>
      </w:r>
      <w:r w:rsidR="00D67528" w:rsidRPr="00CD6C07">
        <w:t xml:space="preserve"> </w:t>
      </w:r>
      <w:r w:rsidR="00CD6C07" w:rsidRPr="00CD6C07">
        <w:t xml:space="preserve">how </w:t>
      </w:r>
      <w:r w:rsidR="00D67528">
        <w:t>they should</w:t>
      </w:r>
      <w:r w:rsidR="00D67528" w:rsidRPr="00CD6C07">
        <w:t xml:space="preserve"> </w:t>
      </w:r>
      <w:r w:rsidR="00CD6C07" w:rsidRPr="00CD6C07">
        <w:t xml:space="preserve">respond to </w:t>
      </w:r>
      <w:r w:rsidR="00D67528">
        <w:t>such</w:t>
      </w:r>
      <w:r w:rsidR="00D67528" w:rsidRPr="00CD6C07">
        <w:t xml:space="preserve"> </w:t>
      </w:r>
      <w:r w:rsidR="00CD6C07" w:rsidRPr="00CD6C07">
        <w:t xml:space="preserve">challenges if they were to re-start exporting and become more confident that </w:t>
      </w:r>
      <w:r w:rsidR="00D67528">
        <w:t xml:space="preserve">the firm will </w:t>
      </w:r>
      <w:r w:rsidR="006757DA">
        <w:t>avoid</w:t>
      </w:r>
      <w:r w:rsidR="00D67528">
        <w:t xml:space="preserve"> the same</w:t>
      </w:r>
      <w:r w:rsidR="00CD6C07" w:rsidRPr="00CD6C07">
        <w:t xml:space="preserve"> mistakes</w:t>
      </w:r>
      <w:r w:rsidR="000C68FD">
        <w:t xml:space="preserve">. </w:t>
      </w:r>
      <w:r w:rsidR="00A178FE">
        <w:t>Hence</w:t>
      </w:r>
      <w:r w:rsidR="00FE30F1">
        <w:t>,</w:t>
      </w:r>
      <w:r w:rsidR="0064256F">
        <w:t xml:space="preserve"> </w:t>
      </w:r>
      <w:r w:rsidR="006757DA">
        <w:t xml:space="preserve">we expect </w:t>
      </w:r>
      <w:r w:rsidR="0064256F">
        <w:t>managerial c</w:t>
      </w:r>
      <w:r w:rsidR="000C68FD">
        <w:t xml:space="preserve">onfidence to </w:t>
      </w:r>
      <w:r w:rsidR="00CE457F">
        <w:t>increase</w:t>
      </w:r>
      <w:r w:rsidR="00B07351">
        <w:t xml:space="preserve"> </w:t>
      </w:r>
      <w:r w:rsidR="00B07351" w:rsidRPr="00B07351">
        <w:t xml:space="preserve">even after experiencing an adverse exit event and regardless of how </w:t>
      </w:r>
      <w:r w:rsidR="00001A1C">
        <w:t>the</w:t>
      </w:r>
      <w:r w:rsidR="00B07351" w:rsidRPr="00B07351">
        <w:t xml:space="preserve"> export entry was initially approached (Welch </w:t>
      </w:r>
      <w:r w:rsidR="0066167C">
        <w:t>&amp;</w:t>
      </w:r>
      <w:r w:rsidR="00B07351" w:rsidRPr="00B07351">
        <w:t xml:space="preserve"> Welch, 2009</w:t>
      </w:r>
      <w:r w:rsidR="00656F24">
        <w:t>)</w:t>
      </w:r>
      <w:r w:rsidR="00CD6C07" w:rsidRPr="00CD6C07">
        <w:t xml:space="preserve">. </w:t>
      </w:r>
      <w:bookmarkEnd w:id="15"/>
      <w:r w:rsidR="006D15EE">
        <w:t xml:space="preserve">As managers increase their confidence </w:t>
      </w:r>
      <w:r w:rsidR="00E96993">
        <w:t>by</w:t>
      </w:r>
      <w:r w:rsidR="00FC64CF">
        <w:t xml:space="preserve"> understanding </w:t>
      </w:r>
      <w:r w:rsidR="00EF3687">
        <w:t xml:space="preserve">the reasons for </w:t>
      </w:r>
      <w:r w:rsidR="00E77FBC">
        <w:t>an</w:t>
      </w:r>
      <w:r w:rsidR="00EF3687">
        <w:t xml:space="preserve"> exit</w:t>
      </w:r>
      <w:r w:rsidR="00166792" w:rsidRPr="00A9077F">
        <w:t>,</w:t>
      </w:r>
      <w:r w:rsidR="001B0A7A">
        <w:t xml:space="preserve"> </w:t>
      </w:r>
      <w:r w:rsidR="005C10E6">
        <w:t xml:space="preserve">we expect </w:t>
      </w:r>
      <w:r w:rsidR="00166792">
        <w:t xml:space="preserve">the </w:t>
      </w:r>
      <w:r w:rsidR="005C10E6">
        <w:t xml:space="preserve">part of the </w:t>
      </w:r>
      <w:r w:rsidR="00166792">
        <w:t xml:space="preserve">curve </w:t>
      </w:r>
      <w:r w:rsidR="005C10E6">
        <w:t xml:space="preserve">associated with </w:t>
      </w:r>
      <w:r w:rsidR="00166792">
        <w:t xml:space="preserve">the effect of the latent mechanism related to </w:t>
      </w:r>
      <w:r w:rsidR="00EF3687">
        <w:t>the negative influence of exit (</w:t>
      </w:r>
      <w:r w:rsidR="00166792">
        <w:t>inertia</w:t>
      </w:r>
      <w:r w:rsidR="00EF3687">
        <w:t>)</w:t>
      </w:r>
      <w:r w:rsidR="00166792">
        <w:t xml:space="preserve"> on </w:t>
      </w:r>
      <w:r w:rsidR="005C10E6">
        <w:t xml:space="preserve">the likelihood of re-initiating </w:t>
      </w:r>
      <w:r w:rsidR="00166792">
        <w:t>export</w:t>
      </w:r>
      <w:r w:rsidR="005C10E6">
        <w:t>ing</w:t>
      </w:r>
      <w:r w:rsidR="00166792">
        <w:t xml:space="preserve"> </w:t>
      </w:r>
      <w:r w:rsidR="005C10E6">
        <w:t>to</w:t>
      </w:r>
      <w:r w:rsidR="00166792" w:rsidRPr="00B845EF">
        <w:t xml:space="preserve"> </w:t>
      </w:r>
      <w:r w:rsidR="00166792">
        <w:t>move upwards as show</w:t>
      </w:r>
      <w:r w:rsidR="005C10E6">
        <w:t>n</w:t>
      </w:r>
      <w:r w:rsidR="00166792">
        <w:t xml:space="preserve"> in </w:t>
      </w:r>
      <w:r w:rsidR="005C10E6">
        <w:t>F</w:t>
      </w:r>
      <w:r w:rsidR="00166792">
        <w:t>igure 2a.</w:t>
      </w:r>
    </w:p>
    <w:p w14:paraId="7CCEA274" w14:textId="6854D43C" w:rsidR="00166792" w:rsidRPr="00774670" w:rsidRDefault="00166792" w:rsidP="00B67019">
      <w:pPr>
        <w:spacing w:line="480" w:lineRule="auto"/>
        <w:ind w:firstLine="720"/>
        <w:jc w:val="center"/>
        <w:rPr>
          <w:b/>
          <w:bCs/>
        </w:rPr>
      </w:pPr>
      <w:r w:rsidRPr="00F67329">
        <w:t xml:space="preserve">** Insert Figure </w:t>
      </w:r>
      <w:r>
        <w:t>2</w:t>
      </w:r>
      <w:r w:rsidRPr="00F67329">
        <w:t xml:space="preserve"> here **</w:t>
      </w:r>
    </w:p>
    <w:p w14:paraId="1E3B41E4" w14:textId="180D38AF" w:rsidR="00166792" w:rsidRDefault="00166792" w:rsidP="008F4925">
      <w:pPr>
        <w:spacing w:line="480" w:lineRule="auto"/>
        <w:ind w:firstLine="284"/>
      </w:pPr>
      <w:r>
        <w:lastRenderedPageBreak/>
        <w:t>The</w:t>
      </w:r>
      <w:r w:rsidR="005B2018">
        <w:t xml:space="preserve"> </w:t>
      </w:r>
      <w:r w:rsidR="00DF565B">
        <w:t>market</w:t>
      </w:r>
      <w:r w:rsidR="008E6D7B">
        <w:t>-</w:t>
      </w:r>
      <w:r w:rsidR="00DF565B">
        <w:t xml:space="preserve">specific and general internationalization </w:t>
      </w:r>
      <w:r>
        <w:t xml:space="preserve">knowledge that firms gain </w:t>
      </w:r>
      <w:r w:rsidR="0041121E" w:rsidRPr="0041121E">
        <w:t>through partners</w:t>
      </w:r>
      <w:r w:rsidR="004C7048">
        <w:t>hips</w:t>
      </w:r>
      <w:r w:rsidR="0041121E" w:rsidRPr="0041121E">
        <w:t xml:space="preserve"> </w:t>
      </w:r>
      <w:r>
        <w:t>is also useful</w:t>
      </w:r>
      <w:r w:rsidR="00900981">
        <w:t xml:space="preserve"> at </w:t>
      </w:r>
      <w:r w:rsidR="00F31B69">
        <w:t xml:space="preserve">the </w:t>
      </w:r>
      <w:r w:rsidR="00900981">
        <w:t>later stages since exit</w:t>
      </w:r>
      <w:r w:rsidR="00390D24">
        <w:t xml:space="preserve"> </w:t>
      </w:r>
      <w:r>
        <w:t>when</w:t>
      </w:r>
      <w:r w:rsidR="000D3010">
        <w:t xml:space="preserve"> firms’ </w:t>
      </w:r>
      <w:r>
        <w:t>export</w:t>
      </w:r>
      <w:r w:rsidR="00F31B69">
        <w:t>-</w:t>
      </w:r>
      <w:r>
        <w:t>related experiential knowledge</w:t>
      </w:r>
      <w:r w:rsidR="000D3010">
        <w:t xml:space="preserve"> </w:t>
      </w:r>
      <w:r>
        <w:t>start</w:t>
      </w:r>
      <w:r w:rsidR="00F31B69">
        <w:t>s</w:t>
      </w:r>
      <w:r>
        <w:t xml:space="preserve"> to atrophy or </w:t>
      </w:r>
      <w:r w:rsidR="004C7048">
        <w:t xml:space="preserve">is even </w:t>
      </w:r>
      <w:r w:rsidR="00DF5890">
        <w:t>largely</w:t>
      </w:r>
      <w:r w:rsidR="00B32DBB">
        <w:t xml:space="preserve"> </w:t>
      </w:r>
      <w:r w:rsidR="004C7048">
        <w:t>forgotten</w:t>
      </w:r>
      <w:r>
        <w:t xml:space="preserve">. </w:t>
      </w:r>
      <w:r w:rsidR="008E6D7B">
        <w:t>At th</w:t>
      </w:r>
      <w:r w:rsidR="004C7048">
        <w:t>e</w:t>
      </w:r>
      <w:r w:rsidR="008E6D7B">
        <w:t>se stages, l</w:t>
      </w:r>
      <w:r w:rsidRPr="00514D42">
        <w:t xml:space="preserve">earning from foreign </w:t>
      </w:r>
      <w:r w:rsidR="004C7048">
        <w:t>collaborators</w:t>
      </w:r>
      <w:r w:rsidR="004C7048" w:rsidRPr="00514D42">
        <w:t xml:space="preserve"> </w:t>
      </w:r>
      <w:r>
        <w:t>can be</w:t>
      </w:r>
      <w:r w:rsidRPr="00514D42">
        <w:t xml:space="preserve"> more useful than pre-exit experiential learning as recent knowledge is more valuable and can be </w:t>
      </w:r>
      <w:r w:rsidR="004C7048" w:rsidRPr="00514D42">
        <w:t xml:space="preserve">retrieved </w:t>
      </w:r>
      <w:r w:rsidRPr="00514D42">
        <w:t xml:space="preserve">more easily (Madsen </w:t>
      </w:r>
      <w:r w:rsidR="003B6068">
        <w:t>&amp;</w:t>
      </w:r>
      <w:r w:rsidRPr="00514D42">
        <w:t xml:space="preserve"> Desai, 2010; Levitt </w:t>
      </w:r>
      <w:r w:rsidR="003B6068">
        <w:t>&amp;</w:t>
      </w:r>
      <w:r w:rsidRPr="00514D42">
        <w:t xml:space="preserve"> March, 1988). </w:t>
      </w:r>
      <w:r w:rsidR="00AA1421">
        <w:t xml:space="preserve">Therefore, </w:t>
      </w:r>
      <w:r>
        <w:t xml:space="preserve">foreign </w:t>
      </w:r>
      <w:r w:rsidR="004C7048">
        <w:t xml:space="preserve">collaborators </w:t>
      </w:r>
      <w:r>
        <w:t xml:space="preserve">can </w:t>
      </w:r>
      <w:r w:rsidR="0016797C">
        <w:t xml:space="preserve">provide firms with </w:t>
      </w:r>
      <w:r>
        <w:t>market</w:t>
      </w:r>
      <w:r w:rsidR="00FA16E8">
        <w:t>-</w:t>
      </w:r>
      <w:r w:rsidR="00CA7E4D">
        <w:t xml:space="preserve">specific </w:t>
      </w:r>
      <w:r>
        <w:t xml:space="preserve">knowledge (Hsieh et al., 2018; van Beers </w:t>
      </w:r>
      <w:r w:rsidR="00F02ABF">
        <w:t>&amp;</w:t>
      </w:r>
      <w:r>
        <w:t xml:space="preserve"> Zand, 2014) that can reduce </w:t>
      </w:r>
      <w:r w:rsidR="00E77FBC">
        <w:t>the</w:t>
      </w:r>
      <w:r>
        <w:t xml:space="preserve"> managerial effort when dealing with the renewed liability of foreignness (D’Angelo et al., 2020). </w:t>
      </w:r>
      <w:r w:rsidR="00E1208B">
        <w:t>They</w:t>
      </w:r>
      <w:r w:rsidR="00E1208B" w:rsidRPr="00AA1421">
        <w:t xml:space="preserve"> </w:t>
      </w:r>
      <w:r w:rsidRPr="00AA1421">
        <w:t>can provide</w:t>
      </w:r>
      <w:r w:rsidR="00984D89" w:rsidRPr="00984D89">
        <w:t xml:space="preserve"> continuous updates and</w:t>
      </w:r>
      <w:r w:rsidRPr="00AA1421">
        <w:t xml:space="preserve"> knowledge </w:t>
      </w:r>
      <w:r w:rsidR="003859A6">
        <w:t>regarding</w:t>
      </w:r>
      <w:r w:rsidR="003859A6" w:rsidRPr="00AA1421">
        <w:t xml:space="preserve"> </w:t>
      </w:r>
      <w:r w:rsidRPr="00AA1421">
        <w:t>foreign market conditions</w:t>
      </w:r>
      <w:r w:rsidR="00984D89">
        <w:t xml:space="preserve"> (thus</w:t>
      </w:r>
      <w:r w:rsidR="00984D89" w:rsidRPr="00984D89">
        <w:t xml:space="preserve"> offering insights about new prospects</w:t>
      </w:r>
      <w:r w:rsidR="00984D89">
        <w:t>)</w:t>
      </w:r>
      <w:r w:rsidRPr="00AA1421">
        <w:t xml:space="preserve"> that would have been otherwise too expensive and time</w:t>
      </w:r>
      <w:r w:rsidR="00E77FBC">
        <w:t>-</w:t>
      </w:r>
      <w:r w:rsidRPr="00AA1421">
        <w:t>consuming to collect</w:t>
      </w:r>
      <w:r w:rsidR="00984D89">
        <w:t>.</w:t>
      </w:r>
      <w:r w:rsidR="00563D81">
        <w:t xml:space="preserve"> </w:t>
      </w:r>
      <w:r w:rsidR="00E87AF6">
        <w:t>Finally, f</w:t>
      </w:r>
      <w:r w:rsidR="00563D81">
        <w:t xml:space="preserve">irms can </w:t>
      </w:r>
      <w:r w:rsidR="000C0FBB">
        <w:t>enrich</w:t>
      </w:r>
      <w:r w:rsidR="004C7048">
        <w:t xml:space="preserve"> </w:t>
      </w:r>
      <w:r w:rsidR="000C0FBB">
        <w:t xml:space="preserve">their </w:t>
      </w:r>
      <w:r w:rsidR="00C947F2">
        <w:t xml:space="preserve">general </w:t>
      </w:r>
      <w:r w:rsidR="00276338">
        <w:t xml:space="preserve">internationalization </w:t>
      </w:r>
      <w:r w:rsidR="00752F00">
        <w:t>knowledge</w:t>
      </w:r>
      <w:r w:rsidR="002D0BBC">
        <w:t xml:space="preserve"> </w:t>
      </w:r>
      <w:r w:rsidR="00AA1421">
        <w:t>regarding</w:t>
      </w:r>
      <w:r w:rsidR="00F0681E">
        <w:t xml:space="preserve"> </w:t>
      </w:r>
      <w:r w:rsidR="0079096C">
        <w:t>practices</w:t>
      </w:r>
      <w:r w:rsidR="007E5609">
        <w:t xml:space="preserve"> that </w:t>
      </w:r>
      <w:r w:rsidR="00487DD2">
        <w:t>can</w:t>
      </w:r>
      <w:r w:rsidR="007248FE">
        <w:t xml:space="preserve"> be</w:t>
      </w:r>
      <w:r w:rsidR="00487DD2">
        <w:t xml:space="preserve"> adopt</w:t>
      </w:r>
      <w:r w:rsidR="007248FE">
        <w:t>ed</w:t>
      </w:r>
      <w:r w:rsidR="00487DD2">
        <w:t xml:space="preserve"> to </w:t>
      </w:r>
      <w:r w:rsidR="00E77FBC">
        <w:t>organize</w:t>
      </w:r>
      <w:r w:rsidR="007E5609">
        <w:t xml:space="preserve"> their </w:t>
      </w:r>
      <w:r w:rsidR="00E87AF6">
        <w:t xml:space="preserve">overall </w:t>
      </w:r>
      <w:r w:rsidR="006A30E3">
        <w:t xml:space="preserve">internationalization </w:t>
      </w:r>
      <w:r w:rsidR="004C7048">
        <w:t>more effectively</w:t>
      </w:r>
      <w:r w:rsidR="007714B4">
        <w:t>,</w:t>
      </w:r>
      <w:r w:rsidR="008C60E4">
        <w:t xml:space="preserve"> </w:t>
      </w:r>
      <w:r w:rsidR="00E03524">
        <w:t>access</w:t>
      </w:r>
      <w:r w:rsidR="00752F00">
        <w:t xml:space="preserve"> information on</w:t>
      </w:r>
      <w:r w:rsidR="008C60E4">
        <w:t xml:space="preserve"> </w:t>
      </w:r>
      <w:r w:rsidR="007714B4" w:rsidRPr="007714B4">
        <w:t>what further contacts they need to develop and with whom</w:t>
      </w:r>
      <w:r w:rsidR="00276338" w:rsidDel="00276338">
        <w:t xml:space="preserve"> </w:t>
      </w:r>
      <w:r w:rsidR="007714B4" w:rsidRPr="007714B4">
        <w:t xml:space="preserve">(Welch </w:t>
      </w:r>
      <w:r w:rsidR="007A24E8">
        <w:t>&amp;</w:t>
      </w:r>
      <w:r w:rsidR="007714B4" w:rsidRPr="007714B4">
        <w:t xml:space="preserve"> Welch, 2009; Zhou</w:t>
      </w:r>
      <w:r w:rsidR="0066047A">
        <w:t xml:space="preserve"> et al.</w:t>
      </w:r>
      <w:r w:rsidR="007714B4" w:rsidRPr="007714B4">
        <w:t>, 2007)</w:t>
      </w:r>
      <w:r w:rsidR="00331938">
        <w:t>.</w:t>
      </w:r>
      <w:r w:rsidR="005463B1">
        <w:t xml:space="preserve"> </w:t>
      </w:r>
      <w:r w:rsidR="000C0FBB">
        <w:t>Q</w:t>
      </w:r>
      <w:r w:rsidRPr="00331938">
        <w:t>ualitative</w:t>
      </w:r>
      <w:r>
        <w:t xml:space="preserve"> evidence </w:t>
      </w:r>
      <w:r w:rsidR="004C7048">
        <w:t xml:space="preserve">suggests </w:t>
      </w:r>
      <w:r>
        <w:t xml:space="preserve">that firms that </w:t>
      </w:r>
      <w:r w:rsidR="00E77FBC">
        <w:t>exit</w:t>
      </w:r>
      <w:r>
        <w:t xml:space="preserve"> foreign markets can use relationships to compensate for their lack of foreign knowledge and relevant resources (Vissak et al., 2020). </w:t>
      </w:r>
    </w:p>
    <w:p w14:paraId="625B8425" w14:textId="1A2E3DAC" w:rsidR="00166792" w:rsidRDefault="00166792" w:rsidP="00166792">
      <w:pPr>
        <w:spacing w:line="480" w:lineRule="auto"/>
        <w:ind w:firstLine="284"/>
      </w:pPr>
      <w:r>
        <w:t>Therefore, the curve depicting the effect of the latent mechanism related to prior export experience (stock of knowledge/skills) on export re-entry propensity will</w:t>
      </w:r>
      <w:r w:rsidRPr="00B845EF">
        <w:t xml:space="preserve"> </w:t>
      </w:r>
      <w:r>
        <w:t>also move upwards as show</w:t>
      </w:r>
      <w:r w:rsidR="002018B8">
        <w:t>n</w:t>
      </w:r>
      <w:r>
        <w:t xml:space="preserve"> in </w:t>
      </w:r>
      <w:r w:rsidR="002018B8">
        <w:t>F</w:t>
      </w:r>
      <w:r>
        <w:t xml:space="preserve">igure 2b as the knowledge gained through the collaboration would compensate </w:t>
      </w:r>
      <w:r w:rsidR="00E77FBC" w:rsidRPr="00685D24">
        <w:t>for</w:t>
      </w:r>
      <w:r w:rsidR="00E77FBC">
        <w:t xml:space="preserve"> </w:t>
      </w:r>
      <w:r>
        <w:t xml:space="preserve">some of the knowledge loss because of the depreciation of prior export experience. As the </w:t>
      </w:r>
      <w:r w:rsidRPr="00EE4B83">
        <w:t xml:space="preserve">two latent mechanisms </w:t>
      </w:r>
      <w:r>
        <w:t>shift up (</w:t>
      </w:r>
      <w:r w:rsidR="002018B8">
        <w:t>F</w:t>
      </w:r>
      <w:r>
        <w:t>igure</w:t>
      </w:r>
      <w:r w:rsidR="002018B8">
        <w:t>s</w:t>
      </w:r>
      <w:r>
        <w:t xml:space="preserve"> 2a and 2b), the resultant</w:t>
      </w:r>
      <w:r w:rsidRPr="00EE4B83">
        <w:t xml:space="preserve"> inverted </w:t>
      </w:r>
      <w:r w:rsidR="000B5A17">
        <w:t>U</w:t>
      </w:r>
      <w:r w:rsidRPr="00EE4B83">
        <w:t xml:space="preserve">-curve relationship between the </w:t>
      </w:r>
      <w:r w:rsidR="009B73EF">
        <w:t>time-out</w:t>
      </w:r>
      <w:r w:rsidRPr="00EE4B83">
        <w:t xml:space="preserve"> period and export re-entry propensity </w:t>
      </w:r>
      <w:r>
        <w:t xml:space="preserve">would shift up </w:t>
      </w:r>
      <w:r w:rsidRPr="00EE4B83">
        <w:t xml:space="preserve">as illustrated in </w:t>
      </w:r>
      <w:r w:rsidR="002018B8">
        <w:t>F</w:t>
      </w:r>
      <w:r w:rsidRPr="00EE4B83">
        <w:t xml:space="preserve">igure </w:t>
      </w:r>
      <w:r>
        <w:t>2</w:t>
      </w:r>
      <w:r w:rsidRPr="00EE4B83">
        <w:t>.</w:t>
      </w:r>
      <w:r>
        <w:t xml:space="preserve"> Therefore:</w:t>
      </w:r>
    </w:p>
    <w:p w14:paraId="6BE961BF" w14:textId="04B9C87F" w:rsidR="00166792" w:rsidRDefault="00166792" w:rsidP="00E43293">
      <w:pPr>
        <w:spacing w:line="480" w:lineRule="auto"/>
        <w:ind w:left="284"/>
        <w:rPr>
          <w:i/>
          <w:iCs/>
        </w:rPr>
      </w:pPr>
      <w:r w:rsidRPr="00227B4D">
        <w:rPr>
          <w:i/>
          <w:iCs/>
        </w:rPr>
        <w:t xml:space="preserve">Hypothesis </w:t>
      </w:r>
      <w:r>
        <w:rPr>
          <w:i/>
          <w:iCs/>
        </w:rPr>
        <w:t>2</w:t>
      </w:r>
      <w:r w:rsidRPr="00227B4D">
        <w:rPr>
          <w:i/>
          <w:iCs/>
        </w:rPr>
        <w:t xml:space="preserve">: </w:t>
      </w:r>
      <w:r w:rsidR="008B0D09">
        <w:rPr>
          <w:i/>
          <w:iCs/>
        </w:rPr>
        <w:t>C</w:t>
      </w:r>
      <w:r w:rsidRPr="00227B4D">
        <w:rPr>
          <w:i/>
          <w:iCs/>
        </w:rPr>
        <w:t>ollaboration</w:t>
      </w:r>
      <w:r>
        <w:rPr>
          <w:i/>
          <w:iCs/>
        </w:rPr>
        <w:t xml:space="preserve"> </w:t>
      </w:r>
      <w:r w:rsidRPr="00227B4D">
        <w:rPr>
          <w:i/>
          <w:iCs/>
        </w:rPr>
        <w:t xml:space="preserve">with foreign </w:t>
      </w:r>
      <w:r>
        <w:rPr>
          <w:i/>
          <w:iCs/>
        </w:rPr>
        <w:t xml:space="preserve">partners enhances the effect </w:t>
      </w:r>
      <w:r w:rsidR="007D5EBF">
        <w:rPr>
          <w:i/>
          <w:iCs/>
        </w:rPr>
        <w:t xml:space="preserve">of </w:t>
      </w:r>
      <w:r>
        <w:rPr>
          <w:i/>
          <w:iCs/>
        </w:rPr>
        <w:t xml:space="preserve">the </w:t>
      </w:r>
      <w:r w:rsidR="009B73EF">
        <w:rPr>
          <w:i/>
          <w:iCs/>
        </w:rPr>
        <w:t>time-out</w:t>
      </w:r>
      <w:r>
        <w:rPr>
          <w:i/>
          <w:iCs/>
        </w:rPr>
        <w:t xml:space="preserve"> period on the likelihood of </w:t>
      </w:r>
      <w:r w:rsidR="004A5267" w:rsidRPr="00335523">
        <w:rPr>
          <w:i/>
          <w:iCs/>
        </w:rPr>
        <w:t>re-</w:t>
      </w:r>
      <w:r w:rsidR="004A5267">
        <w:rPr>
          <w:i/>
          <w:iCs/>
        </w:rPr>
        <w:t>initiating</w:t>
      </w:r>
      <w:r w:rsidR="004A5267" w:rsidRPr="00335523">
        <w:rPr>
          <w:i/>
          <w:iCs/>
        </w:rPr>
        <w:t xml:space="preserve"> </w:t>
      </w:r>
      <w:r w:rsidR="004A5267">
        <w:rPr>
          <w:i/>
          <w:iCs/>
        </w:rPr>
        <w:t xml:space="preserve">the firm’s </w:t>
      </w:r>
      <w:r w:rsidR="004A5267" w:rsidRPr="00335523">
        <w:rPr>
          <w:i/>
          <w:iCs/>
        </w:rPr>
        <w:t>export activities</w:t>
      </w:r>
      <w:r w:rsidR="004A5267">
        <w:rPr>
          <w:i/>
          <w:iCs/>
        </w:rPr>
        <w:t xml:space="preserve"> (i.e.,</w:t>
      </w:r>
      <w:r w:rsidR="00E128D8">
        <w:rPr>
          <w:i/>
          <w:iCs/>
        </w:rPr>
        <w:t xml:space="preserve"> it </w:t>
      </w:r>
      <w:r>
        <w:rPr>
          <w:i/>
          <w:iCs/>
        </w:rPr>
        <w:t>amplifies the increasing phase of the inverted U</w:t>
      </w:r>
      <w:r w:rsidR="004A5267">
        <w:rPr>
          <w:i/>
          <w:iCs/>
        </w:rPr>
        <w:t xml:space="preserve">-shaped relationship </w:t>
      </w:r>
      <w:r>
        <w:rPr>
          <w:i/>
          <w:iCs/>
        </w:rPr>
        <w:t xml:space="preserve">and </w:t>
      </w:r>
      <w:r w:rsidR="00262F60">
        <w:rPr>
          <w:i/>
          <w:iCs/>
        </w:rPr>
        <w:t xml:space="preserve">weakens </w:t>
      </w:r>
      <w:r>
        <w:rPr>
          <w:i/>
          <w:iCs/>
        </w:rPr>
        <w:t xml:space="preserve">the </w:t>
      </w:r>
      <w:r w:rsidR="00E460CD">
        <w:rPr>
          <w:i/>
          <w:iCs/>
        </w:rPr>
        <w:t xml:space="preserve">decreasing </w:t>
      </w:r>
      <w:r>
        <w:rPr>
          <w:i/>
          <w:iCs/>
        </w:rPr>
        <w:t xml:space="preserve">phase). </w:t>
      </w:r>
    </w:p>
    <w:p w14:paraId="31AB0CA3" w14:textId="0192960E" w:rsidR="00716F53" w:rsidRPr="00B67019" w:rsidRDefault="00716F53" w:rsidP="00B05D2F">
      <w:pPr>
        <w:spacing w:line="480" w:lineRule="auto"/>
      </w:pPr>
    </w:p>
    <w:p w14:paraId="5BC30529" w14:textId="332758DA" w:rsidR="00AC3EBC" w:rsidRDefault="003907CE" w:rsidP="00952856">
      <w:pPr>
        <w:spacing w:line="480" w:lineRule="auto"/>
        <w:rPr>
          <w:rFonts w:eastAsia="Calibri"/>
        </w:rPr>
      </w:pPr>
      <w:bookmarkStart w:id="18" w:name="_Hlk72363300"/>
      <w:r w:rsidRPr="003907CE">
        <w:rPr>
          <w:rFonts w:eastAsia="Calibri"/>
          <w:i/>
          <w:iCs/>
          <w:u w:val="single"/>
        </w:rPr>
        <w:t xml:space="preserve">2.4 Effects of </w:t>
      </w:r>
      <w:r w:rsidR="00F376A4">
        <w:rPr>
          <w:rFonts w:eastAsia="Calibri"/>
          <w:i/>
          <w:iCs/>
          <w:u w:val="single"/>
        </w:rPr>
        <w:t>the</w:t>
      </w:r>
      <w:r w:rsidR="00F376A4" w:rsidRPr="003907CE">
        <w:rPr>
          <w:rFonts w:eastAsia="Calibri"/>
          <w:i/>
          <w:iCs/>
          <w:u w:val="single"/>
        </w:rPr>
        <w:t xml:space="preserve"> </w:t>
      </w:r>
      <w:r w:rsidRPr="003907CE">
        <w:rPr>
          <w:rFonts w:eastAsia="Calibri"/>
          <w:i/>
          <w:iCs/>
          <w:u w:val="single"/>
        </w:rPr>
        <w:t>time-out period on re-entry export performance</w:t>
      </w:r>
    </w:p>
    <w:p w14:paraId="232923C5" w14:textId="5182F4A6" w:rsidR="003907CE" w:rsidRPr="003907CE" w:rsidRDefault="003907CE" w:rsidP="00C173A4">
      <w:pPr>
        <w:spacing w:line="480" w:lineRule="auto"/>
        <w:ind w:firstLine="284"/>
        <w:rPr>
          <w:rFonts w:eastAsia="Calibri"/>
        </w:rPr>
      </w:pPr>
      <w:r w:rsidRPr="003907CE">
        <w:rPr>
          <w:rFonts w:eastAsia="Calibri"/>
        </w:rPr>
        <w:t>As for the case of export propensity, we expect two latent mechanisms to determine the relationship between the time</w:t>
      </w:r>
      <w:r w:rsidR="00260742">
        <w:rPr>
          <w:rFonts w:eastAsia="Calibri"/>
        </w:rPr>
        <w:t>-</w:t>
      </w:r>
      <w:r w:rsidRPr="003907CE">
        <w:rPr>
          <w:rFonts w:eastAsia="Calibri"/>
        </w:rPr>
        <w:t>out period and re-entry export performance: (1) unlearning that reduces the firm’s export-related stock of knowledge and skills as the time</w:t>
      </w:r>
      <w:r w:rsidR="00260742">
        <w:rPr>
          <w:rFonts w:eastAsia="Calibri"/>
        </w:rPr>
        <w:t>-</w:t>
      </w:r>
      <w:r w:rsidRPr="003907CE">
        <w:rPr>
          <w:rFonts w:eastAsia="Calibri"/>
        </w:rPr>
        <w:t>out period increases (</w:t>
      </w:r>
      <w:r w:rsidR="00521D32">
        <w:rPr>
          <w:rFonts w:eastAsia="Calibri"/>
        </w:rPr>
        <w:t>F</w:t>
      </w:r>
      <w:r w:rsidRPr="003907CE">
        <w:rPr>
          <w:rFonts w:eastAsia="Calibri"/>
        </w:rPr>
        <w:t xml:space="preserve">igure 3a), </w:t>
      </w:r>
      <w:r w:rsidR="00521D32">
        <w:rPr>
          <w:rFonts w:eastAsia="Calibri"/>
        </w:rPr>
        <w:t xml:space="preserve">and </w:t>
      </w:r>
      <w:r w:rsidRPr="003907CE">
        <w:rPr>
          <w:rFonts w:eastAsia="Calibri"/>
        </w:rPr>
        <w:t>(2) new learning that occurs when t</w:t>
      </w:r>
      <w:r w:rsidR="004B7B1F">
        <w:rPr>
          <w:rFonts w:eastAsia="Calibri"/>
        </w:rPr>
        <w:t>he firm decides to re-enter</w:t>
      </w:r>
      <w:r w:rsidR="00521D32">
        <w:rPr>
          <w:rFonts w:eastAsia="Calibri"/>
        </w:rPr>
        <w:t xml:space="preserve"> foreign markets,</w:t>
      </w:r>
      <w:r w:rsidR="004B7B1F">
        <w:rPr>
          <w:rFonts w:eastAsia="Calibri"/>
        </w:rPr>
        <w:t xml:space="preserve"> which</w:t>
      </w:r>
      <w:r w:rsidRPr="003907CE">
        <w:rPr>
          <w:rFonts w:eastAsia="Calibri"/>
        </w:rPr>
        <w:t xml:space="preserve"> augments its </w:t>
      </w:r>
      <w:r w:rsidR="00B32EDB">
        <w:rPr>
          <w:rFonts w:eastAsia="Calibri"/>
        </w:rPr>
        <w:t xml:space="preserve">pre-exit </w:t>
      </w:r>
      <w:r w:rsidRPr="003907CE">
        <w:rPr>
          <w:rFonts w:eastAsia="Calibri"/>
        </w:rPr>
        <w:t>export-related knowledge and skills as the time</w:t>
      </w:r>
      <w:r w:rsidR="00260742">
        <w:rPr>
          <w:rFonts w:eastAsia="Calibri"/>
        </w:rPr>
        <w:t>-</w:t>
      </w:r>
      <w:r w:rsidRPr="003907CE">
        <w:rPr>
          <w:rFonts w:eastAsia="Calibri"/>
        </w:rPr>
        <w:t>out period increases (</w:t>
      </w:r>
      <w:r w:rsidR="00946EA1">
        <w:rPr>
          <w:rFonts w:eastAsia="Calibri"/>
        </w:rPr>
        <w:t>F</w:t>
      </w:r>
      <w:r w:rsidRPr="003907CE">
        <w:rPr>
          <w:rFonts w:eastAsia="Calibri"/>
        </w:rPr>
        <w:t>igure 3b</w:t>
      </w:r>
      <w:r w:rsidR="00946EA1">
        <w:rPr>
          <w:rFonts w:eastAsia="Calibri"/>
        </w:rPr>
        <w:t>)</w:t>
      </w:r>
      <w:r w:rsidRPr="003907CE">
        <w:rPr>
          <w:rFonts w:eastAsia="Calibri"/>
        </w:rPr>
        <w:t xml:space="preserve">. Below, we explain how these two mechanisms work </w:t>
      </w:r>
      <w:r w:rsidR="00F74394" w:rsidRPr="00F74394">
        <w:rPr>
          <w:rFonts w:eastAsia="Calibri"/>
        </w:rPr>
        <w:t>in a</w:t>
      </w:r>
      <w:r w:rsidR="00F74394">
        <w:rPr>
          <w:rFonts w:eastAsia="Calibri"/>
        </w:rPr>
        <w:t xml:space="preserve">n additive </w:t>
      </w:r>
      <w:r w:rsidR="00F74394" w:rsidRPr="00F74394">
        <w:rPr>
          <w:rFonts w:eastAsia="Calibri"/>
        </w:rPr>
        <w:t>form (Haans et al., 2016)</w:t>
      </w:r>
      <w:r w:rsidR="003E5459">
        <w:rPr>
          <w:rFonts w:eastAsia="Calibri"/>
        </w:rPr>
        <w:t>,</w:t>
      </w:r>
      <w:r w:rsidR="00F74394" w:rsidRPr="00F74394">
        <w:rPr>
          <w:rFonts w:eastAsia="Calibri"/>
        </w:rPr>
        <w:t xml:space="preserve"> </w:t>
      </w:r>
      <w:r w:rsidR="003E5459">
        <w:rPr>
          <w:rFonts w:eastAsia="Calibri"/>
        </w:rPr>
        <w:t>leading to</w:t>
      </w:r>
      <w:r w:rsidRPr="003907CE">
        <w:rPr>
          <w:rFonts w:eastAsia="Calibri"/>
        </w:rPr>
        <w:t xml:space="preserve"> </w:t>
      </w:r>
      <w:r w:rsidR="00A2638D" w:rsidRPr="00A2638D">
        <w:rPr>
          <w:rFonts w:eastAsia="Calibri"/>
        </w:rPr>
        <w:t>a U-shaped relationship between the time-out period and re-entry export performance (Figure 3c)</w:t>
      </w:r>
      <w:r w:rsidR="003E5459">
        <w:rPr>
          <w:rFonts w:eastAsia="Calibri"/>
        </w:rPr>
        <w:t>.</w:t>
      </w:r>
    </w:p>
    <w:p w14:paraId="5577623C" w14:textId="610D1714" w:rsidR="003907CE" w:rsidRPr="003907CE" w:rsidRDefault="003907CE" w:rsidP="000810EE">
      <w:pPr>
        <w:spacing w:line="480" w:lineRule="auto"/>
        <w:ind w:firstLine="284"/>
        <w:jc w:val="center"/>
        <w:rPr>
          <w:rFonts w:eastAsia="Calibri"/>
        </w:rPr>
      </w:pPr>
      <w:r w:rsidRPr="003907CE">
        <w:rPr>
          <w:rFonts w:eastAsia="Calibri"/>
        </w:rPr>
        <w:t>** Insert Figure 3</w:t>
      </w:r>
      <w:r w:rsidR="006F305D">
        <w:rPr>
          <w:rFonts w:eastAsia="Calibri"/>
        </w:rPr>
        <w:t>a, b and c</w:t>
      </w:r>
      <w:r w:rsidRPr="003907CE">
        <w:rPr>
          <w:rFonts w:eastAsia="Calibri"/>
        </w:rPr>
        <w:t xml:space="preserve"> here **</w:t>
      </w:r>
    </w:p>
    <w:p w14:paraId="4A8B34A1" w14:textId="21C9FB59" w:rsidR="0038642C" w:rsidRPr="0038642C" w:rsidRDefault="00E21242" w:rsidP="0038642C">
      <w:pPr>
        <w:spacing w:line="480" w:lineRule="auto"/>
        <w:ind w:firstLine="284"/>
        <w:rPr>
          <w:rFonts w:eastAsia="Calibri"/>
        </w:rPr>
      </w:pPr>
      <w:r w:rsidRPr="00860B92">
        <w:rPr>
          <w:rFonts w:eastAsia="Calibri"/>
        </w:rPr>
        <w:t xml:space="preserve"> </w:t>
      </w:r>
      <w:r w:rsidR="0091196C">
        <w:rPr>
          <w:rFonts w:eastAsia="Calibri"/>
        </w:rPr>
        <w:t>A</w:t>
      </w:r>
      <w:r w:rsidRPr="00860B92">
        <w:rPr>
          <w:rFonts w:eastAsia="Calibri"/>
        </w:rPr>
        <w:t>lthough</w:t>
      </w:r>
      <w:r w:rsidR="0091196C">
        <w:rPr>
          <w:rFonts w:eastAsia="Calibri"/>
        </w:rPr>
        <w:t xml:space="preserve"> </w:t>
      </w:r>
      <w:r w:rsidR="00147C21">
        <w:rPr>
          <w:rFonts w:eastAsia="Calibri"/>
        </w:rPr>
        <w:t xml:space="preserve">most </w:t>
      </w:r>
      <w:r w:rsidRPr="004D560E">
        <w:rPr>
          <w:rFonts w:eastAsia="Calibri"/>
        </w:rPr>
        <w:t xml:space="preserve">managers </w:t>
      </w:r>
      <w:r w:rsidR="00EB5E4A">
        <w:rPr>
          <w:rFonts w:eastAsia="Calibri"/>
        </w:rPr>
        <w:t xml:space="preserve">may </w:t>
      </w:r>
      <w:r w:rsidRPr="004D560E">
        <w:rPr>
          <w:rFonts w:eastAsia="Calibri"/>
        </w:rPr>
        <w:t xml:space="preserve">disregard the idea of re-entering export markets </w:t>
      </w:r>
      <w:r w:rsidR="00B27BAC" w:rsidRPr="00B27BAC">
        <w:rPr>
          <w:rFonts w:eastAsia="Calibri"/>
        </w:rPr>
        <w:t>during the early</w:t>
      </w:r>
      <w:r w:rsidR="00FC263B">
        <w:rPr>
          <w:rFonts w:eastAsia="Calibri"/>
        </w:rPr>
        <w:t xml:space="preserve"> stages</w:t>
      </w:r>
      <w:r w:rsidR="00B27BAC" w:rsidRPr="00B27BAC">
        <w:rPr>
          <w:rFonts w:eastAsia="Calibri"/>
        </w:rPr>
        <w:t xml:space="preserve"> </w:t>
      </w:r>
      <w:r w:rsidR="00EB5E4A">
        <w:rPr>
          <w:rFonts w:eastAsia="Calibri"/>
        </w:rPr>
        <w:t>of the time-out period</w:t>
      </w:r>
      <w:r w:rsidR="00B27BAC">
        <w:rPr>
          <w:rFonts w:eastAsia="Calibri"/>
        </w:rPr>
        <w:t>,</w:t>
      </w:r>
      <w:r w:rsidRPr="004D560E">
        <w:rPr>
          <w:rFonts w:eastAsia="Calibri"/>
        </w:rPr>
        <w:t xml:space="preserve"> </w:t>
      </w:r>
      <w:r w:rsidR="00147C21">
        <w:rPr>
          <w:rFonts w:eastAsia="Calibri"/>
        </w:rPr>
        <w:t xml:space="preserve">some </w:t>
      </w:r>
      <w:r w:rsidR="00EB5E4A">
        <w:rPr>
          <w:rFonts w:eastAsia="Calibri"/>
        </w:rPr>
        <w:t>managers</w:t>
      </w:r>
      <w:r w:rsidR="00B27BAC">
        <w:rPr>
          <w:rFonts w:eastAsia="Calibri"/>
        </w:rPr>
        <w:t xml:space="preserve"> </w:t>
      </w:r>
      <w:r w:rsidR="00EB5E4A">
        <w:rPr>
          <w:rFonts w:eastAsia="Calibri"/>
        </w:rPr>
        <w:t xml:space="preserve">are </w:t>
      </w:r>
      <w:r w:rsidRPr="004D560E">
        <w:rPr>
          <w:rFonts w:eastAsia="Calibri"/>
        </w:rPr>
        <w:t>motivated to re-</w:t>
      </w:r>
      <w:r w:rsidR="00DC0927">
        <w:rPr>
          <w:rFonts w:eastAsia="Calibri"/>
        </w:rPr>
        <w:t>initiate exporting</w:t>
      </w:r>
      <w:r w:rsidR="00067F4E">
        <w:rPr>
          <w:rFonts w:eastAsia="Calibri"/>
        </w:rPr>
        <w:t xml:space="preserve"> </w:t>
      </w:r>
      <w:r w:rsidR="00DC0927">
        <w:rPr>
          <w:rFonts w:eastAsia="Calibri"/>
        </w:rPr>
        <w:t>sooner rather than later</w:t>
      </w:r>
      <w:r w:rsidR="006C315C">
        <w:rPr>
          <w:rFonts w:eastAsia="Calibri"/>
        </w:rPr>
        <w:t xml:space="preserve"> </w:t>
      </w:r>
      <w:r w:rsidRPr="004D560E">
        <w:rPr>
          <w:rFonts w:eastAsia="Calibri"/>
        </w:rPr>
        <w:t>(Surdu et al., 2019).</w:t>
      </w:r>
      <w:r w:rsidR="0038642C" w:rsidRPr="0038642C">
        <w:t xml:space="preserve"> </w:t>
      </w:r>
      <w:r w:rsidR="0038642C" w:rsidRPr="0038642C">
        <w:rPr>
          <w:rFonts w:eastAsia="Calibri"/>
        </w:rPr>
        <w:t>T</w:t>
      </w:r>
      <w:r w:rsidR="0038642C" w:rsidRPr="00C470C7">
        <w:rPr>
          <w:rFonts w:eastAsia="Calibri"/>
        </w:rPr>
        <w:t xml:space="preserve">he negative </w:t>
      </w:r>
      <w:r w:rsidR="0038642C" w:rsidRPr="0038642C">
        <w:rPr>
          <w:rFonts w:eastAsia="Calibri"/>
        </w:rPr>
        <w:t xml:space="preserve">perception </w:t>
      </w:r>
      <w:r w:rsidR="00E77FBC">
        <w:rPr>
          <w:rFonts w:eastAsia="Calibri"/>
        </w:rPr>
        <w:t>toward</w:t>
      </w:r>
      <w:r w:rsidR="0038642C" w:rsidRPr="0038642C">
        <w:rPr>
          <w:rFonts w:eastAsia="Calibri"/>
        </w:rPr>
        <w:t xml:space="preserve"> re-entry derived from</w:t>
      </w:r>
      <w:r w:rsidR="0038642C" w:rsidRPr="00C470C7">
        <w:rPr>
          <w:rFonts w:eastAsia="Calibri"/>
        </w:rPr>
        <w:t xml:space="preserve"> </w:t>
      </w:r>
      <w:r w:rsidR="0038642C" w:rsidRPr="0038642C">
        <w:rPr>
          <w:rFonts w:eastAsia="Calibri"/>
        </w:rPr>
        <w:t>a</w:t>
      </w:r>
      <w:r w:rsidR="0038642C" w:rsidRPr="00C470C7">
        <w:rPr>
          <w:rFonts w:eastAsia="Calibri"/>
        </w:rPr>
        <w:t xml:space="preserve"> failed exit </w:t>
      </w:r>
      <w:r w:rsidR="006071A3">
        <w:rPr>
          <w:rFonts w:eastAsia="Calibri"/>
        </w:rPr>
        <w:t>can</w:t>
      </w:r>
      <w:r w:rsidR="0038642C" w:rsidRPr="00C470C7">
        <w:rPr>
          <w:rFonts w:eastAsia="Calibri"/>
        </w:rPr>
        <w:t xml:space="preserve"> be alleviated if certain conditions </w:t>
      </w:r>
      <w:r w:rsidR="00327A7B" w:rsidRPr="00C470C7">
        <w:rPr>
          <w:rFonts w:eastAsia="Calibri"/>
        </w:rPr>
        <w:t>exist,</w:t>
      </w:r>
      <w:r w:rsidR="0038642C" w:rsidRPr="00C470C7">
        <w:rPr>
          <w:rFonts w:eastAsia="Calibri"/>
        </w:rPr>
        <w:t xml:space="preserve"> or changes </w:t>
      </w:r>
      <w:r w:rsidR="002421A7">
        <w:rPr>
          <w:rFonts w:eastAsia="Calibri"/>
        </w:rPr>
        <w:t>occur</w:t>
      </w:r>
      <w:r w:rsidR="0038642C" w:rsidRPr="00C470C7">
        <w:rPr>
          <w:rFonts w:eastAsia="Calibri"/>
        </w:rPr>
        <w:t xml:space="preserve"> in </w:t>
      </w:r>
      <w:r w:rsidR="00E77FBC">
        <w:rPr>
          <w:rFonts w:eastAsia="Calibri"/>
        </w:rPr>
        <w:t xml:space="preserve">the </w:t>
      </w:r>
      <w:r w:rsidR="0038642C" w:rsidRPr="0038642C">
        <w:rPr>
          <w:rFonts w:eastAsia="Calibri"/>
        </w:rPr>
        <w:t xml:space="preserve">firms’ </w:t>
      </w:r>
      <w:r w:rsidR="0038642C" w:rsidRPr="00C470C7">
        <w:rPr>
          <w:rFonts w:eastAsia="Calibri"/>
        </w:rPr>
        <w:t>environment</w:t>
      </w:r>
      <w:r w:rsidR="00DF47C3">
        <w:rPr>
          <w:rFonts w:eastAsia="Calibri"/>
        </w:rPr>
        <w:t>.</w:t>
      </w:r>
      <w:r w:rsidR="00C66B4C">
        <w:rPr>
          <w:rFonts w:eastAsia="Calibri"/>
        </w:rPr>
        <w:t xml:space="preserve"> </w:t>
      </w:r>
      <w:r w:rsidR="00DF47C3">
        <w:rPr>
          <w:rFonts w:eastAsia="Calibri"/>
        </w:rPr>
        <w:t>These include</w:t>
      </w:r>
      <w:r w:rsidR="00C66B4C">
        <w:rPr>
          <w:rFonts w:eastAsia="Calibri"/>
        </w:rPr>
        <w:t xml:space="preserve"> </w:t>
      </w:r>
      <w:r w:rsidR="009D529C">
        <w:rPr>
          <w:rFonts w:eastAsia="Calibri"/>
        </w:rPr>
        <w:t>lower</w:t>
      </w:r>
      <w:r w:rsidR="009D529C" w:rsidRPr="00C470C7">
        <w:rPr>
          <w:rFonts w:eastAsia="Calibri"/>
        </w:rPr>
        <w:t xml:space="preserve"> </w:t>
      </w:r>
      <w:r w:rsidR="0038642C" w:rsidRPr="00C470C7">
        <w:rPr>
          <w:rFonts w:eastAsia="Calibri"/>
        </w:rPr>
        <w:t>domestic market share</w:t>
      </w:r>
      <w:r w:rsidR="0038642C" w:rsidRPr="0038642C">
        <w:rPr>
          <w:rFonts w:eastAsia="Calibri"/>
        </w:rPr>
        <w:t xml:space="preserve"> </w:t>
      </w:r>
      <w:r w:rsidR="0038642C" w:rsidRPr="00C470C7">
        <w:rPr>
          <w:rFonts w:eastAsia="Calibri"/>
        </w:rPr>
        <w:t xml:space="preserve">and/or the emergence of a new opportunity abroad (Welch </w:t>
      </w:r>
      <w:r w:rsidR="001133B2">
        <w:rPr>
          <w:rFonts w:eastAsia="Calibri"/>
        </w:rPr>
        <w:t>&amp;</w:t>
      </w:r>
      <w:r w:rsidR="0038642C" w:rsidRPr="00C470C7">
        <w:rPr>
          <w:rFonts w:eastAsia="Calibri"/>
        </w:rPr>
        <w:t xml:space="preserve"> Welch, 2009; </w:t>
      </w:r>
      <w:r w:rsidR="004E4F40" w:rsidRPr="004E4F40">
        <w:rPr>
          <w:rFonts w:eastAsia="Calibri"/>
        </w:rPr>
        <w:t xml:space="preserve">Dominguez </w:t>
      </w:r>
      <w:r w:rsidR="001133B2">
        <w:rPr>
          <w:rFonts w:eastAsia="Calibri"/>
        </w:rPr>
        <w:t>&amp;</w:t>
      </w:r>
      <w:r w:rsidR="004E4F40" w:rsidRPr="004E4F40">
        <w:rPr>
          <w:rFonts w:eastAsia="Calibri"/>
        </w:rPr>
        <w:t xml:space="preserve"> Mayrhofer, 2017</w:t>
      </w:r>
      <w:r w:rsidR="0038642C" w:rsidRPr="00C470C7">
        <w:rPr>
          <w:rFonts w:eastAsia="Calibri"/>
        </w:rPr>
        <w:t xml:space="preserve">). </w:t>
      </w:r>
      <w:r w:rsidR="009D529C">
        <w:rPr>
          <w:rFonts w:eastAsia="Calibri"/>
        </w:rPr>
        <w:t>Drawing</w:t>
      </w:r>
      <w:r w:rsidR="0096213F">
        <w:rPr>
          <w:rFonts w:eastAsia="Calibri"/>
        </w:rPr>
        <w:t xml:space="preserve"> from</w:t>
      </w:r>
      <w:r w:rsidR="0038642C" w:rsidRPr="0038642C">
        <w:rPr>
          <w:rFonts w:eastAsia="Calibri"/>
        </w:rPr>
        <w:t xml:space="preserve"> organizational learning theory (Huber, 1991), we expect some f</w:t>
      </w:r>
      <w:r w:rsidR="0038642C" w:rsidRPr="00C470C7">
        <w:rPr>
          <w:rFonts w:eastAsia="Calibri"/>
        </w:rPr>
        <w:t>irms that</w:t>
      </w:r>
      <w:r w:rsidR="0038642C" w:rsidRPr="0038642C">
        <w:rPr>
          <w:rFonts w:eastAsia="Calibri"/>
        </w:rPr>
        <w:t xml:space="preserve"> benefit</w:t>
      </w:r>
      <w:r w:rsidR="0038642C" w:rsidRPr="00C470C7">
        <w:rPr>
          <w:rFonts w:eastAsia="Calibri"/>
        </w:rPr>
        <w:t xml:space="preserve"> from </w:t>
      </w:r>
      <w:r w:rsidR="0038642C" w:rsidRPr="0038642C">
        <w:rPr>
          <w:rFonts w:eastAsia="Calibri"/>
        </w:rPr>
        <w:t>re-entry</w:t>
      </w:r>
      <w:r w:rsidR="0038642C" w:rsidRPr="00C470C7">
        <w:rPr>
          <w:rFonts w:eastAsia="Calibri"/>
        </w:rPr>
        <w:t xml:space="preserve"> </w:t>
      </w:r>
      <w:r w:rsidR="0038642C" w:rsidRPr="0038642C">
        <w:rPr>
          <w:rFonts w:eastAsia="Calibri"/>
        </w:rPr>
        <w:t>to</w:t>
      </w:r>
      <w:r w:rsidR="0038642C" w:rsidRPr="00C470C7">
        <w:rPr>
          <w:rFonts w:eastAsia="Calibri"/>
        </w:rPr>
        <w:t xml:space="preserve"> carry out failure analysis during exit or at the early stages of the time-out period (Javalgi et al., 2011; Surdu et al., </w:t>
      </w:r>
      <w:r w:rsidR="00757A6E">
        <w:rPr>
          <w:rFonts w:eastAsia="Calibri"/>
        </w:rPr>
        <w:t>2019</w:t>
      </w:r>
      <w:r w:rsidR="0038642C" w:rsidRPr="00C470C7">
        <w:rPr>
          <w:rFonts w:eastAsia="Calibri"/>
        </w:rPr>
        <w:t xml:space="preserve">). </w:t>
      </w:r>
      <w:r w:rsidR="0038642C" w:rsidRPr="0038642C">
        <w:rPr>
          <w:rFonts w:eastAsia="Calibri"/>
        </w:rPr>
        <w:t xml:space="preserve">This analysis allows managers to </w:t>
      </w:r>
      <w:r w:rsidR="0038642C" w:rsidRPr="00C470C7">
        <w:rPr>
          <w:rFonts w:eastAsia="Calibri"/>
        </w:rPr>
        <w:t xml:space="preserve">understand the reasons </w:t>
      </w:r>
      <w:r w:rsidR="0038642C" w:rsidRPr="0038642C">
        <w:rPr>
          <w:rFonts w:eastAsia="Calibri"/>
        </w:rPr>
        <w:t>behind the exit</w:t>
      </w:r>
      <w:r w:rsidR="00A55127">
        <w:rPr>
          <w:rFonts w:eastAsia="Calibri"/>
        </w:rPr>
        <w:t xml:space="preserve"> </w:t>
      </w:r>
      <w:r w:rsidR="0038642C" w:rsidRPr="0038642C">
        <w:rPr>
          <w:rFonts w:eastAsia="Calibri"/>
        </w:rPr>
        <w:t xml:space="preserve">and take corrective action </w:t>
      </w:r>
      <w:r w:rsidR="004318BE">
        <w:rPr>
          <w:rFonts w:eastAsia="Calibri"/>
        </w:rPr>
        <w:t>(</w:t>
      </w:r>
      <w:r w:rsidR="004318BE" w:rsidRPr="004318BE">
        <w:rPr>
          <w:rFonts w:eastAsia="Calibri"/>
        </w:rPr>
        <w:t>Javalgi et al., 2011</w:t>
      </w:r>
      <w:r w:rsidR="004318BE">
        <w:rPr>
          <w:rFonts w:eastAsia="Calibri"/>
        </w:rPr>
        <w:t>)</w:t>
      </w:r>
      <w:r w:rsidR="00DF47C3">
        <w:rPr>
          <w:rFonts w:eastAsia="Calibri"/>
        </w:rPr>
        <w:t>,</w:t>
      </w:r>
      <w:r w:rsidR="004318BE">
        <w:rPr>
          <w:rFonts w:eastAsia="Calibri"/>
        </w:rPr>
        <w:t xml:space="preserve"> </w:t>
      </w:r>
      <w:r w:rsidR="0038642C" w:rsidRPr="00C470C7">
        <w:rPr>
          <w:rFonts w:eastAsia="Calibri"/>
        </w:rPr>
        <w:t xml:space="preserve">which reduces the negative </w:t>
      </w:r>
      <w:r w:rsidR="00DF47C3">
        <w:rPr>
          <w:rFonts w:eastAsia="Calibri"/>
        </w:rPr>
        <w:t>feelings</w:t>
      </w:r>
      <w:r w:rsidR="0038642C" w:rsidRPr="00C470C7">
        <w:rPr>
          <w:rFonts w:eastAsia="Calibri"/>
        </w:rPr>
        <w:t xml:space="preserve"> </w:t>
      </w:r>
      <w:r w:rsidR="0008086B">
        <w:rPr>
          <w:rFonts w:eastAsia="Calibri"/>
        </w:rPr>
        <w:t>toward</w:t>
      </w:r>
      <w:r w:rsidR="002A342B">
        <w:rPr>
          <w:rFonts w:eastAsia="Calibri"/>
        </w:rPr>
        <w:t xml:space="preserve"> </w:t>
      </w:r>
      <w:r w:rsidR="0038642C" w:rsidRPr="0038642C">
        <w:rPr>
          <w:rFonts w:eastAsia="Calibri"/>
        </w:rPr>
        <w:t>re-entry</w:t>
      </w:r>
      <w:r w:rsidR="0038642C" w:rsidRPr="00C470C7">
        <w:rPr>
          <w:rFonts w:eastAsia="Calibri"/>
        </w:rPr>
        <w:t>.</w:t>
      </w:r>
      <w:r w:rsidR="0038642C" w:rsidRPr="0038642C">
        <w:rPr>
          <w:rFonts w:eastAsia="Calibri"/>
        </w:rPr>
        <w:t xml:space="preserve"> </w:t>
      </w:r>
      <w:r w:rsidR="00463358">
        <w:rPr>
          <w:rFonts w:eastAsia="Calibri"/>
        </w:rPr>
        <w:t xml:space="preserve">For </w:t>
      </w:r>
      <w:r w:rsidR="007252A5">
        <w:rPr>
          <w:rFonts w:eastAsia="Calibri"/>
        </w:rPr>
        <w:t>instance,</w:t>
      </w:r>
      <w:r w:rsidR="00463358">
        <w:rPr>
          <w:rFonts w:eastAsia="Calibri"/>
        </w:rPr>
        <w:t xml:space="preserve"> f</w:t>
      </w:r>
      <w:r w:rsidR="004F167D" w:rsidRPr="004F167D">
        <w:rPr>
          <w:rFonts w:eastAsia="Calibri"/>
        </w:rPr>
        <w:t xml:space="preserve">irms can learn when certain practices can be applied and when they cannot (Cassillas </w:t>
      </w:r>
      <w:r w:rsidR="00EB5638">
        <w:t>&amp;</w:t>
      </w:r>
      <w:r w:rsidR="004F167D" w:rsidRPr="004F167D">
        <w:rPr>
          <w:rFonts w:eastAsia="Calibri"/>
        </w:rPr>
        <w:t xml:space="preserve"> Moreno-Menendez, 2014)</w:t>
      </w:r>
      <w:r w:rsidR="001E5675">
        <w:rPr>
          <w:rFonts w:eastAsia="Calibri"/>
        </w:rPr>
        <w:t xml:space="preserve"> as well as</w:t>
      </w:r>
      <w:r w:rsidR="00463358">
        <w:rPr>
          <w:rFonts w:eastAsia="Calibri"/>
        </w:rPr>
        <w:t xml:space="preserve"> </w:t>
      </w:r>
      <w:r w:rsidR="004F167D" w:rsidRPr="004F167D">
        <w:rPr>
          <w:rFonts w:eastAsia="Calibri"/>
        </w:rPr>
        <w:t xml:space="preserve">which market approaches are </w:t>
      </w:r>
      <w:r w:rsidR="00B10E60" w:rsidRPr="004F167D">
        <w:rPr>
          <w:rFonts w:eastAsia="Calibri"/>
        </w:rPr>
        <w:t>appropriate,</w:t>
      </w:r>
      <w:r w:rsidR="004F167D" w:rsidRPr="004F167D">
        <w:rPr>
          <w:rFonts w:eastAsia="Calibri"/>
        </w:rPr>
        <w:t xml:space="preserve"> and which are not (Welch </w:t>
      </w:r>
      <w:r w:rsidR="00EB5638">
        <w:t>&amp;</w:t>
      </w:r>
      <w:r w:rsidR="004F167D" w:rsidRPr="004F167D">
        <w:rPr>
          <w:rFonts w:eastAsia="Calibri"/>
        </w:rPr>
        <w:t xml:space="preserve"> Welch, 2009).</w:t>
      </w:r>
    </w:p>
    <w:p w14:paraId="63759238" w14:textId="1E2C0C27" w:rsidR="0096213F" w:rsidRPr="0096213F" w:rsidRDefault="00915D2D" w:rsidP="00587775">
      <w:pPr>
        <w:spacing w:line="480" w:lineRule="auto"/>
        <w:ind w:firstLine="284"/>
        <w:rPr>
          <w:rFonts w:eastAsia="Calibri"/>
        </w:rPr>
      </w:pPr>
      <w:r>
        <w:rPr>
          <w:rFonts w:eastAsia="Calibri"/>
        </w:rPr>
        <w:t>Failure analysis also allow</w:t>
      </w:r>
      <w:r w:rsidR="00860949">
        <w:rPr>
          <w:rFonts w:eastAsia="Calibri"/>
        </w:rPr>
        <w:t>s</w:t>
      </w:r>
      <w:r>
        <w:rPr>
          <w:rFonts w:eastAsia="Calibri"/>
        </w:rPr>
        <w:t xml:space="preserve"> m</w:t>
      </w:r>
      <w:r w:rsidR="0038642C" w:rsidRPr="0038642C">
        <w:rPr>
          <w:rFonts w:eastAsia="Calibri"/>
        </w:rPr>
        <w:t xml:space="preserve">anagers </w:t>
      </w:r>
      <w:r>
        <w:rPr>
          <w:rFonts w:eastAsia="Calibri"/>
        </w:rPr>
        <w:t>to</w:t>
      </w:r>
      <w:r w:rsidR="0038642C" w:rsidRPr="0038642C">
        <w:rPr>
          <w:rFonts w:eastAsia="Calibri"/>
        </w:rPr>
        <w:t xml:space="preserve"> avoid replicating unsuccessful </w:t>
      </w:r>
      <w:r w:rsidR="009A76B5" w:rsidRPr="0038642C">
        <w:rPr>
          <w:rFonts w:eastAsia="Calibri"/>
        </w:rPr>
        <w:t>strategies and</w:t>
      </w:r>
      <w:r w:rsidR="00C322A3">
        <w:rPr>
          <w:rFonts w:eastAsia="Calibri"/>
        </w:rPr>
        <w:t xml:space="preserve"> </w:t>
      </w:r>
      <w:r w:rsidR="0038642C" w:rsidRPr="0038642C">
        <w:rPr>
          <w:rFonts w:eastAsia="Calibri"/>
        </w:rPr>
        <w:t xml:space="preserve">find new ways </w:t>
      </w:r>
      <w:r w:rsidR="00741701">
        <w:rPr>
          <w:rFonts w:eastAsia="Calibri"/>
        </w:rPr>
        <w:t xml:space="preserve">to </w:t>
      </w:r>
      <w:r w:rsidR="00DF47C3">
        <w:rPr>
          <w:rFonts w:eastAsia="Calibri"/>
        </w:rPr>
        <w:t xml:space="preserve">compile </w:t>
      </w:r>
      <w:r w:rsidR="0038642C" w:rsidRPr="0038642C">
        <w:rPr>
          <w:rFonts w:eastAsia="Calibri"/>
        </w:rPr>
        <w:t>resources to adopt strateg</w:t>
      </w:r>
      <w:r w:rsidR="00C33F1D">
        <w:rPr>
          <w:rFonts w:eastAsia="Calibri"/>
        </w:rPr>
        <w:t>ies</w:t>
      </w:r>
      <w:r w:rsidR="0038642C" w:rsidRPr="0038642C">
        <w:rPr>
          <w:rFonts w:eastAsia="Calibri"/>
        </w:rPr>
        <w:t xml:space="preserve"> that will resolve problems that led to exit </w:t>
      </w:r>
      <w:r w:rsidR="0038642C" w:rsidRPr="0038642C">
        <w:rPr>
          <w:rFonts w:eastAsia="Calibri"/>
        </w:rPr>
        <w:lastRenderedPageBreak/>
        <w:t xml:space="preserve">(Surdu </w:t>
      </w:r>
      <w:r w:rsidR="00A00DF4">
        <w:t>&amp;</w:t>
      </w:r>
      <w:r w:rsidR="0038642C" w:rsidRPr="0038642C">
        <w:rPr>
          <w:rFonts w:eastAsia="Calibri"/>
        </w:rPr>
        <w:t xml:space="preserve"> Narula, 202</w:t>
      </w:r>
      <w:r w:rsidR="00631487">
        <w:rPr>
          <w:rFonts w:eastAsia="Calibri"/>
        </w:rPr>
        <w:t>1</w:t>
      </w:r>
      <w:r w:rsidR="0038642C" w:rsidRPr="0038642C">
        <w:rPr>
          <w:rFonts w:eastAsia="Calibri"/>
        </w:rPr>
        <w:t xml:space="preserve">). The knowledge and skills gained through failure analysis can </w:t>
      </w:r>
      <w:r w:rsidR="00891E1D">
        <w:rPr>
          <w:rFonts w:eastAsia="Calibri"/>
        </w:rPr>
        <w:t xml:space="preserve">therefore </w:t>
      </w:r>
      <w:r w:rsidR="0038642C" w:rsidRPr="0038642C">
        <w:rPr>
          <w:rFonts w:eastAsia="Calibri"/>
        </w:rPr>
        <w:t>become a source of firm</w:t>
      </w:r>
      <w:r w:rsidR="0008086B">
        <w:rPr>
          <w:rFonts w:eastAsia="Calibri"/>
        </w:rPr>
        <w:t>-</w:t>
      </w:r>
      <w:r w:rsidR="0038642C" w:rsidRPr="0038642C">
        <w:rPr>
          <w:rFonts w:eastAsia="Calibri"/>
        </w:rPr>
        <w:t xml:space="preserve">specific advantages, and </w:t>
      </w:r>
      <w:r w:rsidR="000D3F3D">
        <w:rPr>
          <w:rFonts w:eastAsia="Calibri"/>
        </w:rPr>
        <w:t>enhance</w:t>
      </w:r>
      <w:r w:rsidR="0038642C" w:rsidRPr="0038642C">
        <w:rPr>
          <w:rFonts w:eastAsia="Calibri"/>
        </w:rPr>
        <w:t xml:space="preserve"> re-entry performance (</w:t>
      </w:r>
      <w:r w:rsidR="006F305D">
        <w:rPr>
          <w:rFonts w:eastAsia="Calibri"/>
        </w:rPr>
        <w:t>Aguzzoli</w:t>
      </w:r>
      <w:r w:rsidR="0038642C" w:rsidRPr="0038642C">
        <w:rPr>
          <w:rFonts w:eastAsia="Calibri"/>
        </w:rPr>
        <w:t xml:space="preserve"> et al., 202</w:t>
      </w:r>
      <w:r w:rsidR="00B12430">
        <w:rPr>
          <w:rFonts w:eastAsia="Calibri"/>
        </w:rPr>
        <w:t>1</w:t>
      </w:r>
      <w:r w:rsidR="0038642C" w:rsidRPr="0038642C">
        <w:rPr>
          <w:rFonts w:eastAsia="Calibri"/>
        </w:rPr>
        <w:t xml:space="preserve">). Along </w:t>
      </w:r>
      <w:r w:rsidR="00326150">
        <w:rPr>
          <w:rFonts w:eastAsia="Calibri"/>
        </w:rPr>
        <w:t>those</w:t>
      </w:r>
      <w:r w:rsidR="0038642C" w:rsidRPr="0038642C">
        <w:rPr>
          <w:rFonts w:eastAsia="Calibri"/>
        </w:rPr>
        <w:t xml:space="preserve"> lines</w:t>
      </w:r>
      <w:r w:rsidR="00356475">
        <w:rPr>
          <w:rFonts w:eastAsia="Calibri"/>
        </w:rPr>
        <w:t>,</w:t>
      </w:r>
      <w:r w:rsidR="0038642C" w:rsidRPr="0038642C">
        <w:rPr>
          <w:rFonts w:eastAsia="Calibri"/>
        </w:rPr>
        <w:t xml:space="preserve"> organizational learning theory (</w:t>
      </w:r>
      <w:r w:rsidR="000A7321" w:rsidRPr="000A7321">
        <w:rPr>
          <w:rFonts w:eastAsia="Calibri"/>
        </w:rPr>
        <w:t xml:space="preserve">Madsen </w:t>
      </w:r>
      <w:r w:rsidR="001923FA">
        <w:t>&amp;</w:t>
      </w:r>
      <w:r w:rsidR="000A7321" w:rsidRPr="000A7321">
        <w:rPr>
          <w:rFonts w:eastAsia="Calibri"/>
        </w:rPr>
        <w:t xml:space="preserve"> Desai, 2010</w:t>
      </w:r>
      <w:r w:rsidR="00DB05AA">
        <w:rPr>
          <w:rFonts w:eastAsia="Calibri"/>
        </w:rPr>
        <w:t xml:space="preserve">; </w:t>
      </w:r>
      <w:r w:rsidR="0038642C" w:rsidRPr="0038642C">
        <w:rPr>
          <w:rFonts w:eastAsia="Calibri"/>
        </w:rPr>
        <w:t xml:space="preserve">Huber, 1991; March, 1991) suggests that problemistic search (i.e., failure analysis) and learning from failure can lead to </w:t>
      </w:r>
      <w:r w:rsidR="0008086B">
        <w:rPr>
          <w:rFonts w:eastAsia="Calibri"/>
        </w:rPr>
        <w:t xml:space="preserve">a </w:t>
      </w:r>
      <w:r w:rsidR="0038642C" w:rsidRPr="0038642C">
        <w:rPr>
          <w:rFonts w:eastAsia="Calibri"/>
        </w:rPr>
        <w:t xml:space="preserve">higher level of learning (double-loop), </w:t>
      </w:r>
      <w:r w:rsidR="000F214B">
        <w:rPr>
          <w:rFonts w:eastAsia="Calibri"/>
        </w:rPr>
        <w:t xml:space="preserve">leading </w:t>
      </w:r>
      <w:r w:rsidR="0038642C" w:rsidRPr="0038642C">
        <w:rPr>
          <w:rFonts w:eastAsia="Calibri"/>
        </w:rPr>
        <w:t>to</w:t>
      </w:r>
      <w:r w:rsidR="000F214B">
        <w:rPr>
          <w:rFonts w:eastAsia="Calibri"/>
        </w:rPr>
        <w:t xml:space="preserve"> the</w:t>
      </w:r>
      <w:r w:rsidR="0038642C" w:rsidRPr="0038642C">
        <w:rPr>
          <w:rFonts w:eastAsia="Calibri"/>
        </w:rPr>
        <w:t xml:space="preserve"> implementation of innovative solutions and </w:t>
      </w:r>
      <w:r w:rsidR="000D3F3D">
        <w:rPr>
          <w:rFonts w:eastAsia="Calibri"/>
        </w:rPr>
        <w:t>hence</w:t>
      </w:r>
      <w:r w:rsidR="0038642C" w:rsidRPr="0038642C">
        <w:rPr>
          <w:rFonts w:eastAsia="Calibri"/>
        </w:rPr>
        <w:t xml:space="preserve"> to higher levels of re-entry performance.</w:t>
      </w:r>
      <w:r w:rsidR="0026023A">
        <w:rPr>
          <w:rFonts w:eastAsia="Calibri"/>
        </w:rPr>
        <w:t xml:space="preserve"> </w:t>
      </w:r>
      <w:r w:rsidR="0096213F" w:rsidRPr="0096213F">
        <w:rPr>
          <w:rFonts w:eastAsia="Calibri"/>
        </w:rPr>
        <w:t xml:space="preserve">Firms that carry out failure analysis </w:t>
      </w:r>
      <w:r w:rsidR="0096213F" w:rsidRPr="0096213F">
        <w:rPr>
          <w:rFonts w:eastAsia="Calibri"/>
          <w:i/>
          <w:iCs/>
        </w:rPr>
        <w:t>at the early stages since exit</w:t>
      </w:r>
      <w:r w:rsidR="0096213F" w:rsidRPr="0096213F">
        <w:rPr>
          <w:rFonts w:eastAsia="Calibri"/>
        </w:rPr>
        <w:t xml:space="preserve"> can achieve higher levels of re-entry performance as the resulting </w:t>
      </w:r>
      <w:r w:rsidR="00CA1983">
        <w:rPr>
          <w:rFonts w:eastAsia="Calibri"/>
        </w:rPr>
        <w:t>knowledge</w:t>
      </w:r>
      <w:r w:rsidR="0096213F" w:rsidRPr="0096213F">
        <w:rPr>
          <w:rFonts w:eastAsia="Calibri"/>
        </w:rPr>
        <w:t xml:space="preserve"> will still </w:t>
      </w:r>
      <w:r w:rsidR="00A102D4">
        <w:rPr>
          <w:rFonts w:eastAsia="Calibri"/>
        </w:rPr>
        <w:t>apply</w:t>
      </w:r>
      <w:r w:rsidR="0096213F" w:rsidRPr="0096213F">
        <w:rPr>
          <w:rFonts w:eastAsia="Calibri"/>
        </w:rPr>
        <w:t xml:space="preserve"> to external conditions (Surdu</w:t>
      </w:r>
      <w:r w:rsidR="001B201D">
        <w:rPr>
          <w:rFonts w:eastAsia="Calibri"/>
        </w:rPr>
        <w:t xml:space="preserve"> et al.</w:t>
      </w:r>
      <w:r w:rsidR="0096213F" w:rsidRPr="0096213F">
        <w:rPr>
          <w:rFonts w:eastAsia="Calibri"/>
        </w:rPr>
        <w:t xml:space="preserve">, </w:t>
      </w:r>
      <w:r w:rsidR="00326150">
        <w:rPr>
          <w:rFonts w:eastAsia="Calibri"/>
        </w:rPr>
        <w:t>2019</w:t>
      </w:r>
      <w:r w:rsidR="0096213F" w:rsidRPr="0096213F">
        <w:rPr>
          <w:rFonts w:eastAsia="Calibri"/>
        </w:rPr>
        <w:t xml:space="preserve">). </w:t>
      </w:r>
    </w:p>
    <w:p w14:paraId="0109214E" w14:textId="052B1514" w:rsidR="00C55F84" w:rsidRDefault="0052348D" w:rsidP="00F77CB5">
      <w:pPr>
        <w:spacing w:line="480" w:lineRule="auto"/>
        <w:ind w:firstLine="284"/>
        <w:rPr>
          <w:rFonts w:eastAsia="Calibri"/>
        </w:rPr>
      </w:pPr>
      <w:r>
        <w:rPr>
          <w:rFonts w:eastAsia="Calibri"/>
        </w:rPr>
        <w:t>O</w:t>
      </w:r>
      <w:r w:rsidR="00290BB6" w:rsidRPr="00290BB6">
        <w:rPr>
          <w:rFonts w:eastAsia="Calibri"/>
        </w:rPr>
        <w:t>rganizational learning literature</w:t>
      </w:r>
      <w:r w:rsidR="00290BB6">
        <w:rPr>
          <w:rFonts w:eastAsia="Calibri"/>
        </w:rPr>
        <w:t xml:space="preserve"> (</w:t>
      </w:r>
      <w:r w:rsidR="006F305D">
        <w:rPr>
          <w:rFonts w:eastAsia="Calibri"/>
        </w:rPr>
        <w:t>Aguzzoli</w:t>
      </w:r>
      <w:r w:rsidR="001B201D" w:rsidRPr="0038642C">
        <w:rPr>
          <w:rFonts w:eastAsia="Calibri"/>
        </w:rPr>
        <w:t xml:space="preserve"> et al., 202</w:t>
      </w:r>
      <w:r w:rsidR="00B12430">
        <w:rPr>
          <w:rFonts w:eastAsia="Calibri"/>
        </w:rPr>
        <w:t>1</w:t>
      </w:r>
      <w:r w:rsidR="0008755C">
        <w:rPr>
          <w:rFonts w:eastAsia="Calibri"/>
        </w:rPr>
        <w:t xml:space="preserve">; </w:t>
      </w:r>
      <w:r w:rsidR="00C87302">
        <w:rPr>
          <w:rFonts w:eastAsia="Calibri"/>
        </w:rPr>
        <w:t xml:space="preserve">Madsen </w:t>
      </w:r>
      <w:r w:rsidR="00EF4749">
        <w:t>&amp;</w:t>
      </w:r>
      <w:r w:rsidR="00C87302">
        <w:rPr>
          <w:rFonts w:eastAsia="Calibri"/>
        </w:rPr>
        <w:t xml:space="preserve"> </w:t>
      </w:r>
      <w:r w:rsidR="001B201D" w:rsidRPr="001B201D">
        <w:rPr>
          <w:rFonts w:eastAsia="Calibri"/>
        </w:rPr>
        <w:t>Desai</w:t>
      </w:r>
      <w:r w:rsidR="0008755C">
        <w:rPr>
          <w:rFonts w:eastAsia="Calibri"/>
        </w:rPr>
        <w:t>,</w:t>
      </w:r>
      <w:r w:rsidR="00C87302">
        <w:rPr>
          <w:rFonts w:eastAsia="Calibri"/>
        </w:rPr>
        <w:t xml:space="preserve"> 2010</w:t>
      </w:r>
      <w:r w:rsidR="00290BB6">
        <w:rPr>
          <w:rFonts w:eastAsia="Calibri"/>
        </w:rPr>
        <w:t>)</w:t>
      </w:r>
      <w:r w:rsidR="00290BB6" w:rsidRPr="00290BB6">
        <w:rPr>
          <w:rFonts w:eastAsia="Calibri"/>
        </w:rPr>
        <w:t xml:space="preserve"> </w:t>
      </w:r>
      <w:r>
        <w:rPr>
          <w:rFonts w:eastAsia="Calibri"/>
        </w:rPr>
        <w:t xml:space="preserve">further </w:t>
      </w:r>
      <w:r w:rsidR="00290BB6" w:rsidRPr="00290BB6">
        <w:rPr>
          <w:rFonts w:eastAsia="Calibri"/>
        </w:rPr>
        <w:t xml:space="preserve">suggests that firms learn from both successes and failures </w:t>
      </w:r>
      <w:r w:rsidR="00290BB6">
        <w:rPr>
          <w:rFonts w:eastAsia="Calibri"/>
        </w:rPr>
        <w:t>(</w:t>
      </w:r>
      <w:r w:rsidR="00290BB6" w:rsidRPr="00290BB6">
        <w:rPr>
          <w:rFonts w:eastAsia="Calibri"/>
        </w:rPr>
        <w:t xml:space="preserve">although </w:t>
      </w:r>
      <w:r w:rsidR="0008755C">
        <w:rPr>
          <w:rFonts w:eastAsia="Calibri"/>
        </w:rPr>
        <w:t>more</w:t>
      </w:r>
      <w:r w:rsidR="003E5A2C">
        <w:rPr>
          <w:rFonts w:eastAsia="Calibri"/>
        </w:rPr>
        <w:t xml:space="preserve"> so</w:t>
      </w:r>
      <w:r w:rsidR="00290BB6" w:rsidRPr="00290BB6">
        <w:rPr>
          <w:rFonts w:eastAsia="Calibri"/>
        </w:rPr>
        <w:t xml:space="preserve"> </w:t>
      </w:r>
      <w:r w:rsidR="0008755C">
        <w:rPr>
          <w:rFonts w:eastAsia="Calibri"/>
        </w:rPr>
        <w:t>from</w:t>
      </w:r>
      <w:r w:rsidR="00290BB6" w:rsidRPr="00290BB6">
        <w:rPr>
          <w:rFonts w:eastAsia="Calibri"/>
        </w:rPr>
        <w:t xml:space="preserve"> failures</w:t>
      </w:r>
      <w:r w:rsidR="00290BB6">
        <w:rPr>
          <w:rFonts w:eastAsia="Calibri"/>
        </w:rPr>
        <w:t>)</w:t>
      </w:r>
      <w:r w:rsidR="003B7FA3">
        <w:rPr>
          <w:rFonts w:eastAsia="Calibri"/>
        </w:rPr>
        <w:t>. O</w:t>
      </w:r>
      <w:r w:rsidR="00290BB6" w:rsidRPr="00290BB6">
        <w:rPr>
          <w:rFonts w:eastAsia="Calibri"/>
        </w:rPr>
        <w:t>nce uncertainty about re-entering is reduced (</w:t>
      </w:r>
      <w:r w:rsidR="00356475">
        <w:rPr>
          <w:rFonts w:eastAsia="Calibri"/>
        </w:rPr>
        <w:t xml:space="preserve">using </w:t>
      </w:r>
      <w:r w:rsidR="00290BB6" w:rsidRPr="00290BB6">
        <w:rPr>
          <w:rFonts w:eastAsia="Calibri"/>
        </w:rPr>
        <w:t>failure analysis)</w:t>
      </w:r>
      <w:bookmarkStart w:id="19" w:name="_Hlk90555579"/>
      <w:r w:rsidR="00290BB6" w:rsidRPr="00290BB6">
        <w:rPr>
          <w:rFonts w:eastAsia="Calibri"/>
        </w:rPr>
        <w:t xml:space="preserve">, managers can also start to refer </w:t>
      </w:r>
      <w:r w:rsidR="000D3F3D">
        <w:rPr>
          <w:rFonts w:eastAsia="Calibri"/>
        </w:rPr>
        <w:t xml:space="preserve">to </w:t>
      </w:r>
      <w:r w:rsidR="00290BB6" w:rsidRPr="00290BB6">
        <w:rPr>
          <w:rFonts w:eastAsia="Calibri"/>
        </w:rPr>
        <w:t xml:space="preserve">positive </w:t>
      </w:r>
      <w:r w:rsidR="00587775">
        <w:rPr>
          <w:rFonts w:eastAsia="Calibri"/>
        </w:rPr>
        <w:t xml:space="preserve">experiences from their </w:t>
      </w:r>
      <w:r w:rsidR="00290BB6" w:rsidRPr="00290BB6">
        <w:rPr>
          <w:rFonts w:eastAsia="Calibri"/>
        </w:rPr>
        <w:t>pre-exit</w:t>
      </w:r>
      <w:r w:rsidR="00630947">
        <w:rPr>
          <w:rFonts w:eastAsia="Calibri"/>
        </w:rPr>
        <w:t xml:space="preserve"> export</w:t>
      </w:r>
      <w:r w:rsidR="004A4BB1">
        <w:rPr>
          <w:rFonts w:eastAsia="Calibri"/>
        </w:rPr>
        <w:t xml:space="preserve"> activities</w:t>
      </w:r>
      <w:r w:rsidR="00290BB6" w:rsidRPr="00290BB6">
        <w:rPr>
          <w:rFonts w:eastAsia="Calibri"/>
        </w:rPr>
        <w:t xml:space="preserve"> </w:t>
      </w:r>
      <w:r w:rsidR="004A4BB1">
        <w:rPr>
          <w:rFonts w:eastAsia="Calibri"/>
        </w:rPr>
        <w:t>(</w:t>
      </w:r>
      <w:r w:rsidR="006224B2">
        <w:rPr>
          <w:rFonts w:eastAsia="Calibri"/>
        </w:rPr>
        <w:t>related to</w:t>
      </w:r>
      <w:r w:rsidR="004A4BB1">
        <w:rPr>
          <w:rFonts w:eastAsia="Calibri"/>
        </w:rPr>
        <w:t xml:space="preserve"> </w:t>
      </w:r>
      <w:r w:rsidR="00290BB6" w:rsidRPr="00290BB6">
        <w:rPr>
          <w:rFonts w:eastAsia="Calibri"/>
        </w:rPr>
        <w:t>market</w:t>
      </w:r>
      <w:r w:rsidR="0008086B">
        <w:rPr>
          <w:rFonts w:eastAsia="Calibri"/>
        </w:rPr>
        <w:t>-</w:t>
      </w:r>
      <w:r w:rsidR="00290BB6" w:rsidRPr="00290BB6">
        <w:rPr>
          <w:rFonts w:eastAsia="Calibri"/>
        </w:rPr>
        <w:t>specific and general internationalizatio</w:t>
      </w:r>
      <w:r w:rsidR="00EA2A47">
        <w:rPr>
          <w:rFonts w:eastAsia="Calibri"/>
        </w:rPr>
        <w:t>n</w:t>
      </w:r>
      <w:r w:rsidR="00290BB6" w:rsidRPr="00290BB6">
        <w:rPr>
          <w:rFonts w:eastAsia="Calibri"/>
        </w:rPr>
        <w:t xml:space="preserve"> knowledge</w:t>
      </w:r>
      <w:bookmarkEnd w:id="19"/>
      <w:r w:rsidR="004A4BB1">
        <w:rPr>
          <w:rFonts w:eastAsia="Calibri"/>
        </w:rPr>
        <w:t>)</w:t>
      </w:r>
      <w:r w:rsidR="00290BB6" w:rsidRPr="00290BB6">
        <w:rPr>
          <w:rFonts w:eastAsia="Calibri"/>
        </w:rPr>
        <w:t>.</w:t>
      </w:r>
      <w:r w:rsidR="0008755C">
        <w:rPr>
          <w:rFonts w:eastAsia="Calibri"/>
        </w:rPr>
        <w:t xml:space="preserve"> </w:t>
      </w:r>
      <w:r w:rsidR="00EA2A47">
        <w:rPr>
          <w:rFonts w:eastAsia="Calibri"/>
        </w:rPr>
        <w:t>Those types of</w:t>
      </w:r>
      <w:r w:rsidR="00592132">
        <w:rPr>
          <w:rFonts w:eastAsia="Calibri"/>
        </w:rPr>
        <w:t xml:space="preserve"> </w:t>
      </w:r>
      <w:r w:rsidR="003907CE" w:rsidRPr="003907CE">
        <w:rPr>
          <w:rFonts w:eastAsia="Calibri"/>
        </w:rPr>
        <w:t xml:space="preserve">knowledge (Welch </w:t>
      </w:r>
      <w:r w:rsidR="007B7712">
        <w:t>&amp;</w:t>
      </w:r>
      <w:r w:rsidR="003907CE" w:rsidRPr="003907CE">
        <w:rPr>
          <w:rFonts w:eastAsia="Calibri"/>
        </w:rPr>
        <w:t xml:space="preserve"> Welch, 2009)</w:t>
      </w:r>
      <w:r w:rsidR="000D3F3D">
        <w:rPr>
          <w:rFonts w:eastAsia="Calibri"/>
        </w:rPr>
        <w:t xml:space="preserve"> </w:t>
      </w:r>
      <w:r w:rsidR="003907CE" w:rsidRPr="003907CE">
        <w:rPr>
          <w:rFonts w:eastAsia="Calibri"/>
        </w:rPr>
        <w:t>will be</w:t>
      </w:r>
      <w:r w:rsidR="00DB00DD">
        <w:rPr>
          <w:rFonts w:eastAsia="Calibri"/>
        </w:rPr>
        <w:t xml:space="preserve"> </w:t>
      </w:r>
      <w:r w:rsidR="00DB00DD" w:rsidRPr="00DB00DD">
        <w:rPr>
          <w:rFonts w:eastAsia="Calibri"/>
        </w:rPr>
        <w:t xml:space="preserve">largely intact </w:t>
      </w:r>
      <w:r w:rsidR="00DB00DD">
        <w:rPr>
          <w:rFonts w:eastAsia="Calibri"/>
        </w:rPr>
        <w:t xml:space="preserve">during the early stages of the time-out period </w:t>
      </w:r>
      <w:r w:rsidR="003907CE" w:rsidRPr="003907CE">
        <w:rPr>
          <w:rFonts w:eastAsia="Calibri"/>
        </w:rPr>
        <w:t xml:space="preserve">as </w:t>
      </w:r>
      <w:r w:rsidR="00D343B8">
        <w:rPr>
          <w:rFonts w:eastAsia="Calibri"/>
        </w:rPr>
        <w:t xml:space="preserve">they </w:t>
      </w:r>
      <w:r w:rsidR="00356475">
        <w:rPr>
          <w:rFonts w:eastAsia="Calibri"/>
        </w:rPr>
        <w:t>have not</w:t>
      </w:r>
      <w:r w:rsidR="003907CE" w:rsidRPr="003907CE">
        <w:rPr>
          <w:rFonts w:eastAsia="Calibri"/>
        </w:rPr>
        <w:t xml:space="preserve"> depreciate</w:t>
      </w:r>
      <w:r w:rsidR="00356475">
        <w:rPr>
          <w:rFonts w:eastAsia="Calibri"/>
        </w:rPr>
        <w:t>d considerably</w:t>
      </w:r>
      <w:r w:rsidR="003907CE" w:rsidRPr="003907CE">
        <w:rPr>
          <w:rFonts w:eastAsia="Calibri"/>
        </w:rPr>
        <w:t xml:space="preserve">. Furthermore, foreign market conditions will be similar to those when the firm stopped exporting, which means that </w:t>
      </w:r>
      <w:r w:rsidR="00927492">
        <w:rPr>
          <w:rFonts w:eastAsia="Calibri"/>
        </w:rPr>
        <w:t>export</w:t>
      </w:r>
      <w:r w:rsidR="0008086B">
        <w:rPr>
          <w:rFonts w:eastAsia="Calibri"/>
        </w:rPr>
        <w:t>-</w:t>
      </w:r>
      <w:r w:rsidR="00927492">
        <w:rPr>
          <w:rFonts w:eastAsia="Calibri"/>
        </w:rPr>
        <w:t>related</w:t>
      </w:r>
      <w:r w:rsidR="003907CE" w:rsidRPr="003907CE">
        <w:rPr>
          <w:rFonts w:eastAsia="Calibri"/>
        </w:rPr>
        <w:t xml:space="preserve"> knowledge is still relevant (Surdu et al., 2018; 2019). </w:t>
      </w:r>
      <w:r w:rsidR="006A7F70">
        <w:rPr>
          <w:rFonts w:eastAsia="Calibri"/>
        </w:rPr>
        <w:t>By u</w:t>
      </w:r>
      <w:r w:rsidR="003907CE" w:rsidRPr="003907CE">
        <w:rPr>
          <w:rFonts w:eastAsia="Calibri"/>
        </w:rPr>
        <w:t xml:space="preserve">sing recent exporting experience, the firm can assess new opportunities abroad that can </w:t>
      </w:r>
      <w:r w:rsidR="000D3F3D">
        <w:rPr>
          <w:rFonts w:eastAsia="Calibri"/>
        </w:rPr>
        <w:t>enhance</w:t>
      </w:r>
      <w:r w:rsidR="00744182">
        <w:rPr>
          <w:rFonts w:eastAsia="Calibri"/>
        </w:rPr>
        <w:t xml:space="preserve"> </w:t>
      </w:r>
      <w:r w:rsidR="00A34EDE">
        <w:rPr>
          <w:rFonts w:eastAsia="Calibri"/>
        </w:rPr>
        <w:t>export performance</w:t>
      </w:r>
      <w:r w:rsidR="003907CE" w:rsidRPr="003907CE">
        <w:rPr>
          <w:rFonts w:eastAsia="Calibri"/>
        </w:rPr>
        <w:t xml:space="preserve"> (Chen et al., 2019). </w:t>
      </w:r>
      <w:r w:rsidR="003907CE" w:rsidRPr="002E5C39">
        <w:rPr>
          <w:rFonts w:eastAsia="Calibri"/>
        </w:rPr>
        <w:t>Hence, by using the</w:t>
      </w:r>
      <w:r w:rsidR="003907CE" w:rsidRPr="003907CE">
        <w:rPr>
          <w:rFonts w:eastAsia="Calibri"/>
        </w:rPr>
        <w:t xml:space="preserve"> knowledge and lessons </w:t>
      </w:r>
      <w:r w:rsidR="00B76579">
        <w:rPr>
          <w:rFonts w:eastAsia="Calibri"/>
        </w:rPr>
        <w:t>learned</w:t>
      </w:r>
      <w:r w:rsidR="003907CE" w:rsidRPr="003907CE">
        <w:rPr>
          <w:rFonts w:eastAsia="Calibri"/>
        </w:rPr>
        <w:t xml:space="preserve"> from</w:t>
      </w:r>
      <w:r w:rsidR="00860AE7">
        <w:rPr>
          <w:rFonts w:eastAsia="Calibri"/>
        </w:rPr>
        <w:t xml:space="preserve"> </w:t>
      </w:r>
      <w:r w:rsidR="00B76579">
        <w:rPr>
          <w:rFonts w:eastAsia="Calibri"/>
        </w:rPr>
        <w:t>the</w:t>
      </w:r>
      <w:r w:rsidR="00860AE7">
        <w:rPr>
          <w:rFonts w:eastAsia="Calibri"/>
        </w:rPr>
        <w:t xml:space="preserve"> exit and</w:t>
      </w:r>
      <w:r w:rsidR="00EA2A47">
        <w:rPr>
          <w:rFonts w:eastAsia="Calibri"/>
        </w:rPr>
        <w:t xml:space="preserve"> prior exporting</w:t>
      </w:r>
      <w:r w:rsidR="003907CE" w:rsidRPr="003907CE">
        <w:rPr>
          <w:rFonts w:eastAsia="Calibri"/>
        </w:rPr>
        <w:t xml:space="preserve"> before these become outdated, firms can manage more effectively some of the factors that led to the exit</w:t>
      </w:r>
      <w:r w:rsidR="00C55F84">
        <w:rPr>
          <w:rFonts w:eastAsia="Calibri"/>
        </w:rPr>
        <w:t>,</w:t>
      </w:r>
      <w:r w:rsidR="003907CE" w:rsidRPr="003907CE">
        <w:rPr>
          <w:rFonts w:eastAsia="Calibri"/>
        </w:rPr>
        <w:t xml:space="preserve"> thus strengthening their competitive advantage</w:t>
      </w:r>
      <w:r w:rsidR="00043EB6">
        <w:rPr>
          <w:rFonts w:eastAsia="Calibri"/>
        </w:rPr>
        <w:t xml:space="preserve"> </w:t>
      </w:r>
      <w:r w:rsidR="006855FF">
        <w:rPr>
          <w:rFonts w:eastAsia="Calibri"/>
        </w:rPr>
        <w:t>at</w:t>
      </w:r>
      <w:r w:rsidR="00043EB6">
        <w:rPr>
          <w:rFonts w:eastAsia="Calibri"/>
        </w:rPr>
        <w:t xml:space="preserve"> re-entr</w:t>
      </w:r>
      <w:r w:rsidR="006855FF">
        <w:rPr>
          <w:rFonts w:eastAsia="Calibri"/>
        </w:rPr>
        <w:t>y</w:t>
      </w:r>
      <w:r w:rsidR="006F305D">
        <w:rPr>
          <w:rFonts w:eastAsia="Calibri"/>
        </w:rPr>
        <w:t>,</w:t>
      </w:r>
      <w:r w:rsidR="0026023A">
        <w:rPr>
          <w:rFonts w:eastAsia="Calibri"/>
        </w:rPr>
        <w:t xml:space="preserve"> and </w:t>
      </w:r>
      <w:r w:rsidR="00B76579">
        <w:rPr>
          <w:rFonts w:eastAsia="Calibri"/>
        </w:rPr>
        <w:t>achieving</w:t>
      </w:r>
      <w:r w:rsidR="0026023A">
        <w:rPr>
          <w:rFonts w:eastAsia="Calibri"/>
        </w:rPr>
        <w:t xml:space="preserve"> </w:t>
      </w:r>
      <w:r w:rsidR="00046686">
        <w:rPr>
          <w:rFonts w:eastAsia="Calibri"/>
        </w:rPr>
        <w:t xml:space="preserve">high levels of </w:t>
      </w:r>
      <w:r w:rsidR="00A21AE1">
        <w:rPr>
          <w:rFonts w:eastAsia="Calibri"/>
        </w:rPr>
        <w:t xml:space="preserve">re-entry </w:t>
      </w:r>
      <w:r w:rsidR="00046686">
        <w:rPr>
          <w:rFonts w:eastAsia="Calibri"/>
        </w:rPr>
        <w:t>performance</w:t>
      </w:r>
      <w:r w:rsidR="003907CE" w:rsidRPr="003907CE">
        <w:rPr>
          <w:rFonts w:eastAsia="Calibri"/>
        </w:rPr>
        <w:t xml:space="preserve"> (Dau, 2018; Javalgi et al., 2011). </w:t>
      </w:r>
    </w:p>
    <w:p w14:paraId="78D1985F" w14:textId="05A107B6" w:rsidR="005A4C51" w:rsidRDefault="003907CE" w:rsidP="005A4C51">
      <w:pPr>
        <w:spacing w:line="480" w:lineRule="auto"/>
        <w:ind w:firstLine="284"/>
        <w:rPr>
          <w:rFonts w:eastAsia="Calibri"/>
        </w:rPr>
      </w:pPr>
      <w:r w:rsidRPr="003907CE">
        <w:rPr>
          <w:rFonts w:eastAsia="Calibri"/>
        </w:rPr>
        <w:t xml:space="preserve">However, the benefits </w:t>
      </w:r>
      <w:r w:rsidR="00545EF5">
        <w:rPr>
          <w:rFonts w:eastAsia="Calibri"/>
        </w:rPr>
        <w:t xml:space="preserve">derived </w:t>
      </w:r>
      <w:r w:rsidR="00F77CB5">
        <w:rPr>
          <w:rFonts w:eastAsia="Calibri"/>
        </w:rPr>
        <w:t xml:space="preserve">from </w:t>
      </w:r>
      <w:r w:rsidR="005F211E">
        <w:rPr>
          <w:rFonts w:eastAsia="Calibri"/>
        </w:rPr>
        <w:t xml:space="preserve">the </w:t>
      </w:r>
      <w:r w:rsidR="00F77CB5">
        <w:rPr>
          <w:rFonts w:eastAsia="Calibri"/>
        </w:rPr>
        <w:t>exit</w:t>
      </w:r>
      <w:r w:rsidR="005F211E">
        <w:rPr>
          <w:rFonts w:eastAsia="Calibri"/>
        </w:rPr>
        <w:t xml:space="preserve"> </w:t>
      </w:r>
      <w:r w:rsidR="00F77CB5">
        <w:rPr>
          <w:rFonts w:eastAsia="Calibri"/>
        </w:rPr>
        <w:t>and</w:t>
      </w:r>
      <w:r w:rsidR="005F211E">
        <w:rPr>
          <w:rFonts w:eastAsia="Calibri"/>
        </w:rPr>
        <w:t xml:space="preserve"> </w:t>
      </w:r>
      <w:r w:rsidRPr="003907CE">
        <w:rPr>
          <w:rFonts w:eastAsia="Calibri"/>
        </w:rPr>
        <w:t>prior exporting</w:t>
      </w:r>
      <w:r w:rsidR="005F211E">
        <w:rPr>
          <w:rFonts w:eastAsia="Calibri"/>
        </w:rPr>
        <w:t xml:space="preserve"> activities</w:t>
      </w:r>
      <w:r w:rsidR="00C3721F">
        <w:rPr>
          <w:rFonts w:eastAsia="Calibri"/>
        </w:rPr>
        <w:t xml:space="preserve"> (market</w:t>
      </w:r>
      <w:r w:rsidR="00B76579">
        <w:rPr>
          <w:rFonts w:eastAsia="Calibri"/>
        </w:rPr>
        <w:t>-</w:t>
      </w:r>
      <w:r w:rsidR="00C3721F">
        <w:rPr>
          <w:rFonts w:eastAsia="Calibri"/>
        </w:rPr>
        <w:t>specific and general)</w:t>
      </w:r>
      <w:r w:rsidRPr="003907CE">
        <w:rPr>
          <w:rFonts w:eastAsia="Calibri"/>
        </w:rPr>
        <w:t xml:space="preserve"> will decline as the time</w:t>
      </w:r>
      <w:r w:rsidR="007366B4">
        <w:rPr>
          <w:rFonts w:eastAsia="Calibri"/>
        </w:rPr>
        <w:t>-</w:t>
      </w:r>
      <w:r w:rsidRPr="003907CE">
        <w:rPr>
          <w:rFonts w:eastAsia="Calibri"/>
        </w:rPr>
        <w:t xml:space="preserve">out period increases. </w:t>
      </w:r>
      <w:r w:rsidR="0082316A" w:rsidRPr="0082316A">
        <w:rPr>
          <w:rFonts w:eastAsia="Calibri"/>
        </w:rPr>
        <w:t>The longer firms take to carry out failure analysis the less beneficial that analysis will be</w:t>
      </w:r>
      <w:r w:rsidR="00C21DE8">
        <w:rPr>
          <w:rFonts w:eastAsia="Calibri"/>
        </w:rPr>
        <w:t>. This is because</w:t>
      </w:r>
      <w:r w:rsidR="0082316A" w:rsidRPr="0082316A">
        <w:rPr>
          <w:rFonts w:eastAsia="Calibri"/>
        </w:rPr>
        <w:t xml:space="preserve"> </w:t>
      </w:r>
      <w:r w:rsidR="00C21DE8">
        <w:rPr>
          <w:rFonts w:eastAsia="Calibri"/>
        </w:rPr>
        <w:t xml:space="preserve">the </w:t>
      </w:r>
      <w:r w:rsidR="00AE007D" w:rsidRPr="00AE007D">
        <w:rPr>
          <w:rFonts w:eastAsia="Calibri"/>
        </w:rPr>
        <w:t xml:space="preserve">events that led to </w:t>
      </w:r>
      <w:r w:rsidR="00AE007D" w:rsidRPr="00AE007D">
        <w:rPr>
          <w:rFonts w:eastAsia="Calibri"/>
        </w:rPr>
        <w:lastRenderedPageBreak/>
        <w:t xml:space="preserve">exit will be less well recalled </w:t>
      </w:r>
      <w:r w:rsidR="00AE007D">
        <w:rPr>
          <w:rFonts w:eastAsia="Calibri"/>
        </w:rPr>
        <w:t xml:space="preserve">and </w:t>
      </w:r>
      <w:r w:rsidR="000C415E">
        <w:rPr>
          <w:rFonts w:eastAsia="Calibri"/>
        </w:rPr>
        <w:t xml:space="preserve">as </w:t>
      </w:r>
      <w:r w:rsidR="0082316A" w:rsidRPr="0082316A">
        <w:rPr>
          <w:rFonts w:eastAsia="Calibri"/>
        </w:rPr>
        <w:t xml:space="preserve">external conditions </w:t>
      </w:r>
      <w:r w:rsidR="00C3721F">
        <w:rPr>
          <w:rFonts w:eastAsia="Calibri"/>
        </w:rPr>
        <w:t xml:space="preserve">would have </w:t>
      </w:r>
      <w:r w:rsidR="0082316A" w:rsidRPr="0082316A">
        <w:rPr>
          <w:rFonts w:eastAsia="Calibri"/>
        </w:rPr>
        <w:t>change</w:t>
      </w:r>
      <w:r w:rsidR="00C3721F">
        <w:rPr>
          <w:rFonts w:eastAsia="Calibri"/>
        </w:rPr>
        <w:t>d,</w:t>
      </w:r>
      <w:r w:rsidR="00AE007D">
        <w:rPr>
          <w:rFonts w:eastAsia="Calibri"/>
        </w:rPr>
        <w:t xml:space="preserve"> </w:t>
      </w:r>
      <w:r w:rsidR="0082316A" w:rsidRPr="0082316A">
        <w:rPr>
          <w:rFonts w:eastAsia="Calibri"/>
        </w:rPr>
        <w:t xml:space="preserve">the lessons learned will be less applicable (Surdu </w:t>
      </w:r>
      <w:r w:rsidR="00264E77">
        <w:t>&amp;</w:t>
      </w:r>
      <w:r w:rsidR="0082316A" w:rsidRPr="0082316A">
        <w:rPr>
          <w:rFonts w:eastAsia="Calibri"/>
        </w:rPr>
        <w:t xml:space="preserve"> Narula, 202</w:t>
      </w:r>
      <w:r w:rsidR="00A253DA">
        <w:rPr>
          <w:rFonts w:eastAsia="Calibri"/>
        </w:rPr>
        <w:t>1</w:t>
      </w:r>
      <w:r w:rsidR="0082316A" w:rsidRPr="0082316A">
        <w:rPr>
          <w:rFonts w:eastAsia="Calibri"/>
        </w:rPr>
        <w:t xml:space="preserve">). </w:t>
      </w:r>
      <w:r w:rsidR="00AE007D">
        <w:rPr>
          <w:rFonts w:eastAsia="Calibri"/>
        </w:rPr>
        <w:t xml:space="preserve">Similarly, </w:t>
      </w:r>
      <w:r w:rsidR="00DB67EB">
        <w:rPr>
          <w:rFonts w:eastAsia="Calibri"/>
        </w:rPr>
        <w:t xml:space="preserve">pre-exit </w:t>
      </w:r>
      <w:r w:rsidR="00AE007D">
        <w:rPr>
          <w:rFonts w:eastAsia="Calibri"/>
        </w:rPr>
        <w:t>market</w:t>
      </w:r>
      <w:r w:rsidR="00440A73">
        <w:rPr>
          <w:rFonts w:eastAsia="Calibri"/>
        </w:rPr>
        <w:t>-</w:t>
      </w:r>
      <w:r w:rsidR="00AE007D">
        <w:rPr>
          <w:rFonts w:eastAsia="Calibri"/>
        </w:rPr>
        <w:t>specific and general knowledge</w:t>
      </w:r>
      <w:r w:rsidR="006851E8">
        <w:rPr>
          <w:rFonts w:eastAsia="Calibri"/>
        </w:rPr>
        <w:t xml:space="preserve"> </w:t>
      </w:r>
      <w:r w:rsidRPr="003907CE">
        <w:rPr>
          <w:rFonts w:eastAsia="Calibri"/>
        </w:rPr>
        <w:t>will depreciate</w:t>
      </w:r>
      <w:r w:rsidR="00C55F84">
        <w:rPr>
          <w:rFonts w:eastAsia="Calibri"/>
        </w:rPr>
        <w:t xml:space="preserve"> as time passes</w:t>
      </w:r>
      <w:r w:rsidRPr="003907CE">
        <w:rPr>
          <w:rFonts w:eastAsia="Calibri"/>
        </w:rPr>
        <w:t xml:space="preserve"> (Chen et al., 2019; Welch </w:t>
      </w:r>
      <w:r w:rsidR="00BD5CE8">
        <w:t>&amp;</w:t>
      </w:r>
      <w:r w:rsidRPr="003907CE">
        <w:rPr>
          <w:rFonts w:eastAsia="Calibri"/>
        </w:rPr>
        <w:t xml:space="preserve"> Welch, 2009) </w:t>
      </w:r>
      <w:r w:rsidR="00C55F84">
        <w:rPr>
          <w:rFonts w:eastAsia="Calibri"/>
        </w:rPr>
        <w:t>given that</w:t>
      </w:r>
      <w:r w:rsidR="00C55F84" w:rsidRPr="003907CE">
        <w:rPr>
          <w:rFonts w:eastAsia="Calibri"/>
        </w:rPr>
        <w:t xml:space="preserve"> </w:t>
      </w:r>
      <w:r w:rsidRPr="003907CE">
        <w:rPr>
          <w:rFonts w:eastAsia="Calibri"/>
        </w:rPr>
        <w:t>organizations gradually unlearn and discard practices that are no longer in use (Hedberg, 1981; Huber, 199</w:t>
      </w:r>
      <w:r w:rsidR="00416DD7">
        <w:rPr>
          <w:rFonts w:eastAsia="Calibri"/>
        </w:rPr>
        <w:t>1</w:t>
      </w:r>
      <w:r w:rsidRPr="003907CE">
        <w:rPr>
          <w:rFonts w:eastAsia="Calibri"/>
        </w:rPr>
        <w:t>).</w:t>
      </w:r>
      <w:r w:rsidR="003F320A" w:rsidRPr="003F320A">
        <w:rPr>
          <w:rFonts w:eastAsia="Calibri"/>
        </w:rPr>
        <w:t xml:space="preserve"> </w:t>
      </w:r>
    </w:p>
    <w:p w14:paraId="1CCD0A2E" w14:textId="717068BC" w:rsidR="003907CE" w:rsidRPr="003907CE" w:rsidRDefault="0033449D" w:rsidP="00695210">
      <w:pPr>
        <w:spacing w:line="480" w:lineRule="auto"/>
        <w:ind w:firstLine="284"/>
        <w:rPr>
          <w:rFonts w:eastAsia="Calibri"/>
        </w:rPr>
      </w:pPr>
      <w:r>
        <w:rPr>
          <w:rFonts w:eastAsia="Calibri"/>
        </w:rPr>
        <w:t xml:space="preserve">Therefore, </w:t>
      </w:r>
      <w:r w:rsidR="009C661B">
        <w:rPr>
          <w:rFonts w:eastAsia="Calibri"/>
        </w:rPr>
        <w:t xml:space="preserve">firms’ export performance </w:t>
      </w:r>
      <w:r w:rsidR="00FA7315">
        <w:rPr>
          <w:rFonts w:eastAsia="Calibri"/>
        </w:rPr>
        <w:t xml:space="preserve">is expected to </w:t>
      </w:r>
      <w:r w:rsidR="009C661B">
        <w:rPr>
          <w:rFonts w:eastAsia="Calibri"/>
        </w:rPr>
        <w:t>be lower if they</w:t>
      </w:r>
      <w:r w:rsidR="00053A70">
        <w:rPr>
          <w:rFonts w:eastAsia="Calibri"/>
        </w:rPr>
        <w:t xml:space="preserve"> re-enter after the initial phases </w:t>
      </w:r>
      <w:r w:rsidR="008359C1">
        <w:rPr>
          <w:rFonts w:eastAsia="Calibri"/>
        </w:rPr>
        <w:t>of a time-</w:t>
      </w:r>
      <w:r w:rsidR="00EB2A0C">
        <w:rPr>
          <w:rFonts w:eastAsia="Calibri"/>
        </w:rPr>
        <w:t>out</w:t>
      </w:r>
      <w:r w:rsidR="008359C1">
        <w:rPr>
          <w:rFonts w:eastAsia="Calibri"/>
        </w:rPr>
        <w:t xml:space="preserve"> period</w:t>
      </w:r>
      <w:r w:rsidR="009C661B">
        <w:rPr>
          <w:rFonts w:eastAsia="Calibri"/>
        </w:rPr>
        <w:t>.</w:t>
      </w:r>
      <w:r w:rsidR="007A4111">
        <w:rPr>
          <w:rFonts w:eastAsia="Calibri"/>
        </w:rPr>
        <w:t xml:space="preserve"> </w:t>
      </w:r>
      <w:r w:rsidR="00160C3E">
        <w:rPr>
          <w:rFonts w:eastAsia="Calibri"/>
        </w:rPr>
        <w:t xml:space="preserve">This </w:t>
      </w:r>
      <w:r w:rsidR="00860949">
        <w:rPr>
          <w:rFonts w:eastAsia="Calibri"/>
        </w:rPr>
        <w:t>happens</w:t>
      </w:r>
      <w:r w:rsidR="00FA7315">
        <w:rPr>
          <w:rFonts w:eastAsia="Calibri"/>
        </w:rPr>
        <w:t xml:space="preserve"> </w:t>
      </w:r>
      <w:r w:rsidR="00160C3E">
        <w:rPr>
          <w:rFonts w:eastAsia="Calibri"/>
        </w:rPr>
        <w:t xml:space="preserve">because </w:t>
      </w:r>
      <w:r w:rsidR="00DF7BA8">
        <w:rPr>
          <w:rFonts w:eastAsia="Calibri"/>
        </w:rPr>
        <w:t>they will be</w:t>
      </w:r>
      <w:r w:rsidR="00E17FF3">
        <w:rPr>
          <w:rFonts w:eastAsia="Calibri"/>
        </w:rPr>
        <w:t xml:space="preserve"> </w:t>
      </w:r>
      <w:r w:rsidR="00DF7BA8">
        <w:rPr>
          <w:rFonts w:eastAsia="Calibri"/>
        </w:rPr>
        <w:t>implementing</w:t>
      </w:r>
      <w:r w:rsidR="00E17FF3">
        <w:rPr>
          <w:rFonts w:eastAsia="Calibri"/>
        </w:rPr>
        <w:t xml:space="preserve"> st</w:t>
      </w:r>
      <w:r w:rsidR="00DE397B">
        <w:rPr>
          <w:rFonts w:eastAsia="Calibri"/>
        </w:rPr>
        <w:t xml:space="preserve">rategies </w:t>
      </w:r>
      <w:r w:rsidR="003907CE" w:rsidRPr="003907CE">
        <w:rPr>
          <w:rFonts w:eastAsia="Calibri"/>
        </w:rPr>
        <w:t>informed by</w:t>
      </w:r>
      <w:r w:rsidR="00BC1942">
        <w:rPr>
          <w:rFonts w:eastAsia="Calibri"/>
        </w:rPr>
        <w:t xml:space="preserve"> </w:t>
      </w:r>
      <w:r w:rsidR="006A5A0F">
        <w:rPr>
          <w:rFonts w:eastAsia="Calibri"/>
        </w:rPr>
        <w:t xml:space="preserve">less valuable </w:t>
      </w:r>
      <w:r w:rsidR="00BC1942">
        <w:rPr>
          <w:rFonts w:eastAsia="Calibri"/>
        </w:rPr>
        <w:t>knowledge</w:t>
      </w:r>
      <w:r w:rsidR="006A5A0F">
        <w:rPr>
          <w:rFonts w:eastAsia="Calibri"/>
        </w:rPr>
        <w:t xml:space="preserve"> (exit and pre-exit)</w:t>
      </w:r>
      <w:r w:rsidR="003907CE" w:rsidRPr="003907CE">
        <w:rPr>
          <w:rFonts w:eastAsia="Calibri"/>
        </w:rPr>
        <w:t xml:space="preserve"> (Casillas et al., 2009;</w:t>
      </w:r>
      <w:r w:rsidR="003907CE" w:rsidRPr="003907CE">
        <w:rPr>
          <w:rFonts w:eastAsia="Calibri"/>
          <w:b/>
          <w:bCs/>
        </w:rPr>
        <w:t xml:space="preserve"> </w:t>
      </w:r>
      <w:r w:rsidR="003907CE" w:rsidRPr="003907CE">
        <w:rPr>
          <w:rFonts w:eastAsia="Calibri"/>
        </w:rPr>
        <w:t>Javalgi et al., 2011;</w:t>
      </w:r>
      <w:r w:rsidR="003907CE" w:rsidRPr="003907CE">
        <w:rPr>
          <w:rFonts w:eastAsia="Calibri"/>
          <w:b/>
          <w:bCs/>
        </w:rPr>
        <w:t xml:space="preserve"> </w:t>
      </w:r>
      <w:r w:rsidR="003907CE" w:rsidRPr="003907CE">
        <w:rPr>
          <w:rFonts w:eastAsia="Calibri"/>
        </w:rPr>
        <w:t>Surdu et al., 2018; 2019)</w:t>
      </w:r>
      <w:r w:rsidR="00F61AD6">
        <w:rPr>
          <w:rFonts w:eastAsia="Calibri"/>
        </w:rPr>
        <w:t xml:space="preserve"> </w:t>
      </w:r>
      <w:r w:rsidR="00641650">
        <w:rPr>
          <w:rFonts w:eastAsia="Calibri"/>
        </w:rPr>
        <w:t>while</w:t>
      </w:r>
      <w:r w:rsidR="008A1911">
        <w:rPr>
          <w:rFonts w:eastAsia="Calibri"/>
        </w:rPr>
        <w:t xml:space="preserve"> </w:t>
      </w:r>
      <w:r w:rsidR="00992CB9">
        <w:rPr>
          <w:rFonts w:eastAsia="Calibri"/>
        </w:rPr>
        <w:t xml:space="preserve">applied </w:t>
      </w:r>
      <w:r w:rsidR="00EB2A0C">
        <w:rPr>
          <w:rFonts w:eastAsia="Calibri"/>
        </w:rPr>
        <w:t>to</w:t>
      </w:r>
      <w:r w:rsidR="00992CB9">
        <w:rPr>
          <w:rFonts w:eastAsia="Calibri"/>
        </w:rPr>
        <w:t xml:space="preserve"> </w:t>
      </w:r>
      <w:r w:rsidR="005F6171">
        <w:rPr>
          <w:rFonts w:eastAsia="Calibri"/>
        </w:rPr>
        <w:t>changed</w:t>
      </w:r>
      <w:r w:rsidR="001D59AC">
        <w:rPr>
          <w:rFonts w:eastAsia="Calibri"/>
        </w:rPr>
        <w:t xml:space="preserve"> </w:t>
      </w:r>
      <w:r w:rsidR="003907CE" w:rsidRPr="003907CE">
        <w:rPr>
          <w:rFonts w:eastAsia="Calibri"/>
        </w:rPr>
        <w:t xml:space="preserve">foreign market conditions (Dau, 2018; Kriz </w:t>
      </w:r>
      <w:r w:rsidR="00A802FA">
        <w:t>&amp;</w:t>
      </w:r>
      <w:r w:rsidR="003907CE" w:rsidRPr="003907CE">
        <w:rPr>
          <w:rFonts w:eastAsia="Calibri"/>
        </w:rPr>
        <w:t xml:space="preserve"> Welch, 2018</w:t>
      </w:r>
      <w:r w:rsidR="00AE5E4A">
        <w:rPr>
          <w:rFonts w:eastAsia="Calibri"/>
        </w:rPr>
        <w:t xml:space="preserve">; </w:t>
      </w:r>
      <w:r w:rsidR="00721746">
        <w:rPr>
          <w:rFonts w:eastAsia="Calibri"/>
        </w:rPr>
        <w:t>Ozkan, 2020</w:t>
      </w:r>
      <w:r w:rsidR="003907CE" w:rsidRPr="003907CE">
        <w:rPr>
          <w:rFonts w:eastAsia="Calibri"/>
        </w:rPr>
        <w:t xml:space="preserve">). </w:t>
      </w:r>
      <w:r w:rsidR="00695210" w:rsidRPr="00695210">
        <w:rPr>
          <w:rFonts w:eastAsia="Calibri"/>
        </w:rPr>
        <w:t xml:space="preserve">For example, after exiting Europe in 2001 to focus on the UK market, M&amp;S re-entered the European market through France in 2011 without much success in this market </w:t>
      </w:r>
      <w:r w:rsidR="007252A5">
        <w:rPr>
          <w:rFonts w:eastAsia="Calibri"/>
        </w:rPr>
        <w:t>or</w:t>
      </w:r>
      <w:r w:rsidR="00695210" w:rsidRPr="00695210">
        <w:rPr>
          <w:rFonts w:eastAsia="Calibri"/>
        </w:rPr>
        <w:t xml:space="preserve"> others (Surdu et al., 2019). Similarly, Figueira-de-Lemos and Hadjikhani (2014) describe the internationalization path of 3 Swedish </w:t>
      </w:r>
      <w:r w:rsidR="00AD36F2">
        <w:rPr>
          <w:rFonts w:eastAsia="Calibri"/>
        </w:rPr>
        <w:t>firms</w:t>
      </w:r>
      <w:r w:rsidR="00AD36F2" w:rsidRPr="00695210">
        <w:rPr>
          <w:rFonts w:eastAsia="Calibri"/>
        </w:rPr>
        <w:t xml:space="preserve"> </w:t>
      </w:r>
      <w:r w:rsidR="00695210" w:rsidRPr="00695210">
        <w:rPr>
          <w:rFonts w:eastAsia="Calibri"/>
        </w:rPr>
        <w:t>(Ericsson, PARS</w:t>
      </w:r>
      <w:r w:rsidR="00B76579">
        <w:rPr>
          <w:rFonts w:eastAsia="Calibri"/>
        </w:rPr>
        <w:t>,</w:t>
      </w:r>
      <w:r w:rsidR="00695210" w:rsidRPr="00695210">
        <w:rPr>
          <w:rFonts w:eastAsia="Calibri"/>
        </w:rPr>
        <w:t xml:space="preserve"> and ALFA) that exited </w:t>
      </w:r>
      <w:r w:rsidR="00860949">
        <w:rPr>
          <w:rFonts w:eastAsia="Calibri"/>
        </w:rPr>
        <w:t>Iran</w:t>
      </w:r>
      <w:r w:rsidR="00695210" w:rsidRPr="00695210">
        <w:rPr>
          <w:rFonts w:eastAsia="Calibri"/>
        </w:rPr>
        <w:t xml:space="preserve"> during the Iranian revolution. After considering the </w:t>
      </w:r>
      <w:r w:rsidR="003633FC">
        <w:rPr>
          <w:rFonts w:eastAsia="Calibri"/>
        </w:rPr>
        <w:t xml:space="preserve">level of </w:t>
      </w:r>
      <w:r w:rsidR="00695210" w:rsidRPr="00695210">
        <w:rPr>
          <w:rFonts w:eastAsia="Calibri"/>
        </w:rPr>
        <w:t>market knowledge these MNEs possessed, Ericsson</w:t>
      </w:r>
      <w:r w:rsidR="00535428">
        <w:rPr>
          <w:rFonts w:eastAsia="Calibri"/>
        </w:rPr>
        <w:t>,</w:t>
      </w:r>
      <w:r w:rsidR="00695210" w:rsidRPr="00695210">
        <w:rPr>
          <w:rFonts w:eastAsia="Calibri"/>
        </w:rPr>
        <w:t xml:space="preserve"> </w:t>
      </w:r>
      <w:r w:rsidR="00535428">
        <w:rPr>
          <w:rFonts w:eastAsia="Calibri"/>
        </w:rPr>
        <w:t>which</w:t>
      </w:r>
      <w:r w:rsidR="00695210" w:rsidRPr="00695210">
        <w:rPr>
          <w:rFonts w:eastAsia="Calibri"/>
        </w:rPr>
        <w:t xml:space="preserve"> re-entered late</w:t>
      </w:r>
      <w:r w:rsidR="00535428">
        <w:rPr>
          <w:rFonts w:eastAsia="Calibri"/>
        </w:rPr>
        <w:t>,</w:t>
      </w:r>
      <w:r w:rsidR="00695210" w:rsidRPr="00695210">
        <w:rPr>
          <w:rFonts w:eastAsia="Calibri"/>
        </w:rPr>
        <w:t xml:space="preserve"> had lower levels of performance than PARS and ALFA</w:t>
      </w:r>
      <w:r w:rsidR="00535428">
        <w:rPr>
          <w:rFonts w:eastAsia="Calibri"/>
        </w:rPr>
        <w:t>,</w:t>
      </w:r>
      <w:r w:rsidR="00695210" w:rsidRPr="00695210">
        <w:rPr>
          <w:rFonts w:eastAsia="Calibri"/>
        </w:rPr>
        <w:t xml:space="preserve"> </w:t>
      </w:r>
      <w:r w:rsidR="00535428">
        <w:rPr>
          <w:rFonts w:eastAsia="Calibri"/>
        </w:rPr>
        <w:t>which</w:t>
      </w:r>
      <w:r w:rsidR="00695210" w:rsidRPr="00695210">
        <w:rPr>
          <w:rFonts w:eastAsia="Calibri"/>
        </w:rPr>
        <w:t xml:space="preserve"> re-entered early.</w:t>
      </w:r>
      <w:r w:rsidR="00695210">
        <w:rPr>
          <w:rFonts w:eastAsia="Calibri"/>
        </w:rPr>
        <w:t xml:space="preserve"> </w:t>
      </w:r>
      <w:r w:rsidR="00344346">
        <w:rPr>
          <w:rFonts w:eastAsia="Calibri"/>
        </w:rPr>
        <w:t xml:space="preserve">In sum, we </w:t>
      </w:r>
      <w:r w:rsidR="003907CE" w:rsidRPr="003907CE">
        <w:rPr>
          <w:rFonts w:eastAsia="Calibri"/>
        </w:rPr>
        <w:t xml:space="preserve">expect the effects of prior export experience on re-entry export performance to decrease as the </w:t>
      </w:r>
      <w:r w:rsidR="009B73EF">
        <w:rPr>
          <w:rFonts w:eastAsia="Calibri"/>
        </w:rPr>
        <w:t>time-out</w:t>
      </w:r>
      <w:r w:rsidR="003907CE" w:rsidRPr="003907CE">
        <w:rPr>
          <w:rFonts w:eastAsia="Calibri"/>
        </w:rPr>
        <w:t xml:space="preserve"> period increases (</w:t>
      </w:r>
      <w:r w:rsidR="002D2378">
        <w:rPr>
          <w:rFonts w:eastAsia="Calibri"/>
        </w:rPr>
        <w:t>F</w:t>
      </w:r>
      <w:r w:rsidR="003907CE" w:rsidRPr="003907CE">
        <w:rPr>
          <w:rFonts w:eastAsia="Calibri"/>
        </w:rPr>
        <w:t>igure 3a).</w:t>
      </w:r>
    </w:p>
    <w:p w14:paraId="4D96EFCE" w14:textId="771F205F" w:rsidR="003907CE" w:rsidRPr="003907CE" w:rsidRDefault="003907CE" w:rsidP="003369DA">
      <w:pPr>
        <w:spacing w:line="480" w:lineRule="auto"/>
        <w:ind w:firstLine="284"/>
        <w:rPr>
          <w:rFonts w:eastAsia="Calibri"/>
        </w:rPr>
      </w:pPr>
      <w:r w:rsidRPr="003907CE">
        <w:rPr>
          <w:rFonts w:eastAsia="Calibri"/>
        </w:rPr>
        <w:t>However, there is also a second mechanism at work with a countervailing effect. After some point, firms will have unlearned their prior knowledge to such an extent that managers will start to depend less on it for their decision</w:t>
      </w:r>
      <w:r w:rsidR="00B76579">
        <w:rPr>
          <w:rFonts w:eastAsia="Calibri"/>
        </w:rPr>
        <w:t>-</w:t>
      </w:r>
      <w:r w:rsidRPr="003907CE">
        <w:rPr>
          <w:rFonts w:eastAsia="Calibri"/>
        </w:rPr>
        <w:t xml:space="preserve">making (Casillas et al., 2009; Welch </w:t>
      </w:r>
      <w:r w:rsidR="00817D8F">
        <w:t>&amp;</w:t>
      </w:r>
      <w:r w:rsidRPr="003907CE">
        <w:rPr>
          <w:rFonts w:eastAsia="Calibri"/>
        </w:rPr>
        <w:t xml:space="preserve"> Welch, 2009).</w:t>
      </w:r>
      <w:r w:rsidR="00AF615D">
        <w:rPr>
          <w:rFonts w:eastAsia="Calibri"/>
        </w:rPr>
        <w:t xml:space="preserve"> </w:t>
      </w:r>
      <w:r w:rsidR="00A87F80">
        <w:rPr>
          <w:rFonts w:eastAsia="Calibri"/>
        </w:rPr>
        <w:t>According to</w:t>
      </w:r>
      <w:r w:rsidR="003D0936">
        <w:rPr>
          <w:rFonts w:eastAsia="Calibri"/>
        </w:rPr>
        <w:t xml:space="preserve"> o</w:t>
      </w:r>
      <w:r w:rsidR="00AC7F7A" w:rsidRPr="00AC7F7A">
        <w:rPr>
          <w:rFonts w:eastAsia="Calibri"/>
        </w:rPr>
        <w:t>rganizational learning literature</w:t>
      </w:r>
      <w:r w:rsidR="00C8734A">
        <w:rPr>
          <w:rFonts w:eastAsia="Calibri"/>
        </w:rPr>
        <w:t xml:space="preserve"> </w:t>
      </w:r>
      <w:r w:rsidR="00C5384F" w:rsidRPr="00C5384F">
        <w:rPr>
          <w:rFonts w:eastAsia="Calibri"/>
        </w:rPr>
        <w:t xml:space="preserve">(Bettis </w:t>
      </w:r>
      <w:r w:rsidR="00817D8F">
        <w:t>&amp;</w:t>
      </w:r>
      <w:r w:rsidR="00C5384F" w:rsidRPr="00C5384F">
        <w:rPr>
          <w:rFonts w:eastAsia="Calibri"/>
        </w:rPr>
        <w:t xml:space="preserve"> Prahalad, 1995; Casillas et al., 2009)</w:t>
      </w:r>
      <w:r w:rsidR="0003514B">
        <w:rPr>
          <w:rFonts w:eastAsia="Calibri"/>
        </w:rPr>
        <w:t>,</w:t>
      </w:r>
      <w:r w:rsidR="00AC7F7A" w:rsidRPr="00AC7F7A">
        <w:rPr>
          <w:rFonts w:eastAsia="Calibri"/>
        </w:rPr>
        <w:t xml:space="preserve"> </w:t>
      </w:r>
      <w:r w:rsidR="00AF615D">
        <w:rPr>
          <w:rFonts w:eastAsia="Calibri"/>
        </w:rPr>
        <w:t>t</w:t>
      </w:r>
      <w:r w:rsidR="00AF615D" w:rsidRPr="00AF615D">
        <w:rPr>
          <w:rFonts w:eastAsia="Calibri"/>
        </w:rPr>
        <w:t xml:space="preserve">he </w:t>
      </w:r>
      <w:r w:rsidR="00C618B3">
        <w:rPr>
          <w:rFonts w:eastAsia="Calibri"/>
        </w:rPr>
        <w:t xml:space="preserve">extensive </w:t>
      </w:r>
      <w:r w:rsidR="00AF615D" w:rsidRPr="00AF615D">
        <w:rPr>
          <w:rFonts w:eastAsia="Calibri"/>
        </w:rPr>
        <w:t>unlearning of old practices is</w:t>
      </w:r>
      <w:r w:rsidR="003D0936">
        <w:rPr>
          <w:rFonts w:eastAsia="Calibri"/>
        </w:rPr>
        <w:t xml:space="preserve"> </w:t>
      </w:r>
      <w:r w:rsidR="00AF615D" w:rsidRPr="00AF615D">
        <w:rPr>
          <w:rFonts w:eastAsia="Calibri"/>
        </w:rPr>
        <w:t xml:space="preserve">a precondition for new learning </w:t>
      </w:r>
      <w:r w:rsidR="006A73CB" w:rsidRPr="006A73CB">
        <w:rPr>
          <w:rFonts w:eastAsia="Calibri"/>
        </w:rPr>
        <w:t xml:space="preserve">to occur </w:t>
      </w:r>
      <w:r w:rsidR="00AF615D" w:rsidRPr="00AF615D">
        <w:rPr>
          <w:rFonts w:eastAsia="Calibri"/>
        </w:rPr>
        <w:t>(</w:t>
      </w:r>
      <w:r w:rsidR="00121B7E">
        <w:rPr>
          <w:rFonts w:eastAsia="Calibri"/>
        </w:rPr>
        <w:t>derived</w:t>
      </w:r>
      <w:r w:rsidR="00C618B3">
        <w:rPr>
          <w:rFonts w:eastAsia="Calibri"/>
        </w:rPr>
        <w:t xml:space="preserve"> for instance</w:t>
      </w:r>
      <w:r w:rsidR="00AF615D" w:rsidRPr="00AF615D">
        <w:rPr>
          <w:rFonts w:eastAsia="Calibri"/>
        </w:rPr>
        <w:t xml:space="preserve"> by </w:t>
      </w:r>
      <w:r w:rsidR="00B76579">
        <w:rPr>
          <w:rFonts w:eastAsia="Calibri"/>
        </w:rPr>
        <w:t>analyzing</w:t>
      </w:r>
      <w:r w:rsidR="00AF615D" w:rsidRPr="00AF615D">
        <w:rPr>
          <w:rFonts w:eastAsia="Calibri"/>
        </w:rPr>
        <w:t xml:space="preserve"> foreign markets)</w:t>
      </w:r>
      <w:r w:rsidR="00C5108D">
        <w:rPr>
          <w:rFonts w:eastAsia="Calibri"/>
        </w:rPr>
        <w:t xml:space="preserve">. </w:t>
      </w:r>
      <w:r w:rsidR="002977CA">
        <w:rPr>
          <w:rFonts w:eastAsia="Calibri"/>
        </w:rPr>
        <w:t>In addition,</w:t>
      </w:r>
      <w:r w:rsidR="00C5384F">
        <w:rPr>
          <w:rFonts w:eastAsia="Calibri"/>
        </w:rPr>
        <w:t xml:space="preserve"> </w:t>
      </w:r>
      <w:r w:rsidR="00AC7F7A" w:rsidRPr="00AC7F7A">
        <w:rPr>
          <w:rFonts w:eastAsia="Calibri"/>
        </w:rPr>
        <w:t>new knowledge is generated more intensively when few old organizational routines</w:t>
      </w:r>
      <w:r w:rsidR="00825058">
        <w:rPr>
          <w:rFonts w:eastAsia="Calibri"/>
        </w:rPr>
        <w:t xml:space="preserve"> </w:t>
      </w:r>
      <w:r w:rsidR="00825058" w:rsidRPr="00825058">
        <w:rPr>
          <w:rFonts w:eastAsia="Calibri"/>
        </w:rPr>
        <w:t>have to be unlearned</w:t>
      </w:r>
      <w:r w:rsidR="00163DE8">
        <w:rPr>
          <w:rFonts w:eastAsia="Calibri"/>
        </w:rPr>
        <w:t xml:space="preserve"> </w:t>
      </w:r>
      <w:r w:rsidR="00163DE8" w:rsidRPr="00163DE8">
        <w:rPr>
          <w:rFonts w:eastAsia="Calibri"/>
        </w:rPr>
        <w:t>(Surdu et al., 2018; 2019)</w:t>
      </w:r>
      <w:r w:rsidR="00825058">
        <w:rPr>
          <w:rFonts w:eastAsia="Calibri"/>
        </w:rPr>
        <w:t>.</w:t>
      </w:r>
      <w:r w:rsidRPr="003907CE">
        <w:rPr>
          <w:rFonts w:eastAsia="Calibri"/>
        </w:rPr>
        <w:t xml:space="preserve"> </w:t>
      </w:r>
      <w:r w:rsidR="005E3E56">
        <w:rPr>
          <w:rFonts w:eastAsia="Calibri"/>
        </w:rPr>
        <w:t>Hence</w:t>
      </w:r>
      <w:r w:rsidR="00191673">
        <w:rPr>
          <w:rFonts w:eastAsia="Calibri"/>
        </w:rPr>
        <w:t>,</w:t>
      </w:r>
      <w:r w:rsidRPr="003907CE">
        <w:rPr>
          <w:rFonts w:eastAsia="Calibri"/>
        </w:rPr>
        <w:t xml:space="preserve"> </w:t>
      </w:r>
      <w:r w:rsidR="005E3E56" w:rsidRPr="003907CE">
        <w:rPr>
          <w:rFonts w:eastAsia="Calibri"/>
        </w:rPr>
        <w:t>new knowledge</w:t>
      </w:r>
      <w:r w:rsidR="005E3E56">
        <w:rPr>
          <w:rFonts w:eastAsia="Calibri"/>
        </w:rPr>
        <w:t xml:space="preserve"> </w:t>
      </w:r>
      <w:r w:rsidR="005E3E56" w:rsidRPr="003907CE">
        <w:rPr>
          <w:rFonts w:eastAsia="Calibri"/>
        </w:rPr>
        <w:t xml:space="preserve">that is needed to make strategic decisions </w:t>
      </w:r>
      <w:r w:rsidR="005E3E56">
        <w:rPr>
          <w:rFonts w:eastAsia="Calibri"/>
        </w:rPr>
        <w:t xml:space="preserve">after re-entry is </w:t>
      </w:r>
      <w:r w:rsidR="005E3E56">
        <w:rPr>
          <w:rFonts w:eastAsia="Calibri"/>
        </w:rPr>
        <w:lastRenderedPageBreak/>
        <w:t>developed more effectively</w:t>
      </w:r>
      <w:r w:rsidR="005E3E56" w:rsidRPr="003907CE">
        <w:rPr>
          <w:rFonts w:eastAsia="Calibri"/>
        </w:rPr>
        <w:t xml:space="preserve"> </w:t>
      </w:r>
      <w:r w:rsidRPr="003907CE">
        <w:rPr>
          <w:rFonts w:eastAsia="Calibri"/>
        </w:rPr>
        <w:t xml:space="preserve">when fewer old practices related to prior exporting activities need to be unlearned (Argote </w:t>
      </w:r>
      <w:r w:rsidR="007E2D2C">
        <w:t>&amp;</w:t>
      </w:r>
      <w:r w:rsidRPr="003907CE">
        <w:rPr>
          <w:rFonts w:eastAsia="Calibri"/>
        </w:rPr>
        <w:t xml:space="preserve"> Miron-Spektor, 2011; Surdu </w:t>
      </w:r>
      <w:r w:rsidR="00A80094">
        <w:rPr>
          <w:rFonts w:eastAsia="Calibri"/>
        </w:rPr>
        <w:t>&amp; Narula, 2021</w:t>
      </w:r>
      <w:r w:rsidRPr="003907CE">
        <w:rPr>
          <w:rFonts w:eastAsia="Calibri"/>
        </w:rPr>
        <w:t xml:space="preserve">). Time is an ally to this process </w:t>
      </w:r>
      <w:r w:rsidR="002D2BD8">
        <w:rPr>
          <w:rFonts w:eastAsia="Calibri"/>
        </w:rPr>
        <w:t>as</w:t>
      </w:r>
      <w:r w:rsidR="002D2BD8" w:rsidRPr="003907CE">
        <w:rPr>
          <w:rFonts w:eastAsia="Calibri"/>
        </w:rPr>
        <w:t xml:space="preserve"> </w:t>
      </w:r>
      <w:r w:rsidRPr="003907CE">
        <w:rPr>
          <w:rFonts w:eastAsia="Calibri"/>
        </w:rPr>
        <w:t>it enables useful forgetting</w:t>
      </w:r>
      <w:r w:rsidR="00BC5DC0">
        <w:rPr>
          <w:rFonts w:eastAsia="Calibri"/>
        </w:rPr>
        <w:t xml:space="preserve"> </w:t>
      </w:r>
      <w:r w:rsidRPr="003907CE">
        <w:rPr>
          <w:rFonts w:eastAsia="Calibri"/>
        </w:rPr>
        <w:t>that reduces inefficiencies and biases in strategic decision</w:t>
      </w:r>
      <w:r w:rsidR="0030218F">
        <w:rPr>
          <w:rFonts w:eastAsia="Calibri"/>
        </w:rPr>
        <w:t>s</w:t>
      </w:r>
      <w:r w:rsidRPr="003907CE">
        <w:rPr>
          <w:rFonts w:eastAsia="Calibri"/>
        </w:rPr>
        <w:t xml:space="preserve">, promoting change (Welch </w:t>
      </w:r>
      <w:r w:rsidR="007D7BF5">
        <w:t>&amp;</w:t>
      </w:r>
      <w:r w:rsidRPr="003907CE">
        <w:rPr>
          <w:rFonts w:eastAsia="Calibri"/>
        </w:rPr>
        <w:t xml:space="preserve"> Welch, 2009). </w:t>
      </w:r>
      <w:r w:rsidR="00C618B3">
        <w:rPr>
          <w:rFonts w:eastAsia="Calibri"/>
        </w:rPr>
        <w:t xml:space="preserve">Moreover, </w:t>
      </w:r>
      <w:r w:rsidR="008F79D0" w:rsidRPr="008F79D0">
        <w:rPr>
          <w:rFonts w:eastAsia="Calibri"/>
        </w:rPr>
        <w:t>because of its contemporary nature</w:t>
      </w:r>
      <w:r w:rsidR="008F79D0">
        <w:rPr>
          <w:rFonts w:eastAsia="Calibri"/>
        </w:rPr>
        <w:t>,</w:t>
      </w:r>
      <w:r w:rsidR="008F79D0" w:rsidRPr="008F79D0">
        <w:rPr>
          <w:rFonts w:eastAsia="Calibri"/>
        </w:rPr>
        <w:t xml:space="preserve"> </w:t>
      </w:r>
      <w:r w:rsidR="00036BA9" w:rsidRPr="00036BA9">
        <w:rPr>
          <w:rFonts w:eastAsia="Calibri"/>
        </w:rPr>
        <w:t xml:space="preserve">new knowledge is </w:t>
      </w:r>
      <w:r w:rsidR="002D2BD8">
        <w:rPr>
          <w:rFonts w:eastAsia="Calibri"/>
        </w:rPr>
        <w:t>likely</w:t>
      </w:r>
      <w:r w:rsidR="002D2BD8" w:rsidRPr="00036BA9">
        <w:rPr>
          <w:rFonts w:eastAsia="Calibri"/>
        </w:rPr>
        <w:t xml:space="preserve"> </w:t>
      </w:r>
      <w:r w:rsidR="00036BA9" w:rsidRPr="00036BA9">
        <w:rPr>
          <w:rFonts w:eastAsia="Calibri"/>
        </w:rPr>
        <w:t>to be more valuable than old</w:t>
      </w:r>
      <w:r w:rsidR="0006569D">
        <w:rPr>
          <w:rFonts w:eastAsia="Calibri"/>
        </w:rPr>
        <w:t>er</w:t>
      </w:r>
      <w:r w:rsidR="00036BA9" w:rsidRPr="00036BA9">
        <w:rPr>
          <w:rFonts w:eastAsia="Calibri"/>
        </w:rPr>
        <w:t xml:space="preserve"> knowledge</w:t>
      </w:r>
      <w:r w:rsidR="0006569D">
        <w:rPr>
          <w:rFonts w:eastAsia="Calibri"/>
        </w:rPr>
        <w:t>,</w:t>
      </w:r>
      <w:r w:rsidR="00036BA9" w:rsidRPr="00036BA9">
        <w:rPr>
          <w:rFonts w:eastAsia="Calibri"/>
        </w:rPr>
        <w:t xml:space="preserve"> result</w:t>
      </w:r>
      <w:r w:rsidR="0006569D">
        <w:rPr>
          <w:rFonts w:eastAsia="Calibri"/>
        </w:rPr>
        <w:t>ing</w:t>
      </w:r>
      <w:r w:rsidR="00036BA9" w:rsidRPr="00036BA9">
        <w:rPr>
          <w:rFonts w:eastAsia="Calibri"/>
        </w:rPr>
        <w:t xml:space="preserve"> in the adoption of more effective</w:t>
      </w:r>
      <w:r w:rsidR="00F41979">
        <w:rPr>
          <w:rFonts w:eastAsia="Calibri"/>
        </w:rPr>
        <w:t xml:space="preserve"> </w:t>
      </w:r>
      <w:r w:rsidR="0006569D" w:rsidRPr="00036BA9">
        <w:rPr>
          <w:rFonts w:eastAsia="Calibri"/>
        </w:rPr>
        <w:t>strategies</w:t>
      </w:r>
      <w:r w:rsidR="0006569D">
        <w:rPr>
          <w:rFonts w:eastAsia="Calibri"/>
        </w:rPr>
        <w:t xml:space="preserve"> that fit </w:t>
      </w:r>
      <w:r w:rsidR="00F41979">
        <w:rPr>
          <w:rFonts w:eastAsia="Calibri"/>
        </w:rPr>
        <w:t>external conditions</w:t>
      </w:r>
      <w:r w:rsidR="00DF5F87">
        <w:rPr>
          <w:rFonts w:eastAsia="Calibri"/>
        </w:rPr>
        <w:t xml:space="preserve"> well</w:t>
      </w:r>
      <w:r w:rsidR="00036BA9" w:rsidRPr="00036BA9">
        <w:rPr>
          <w:rFonts w:eastAsia="Calibri"/>
        </w:rPr>
        <w:t>.</w:t>
      </w:r>
      <w:r w:rsidR="00DF5F87">
        <w:rPr>
          <w:rFonts w:eastAsia="Calibri"/>
        </w:rPr>
        <w:t xml:space="preserve"> </w:t>
      </w:r>
      <w:r w:rsidR="00EC3ED4">
        <w:rPr>
          <w:rFonts w:eastAsia="Calibri"/>
        </w:rPr>
        <w:t>Hence</w:t>
      </w:r>
      <w:r w:rsidRPr="003907CE">
        <w:rPr>
          <w:rFonts w:eastAsia="Calibri"/>
        </w:rPr>
        <w:t xml:space="preserve">, as the </w:t>
      </w:r>
      <w:r w:rsidR="009B73EF">
        <w:rPr>
          <w:rFonts w:eastAsia="Calibri"/>
        </w:rPr>
        <w:t>time-out</w:t>
      </w:r>
      <w:r w:rsidRPr="003907CE">
        <w:rPr>
          <w:rFonts w:eastAsia="Calibri"/>
        </w:rPr>
        <w:t xml:space="preserve"> period increases, </w:t>
      </w:r>
      <w:r w:rsidR="00444AD6">
        <w:rPr>
          <w:rFonts w:eastAsia="Calibri"/>
        </w:rPr>
        <w:t>the</w:t>
      </w:r>
      <w:r w:rsidRPr="003907CE">
        <w:rPr>
          <w:rFonts w:eastAsia="Calibri"/>
        </w:rPr>
        <w:t xml:space="preserve"> new knowledge</w:t>
      </w:r>
      <w:r w:rsidR="00444AD6">
        <w:rPr>
          <w:rFonts w:eastAsia="Calibri"/>
        </w:rPr>
        <w:t xml:space="preserve"> that firms lea</w:t>
      </w:r>
      <w:r w:rsidR="00BD4D5E">
        <w:rPr>
          <w:rFonts w:eastAsia="Calibri"/>
        </w:rPr>
        <w:t>r</w:t>
      </w:r>
      <w:r w:rsidR="00444AD6">
        <w:rPr>
          <w:rFonts w:eastAsia="Calibri"/>
        </w:rPr>
        <w:t>n</w:t>
      </w:r>
      <w:r w:rsidRPr="003907CE">
        <w:rPr>
          <w:rFonts w:eastAsia="Calibri"/>
        </w:rPr>
        <w:t xml:space="preserve"> </w:t>
      </w:r>
      <w:r w:rsidR="002D2BD8">
        <w:rPr>
          <w:rFonts w:eastAsia="Calibri"/>
        </w:rPr>
        <w:t xml:space="preserve">when </w:t>
      </w:r>
      <w:r w:rsidR="00FF39FE">
        <w:rPr>
          <w:rFonts w:eastAsia="Calibri"/>
        </w:rPr>
        <w:t>they decide to</w:t>
      </w:r>
      <w:r w:rsidRPr="003907CE">
        <w:rPr>
          <w:rFonts w:eastAsia="Calibri"/>
        </w:rPr>
        <w:t xml:space="preserve"> re-enter</w:t>
      </w:r>
      <w:r w:rsidR="00444AD6">
        <w:rPr>
          <w:rFonts w:eastAsia="Calibri"/>
        </w:rPr>
        <w:t xml:space="preserve"> </w:t>
      </w:r>
      <w:r w:rsidRPr="003907CE">
        <w:rPr>
          <w:rFonts w:eastAsia="Calibri"/>
        </w:rPr>
        <w:t>can subsequently contribute to re-entry export performance (</w:t>
      </w:r>
      <w:r w:rsidR="00280609">
        <w:rPr>
          <w:rFonts w:eastAsia="Calibri"/>
        </w:rPr>
        <w:t>F</w:t>
      </w:r>
      <w:r w:rsidRPr="003907CE">
        <w:rPr>
          <w:rFonts w:eastAsia="Calibri"/>
        </w:rPr>
        <w:t>igure 3b).</w:t>
      </w:r>
    </w:p>
    <w:p w14:paraId="327AA215" w14:textId="22EEFEC5" w:rsidR="003907CE" w:rsidRPr="003907CE" w:rsidRDefault="003907CE" w:rsidP="003907CE">
      <w:pPr>
        <w:spacing w:line="480" w:lineRule="auto"/>
        <w:ind w:firstLine="284"/>
        <w:rPr>
          <w:rFonts w:eastAsia="Calibri"/>
        </w:rPr>
      </w:pPr>
      <w:r w:rsidRPr="003907CE">
        <w:rPr>
          <w:rFonts w:eastAsia="Calibri"/>
        </w:rPr>
        <w:t>We</w:t>
      </w:r>
      <w:r w:rsidR="00B76579">
        <w:rPr>
          <w:rFonts w:eastAsia="Calibri"/>
        </w:rPr>
        <w:t>,</w:t>
      </w:r>
      <w:r w:rsidRPr="003907CE">
        <w:rPr>
          <w:rFonts w:eastAsia="Calibri"/>
        </w:rPr>
        <w:t xml:space="preserve"> therefore</w:t>
      </w:r>
      <w:r w:rsidR="00B76579">
        <w:rPr>
          <w:rFonts w:eastAsia="Calibri"/>
        </w:rPr>
        <w:t>,</w:t>
      </w:r>
      <w:r w:rsidRPr="003907CE">
        <w:rPr>
          <w:rFonts w:eastAsia="Calibri"/>
        </w:rPr>
        <w:t xml:space="preserve"> </w:t>
      </w:r>
      <w:r w:rsidR="00EC3ED4">
        <w:rPr>
          <w:rFonts w:eastAsia="Calibri"/>
        </w:rPr>
        <w:t>expect</w:t>
      </w:r>
      <w:r w:rsidR="00EC3ED4" w:rsidRPr="003907CE">
        <w:rPr>
          <w:rFonts w:eastAsia="Calibri"/>
        </w:rPr>
        <w:t xml:space="preserve"> </w:t>
      </w:r>
      <w:r w:rsidRPr="003907CE">
        <w:rPr>
          <w:rFonts w:eastAsia="Calibri"/>
        </w:rPr>
        <w:t xml:space="preserve">that as firms </w:t>
      </w:r>
      <w:r w:rsidR="002554A7">
        <w:rPr>
          <w:rFonts w:eastAsia="Calibri"/>
        </w:rPr>
        <w:t>forget</w:t>
      </w:r>
      <w:r w:rsidR="002554A7" w:rsidRPr="003907CE">
        <w:rPr>
          <w:rFonts w:eastAsia="Calibri"/>
        </w:rPr>
        <w:t xml:space="preserve"> </w:t>
      </w:r>
      <w:r w:rsidRPr="003907CE">
        <w:rPr>
          <w:rFonts w:eastAsia="Calibri"/>
        </w:rPr>
        <w:t xml:space="preserve">old knowledge and improve their capacity to learn new knowledge, this will lead to </w:t>
      </w:r>
      <w:r w:rsidRPr="003907CE">
        <w:rPr>
          <w:rFonts w:eastAsia="Calibri"/>
          <w:i/>
          <w:iCs/>
        </w:rPr>
        <w:t>a decrease in the rate</w:t>
      </w:r>
      <w:r w:rsidRPr="003907CE">
        <w:rPr>
          <w:rFonts w:eastAsia="Calibri"/>
        </w:rPr>
        <w:t xml:space="preserve"> at which export performance </w:t>
      </w:r>
      <w:r w:rsidR="002554A7">
        <w:rPr>
          <w:rFonts w:eastAsia="Calibri"/>
        </w:rPr>
        <w:t>drops</w:t>
      </w:r>
      <w:r w:rsidR="002554A7" w:rsidRPr="003907CE">
        <w:rPr>
          <w:rFonts w:eastAsia="Calibri"/>
        </w:rPr>
        <w:t xml:space="preserve"> </w:t>
      </w:r>
      <w:r w:rsidRPr="003907CE">
        <w:rPr>
          <w:rFonts w:eastAsia="Calibri"/>
        </w:rPr>
        <w:t>during the early phases of the time</w:t>
      </w:r>
      <w:r w:rsidR="002554A7">
        <w:rPr>
          <w:rFonts w:eastAsia="Calibri"/>
        </w:rPr>
        <w:t>-</w:t>
      </w:r>
      <w:r w:rsidRPr="003907CE">
        <w:rPr>
          <w:rFonts w:eastAsia="Calibri"/>
        </w:rPr>
        <w:t>out period</w:t>
      </w:r>
      <w:r w:rsidR="00E22641">
        <w:rPr>
          <w:rFonts w:eastAsia="Calibri"/>
        </w:rPr>
        <w:t xml:space="preserve"> </w:t>
      </w:r>
      <w:r w:rsidR="00E22641" w:rsidRPr="00E22641">
        <w:rPr>
          <w:rFonts w:eastAsia="Calibri"/>
        </w:rPr>
        <w:t>(new knowledge reduces the adverse effect of the continuous depreciation of past knowledge)</w:t>
      </w:r>
      <w:r w:rsidR="00F80FAF">
        <w:rPr>
          <w:rFonts w:eastAsia="Calibri"/>
        </w:rPr>
        <w:t xml:space="preserve"> </w:t>
      </w:r>
      <w:r w:rsidRPr="003907CE">
        <w:rPr>
          <w:rFonts w:eastAsia="Calibri"/>
        </w:rPr>
        <w:t xml:space="preserve">and to an </w:t>
      </w:r>
      <w:r w:rsidRPr="003907CE">
        <w:rPr>
          <w:rFonts w:eastAsia="Calibri"/>
          <w:i/>
          <w:iCs/>
        </w:rPr>
        <w:t xml:space="preserve">increase </w:t>
      </w:r>
      <w:r w:rsidR="002F37C0">
        <w:rPr>
          <w:rFonts w:eastAsia="Calibri"/>
        </w:rPr>
        <w:t xml:space="preserve">in the rate at which performance increases </w:t>
      </w:r>
      <w:r w:rsidRPr="003907CE">
        <w:rPr>
          <w:rFonts w:eastAsia="Calibri"/>
        </w:rPr>
        <w:t xml:space="preserve">in the later stages. </w:t>
      </w:r>
      <w:r w:rsidR="00A255F6" w:rsidRPr="00A255F6">
        <w:rPr>
          <w:rFonts w:eastAsia="Calibri"/>
        </w:rPr>
        <w:t xml:space="preserve">This will result in a U-shaped- relationship as illustrated in </w:t>
      </w:r>
      <w:r w:rsidR="00834083">
        <w:rPr>
          <w:rFonts w:eastAsia="Calibri"/>
        </w:rPr>
        <w:t>F</w:t>
      </w:r>
      <w:r w:rsidR="00A255F6" w:rsidRPr="00A255F6">
        <w:rPr>
          <w:rFonts w:eastAsia="Calibri"/>
        </w:rPr>
        <w:t>igure 3.</w:t>
      </w:r>
      <w:r w:rsidRPr="003907CE">
        <w:rPr>
          <w:rFonts w:eastAsia="Calibri"/>
        </w:rPr>
        <w:t xml:space="preserve"> Hence:</w:t>
      </w:r>
    </w:p>
    <w:p w14:paraId="25A8C251" w14:textId="10690BA4" w:rsidR="003907CE" w:rsidRDefault="003907CE" w:rsidP="003907CE">
      <w:pPr>
        <w:spacing w:line="480" w:lineRule="auto"/>
        <w:ind w:firstLine="284"/>
        <w:rPr>
          <w:rFonts w:eastAsia="Calibri"/>
          <w:i/>
          <w:iCs/>
        </w:rPr>
      </w:pPr>
      <w:r w:rsidRPr="003907CE">
        <w:rPr>
          <w:rFonts w:eastAsia="Calibri"/>
          <w:i/>
          <w:iCs/>
        </w:rPr>
        <w:t>Hypothesis 3:</w:t>
      </w:r>
      <w:r w:rsidRPr="003907CE">
        <w:rPr>
          <w:rFonts w:eastAsia="Calibri"/>
        </w:rPr>
        <w:t xml:space="preserve"> </w:t>
      </w:r>
      <w:r w:rsidR="00D46AD2" w:rsidRPr="00FF0A20">
        <w:rPr>
          <w:i/>
          <w:iCs/>
        </w:rPr>
        <w:t xml:space="preserve">There is </w:t>
      </w:r>
      <w:r w:rsidR="00D46AD2">
        <w:rPr>
          <w:rFonts w:eastAsia="Calibri"/>
          <w:i/>
          <w:iCs/>
        </w:rPr>
        <w:t>a</w:t>
      </w:r>
      <w:r w:rsidRPr="003907CE">
        <w:rPr>
          <w:rFonts w:eastAsia="Calibri"/>
          <w:i/>
          <w:iCs/>
        </w:rPr>
        <w:t xml:space="preserve"> U-shaped relationship between</w:t>
      </w:r>
      <w:r w:rsidRPr="003907CE">
        <w:rPr>
          <w:rFonts w:eastAsia="Calibri"/>
        </w:rPr>
        <w:t xml:space="preserve"> </w:t>
      </w:r>
      <w:r w:rsidRPr="003907CE">
        <w:rPr>
          <w:rFonts w:eastAsia="Calibri"/>
          <w:i/>
          <w:iCs/>
        </w:rPr>
        <w:t xml:space="preserve">the exporting time-out period and the firm’s </w:t>
      </w:r>
      <w:r w:rsidR="007B7D7C">
        <w:rPr>
          <w:rFonts w:eastAsia="Calibri"/>
          <w:i/>
          <w:iCs/>
        </w:rPr>
        <w:t>re-</w:t>
      </w:r>
      <w:r w:rsidRPr="003907CE">
        <w:rPr>
          <w:rFonts w:eastAsia="Calibri"/>
          <w:i/>
          <w:iCs/>
        </w:rPr>
        <w:t>entry export performance.</w:t>
      </w:r>
    </w:p>
    <w:p w14:paraId="1668D8DD" w14:textId="77777777" w:rsidR="00F40958" w:rsidRPr="003907CE" w:rsidRDefault="00F40958" w:rsidP="003907CE">
      <w:pPr>
        <w:spacing w:line="480" w:lineRule="auto"/>
        <w:ind w:firstLine="284"/>
        <w:rPr>
          <w:rFonts w:eastAsia="Calibri"/>
          <w:i/>
          <w:iCs/>
        </w:rPr>
      </w:pPr>
    </w:p>
    <w:bookmarkEnd w:id="18"/>
    <w:p w14:paraId="38C2FF54" w14:textId="0168076D" w:rsidR="00340869" w:rsidRPr="00C06714" w:rsidRDefault="008D79CA" w:rsidP="00BD48A7">
      <w:pPr>
        <w:spacing w:line="480" w:lineRule="auto"/>
        <w:rPr>
          <w:i/>
          <w:iCs/>
        </w:rPr>
      </w:pPr>
      <w:r w:rsidRPr="00B67019">
        <w:rPr>
          <w:i/>
        </w:rPr>
        <w:t xml:space="preserve">2.5 </w:t>
      </w:r>
      <w:r w:rsidR="00A02E2A" w:rsidRPr="00B67019">
        <w:rPr>
          <w:i/>
        </w:rPr>
        <w:t xml:space="preserve">The moderating effect of collaboration on the </w:t>
      </w:r>
      <w:r w:rsidR="00BD48A7" w:rsidRPr="00B67019">
        <w:rPr>
          <w:i/>
        </w:rPr>
        <w:t>relationship between</w:t>
      </w:r>
      <w:r w:rsidR="00A02E2A" w:rsidRPr="00B67019">
        <w:rPr>
          <w:i/>
          <w:iCs/>
        </w:rPr>
        <w:t xml:space="preserve"> exporting time-out period </w:t>
      </w:r>
      <w:r w:rsidR="00BD48A7" w:rsidRPr="00B67019">
        <w:rPr>
          <w:i/>
          <w:iCs/>
        </w:rPr>
        <w:t>and</w:t>
      </w:r>
      <w:r w:rsidR="00A02E2A" w:rsidRPr="00B67019">
        <w:rPr>
          <w:i/>
          <w:iCs/>
        </w:rPr>
        <w:t xml:space="preserve"> re-entry export performance</w:t>
      </w:r>
    </w:p>
    <w:p w14:paraId="40DD192B" w14:textId="35860116" w:rsidR="00EA79B6" w:rsidRDefault="00E9004B">
      <w:pPr>
        <w:spacing w:line="480" w:lineRule="auto"/>
        <w:ind w:firstLine="284"/>
      </w:pPr>
      <w:r>
        <w:t xml:space="preserve">We </w:t>
      </w:r>
      <w:r w:rsidR="0038157B">
        <w:t>further hypothesize</w:t>
      </w:r>
      <w:r>
        <w:t xml:space="preserve"> that c</w:t>
      </w:r>
      <w:r w:rsidR="00421A60">
        <w:t xml:space="preserve">ollaboration with external partners </w:t>
      </w:r>
      <w:r>
        <w:t xml:space="preserve">during the time-out period </w:t>
      </w:r>
      <w:r w:rsidR="00421A60">
        <w:t xml:space="preserve">can </w:t>
      </w:r>
      <w:r>
        <w:t xml:space="preserve">affect </w:t>
      </w:r>
      <w:r w:rsidR="0038157B">
        <w:t xml:space="preserve">the two </w:t>
      </w:r>
      <w:r>
        <w:t xml:space="preserve">latent mechanisms discussed </w:t>
      </w:r>
      <w:r w:rsidR="00D86DE2">
        <w:t xml:space="preserve">in </w:t>
      </w:r>
      <w:r w:rsidR="0038157B">
        <w:t>H</w:t>
      </w:r>
      <w:r w:rsidR="00D86DE2">
        <w:t>ypothesis 3</w:t>
      </w:r>
      <w:r w:rsidR="00C13126">
        <w:t>. As</w:t>
      </w:r>
      <w:r w:rsidR="00D24781">
        <w:t xml:space="preserve"> a result</w:t>
      </w:r>
      <w:r w:rsidR="00C13126">
        <w:t>, it</w:t>
      </w:r>
      <w:r w:rsidR="00D24781">
        <w:t xml:space="preserve"> moderate</w:t>
      </w:r>
      <w:r w:rsidR="00C13126">
        <w:t>s</w:t>
      </w:r>
      <w:r w:rsidR="00D24781">
        <w:t xml:space="preserve"> the </w:t>
      </w:r>
      <w:r w:rsidR="00D24781" w:rsidRPr="00D24781">
        <w:t xml:space="preserve">relationship between </w:t>
      </w:r>
      <w:r w:rsidR="00B76579">
        <w:t xml:space="preserve">the </w:t>
      </w:r>
      <w:r w:rsidR="00D24781" w:rsidRPr="00D24781">
        <w:t>time-out period and re-entry export performance</w:t>
      </w:r>
      <w:r>
        <w:t xml:space="preserve">. </w:t>
      </w:r>
      <w:r w:rsidR="00C13126">
        <w:t xml:space="preserve">Our logic is driven by two overarching premises. </w:t>
      </w:r>
      <w:r>
        <w:t xml:space="preserve">First, collaboration can </w:t>
      </w:r>
      <w:r w:rsidRPr="00BE5436">
        <w:rPr>
          <w:i/>
          <w:iCs/>
        </w:rPr>
        <w:t xml:space="preserve">reduce the </w:t>
      </w:r>
      <w:r w:rsidR="008C257F" w:rsidRPr="00BE5436">
        <w:rPr>
          <w:i/>
          <w:iCs/>
        </w:rPr>
        <w:t>pace</w:t>
      </w:r>
      <w:r w:rsidR="004F7570">
        <w:t xml:space="preserve"> </w:t>
      </w:r>
      <w:r>
        <w:t xml:space="preserve">at which </w:t>
      </w:r>
      <w:r w:rsidR="00934C44">
        <w:t xml:space="preserve">firms’ </w:t>
      </w:r>
      <w:r w:rsidR="00D86DE2">
        <w:t>export</w:t>
      </w:r>
      <w:r w:rsidR="00B76579">
        <w:t>-</w:t>
      </w:r>
      <w:r w:rsidR="00D86DE2">
        <w:t xml:space="preserve">related experiential knowledge depreciates </w:t>
      </w:r>
      <w:r w:rsidR="00C13126">
        <w:t xml:space="preserve">over </w:t>
      </w:r>
      <w:r w:rsidRPr="00E9004B">
        <w:t xml:space="preserve">the </w:t>
      </w:r>
      <w:r w:rsidR="009B73EF">
        <w:t>time-out</w:t>
      </w:r>
      <w:r w:rsidRPr="00E9004B">
        <w:t xml:space="preserve"> period</w:t>
      </w:r>
      <w:r w:rsidR="00407EA8">
        <w:t xml:space="preserve"> </w:t>
      </w:r>
      <w:r w:rsidRPr="00E9004B">
        <w:t>(</w:t>
      </w:r>
      <w:r w:rsidR="00C13126">
        <w:t>F</w:t>
      </w:r>
      <w:r w:rsidRPr="00E9004B">
        <w:t xml:space="preserve">igure </w:t>
      </w:r>
      <w:r>
        <w:t>4</w:t>
      </w:r>
      <w:r w:rsidRPr="00E9004B">
        <w:t>a)</w:t>
      </w:r>
      <w:r>
        <w:t xml:space="preserve">. Second, </w:t>
      </w:r>
      <w:r w:rsidR="002D5367">
        <w:t>it</w:t>
      </w:r>
      <w:r>
        <w:t xml:space="preserve"> can </w:t>
      </w:r>
      <w:r w:rsidR="00E2376B" w:rsidRPr="00BE5436">
        <w:rPr>
          <w:i/>
          <w:iCs/>
        </w:rPr>
        <w:t>improve</w:t>
      </w:r>
      <w:r w:rsidRPr="00BE5436">
        <w:rPr>
          <w:i/>
          <w:iCs/>
        </w:rPr>
        <w:t xml:space="preserve"> </w:t>
      </w:r>
      <w:r w:rsidR="0016000A">
        <w:rPr>
          <w:i/>
          <w:iCs/>
        </w:rPr>
        <w:t xml:space="preserve">the </w:t>
      </w:r>
      <w:r w:rsidR="003F3FBB">
        <w:rPr>
          <w:i/>
          <w:iCs/>
        </w:rPr>
        <w:t>rate</w:t>
      </w:r>
      <w:r w:rsidR="00263BF3">
        <w:t xml:space="preserve"> </w:t>
      </w:r>
      <w:r>
        <w:t xml:space="preserve">at which </w:t>
      </w:r>
      <w:r w:rsidR="005C69C5">
        <w:t xml:space="preserve">firms </w:t>
      </w:r>
      <w:r w:rsidRPr="00E9004B">
        <w:t xml:space="preserve">learn new knowledge </w:t>
      </w:r>
      <w:r w:rsidR="00025D6F">
        <w:t>at the time of re-entry</w:t>
      </w:r>
      <w:r w:rsidRPr="00E9004B">
        <w:t xml:space="preserve"> </w:t>
      </w:r>
      <w:r>
        <w:t>(</w:t>
      </w:r>
      <w:r w:rsidR="002503CB">
        <w:t>F</w:t>
      </w:r>
      <w:r>
        <w:t xml:space="preserve">igure 4b). </w:t>
      </w:r>
      <w:r w:rsidR="00D24781">
        <w:lastRenderedPageBreak/>
        <w:t xml:space="preserve">Therefore, collaboration </w:t>
      </w:r>
      <w:r w:rsidR="00BB3865">
        <w:t xml:space="preserve">will </w:t>
      </w:r>
      <w:r w:rsidR="00D24781">
        <w:t xml:space="preserve">shift the </w:t>
      </w:r>
      <w:r w:rsidR="00BB3865">
        <w:t>U</w:t>
      </w:r>
      <w:r w:rsidR="00D24781">
        <w:t>-curve upward,</w:t>
      </w:r>
      <w:r w:rsidR="00FF4913">
        <w:t xml:space="preserve"> </w:t>
      </w:r>
      <w:r w:rsidR="00BB3865">
        <w:t xml:space="preserve">and </w:t>
      </w:r>
      <w:r w:rsidR="00D24781">
        <w:t xml:space="preserve">the shift </w:t>
      </w:r>
      <w:r w:rsidR="00BB3865">
        <w:t xml:space="preserve">will </w:t>
      </w:r>
      <w:r w:rsidR="00D24781">
        <w:t xml:space="preserve">progressively increase as the </w:t>
      </w:r>
      <w:r w:rsidR="009B73EF">
        <w:t>time-out</w:t>
      </w:r>
      <w:r w:rsidR="00D24781">
        <w:t xml:space="preserve"> period </w:t>
      </w:r>
      <w:r w:rsidR="00B83D58">
        <w:t xml:space="preserve">lapses </w:t>
      </w:r>
      <w:r w:rsidR="00266EA3">
        <w:t>(</w:t>
      </w:r>
      <w:r w:rsidR="007314CA">
        <w:t>F</w:t>
      </w:r>
      <w:r w:rsidR="00266EA3">
        <w:t>igure 4c)</w:t>
      </w:r>
      <w:r w:rsidR="00D24781">
        <w:t xml:space="preserve">. </w:t>
      </w:r>
    </w:p>
    <w:p w14:paraId="68A731C6" w14:textId="5D061065" w:rsidR="00EA79B6" w:rsidRDefault="00EA79B6" w:rsidP="000810EE">
      <w:pPr>
        <w:spacing w:line="480" w:lineRule="auto"/>
        <w:ind w:firstLine="284"/>
        <w:jc w:val="center"/>
      </w:pPr>
      <w:bookmarkStart w:id="20" w:name="_Hlk49688879"/>
      <w:r w:rsidRPr="00EA79B6">
        <w:t xml:space="preserve">** Insert Figure </w:t>
      </w:r>
      <w:r>
        <w:t>4</w:t>
      </w:r>
      <w:r w:rsidRPr="00EA79B6">
        <w:t xml:space="preserve"> here **</w:t>
      </w:r>
      <w:bookmarkEnd w:id="20"/>
    </w:p>
    <w:p w14:paraId="22114885" w14:textId="0E4321A0" w:rsidR="00C74EA6" w:rsidRPr="00C74EA6" w:rsidRDefault="00CF0E75" w:rsidP="00C74EA6">
      <w:pPr>
        <w:spacing w:line="480" w:lineRule="auto"/>
        <w:ind w:firstLine="284"/>
      </w:pPr>
      <w:r>
        <w:t>Foreign c</w:t>
      </w:r>
      <w:r w:rsidR="00695055" w:rsidRPr="005D1BBA">
        <w:t xml:space="preserve">ollaborations </w:t>
      </w:r>
      <w:r w:rsidR="00695055">
        <w:t>can be</w:t>
      </w:r>
      <w:r w:rsidR="0055090D">
        <w:t xml:space="preserve"> </w:t>
      </w:r>
      <w:r w:rsidR="00695055">
        <w:t>beneficial when firms</w:t>
      </w:r>
      <w:r w:rsidR="000518C6">
        <w:t>’ knowledge</w:t>
      </w:r>
      <w:r w:rsidR="00695055">
        <w:t xml:space="preserve"> has started to depreciate</w:t>
      </w:r>
      <w:r w:rsidR="00622AAB">
        <w:t xml:space="preserve">, </w:t>
      </w:r>
      <w:r w:rsidR="00695055">
        <w:t>or</w:t>
      </w:r>
      <w:r w:rsidR="00ED53CF">
        <w:t xml:space="preserve"> </w:t>
      </w:r>
      <w:r w:rsidR="00A017FF">
        <w:t xml:space="preserve">when </w:t>
      </w:r>
      <w:r w:rsidR="009C2730">
        <w:t xml:space="preserve">a significant amount is </w:t>
      </w:r>
      <w:r w:rsidR="00351B55">
        <w:t>lost</w:t>
      </w:r>
      <w:r w:rsidR="00695055">
        <w:t xml:space="preserve">. </w:t>
      </w:r>
      <w:r w:rsidR="00A965BB">
        <w:t xml:space="preserve">As </w:t>
      </w:r>
      <w:r w:rsidR="00124BE0">
        <w:t xml:space="preserve">knowledge </w:t>
      </w:r>
      <w:r w:rsidR="007C5F0B">
        <w:t>depreciates,</w:t>
      </w:r>
      <w:r w:rsidR="00124BE0">
        <w:t xml:space="preserve"> </w:t>
      </w:r>
      <w:r w:rsidR="00A858D9">
        <w:t xml:space="preserve">firms </w:t>
      </w:r>
      <w:r w:rsidR="00AC226D">
        <w:t xml:space="preserve">develop strategies </w:t>
      </w:r>
      <w:r w:rsidR="00A22D22">
        <w:t xml:space="preserve">by </w:t>
      </w:r>
      <w:r w:rsidR="00B67182">
        <w:t xml:space="preserve">using </w:t>
      </w:r>
      <w:r w:rsidR="006659D6">
        <w:t>less valuable</w:t>
      </w:r>
      <w:r w:rsidR="00F13B71">
        <w:t xml:space="preserve"> </w:t>
      </w:r>
      <w:r w:rsidR="00695055" w:rsidRPr="00E01077">
        <w:t xml:space="preserve">knowledge </w:t>
      </w:r>
      <w:r w:rsidR="00AF0D6B">
        <w:t>(</w:t>
      </w:r>
      <w:r w:rsidR="00B67182">
        <w:t xml:space="preserve">which may </w:t>
      </w:r>
      <w:r w:rsidR="002C7340">
        <w:t xml:space="preserve">also </w:t>
      </w:r>
      <w:r w:rsidR="00B67182">
        <w:t xml:space="preserve">be less relevant </w:t>
      </w:r>
      <w:r w:rsidR="002C7340">
        <w:t>due to</w:t>
      </w:r>
      <w:r w:rsidR="00695055">
        <w:t xml:space="preserve"> change</w:t>
      </w:r>
      <w:r w:rsidR="00B67182">
        <w:t xml:space="preserve">s in </w:t>
      </w:r>
      <w:r w:rsidR="00695055">
        <w:t>foreign market conditions</w:t>
      </w:r>
      <w:r w:rsidR="00AF0D6B">
        <w:t>)</w:t>
      </w:r>
      <w:r w:rsidR="00B67182">
        <w:t>.</w:t>
      </w:r>
      <w:r w:rsidR="003021DF">
        <w:t xml:space="preserve"> </w:t>
      </w:r>
      <w:r w:rsidR="00B67182">
        <w:t xml:space="preserve">This in turn </w:t>
      </w:r>
      <w:r w:rsidR="003021DF">
        <w:t>results in lower levels of performance</w:t>
      </w:r>
      <w:r w:rsidR="002053B6">
        <w:t xml:space="preserve"> </w:t>
      </w:r>
      <w:r w:rsidR="00695055">
        <w:t>(</w:t>
      </w:r>
      <w:r w:rsidR="000738F5">
        <w:t>Ozkan, 2020</w:t>
      </w:r>
      <w:r w:rsidR="00695055">
        <w:t xml:space="preserve">; Surdu </w:t>
      </w:r>
      <w:r w:rsidR="004220A1">
        <w:t>&amp;</w:t>
      </w:r>
      <w:r w:rsidR="00695055">
        <w:t xml:space="preserve"> Narula, 202</w:t>
      </w:r>
      <w:r w:rsidR="00D54A69">
        <w:t>1</w:t>
      </w:r>
      <w:r w:rsidR="00695055">
        <w:t xml:space="preserve">). </w:t>
      </w:r>
      <w:r w:rsidR="00421A60">
        <w:t xml:space="preserve">Foreign collaborations assist in </w:t>
      </w:r>
      <w:r w:rsidR="00285BFD">
        <w:t xml:space="preserve">reducing the </w:t>
      </w:r>
      <w:r w:rsidR="005B72CC">
        <w:t>influence</w:t>
      </w:r>
      <w:r w:rsidR="00285BFD">
        <w:t xml:space="preserve"> of </w:t>
      </w:r>
      <w:r w:rsidR="00AE59D1">
        <w:t>th</w:t>
      </w:r>
      <w:r w:rsidR="00386CE4">
        <w:t>ose</w:t>
      </w:r>
      <w:r w:rsidR="00804988">
        <w:t xml:space="preserve"> issue</w:t>
      </w:r>
      <w:r w:rsidR="00386CE4">
        <w:t>s</w:t>
      </w:r>
      <w:r w:rsidR="00421A60">
        <w:t xml:space="preserve"> </w:t>
      </w:r>
      <w:r w:rsidR="006266EE">
        <w:t xml:space="preserve">by </w:t>
      </w:r>
      <w:r w:rsidR="006266EE" w:rsidRPr="00BE5436">
        <w:rPr>
          <w:i/>
          <w:iCs/>
        </w:rPr>
        <w:t>adding</w:t>
      </w:r>
      <w:r w:rsidR="006266EE">
        <w:t xml:space="preserve"> to firms</w:t>
      </w:r>
      <w:r w:rsidR="000518C6">
        <w:t>’</w:t>
      </w:r>
      <w:r w:rsidR="006266EE">
        <w:t xml:space="preserve"> market</w:t>
      </w:r>
      <w:r w:rsidR="00B76579">
        <w:t>-</w:t>
      </w:r>
      <w:r w:rsidR="006266EE">
        <w:t>specific and general internationalization knowledge</w:t>
      </w:r>
      <w:r w:rsidR="002E2C4F">
        <w:t>,</w:t>
      </w:r>
      <w:r w:rsidR="0063005D">
        <w:t xml:space="preserve"> </w:t>
      </w:r>
      <w:r w:rsidR="002E2C4F">
        <w:t>thus</w:t>
      </w:r>
      <w:r w:rsidR="0063005D">
        <w:t xml:space="preserve"> reducing their </w:t>
      </w:r>
      <w:r w:rsidR="005F2E30">
        <w:t>rate of atrophy</w:t>
      </w:r>
      <w:r w:rsidR="006266EE">
        <w:t>.</w:t>
      </w:r>
      <w:r w:rsidR="00C64A0E" w:rsidRPr="00C64A0E">
        <w:t xml:space="preserve"> </w:t>
      </w:r>
      <w:r w:rsidR="001D491A">
        <w:t>For instance,</w:t>
      </w:r>
      <w:r w:rsidR="0073729F">
        <w:t xml:space="preserve"> collaborations</w:t>
      </w:r>
      <w:r w:rsidR="00421A60">
        <w:t xml:space="preserve"> </w:t>
      </w:r>
      <w:r w:rsidR="00BB3865">
        <w:t xml:space="preserve">provide </w:t>
      </w:r>
      <w:r w:rsidR="00B3490C">
        <w:t xml:space="preserve">information </w:t>
      </w:r>
      <w:r w:rsidR="0059503F">
        <w:t>regarding</w:t>
      </w:r>
      <w:r w:rsidR="00B90EA9">
        <w:t xml:space="preserve"> </w:t>
      </w:r>
      <w:r w:rsidR="0016198B">
        <w:t xml:space="preserve">the </w:t>
      </w:r>
      <w:r w:rsidR="00B90EA9">
        <w:t>market</w:t>
      </w:r>
      <w:r w:rsidR="001462E2">
        <w:t xml:space="preserve"> and</w:t>
      </w:r>
      <w:r w:rsidR="008625EC">
        <w:t xml:space="preserve"> </w:t>
      </w:r>
      <w:r w:rsidR="00B90EA9">
        <w:t>institutional</w:t>
      </w:r>
      <w:r w:rsidR="00ED44D8">
        <w:t xml:space="preserve"> environment</w:t>
      </w:r>
      <w:r w:rsidR="00B90EA9">
        <w:t xml:space="preserve"> </w:t>
      </w:r>
      <w:r w:rsidR="0016198B">
        <w:t xml:space="preserve">that exists in </w:t>
      </w:r>
      <w:r w:rsidR="0016198B" w:rsidRPr="0016198B">
        <w:t xml:space="preserve">a </w:t>
      </w:r>
      <w:r w:rsidR="0016198B">
        <w:t>specific</w:t>
      </w:r>
      <w:r w:rsidR="0016198B" w:rsidRPr="0016198B">
        <w:t xml:space="preserve"> country</w:t>
      </w:r>
      <w:r w:rsidR="0016198B">
        <w:t xml:space="preserve"> that</w:t>
      </w:r>
      <w:r w:rsidR="00211E8F">
        <w:t xml:space="preserve"> </w:t>
      </w:r>
      <w:r w:rsidR="00421A60" w:rsidRPr="005D1BBA">
        <w:t>allow</w:t>
      </w:r>
      <w:r w:rsidR="00211E8F">
        <w:t>s</w:t>
      </w:r>
      <w:r w:rsidR="00421A60" w:rsidRPr="005D1BBA">
        <w:t xml:space="preserve"> </w:t>
      </w:r>
      <w:r w:rsidR="001462E2">
        <w:t>managers</w:t>
      </w:r>
      <w:r w:rsidR="001462E2" w:rsidRPr="005D1BBA">
        <w:t xml:space="preserve"> </w:t>
      </w:r>
      <w:r w:rsidR="00421A60" w:rsidRPr="005D1BBA">
        <w:t xml:space="preserve">to </w:t>
      </w:r>
      <w:r w:rsidR="00BB7C79">
        <w:t>evaluate more accurately</w:t>
      </w:r>
      <w:r w:rsidR="00421A60" w:rsidRPr="005D1BBA">
        <w:t xml:space="preserve"> the</w:t>
      </w:r>
      <w:r w:rsidR="0016198B">
        <w:t xml:space="preserve"> relevant</w:t>
      </w:r>
      <w:r w:rsidR="00421A60" w:rsidRPr="005D1BBA">
        <w:t xml:space="preserve"> </w:t>
      </w:r>
      <w:r w:rsidR="00421A60" w:rsidRPr="00DE46D3">
        <w:t xml:space="preserve">socioeconomic, </w:t>
      </w:r>
      <w:r w:rsidR="00421A60" w:rsidRPr="005D1BBA">
        <w:t>competitive</w:t>
      </w:r>
      <w:r w:rsidR="00942063">
        <w:t>,</w:t>
      </w:r>
      <w:r w:rsidR="00421A60" w:rsidRPr="00DE46D3">
        <w:t xml:space="preserve"> </w:t>
      </w:r>
      <w:r w:rsidR="00421A60" w:rsidRPr="005D1BBA">
        <w:t>technological</w:t>
      </w:r>
      <w:r w:rsidR="00CF2008">
        <w:t xml:space="preserve"> </w:t>
      </w:r>
      <w:r w:rsidR="00942063">
        <w:t xml:space="preserve">but also </w:t>
      </w:r>
      <w:r w:rsidR="00CF2008">
        <w:t>legal</w:t>
      </w:r>
      <w:r w:rsidR="00BA6838">
        <w:t xml:space="preserve"> </w:t>
      </w:r>
      <w:r w:rsidR="001D491A" w:rsidRPr="00DE46D3">
        <w:t>conditions</w:t>
      </w:r>
      <w:r w:rsidR="00BA6838">
        <w:t xml:space="preserve">. This </w:t>
      </w:r>
      <w:r w:rsidR="002E7E17">
        <w:t>enables</w:t>
      </w:r>
      <w:r w:rsidR="00BA6838">
        <w:t xml:space="preserve"> </w:t>
      </w:r>
      <w:r w:rsidR="00BB7C79">
        <w:t xml:space="preserve">the adoption of </w:t>
      </w:r>
      <w:r w:rsidR="00376A97" w:rsidRPr="00376A97">
        <w:t xml:space="preserve">strategies </w:t>
      </w:r>
      <w:r w:rsidR="00CD735D">
        <w:t xml:space="preserve">that are </w:t>
      </w:r>
      <w:r w:rsidR="00376A97" w:rsidRPr="00376A97">
        <w:t xml:space="preserve">based on up-to-date </w:t>
      </w:r>
      <w:r w:rsidR="006D14C4" w:rsidRPr="00376A97">
        <w:t>knowledge,</w:t>
      </w:r>
      <w:r w:rsidR="00376A97" w:rsidRPr="00376A97">
        <w:t xml:space="preserve"> </w:t>
      </w:r>
      <w:r w:rsidR="00CD735D">
        <w:t>and which</w:t>
      </w:r>
      <w:r w:rsidR="00F5553E" w:rsidRPr="00376A97">
        <w:t xml:space="preserve"> </w:t>
      </w:r>
      <w:r w:rsidR="00E12FF5">
        <w:t xml:space="preserve">are also </w:t>
      </w:r>
      <w:r w:rsidR="005652D4">
        <w:t xml:space="preserve">in line </w:t>
      </w:r>
      <w:r w:rsidR="00E12FF5">
        <w:t>with the changed</w:t>
      </w:r>
      <w:r w:rsidR="00E12FF5" w:rsidRPr="00376A97">
        <w:t xml:space="preserve"> </w:t>
      </w:r>
      <w:r w:rsidR="00376A97" w:rsidRPr="00376A97">
        <w:t>market conditions</w:t>
      </w:r>
      <w:r w:rsidR="00D87917">
        <w:t>. It thus</w:t>
      </w:r>
      <w:r w:rsidR="00376A97">
        <w:t xml:space="preserve"> </w:t>
      </w:r>
      <w:r w:rsidR="00E71C62">
        <w:t xml:space="preserve">allows </w:t>
      </w:r>
      <w:r w:rsidR="00881965">
        <w:t xml:space="preserve">managers to respond </w:t>
      </w:r>
      <w:r w:rsidR="00200406">
        <w:t xml:space="preserve">more </w:t>
      </w:r>
      <w:r w:rsidR="00AB7C2E">
        <w:t>effectively</w:t>
      </w:r>
      <w:r w:rsidR="00421A60" w:rsidRPr="005D1BBA">
        <w:t xml:space="preserve"> to changes in </w:t>
      </w:r>
      <w:r w:rsidR="00421A60" w:rsidRPr="00892F60">
        <w:t>customers’ expectations and needs</w:t>
      </w:r>
      <w:r w:rsidR="00953EF9">
        <w:t>, which can lead to improved performance</w:t>
      </w:r>
      <w:r w:rsidR="00421A60" w:rsidRPr="005D1BBA">
        <w:t xml:space="preserve"> </w:t>
      </w:r>
      <w:r w:rsidR="00421A60" w:rsidRPr="0026371C">
        <w:t>(</w:t>
      </w:r>
      <w:r w:rsidR="00DA09FF" w:rsidRPr="0026371C">
        <w:t xml:space="preserve">Bohlmann et al., 2013; </w:t>
      </w:r>
      <w:r w:rsidR="00421A60" w:rsidRPr="0026371C">
        <w:t>Hsieh et</w:t>
      </w:r>
      <w:r w:rsidR="00421A60" w:rsidRPr="00285C7A">
        <w:t xml:space="preserve"> al., 2018; </w:t>
      </w:r>
      <w:r w:rsidR="006401DF">
        <w:t xml:space="preserve">Kafouros et al., 2018; </w:t>
      </w:r>
      <w:r w:rsidR="00421A60" w:rsidRPr="00285C7A">
        <w:t xml:space="preserve">Javalgi et al., 2011). </w:t>
      </w:r>
    </w:p>
    <w:p w14:paraId="5AE65453" w14:textId="0EA1FFD8" w:rsidR="008A13A7" w:rsidRDefault="008A13A7">
      <w:pPr>
        <w:spacing w:line="480" w:lineRule="auto"/>
        <w:ind w:firstLine="284"/>
      </w:pPr>
      <w:r w:rsidRPr="008A13A7">
        <w:t>Second,</w:t>
      </w:r>
      <w:r w:rsidR="00CE6FFF">
        <w:t xml:space="preserve"> </w:t>
      </w:r>
      <w:r w:rsidRPr="008A13A7">
        <w:t>the experience firm</w:t>
      </w:r>
      <w:r w:rsidR="00C9614E">
        <w:t>s</w:t>
      </w:r>
      <w:r w:rsidRPr="008A13A7">
        <w:t xml:space="preserve"> continue to have from managing ongoing international collaborations during the </w:t>
      </w:r>
      <w:r w:rsidR="009B73EF">
        <w:t>time-out</w:t>
      </w:r>
      <w:r w:rsidRPr="008A13A7">
        <w:t xml:space="preserve"> period can help</w:t>
      </w:r>
      <w:r w:rsidR="00AC4A11">
        <w:t xml:space="preserve"> to</w:t>
      </w:r>
      <w:r w:rsidRPr="008A13A7">
        <w:t xml:space="preserve"> slow the </w:t>
      </w:r>
      <w:r w:rsidR="00B57490">
        <w:t>depreciation</w:t>
      </w:r>
      <w:r w:rsidR="00B57490" w:rsidRPr="008A13A7">
        <w:t xml:space="preserve"> </w:t>
      </w:r>
      <w:r w:rsidRPr="008A13A7">
        <w:t>of general organizational routines associated with operating at a distance.</w:t>
      </w:r>
      <w:r w:rsidR="008E0401" w:rsidRPr="008E0401">
        <w:t xml:space="preserve"> </w:t>
      </w:r>
      <w:r w:rsidR="00D56899">
        <w:t>M</w:t>
      </w:r>
      <w:r w:rsidRPr="008A13A7">
        <w:t>aintaining and developing international networks help</w:t>
      </w:r>
      <w:r w:rsidR="001A121A">
        <w:t>s</w:t>
      </w:r>
      <w:r w:rsidRPr="008A13A7">
        <w:t xml:space="preserve"> to </w:t>
      </w:r>
      <w:r w:rsidR="007943FA">
        <w:t xml:space="preserve">add knowledge and hence </w:t>
      </w:r>
      <w:r w:rsidRPr="008A13A7">
        <w:t>delay the decline of embedded routines related to the general processes of operating in foreign countries</w:t>
      </w:r>
      <w:r w:rsidR="00D937E5">
        <w:t>.</w:t>
      </w:r>
      <w:r w:rsidR="00C9614E" w:rsidRPr="00C9614E">
        <w:t xml:space="preserve"> </w:t>
      </w:r>
      <w:r w:rsidR="00483E27">
        <w:t>Such routines</w:t>
      </w:r>
      <w:r w:rsidR="00E43925">
        <w:t xml:space="preserve"> </w:t>
      </w:r>
      <w:r w:rsidR="00C9614E">
        <w:t>allow</w:t>
      </w:r>
      <w:r w:rsidR="00E72E7B">
        <w:t xml:space="preserve"> firms to</w:t>
      </w:r>
      <w:r w:rsidR="00E43925">
        <w:t xml:space="preserve"> </w:t>
      </w:r>
      <w:r w:rsidR="009D0ADE">
        <w:t>deal with</w:t>
      </w:r>
      <w:r w:rsidR="00E72E7B">
        <w:t xml:space="preserve"> </w:t>
      </w:r>
      <w:r w:rsidR="00114432">
        <w:t>cross-</w:t>
      </w:r>
      <w:r w:rsidR="00E72E7B" w:rsidRPr="00114432">
        <w:t>country</w:t>
      </w:r>
      <w:r w:rsidR="009D0ADE" w:rsidRPr="00114432">
        <w:t xml:space="preserve"> </w:t>
      </w:r>
      <w:r w:rsidR="009D0ADE" w:rsidRPr="00AC4A11">
        <w:t>variations</w:t>
      </w:r>
      <w:r w:rsidR="009D0ADE" w:rsidRPr="00114432">
        <w:t xml:space="preserve"> in</w:t>
      </w:r>
      <w:r w:rsidR="00C315D7" w:rsidRPr="00114432">
        <w:t xml:space="preserve"> cultures</w:t>
      </w:r>
      <w:r w:rsidR="00C315D7" w:rsidRPr="00C315D7">
        <w:t>, institution</w:t>
      </w:r>
      <w:r w:rsidR="00114432">
        <w:t>s</w:t>
      </w:r>
      <w:r w:rsidR="00B76579">
        <w:t>,</w:t>
      </w:r>
      <w:r w:rsidR="00C315D7" w:rsidRPr="00C315D7">
        <w:t xml:space="preserve"> </w:t>
      </w:r>
      <w:r w:rsidR="00114432">
        <w:t>and</w:t>
      </w:r>
      <w:r w:rsidR="00C315D7" w:rsidRPr="00C315D7">
        <w:t xml:space="preserve"> business systems</w:t>
      </w:r>
      <w:r w:rsidR="00114432">
        <w:t>.</w:t>
      </w:r>
      <w:r w:rsidR="00043BC8">
        <w:t xml:space="preserve"> </w:t>
      </w:r>
      <w:r w:rsidR="00B02C0D">
        <w:t xml:space="preserve">These </w:t>
      </w:r>
      <w:r w:rsidR="00114432">
        <w:t>advantages</w:t>
      </w:r>
      <w:r w:rsidR="00114432" w:rsidRPr="00043BC8">
        <w:t xml:space="preserve"> </w:t>
      </w:r>
      <w:r w:rsidR="00043BC8" w:rsidRPr="00043BC8">
        <w:t xml:space="preserve">apply to </w:t>
      </w:r>
      <w:r w:rsidR="00114432">
        <w:t xml:space="preserve">various </w:t>
      </w:r>
      <w:r w:rsidR="00043BC8" w:rsidRPr="00043BC8">
        <w:t>internationalization activities</w:t>
      </w:r>
      <w:r w:rsidR="00114432">
        <w:t>,</w:t>
      </w:r>
      <w:r w:rsidR="00043BC8" w:rsidRPr="00043BC8">
        <w:t xml:space="preserve"> including exporting</w:t>
      </w:r>
      <w:r w:rsidR="00114432">
        <w:t xml:space="preserve">, and </w:t>
      </w:r>
      <w:r w:rsidR="00312428">
        <w:t>allow firms to</w:t>
      </w:r>
      <w:r w:rsidR="00FC07AC">
        <w:t xml:space="preserve"> develop</w:t>
      </w:r>
      <w:r w:rsidR="00BA62F6">
        <w:t xml:space="preserve"> </w:t>
      </w:r>
      <w:r w:rsidR="00FC07AC">
        <w:t>and</w:t>
      </w:r>
      <w:r w:rsidR="00D937E5" w:rsidRPr="00D937E5">
        <w:t xml:space="preserve"> transfer best strategies across markets.</w:t>
      </w:r>
    </w:p>
    <w:p w14:paraId="05B70716" w14:textId="228485BF" w:rsidR="005C669C" w:rsidRDefault="00860E32" w:rsidP="00B845E6">
      <w:pPr>
        <w:spacing w:line="480" w:lineRule="auto"/>
        <w:ind w:firstLine="284"/>
      </w:pPr>
      <w:r>
        <w:t xml:space="preserve">When </w:t>
      </w:r>
      <w:r w:rsidR="00CE1DDC">
        <w:t>pre-exit</w:t>
      </w:r>
      <w:r w:rsidR="00C23F96">
        <w:t xml:space="preserve"> </w:t>
      </w:r>
      <w:r w:rsidR="00CE1DDC">
        <w:t>expertise</w:t>
      </w:r>
      <w:r w:rsidR="00C23F96">
        <w:t xml:space="preserve"> has </w:t>
      </w:r>
      <w:r w:rsidR="00CE1DDC">
        <w:t xml:space="preserve">depreciated extensively </w:t>
      </w:r>
      <w:r w:rsidR="0080364E">
        <w:t xml:space="preserve">and </w:t>
      </w:r>
      <w:r w:rsidR="00B401C9">
        <w:t xml:space="preserve">many </w:t>
      </w:r>
      <w:r w:rsidR="00D4480E">
        <w:t>aspects of it</w:t>
      </w:r>
      <w:r w:rsidR="00EC092F">
        <w:t xml:space="preserve"> are mostly </w:t>
      </w:r>
      <w:r w:rsidR="007C3D62">
        <w:t>forgotten</w:t>
      </w:r>
      <w:r w:rsidR="00EC092F">
        <w:t>,</w:t>
      </w:r>
      <w:r w:rsidR="007C3D62">
        <w:t xml:space="preserve"> </w:t>
      </w:r>
      <w:r w:rsidR="00421A60">
        <w:t xml:space="preserve">foreign collaborations </w:t>
      </w:r>
      <w:bookmarkStart w:id="21" w:name="_Hlk99638718"/>
      <w:r w:rsidR="00421A60">
        <w:t xml:space="preserve">can increase the rate at which firms acquire </w:t>
      </w:r>
      <w:r w:rsidR="00013ED4">
        <w:t xml:space="preserve">new and </w:t>
      </w:r>
      <w:r w:rsidR="00421A60">
        <w:t>up</w:t>
      </w:r>
      <w:r w:rsidR="00B76579">
        <w:t>-</w:t>
      </w:r>
      <w:r w:rsidR="00421A60">
        <w:t>to</w:t>
      </w:r>
      <w:r w:rsidR="00B76579">
        <w:t>-</w:t>
      </w:r>
      <w:r w:rsidR="00421A60">
        <w:lastRenderedPageBreak/>
        <w:t xml:space="preserve">date </w:t>
      </w:r>
      <w:bookmarkEnd w:id="21"/>
      <w:r w:rsidR="00421A60">
        <w:t>skills</w:t>
      </w:r>
      <w:r w:rsidR="00233B41" w:rsidRPr="00233B41">
        <w:rPr>
          <w:rFonts w:eastAsia="Calibri"/>
        </w:rPr>
        <w:t xml:space="preserve"> </w:t>
      </w:r>
      <w:r w:rsidR="00233B41" w:rsidRPr="00233B41">
        <w:t>relat</w:t>
      </w:r>
      <w:r w:rsidR="00013ED4">
        <w:t>ed</w:t>
      </w:r>
      <w:r w:rsidR="00233B41" w:rsidRPr="00233B41">
        <w:t xml:space="preserve"> to both market-specific </w:t>
      </w:r>
      <w:r w:rsidR="00013ED4">
        <w:t xml:space="preserve">and general </w:t>
      </w:r>
      <w:r w:rsidR="00233B41" w:rsidRPr="00233B41">
        <w:t>knowledge</w:t>
      </w:r>
      <w:r w:rsidR="003F0A65">
        <w:t xml:space="preserve">, </w:t>
      </w:r>
      <w:r w:rsidR="007C3D62">
        <w:t>given that</w:t>
      </w:r>
      <w:r w:rsidR="003F0A65">
        <w:t xml:space="preserve"> </w:t>
      </w:r>
      <w:r w:rsidR="00D40CF7">
        <w:t>old routines have been</w:t>
      </w:r>
      <w:r w:rsidR="004E088E">
        <w:t xml:space="preserve"> largely</w:t>
      </w:r>
      <w:r w:rsidR="00D40CF7">
        <w:t xml:space="preserve"> </w:t>
      </w:r>
      <w:r w:rsidR="000E1711">
        <w:t>forgotten</w:t>
      </w:r>
      <w:r w:rsidR="00233B41" w:rsidRPr="00233B41">
        <w:t>.</w:t>
      </w:r>
      <w:r w:rsidR="00227E87">
        <w:t xml:space="preserve"> </w:t>
      </w:r>
      <w:r w:rsidR="00D40CF7">
        <w:t xml:space="preserve">For instance, </w:t>
      </w:r>
      <w:r w:rsidR="00483AA3" w:rsidRPr="00483AA3">
        <w:t>collaborations</w:t>
      </w:r>
      <w:r w:rsidR="00421A60">
        <w:t xml:space="preserve"> </w:t>
      </w:r>
      <w:r w:rsidR="007C3D62">
        <w:t xml:space="preserve">add </w:t>
      </w:r>
      <w:r w:rsidR="00421A60" w:rsidRPr="00F3748D">
        <w:t xml:space="preserve">hands-on </w:t>
      </w:r>
      <w:r w:rsidR="007D78DC">
        <w:t>experience about</w:t>
      </w:r>
      <w:r w:rsidR="00421A60" w:rsidRPr="00F3748D">
        <w:t xml:space="preserve"> regulations, business practices, as well as social and cultural norms </w:t>
      </w:r>
      <w:r w:rsidR="006E4EF6">
        <w:t xml:space="preserve">for </w:t>
      </w:r>
      <w:r w:rsidR="00421A60" w:rsidRPr="00F3748D">
        <w:t xml:space="preserve">foreign markets (Dau, 2018). Foreign partners can </w:t>
      </w:r>
      <w:r w:rsidR="00421A60">
        <w:t xml:space="preserve">also </w:t>
      </w:r>
      <w:r w:rsidR="00421A60" w:rsidRPr="00F3748D">
        <w:t xml:space="preserve">assist firms </w:t>
      </w:r>
      <w:r w:rsidR="00242291">
        <w:t>in</w:t>
      </w:r>
      <w:r w:rsidR="00242291" w:rsidRPr="00F3748D">
        <w:t xml:space="preserve"> </w:t>
      </w:r>
      <w:r w:rsidR="00421A60" w:rsidRPr="00F3748D">
        <w:t>refin</w:t>
      </w:r>
      <w:r w:rsidR="00242291">
        <w:t>ing</w:t>
      </w:r>
      <w:r w:rsidR="00421A60" w:rsidRPr="00F3748D">
        <w:t xml:space="preserve"> and adapt</w:t>
      </w:r>
      <w:r w:rsidR="005C669C">
        <w:t>ing</w:t>
      </w:r>
      <w:r w:rsidR="00421A60" w:rsidRPr="00F3748D">
        <w:t xml:space="preserve"> their international marketing strategy as well as the direction of firms’ product development </w:t>
      </w:r>
      <w:r w:rsidR="00B76579">
        <w:t>efforts</w:t>
      </w:r>
      <w:r w:rsidR="00421A60" w:rsidRPr="00F3748D">
        <w:t xml:space="preserve"> which allows for a better product</w:t>
      </w:r>
      <w:r w:rsidR="00B76579">
        <w:t>-</w:t>
      </w:r>
      <w:r w:rsidR="00421A60" w:rsidRPr="00F3748D">
        <w:t xml:space="preserve">market fit and improved market potential (Kafouros et al., 2020; Lawson et al., 2015). </w:t>
      </w:r>
    </w:p>
    <w:p w14:paraId="1F27216A" w14:textId="4739EB71" w:rsidR="00002681" w:rsidRDefault="00DF7F88" w:rsidP="00B845E6">
      <w:pPr>
        <w:spacing w:line="480" w:lineRule="auto"/>
        <w:ind w:firstLine="284"/>
      </w:pPr>
      <w:r>
        <w:t>Finally</w:t>
      </w:r>
      <w:r w:rsidR="008A37E7">
        <w:t>,</w:t>
      </w:r>
      <w:r w:rsidR="00626E1E">
        <w:t xml:space="preserve"> </w:t>
      </w:r>
      <w:r w:rsidR="005F0BD1">
        <w:t xml:space="preserve">firms </w:t>
      </w:r>
      <w:r w:rsidR="005F0BD1" w:rsidRPr="00DA65CC">
        <w:t xml:space="preserve">that engage in collaborations </w:t>
      </w:r>
      <w:r w:rsidR="003C5E1C">
        <w:t>during the time-out period</w:t>
      </w:r>
      <w:r w:rsidR="002041FD">
        <w:t xml:space="preserve"> accumulate</w:t>
      </w:r>
      <w:r w:rsidR="003C5E1C">
        <w:t xml:space="preserve"> </w:t>
      </w:r>
      <w:r w:rsidR="00A02CD3">
        <w:t>general internati</w:t>
      </w:r>
      <w:r w:rsidR="003B6EE1">
        <w:t xml:space="preserve">onalization </w:t>
      </w:r>
      <w:r w:rsidR="00A02CD3">
        <w:t>experience</w:t>
      </w:r>
      <w:r w:rsidR="00822742">
        <w:t xml:space="preserve"> and knowledge </w:t>
      </w:r>
      <w:r w:rsidR="008B0E9A" w:rsidRPr="008B0E9A">
        <w:t xml:space="preserve">that </w:t>
      </w:r>
      <w:r w:rsidR="00A102D4">
        <w:t>applies</w:t>
      </w:r>
      <w:r w:rsidR="008B0E9A" w:rsidRPr="008B0E9A">
        <w:t xml:space="preserve"> to </w:t>
      </w:r>
      <w:r w:rsidR="002041FD">
        <w:t>many</w:t>
      </w:r>
      <w:r w:rsidR="002041FD" w:rsidRPr="008B0E9A">
        <w:t xml:space="preserve"> </w:t>
      </w:r>
      <w:r w:rsidR="008B0E9A" w:rsidRPr="008B0E9A">
        <w:t>countr</w:t>
      </w:r>
      <w:r w:rsidR="002041FD">
        <w:t>ies</w:t>
      </w:r>
      <w:r w:rsidR="008B0E9A" w:rsidRPr="008B0E9A">
        <w:t xml:space="preserve"> and</w:t>
      </w:r>
      <w:r w:rsidR="008A37E7">
        <w:t xml:space="preserve"> </w:t>
      </w:r>
      <w:r w:rsidR="008B0E9A" w:rsidRPr="008B0E9A">
        <w:t>internationalization</w:t>
      </w:r>
      <w:r w:rsidR="00E07BB0">
        <w:t xml:space="preserve"> activit</w:t>
      </w:r>
      <w:r w:rsidR="002041FD">
        <w:t>ies</w:t>
      </w:r>
      <w:r w:rsidR="00626E1E">
        <w:t>.</w:t>
      </w:r>
      <w:r w:rsidR="004D0C08">
        <w:t xml:space="preserve"> </w:t>
      </w:r>
      <w:r w:rsidR="00B97AA0">
        <w:t xml:space="preserve">This knowledge </w:t>
      </w:r>
      <w:r w:rsidR="00B97AA0" w:rsidRPr="00B97AA0">
        <w:t>relate</w:t>
      </w:r>
      <w:r w:rsidR="00B97AA0">
        <w:t>s</w:t>
      </w:r>
      <w:r w:rsidR="00B97AA0" w:rsidRPr="00B97AA0">
        <w:t xml:space="preserve"> to the practicalities of managing various complications that arise due to differences</w:t>
      </w:r>
      <w:r w:rsidR="003F29A5">
        <w:t xml:space="preserve"> for</w:t>
      </w:r>
      <w:r w:rsidR="00A815CF">
        <w:t xml:space="preserve"> </w:t>
      </w:r>
      <w:r w:rsidR="002041FD">
        <w:t>instance</w:t>
      </w:r>
      <w:r w:rsidR="00B97AA0" w:rsidRPr="00B97AA0">
        <w:t xml:space="preserve"> in formal and informal institutions </w:t>
      </w:r>
      <w:r w:rsidR="00BB5943">
        <w:t>across countries</w:t>
      </w:r>
      <w:r w:rsidR="00B97AA0" w:rsidRPr="00B97AA0">
        <w:t xml:space="preserve">. </w:t>
      </w:r>
      <w:r w:rsidR="000D6D96">
        <w:t>When old</w:t>
      </w:r>
      <w:r w:rsidR="00FA661D">
        <w:t xml:space="preserve"> and</w:t>
      </w:r>
      <w:r w:rsidR="000D6D96">
        <w:t xml:space="preserve"> </w:t>
      </w:r>
      <w:r w:rsidR="00FA661D">
        <w:t xml:space="preserve">less relevant </w:t>
      </w:r>
      <w:r w:rsidR="000D6D96">
        <w:t>knowledge has been unlearned</w:t>
      </w:r>
      <w:r w:rsidR="00D26D57">
        <w:t>,</w:t>
      </w:r>
      <w:r w:rsidR="00B97AA0">
        <w:t xml:space="preserve"> </w:t>
      </w:r>
      <w:r w:rsidR="00FA661D">
        <w:t xml:space="preserve">the </w:t>
      </w:r>
      <w:r w:rsidR="00B97AA0">
        <w:t>new</w:t>
      </w:r>
      <w:r w:rsidR="00D26D57">
        <w:t>ly accessed</w:t>
      </w:r>
      <w:r w:rsidR="000D6D96">
        <w:t xml:space="preserve"> knowledge can be </w:t>
      </w:r>
      <w:r w:rsidR="008510EE">
        <w:t>assimilated at a faster rate</w:t>
      </w:r>
      <w:r w:rsidR="00FA661D">
        <w:t>, improving the firm’s</w:t>
      </w:r>
      <w:r w:rsidR="00D26D57">
        <w:t xml:space="preserve"> </w:t>
      </w:r>
      <w:r w:rsidR="00BF44C3">
        <w:t>strategic effectiveness</w:t>
      </w:r>
      <w:r w:rsidR="00B845E6">
        <w:t>. Hence</w:t>
      </w:r>
      <w:r w:rsidR="00421A60">
        <w:t>:</w:t>
      </w:r>
    </w:p>
    <w:p w14:paraId="1391BA46" w14:textId="2CE1B64E" w:rsidR="002E2343" w:rsidRDefault="002E2343" w:rsidP="002E2343">
      <w:pPr>
        <w:spacing w:line="480" w:lineRule="auto"/>
        <w:ind w:firstLine="284"/>
        <w:rPr>
          <w:i/>
          <w:iCs/>
        </w:rPr>
      </w:pPr>
      <w:r w:rsidRPr="002E2343">
        <w:rPr>
          <w:i/>
          <w:iCs/>
        </w:rPr>
        <w:t xml:space="preserve">Hypothesis </w:t>
      </w:r>
      <w:r w:rsidR="008D79CA">
        <w:rPr>
          <w:i/>
          <w:iCs/>
        </w:rPr>
        <w:t>4</w:t>
      </w:r>
      <w:r w:rsidRPr="002E2343">
        <w:rPr>
          <w:i/>
          <w:iCs/>
        </w:rPr>
        <w:t xml:space="preserve">: </w:t>
      </w:r>
      <w:r w:rsidR="00F95CDF">
        <w:rPr>
          <w:i/>
          <w:iCs/>
        </w:rPr>
        <w:t>C</w:t>
      </w:r>
      <w:r w:rsidRPr="002E2343">
        <w:rPr>
          <w:i/>
          <w:iCs/>
        </w:rPr>
        <w:t xml:space="preserve">ollaboration with foreign </w:t>
      </w:r>
      <w:r w:rsidR="000D354A">
        <w:rPr>
          <w:i/>
          <w:iCs/>
        </w:rPr>
        <w:t xml:space="preserve">partners </w:t>
      </w:r>
      <w:r w:rsidR="0080643A" w:rsidRPr="00227B4D">
        <w:rPr>
          <w:i/>
          <w:iCs/>
        </w:rPr>
        <w:t>enhance</w:t>
      </w:r>
      <w:r w:rsidR="00290114">
        <w:rPr>
          <w:i/>
          <w:iCs/>
        </w:rPr>
        <w:t>s the firm’s</w:t>
      </w:r>
      <w:r w:rsidR="0080643A" w:rsidRPr="00227B4D">
        <w:rPr>
          <w:i/>
          <w:iCs/>
        </w:rPr>
        <w:t xml:space="preserve"> </w:t>
      </w:r>
      <w:r w:rsidR="006A49FA">
        <w:rPr>
          <w:i/>
          <w:iCs/>
        </w:rPr>
        <w:t>re-</w:t>
      </w:r>
      <w:r w:rsidR="0080643A" w:rsidRPr="00227B4D">
        <w:rPr>
          <w:i/>
          <w:iCs/>
        </w:rPr>
        <w:t xml:space="preserve">entry export </w:t>
      </w:r>
      <w:r w:rsidR="0080643A" w:rsidRPr="008841FD">
        <w:t>performance</w:t>
      </w:r>
      <w:r w:rsidR="00A74B61">
        <w:rPr>
          <w:i/>
          <w:iCs/>
        </w:rPr>
        <w:t xml:space="preserve"> </w:t>
      </w:r>
      <w:r w:rsidR="00F95CDF">
        <w:rPr>
          <w:i/>
          <w:iCs/>
        </w:rPr>
        <w:t xml:space="preserve">by </w:t>
      </w:r>
      <w:r w:rsidR="000B4584">
        <w:rPr>
          <w:i/>
          <w:iCs/>
        </w:rPr>
        <w:t>weakening</w:t>
      </w:r>
      <w:r w:rsidR="000B4584" w:rsidRPr="00A74B61">
        <w:rPr>
          <w:i/>
          <w:iCs/>
        </w:rPr>
        <w:t xml:space="preserve"> </w:t>
      </w:r>
      <w:r w:rsidR="00A74B61" w:rsidRPr="00A74B61">
        <w:rPr>
          <w:i/>
          <w:iCs/>
        </w:rPr>
        <w:t xml:space="preserve">the reducing </w:t>
      </w:r>
      <w:r w:rsidR="00CA74CB">
        <w:rPr>
          <w:i/>
          <w:iCs/>
        </w:rPr>
        <w:t>phase</w:t>
      </w:r>
      <w:r w:rsidR="00A74B61">
        <w:rPr>
          <w:i/>
          <w:iCs/>
        </w:rPr>
        <w:t xml:space="preserve"> of the U curve and </w:t>
      </w:r>
      <w:r w:rsidR="00F95CDF">
        <w:rPr>
          <w:i/>
          <w:iCs/>
        </w:rPr>
        <w:t>amplifying</w:t>
      </w:r>
      <w:r w:rsidR="00A74B61" w:rsidRPr="00A74B61">
        <w:rPr>
          <w:i/>
          <w:iCs/>
        </w:rPr>
        <w:t xml:space="preserve"> the increasing</w:t>
      </w:r>
      <w:r w:rsidR="00CA74CB">
        <w:rPr>
          <w:i/>
          <w:iCs/>
        </w:rPr>
        <w:t xml:space="preserve"> </w:t>
      </w:r>
      <w:r w:rsidR="00BE1625">
        <w:rPr>
          <w:i/>
          <w:iCs/>
        </w:rPr>
        <w:t>phase</w:t>
      </w:r>
      <w:r w:rsidR="00F95CDF">
        <w:rPr>
          <w:i/>
          <w:iCs/>
        </w:rPr>
        <w:t xml:space="preserve"> of the U curve</w:t>
      </w:r>
      <w:r w:rsidR="00A74B61" w:rsidRPr="00A74B61">
        <w:rPr>
          <w:i/>
          <w:iCs/>
        </w:rPr>
        <w:t xml:space="preserve">. </w:t>
      </w:r>
      <w:r w:rsidR="0080643A" w:rsidRPr="00227B4D">
        <w:rPr>
          <w:i/>
          <w:iCs/>
        </w:rPr>
        <w:t xml:space="preserve"> </w:t>
      </w:r>
    </w:p>
    <w:p w14:paraId="7D4F36A3" w14:textId="77777777" w:rsidR="00D46AD2" w:rsidRDefault="00D46AD2" w:rsidP="002E2C4F">
      <w:pPr>
        <w:spacing w:line="480" w:lineRule="auto"/>
      </w:pPr>
    </w:p>
    <w:p w14:paraId="06907B8D" w14:textId="77777777" w:rsidR="00801820" w:rsidRPr="00D707E5" w:rsidRDefault="00801820" w:rsidP="00801820">
      <w:pPr>
        <w:pStyle w:val="Heading2"/>
        <w:rPr>
          <w:b/>
        </w:rPr>
      </w:pPr>
      <w:r w:rsidRPr="00D707E5">
        <w:rPr>
          <w:b/>
        </w:rPr>
        <w:t>3. Data and Methodology</w:t>
      </w:r>
    </w:p>
    <w:p w14:paraId="6FE086EB" w14:textId="77777777" w:rsidR="00801820" w:rsidRPr="000810EE" w:rsidRDefault="00801820" w:rsidP="00801820">
      <w:pPr>
        <w:spacing w:line="480" w:lineRule="auto"/>
        <w:jc w:val="both"/>
        <w:rPr>
          <w:b/>
          <w:bCs/>
          <w:color w:val="000000"/>
          <w:lang w:eastAsia="x-none"/>
        </w:rPr>
      </w:pPr>
      <w:r w:rsidRPr="000810EE">
        <w:rPr>
          <w:b/>
          <w:bCs/>
          <w:color w:val="000000"/>
          <w:lang w:eastAsia="x-none"/>
        </w:rPr>
        <w:t>3.1 Data and sample</w:t>
      </w:r>
    </w:p>
    <w:p w14:paraId="13A4D624" w14:textId="2AED317B" w:rsidR="00801820" w:rsidRDefault="00801820" w:rsidP="008317B2">
      <w:pPr>
        <w:spacing w:line="480" w:lineRule="auto"/>
        <w:ind w:firstLine="284"/>
        <w:jc w:val="both"/>
        <w:rPr>
          <w:color w:val="000000"/>
          <w:lang w:eastAsia="x-none"/>
        </w:rPr>
      </w:pPr>
      <w:r w:rsidRPr="00B80B79">
        <w:rPr>
          <w:color w:val="000000"/>
          <w:lang w:eastAsia="x-none"/>
        </w:rPr>
        <w:t xml:space="preserve">The analysis in this study is based on data derived from the Spanish Technological Innovation Panel (PITEC), an annual survey based on the Community Innovation Survey (CIS) framework. The survey is carried out by the Spanish National Statistics Institute (INE) in collaboration with the Spanish Science and Technology Foundation (FECYT) and the Foundation for Technological Innovation (COTEC). The PITEC data are organized as a panel dataset and contain information from successive waves of the Spanish innovation survey providing us </w:t>
      </w:r>
      <w:r w:rsidR="00B76579">
        <w:rPr>
          <w:color w:val="000000"/>
          <w:lang w:eastAsia="x-none"/>
        </w:rPr>
        <w:t xml:space="preserve">with </w:t>
      </w:r>
      <w:r w:rsidRPr="00B80B79">
        <w:rPr>
          <w:color w:val="000000"/>
          <w:lang w:eastAsia="x-none"/>
        </w:rPr>
        <w:lastRenderedPageBreak/>
        <w:t>a panel dataset of 9 years</w:t>
      </w:r>
      <w:r>
        <w:rPr>
          <w:color w:val="000000"/>
          <w:lang w:eastAsia="x-none"/>
        </w:rPr>
        <w:t xml:space="preserve"> (</w:t>
      </w:r>
      <w:r w:rsidRPr="00B80B79">
        <w:rPr>
          <w:color w:val="000000"/>
          <w:lang w:eastAsia="x-none"/>
        </w:rPr>
        <w:t>from 200</w:t>
      </w:r>
      <w:r>
        <w:rPr>
          <w:color w:val="000000"/>
          <w:lang w:eastAsia="x-none"/>
        </w:rPr>
        <w:t>7</w:t>
      </w:r>
      <w:r w:rsidRPr="00B80B79">
        <w:rPr>
          <w:color w:val="000000"/>
          <w:lang w:eastAsia="x-none"/>
        </w:rPr>
        <w:t xml:space="preserve"> to 201</w:t>
      </w:r>
      <w:r>
        <w:rPr>
          <w:color w:val="000000"/>
          <w:lang w:eastAsia="x-none"/>
        </w:rPr>
        <w:t>5)</w:t>
      </w:r>
      <w:r>
        <w:rPr>
          <w:rStyle w:val="FootnoteReference"/>
          <w:color w:val="000000"/>
          <w:lang w:eastAsia="x-none"/>
        </w:rPr>
        <w:footnoteReference w:id="3"/>
      </w:r>
      <w:r>
        <w:rPr>
          <w:color w:val="000000"/>
          <w:lang w:eastAsia="x-none"/>
        </w:rPr>
        <w:t>, which allowed us to trace the exporting pattern of firms during the 2008-2015 period</w:t>
      </w:r>
      <w:r w:rsidRPr="00B80B79">
        <w:rPr>
          <w:color w:val="000000"/>
          <w:lang w:eastAsia="x-none"/>
        </w:rPr>
        <w:t xml:space="preserve">. </w:t>
      </w:r>
      <w:r>
        <w:rPr>
          <w:color w:val="000000"/>
          <w:lang w:eastAsia="x-none"/>
        </w:rPr>
        <w:t xml:space="preserve">Because we are interested in investigating the probability to re-enter export markets after complete exit as well as firms’ re-entry export performance, we focus on firms that exited exporting and (1) either continued to </w:t>
      </w:r>
      <w:r w:rsidR="00B76579">
        <w:rPr>
          <w:color w:val="000000"/>
          <w:lang w:eastAsia="x-none"/>
        </w:rPr>
        <w:t>serve</w:t>
      </w:r>
      <w:r>
        <w:rPr>
          <w:color w:val="000000"/>
          <w:lang w:eastAsia="x-none"/>
        </w:rPr>
        <w:t xml:space="preserve"> only the domestic market (did not re-enter export markets during the observed time period) or (2) re-started exporting activities after a </w:t>
      </w:r>
      <w:r w:rsidR="009B73EF">
        <w:rPr>
          <w:color w:val="000000"/>
          <w:lang w:eastAsia="x-none"/>
        </w:rPr>
        <w:t>time-out</w:t>
      </w:r>
      <w:r>
        <w:rPr>
          <w:color w:val="000000"/>
          <w:lang w:eastAsia="x-none"/>
        </w:rPr>
        <w:t xml:space="preserve"> period that lasted for at least one year and then </w:t>
      </w:r>
      <w:r w:rsidRPr="006E2BF2">
        <w:rPr>
          <w:color w:val="000000"/>
          <w:lang w:eastAsia="x-none"/>
        </w:rPr>
        <w:t>had a consistent presence in export markets</w:t>
      </w:r>
      <w:r>
        <w:rPr>
          <w:color w:val="000000"/>
          <w:lang w:eastAsia="x-none"/>
        </w:rPr>
        <w:t xml:space="preserve">. </w:t>
      </w:r>
      <w:r w:rsidRPr="001E448B">
        <w:rPr>
          <w:color w:val="000000"/>
          <w:lang w:eastAsia="x-none"/>
        </w:rPr>
        <w:t xml:space="preserve">Our final sample consists of </w:t>
      </w:r>
      <w:r w:rsidR="004C15E4">
        <w:rPr>
          <w:color w:val="000000"/>
          <w:lang w:eastAsia="x-none"/>
        </w:rPr>
        <w:t>1393</w:t>
      </w:r>
      <w:r w:rsidR="004C15E4" w:rsidRPr="001E448B">
        <w:rPr>
          <w:color w:val="000000"/>
          <w:lang w:eastAsia="x-none"/>
        </w:rPr>
        <w:t xml:space="preserve"> </w:t>
      </w:r>
      <w:r w:rsidRPr="001E448B">
        <w:rPr>
          <w:color w:val="000000"/>
          <w:lang w:eastAsia="x-none"/>
        </w:rPr>
        <w:t xml:space="preserve">firms, out of which </w:t>
      </w:r>
      <w:r w:rsidR="004C15E4">
        <w:rPr>
          <w:color w:val="000000"/>
          <w:lang w:eastAsia="x-none"/>
        </w:rPr>
        <w:t>725</w:t>
      </w:r>
      <w:r w:rsidR="004C15E4" w:rsidRPr="001E448B">
        <w:rPr>
          <w:color w:val="000000"/>
          <w:lang w:eastAsia="x-none"/>
        </w:rPr>
        <w:t xml:space="preserve"> </w:t>
      </w:r>
      <w:r w:rsidRPr="001E448B">
        <w:rPr>
          <w:color w:val="000000"/>
          <w:lang w:eastAsia="x-none"/>
        </w:rPr>
        <w:t>(</w:t>
      </w:r>
      <w:r w:rsidR="004C15E4">
        <w:rPr>
          <w:color w:val="000000"/>
          <w:lang w:eastAsia="x-none"/>
        </w:rPr>
        <w:t>52</w:t>
      </w:r>
      <w:r w:rsidRPr="001E448B">
        <w:rPr>
          <w:color w:val="000000"/>
          <w:lang w:eastAsia="x-none"/>
        </w:rPr>
        <w:t xml:space="preserve">%) re-started exporting during the period of our study. </w:t>
      </w:r>
    </w:p>
    <w:p w14:paraId="35B7E4CB" w14:textId="77777777" w:rsidR="00801820" w:rsidRPr="00D55E57" w:rsidRDefault="00801820" w:rsidP="00394E4D">
      <w:pPr>
        <w:spacing w:line="480" w:lineRule="auto"/>
        <w:ind w:firstLine="284"/>
        <w:jc w:val="both"/>
        <w:rPr>
          <w:b/>
          <w:bCs/>
          <w:color w:val="000000"/>
          <w:lang w:eastAsia="x-none"/>
        </w:rPr>
      </w:pPr>
      <w:r>
        <w:rPr>
          <w:color w:val="000000"/>
          <w:lang w:eastAsia="x-none"/>
        </w:rPr>
        <w:t>Our sample of interest is therefore all firms that at some point during the 8</w:t>
      </w:r>
      <w:r w:rsidR="00BA7234">
        <w:rPr>
          <w:color w:val="000000"/>
          <w:lang w:eastAsia="x-none"/>
        </w:rPr>
        <w:t>-</w:t>
      </w:r>
      <w:r>
        <w:rPr>
          <w:color w:val="000000"/>
          <w:lang w:eastAsia="x-none"/>
        </w:rPr>
        <w:t xml:space="preserve">year period exited export markets, apart from sporadic exporters (i.e., firms that exported and re-entered foreign markets two or more times during the observed period). </w:t>
      </w:r>
      <w:r w:rsidRPr="001E530D">
        <w:rPr>
          <w:color w:val="000000"/>
          <w:lang w:eastAsia="x-none"/>
        </w:rPr>
        <w:t xml:space="preserve">We are not considering sporadic exporters because </w:t>
      </w:r>
      <w:r>
        <w:rPr>
          <w:color w:val="000000"/>
          <w:lang w:eastAsia="x-none"/>
        </w:rPr>
        <w:t>those firms</w:t>
      </w:r>
      <w:r w:rsidRPr="001E530D">
        <w:rPr>
          <w:color w:val="000000"/>
          <w:lang w:eastAsia="x-none"/>
        </w:rPr>
        <w:t xml:space="preserve"> cannot be regarded as having completely exited export markets as they appear to be willing and prepared to respond to new foreign orders as and when th</w:t>
      </w:r>
      <w:r>
        <w:rPr>
          <w:color w:val="000000"/>
          <w:lang w:eastAsia="x-none"/>
        </w:rPr>
        <w:t>o</w:t>
      </w:r>
      <w:r w:rsidRPr="001E530D">
        <w:rPr>
          <w:color w:val="000000"/>
          <w:lang w:eastAsia="x-none"/>
        </w:rPr>
        <w:t xml:space="preserve">se arise (Welch </w:t>
      </w:r>
      <w:r w:rsidR="004220A1">
        <w:t>&amp;</w:t>
      </w:r>
      <w:r w:rsidRPr="00446FBF">
        <w:t xml:space="preserve"> </w:t>
      </w:r>
      <w:r w:rsidRPr="001E530D">
        <w:rPr>
          <w:color w:val="000000"/>
          <w:lang w:eastAsia="x-none"/>
        </w:rPr>
        <w:t xml:space="preserve">Welch 2009). Moreover, such sporadic export </w:t>
      </w:r>
      <w:r w:rsidR="00B76579">
        <w:rPr>
          <w:color w:val="000000"/>
          <w:lang w:eastAsia="x-none"/>
        </w:rPr>
        <w:t>behavior</w:t>
      </w:r>
      <w:r w:rsidRPr="001E530D">
        <w:rPr>
          <w:color w:val="000000"/>
          <w:lang w:eastAsia="x-none"/>
        </w:rPr>
        <w:t xml:space="preserve"> does not signal a psychological disengagement or a committed change in strategy that is part of an export exit (Welch </w:t>
      </w:r>
      <w:r w:rsidR="004220A1">
        <w:t>&amp;</w:t>
      </w:r>
      <w:r w:rsidRPr="00446FBF">
        <w:t xml:space="preserve"> </w:t>
      </w:r>
      <w:r w:rsidRPr="001E530D">
        <w:rPr>
          <w:color w:val="000000"/>
          <w:lang w:eastAsia="x-none"/>
        </w:rPr>
        <w:t>Welch 2009).</w:t>
      </w:r>
      <w:r>
        <w:rPr>
          <w:color w:val="000000"/>
          <w:lang w:eastAsia="x-none"/>
        </w:rPr>
        <w:t xml:space="preserve"> Finally, sporadic exporters accumulate different types and levels of experiential knowledge from export activities in relation to consistent exporters, but also experience and perceive the exit event differently (</w:t>
      </w:r>
      <w:r w:rsidRPr="00D55E57">
        <w:rPr>
          <w:color w:val="000000"/>
          <w:lang w:eastAsia="x-none"/>
        </w:rPr>
        <w:t>Vissak et al., 2020</w:t>
      </w:r>
      <w:r>
        <w:rPr>
          <w:b/>
          <w:bCs/>
          <w:color w:val="000000"/>
          <w:lang w:eastAsia="x-none"/>
        </w:rPr>
        <w:t>)</w:t>
      </w:r>
      <w:r>
        <w:rPr>
          <w:color w:val="000000"/>
          <w:lang w:eastAsia="x-none"/>
        </w:rPr>
        <w:t>. This means that those two groups cannot be considered (or investigated) together and that a different theoretical framework needs to be applied for each one (Bernini et al., 2016).</w:t>
      </w:r>
    </w:p>
    <w:p w14:paraId="6EC76F97" w14:textId="140A1EE7" w:rsidR="00801820" w:rsidRPr="00485EC1" w:rsidRDefault="00801820" w:rsidP="00801820">
      <w:pPr>
        <w:spacing w:line="480" w:lineRule="auto"/>
        <w:rPr>
          <w:b/>
          <w:bCs/>
          <w:color w:val="000000"/>
          <w:lang w:eastAsia="x-none"/>
        </w:rPr>
      </w:pPr>
      <w:r w:rsidRPr="00485EC1">
        <w:rPr>
          <w:b/>
          <w:bCs/>
          <w:color w:val="000000"/>
          <w:lang w:eastAsia="x-none"/>
        </w:rPr>
        <w:t xml:space="preserve">3.2 Model specification and measures: </w:t>
      </w:r>
      <w:r w:rsidR="00BA7234">
        <w:rPr>
          <w:b/>
          <w:bCs/>
          <w:color w:val="000000"/>
          <w:lang w:eastAsia="x-none"/>
        </w:rPr>
        <w:t>M</w:t>
      </w:r>
      <w:r w:rsidRPr="00485EC1">
        <w:rPr>
          <w:b/>
          <w:bCs/>
          <w:color w:val="000000"/>
          <w:lang w:eastAsia="x-none"/>
        </w:rPr>
        <w:t>odeling export re-entry probability</w:t>
      </w:r>
    </w:p>
    <w:p w14:paraId="7410E2F9" w14:textId="63503704" w:rsidR="00801820" w:rsidRDefault="00801820" w:rsidP="00394E4D">
      <w:pPr>
        <w:spacing w:line="480" w:lineRule="auto"/>
        <w:ind w:firstLine="284"/>
        <w:rPr>
          <w:color w:val="000000"/>
          <w:lang w:eastAsia="x-none"/>
        </w:rPr>
      </w:pPr>
      <w:r w:rsidRPr="00F1641F">
        <w:rPr>
          <w:color w:val="000000"/>
          <w:lang w:eastAsia="x-none"/>
        </w:rPr>
        <w:t xml:space="preserve">The first stage of our analysis involves </w:t>
      </w:r>
      <w:r w:rsidR="00B76579">
        <w:rPr>
          <w:color w:val="000000"/>
          <w:lang w:eastAsia="x-none"/>
        </w:rPr>
        <w:t>modeling</w:t>
      </w:r>
      <w:r w:rsidRPr="00F1641F">
        <w:rPr>
          <w:color w:val="000000"/>
          <w:lang w:eastAsia="x-none"/>
        </w:rPr>
        <w:t xml:space="preserve"> the export re-entry decision. </w:t>
      </w:r>
      <w:r>
        <w:rPr>
          <w:color w:val="000000"/>
          <w:lang w:eastAsia="x-none"/>
        </w:rPr>
        <w:t>We</w:t>
      </w:r>
      <w:r w:rsidR="00B76579">
        <w:rPr>
          <w:color w:val="000000"/>
          <w:lang w:eastAsia="x-none"/>
        </w:rPr>
        <w:t>,</w:t>
      </w:r>
      <w:r>
        <w:rPr>
          <w:color w:val="000000"/>
          <w:lang w:eastAsia="x-none"/>
        </w:rPr>
        <w:t xml:space="preserve"> therefore</w:t>
      </w:r>
      <w:r w:rsidR="00B76579">
        <w:rPr>
          <w:color w:val="000000"/>
          <w:lang w:eastAsia="x-none"/>
        </w:rPr>
        <w:t>,</w:t>
      </w:r>
      <w:r>
        <w:rPr>
          <w:color w:val="000000"/>
          <w:lang w:eastAsia="x-none"/>
        </w:rPr>
        <w:t xml:space="preserve"> consider firms</w:t>
      </w:r>
      <w:r w:rsidRPr="00F1641F">
        <w:rPr>
          <w:color w:val="000000"/>
          <w:lang w:eastAsia="x-none"/>
        </w:rPr>
        <w:t xml:space="preserve"> that exited </w:t>
      </w:r>
      <w:r>
        <w:rPr>
          <w:color w:val="000000"/>
          <w:lang w:eastAsia="x-none"/>
        </w:rPr>
        <w:t xml:space="preserve">from </w:t>
      </w:r>
      <w:r w:rsidRPr="00F1641F">
        <w:rPr>
          <w:color w:val="000000"/>
          <w:lang w:eastAsia="x-none"/>
        </w:rPr>
        <w:t>export</w:t>
      </w:r>
      <w:r>
        <w:rPr>
          <w:color w:val="000000"/>
          <w:lang w:eastAsia="x-none"/>
        </w:rPr>
        <w:t xml:space="preserve">ing and then either focused only on the domestic market </w:t>
      </w:r>
      <w:r>
        <w:rPr>
          <w:color w:val="000000"/>
          <w:lang w:eastAsia="x-none"/>
        </w:rPr>
        <w:lastRenderedPageBreak/>
        <w:t>or re-entered export markets at a later point in time.</w:t>
      </w:r>
      <w:r w:rsidRPr="00F1641F">
        <w:rPr>
          <w:color w:val="000000"/>
          <w:lang w:eastAsia="x-none"/>
        </w:rPr>
        <w:t xml:space="preserve"> </w:t>
      </w:r>
      <w:r>
        <w:rPr>
          <w:color w:val="000000"/>
          <w:lang w:eastAsia="x-none"/>
        </w:rPr>
        <w:t>W</w:t>
      </w:r>
      <w:r w:rsidRPr="00F1641F">
        <w:rPr>
          <w:color w:val="000000"/>
          <w:lang w:eastAsia="x-none"/>
        </w:rPr>
        <w:t xml:space="preserve">e </w:t>
      </w:r>
      <w:r>
        <w:rPr>
          <w:color w:val="000000"/>
          <w:lang w:eastAsia="x-none"/>
        </w:rPr>
        <w:t>then developed</w:t>
      </w:r>
      <w:r w:rsidRPr="00F1641F">
        <w:rPr>
          <w:color w:val="000000"/>
          <w:lang w:eastAsia="x-none"/>
        </w:rPr>
        <w:t xml:space="preserve"> a panel dataset in which the firms can</w:t>
      </w:r>
      <w:r>
        <w:rPr>
          <w:color w:val="000000"/>
          <w:lang w:eastAsia="x-none"/>
        </w:rPr>
        <w:t xml:space="preserve"> </w:t>
      </w:r>
      <w:r w:rsidRPr="00F1641F">
        <w:rPr>
          <w:color w:val="000000"/>
          <w:lang w:eastAsia="x-none"/>
        </w:rPr>
        <w:t>either stay away from exporting (remain in the panel) or re-enter into exporting (exit from the panel)</w:t>
      </w:r>
      <w:r>
        <w:rPr>
          <w:color w:val="000000"/>
          <w:lang w:eastAsia="x-none"/>
        </w:rPr>
        <w:t xml:space="preserve"> in each year after export exit</w:t>
      </w:r>
      <w:r w:rsidRPr="00F1641F">
        <w:rPr>
          <w:color w:val="000000"/>
          <w:lang w:eastAsia="x-none"/>
        </w:rPr>
        <w:t xml:space="preserve">. The dependent variable in this stage is </w:t>
      </w:r>
      <w:r>
        <w:rPr>
          <w:color w:val="000000"/>
          <w:lang w:eastAsia="x-none"/>
        </w:rPr>
        <w:t xml:space="preserve">of </w:t>
      </w:r>
      <w:r w:rsidRPr="00F1641F">
        <w:rPr>
          <w:color w:val="000000"/>
          <w:lang w:eastAsia="x-none"/>
        </w:rPr>
        <w:t xml:space="preserve">a binary </w:t>
      </w:r>
      <w:r>
        <w:rPr>
          <w:color w:val="000000"/>
          <w:lang w:eastAsia="x-none"/>
        </w:rPr>
        <w:t>nature</w:t>
      </w:r>
      <w:r w:rsidRPr="00F1641F">
        <w:rPr>
          <w:color w:val="000000"/>
          <w:lang w:eastAsia="x-none"/>
        </w:rPr>
        <w:t xml:space="preserve"> </w:t>
      </w:r>
      <w:r>
        <w:rPr>
          <w:color w:val="000000"/>
          <w:lang w:eastAsia="x-none"/>
        </w:rPr>
        <w:t>that takes the</w:t>
      </w:r>
      <w:r w:rsidRPr="00F1641F">
        <w:rPr>
          <w:color w:val="000000"/>
          <w:lang w:eastAsia="x-none"/>
        </w:rPr>
        <w:t xml:space="preserve"> value of 0</w:t>
      </w:r>
      <w:r>
        <w:rPr>
          <w:color w:val="000000"/>
          <w:lang w:eastAsia="x-none"/>
        </w:rPr>
        <w:t xml:space="preserve"> if a</w:t>
      </w:r>
      <w:r w:rsidRPr="00F1641F">
        <w:rPr>
          <w:color w:val="000000"/>
          <w:lang w:eastAsia="x-none"/>
        </w:rPr>
        <w:t xml:space="preserve"> firm continue</w:t>
      </w:r>
      <w:r>
        <w:rPr>
          <w:color w:val="000000"/>
          <w:lang w:eastAsia="x-none"/>
        </w:rPr>
        <w:t>s</w:t>
      </w:r>
      <w:r w:rsidRPr="00F1641F">
        <w:rPr>
          <w:color w:val="000000"/>
          <w:lang w:eastAsia="x-none"/>
        </w:rPr>
        <w:t xml:space="preserve"> to stay away from exporting</w:t>
      </w:r>
      <w:r>
        <w:rPr>
          <w:color w:val="000000"/>
          <w:lang w:eastAsia="x-none"/>
        </w:rPr>
        <w:t xml:space="preserve"> and the</w:t>
      </w:r>
      <w:r w:rsidRPr="00F1641F">
        <w:rPr>
          <w:color w:val="000000"/>
          <w:lang w:eastAsia="x-none"/>
        </w:rPr>
        <w:t xml:space="preserve"> value of 1</w:t>
      </w:r>
      <w:r>
        <w:rPr>
          <w:color w:val="000000"/>
          <w:lang w:eastAsia="x-none"/>
        </w:rPr>
        <w:t xml:space="preserve"> if a</w:t>
      </w:r>
      <w:r w:rsidRPr="00F1641F">
        <w:rPr>
          <w:color w:val="000000"/>
          <w:lang w:eastAsia="x-none"/>
        </w:rPr>
        <w:t xml:space="preserve"> firm</w:t>
      </w:r>
      <w:r>
        <w:rPr>
          <w:color w:val="000000"/>
          <w:lang w:eastAsia="x-none"/>
        </w:rPr>
        <w:t xml:space="preserve"> </w:t>
      </w:r>
      <w:r w:rsidRPr="00F1641F">
        <w:rPr>
          <w:color w:val="000000"/>
          <w:lang w:eastAsia="x-none"/>
        </w:rPr>
        <w:t>re-enter</w:t>
      </w:r>
      <w:r>
        <w:rPr>
          <w:color w:val="000000"/>
          <w:lang w:eastAsia="x-none"/>
        </w:rPr>
        <w:t>s</w:t>
      </w:r>
      <w:r w:rsidRPr="00F1641F">
        <w:rPr>
          <w:color w:val="000000"/>
          <w:lang w:eastAsia="x-none"/>
        </w:rPr>
        <w:t xml:space="preserve"> exporting</w:t>
      </w:r>
      <w:r>
        <w:rPr>
          <w:color w:val="000000"/>
          <w:lang w:eastAsia="x-none"/>
        </w:rPr>
        <w:t xml:space="preserve"> (</w:t>
      </w:r>
      <w:r w:rsidR="00655017">
        <w:rPr>
          <w:color w:val="000000"/>
          <w:lang w:eastAsia="x-none"/>
        </w:rPr>
        <w:t>Chen et al., 2019; Bernini et al., 2016</w:t>
      </w:r>
      <w:r>
        <w:rPr>
          <w:color w:val="000000"/>
          <w:lang w:eastAsia="x-none"/>
        </w:rPr>
        <w:t>). W</w:t>
      </w:r>
      <w:r w:rsidRPr="00F1641F">
        <w:rPr>
          <w:color w:val="000000"/>
          <w:lang w:eastAsia="x-none"/>
        </w:rPr>
        <w:t xml:space="preserve">e use a </w:t>
      </w:r>
      <w:bookmarkStart w:id="22" w:name="_Hlk47866066"/>
      <w:r w:rsidRPr="00F1641F">
        <w:rPr>
          <w:color w:val="000000"/>
          <w:lang w:eastAsia="x-none"/>
        </w:rPr>
        <w:t xml:space="preserve">random-effects </w:t>
      </w:r>
      <w:r>
        <w:rPr>
          <w:color w:val="000000"/>
          <w:lang w:eastAsia="x-none"/>
        </w:rPr>
        <w:t>probit</w:t>
      </w:r>
      <w:r w:rsidRPr="00F1641F">
        <w:rPr>
          <w:color w:val="000000"/>
          <w:lang w:eastAsia="x-none"/>
        </w:rPr>
        <w:t xml:space="preserve"> model</w:t>
      </w:r>
      <w:bookmarkEnd w:id="22"/>
      <w:r w:rsidRPr="00F1641F">
        <w:rPr>
          <w:color w:val="000000"/>
          <w:lang w:eastAsia="x-none"/>
        </w:rPr>
        <w:t xml:space="preserve"> in a panel data framework to </w:t>
      </w:r>
      <w:r>
        <w:rPr>
          <w:color w:val="000000"/>
          <w:lang w:eastAsia="x-none"/>
        </w:rPr>
        <w:t>carry out the analysis. Our key explanatory variable is the time-out period, i.e.</w:t>
      </w:r>
      <w:r w:rsidR="00211AFD">
        <w:rPr>
          <w:color w:val="000000"/>
          <w:lang w:eastAsia="x-none"/>
        </w:rPr>
        <w:t>,</w:t>
      </w:r>
      <w:r>
        <w:rPr>
          <w:color w:val="000000"/>
          <w:lang w:eastAsia="x-none"/>
        </w:rPr>
        <w:t xml:space="preserve"> </w:t>
      </w:r>
      <w:r w:rsidR="00B76579">
        <w:rPr>
          <w:color w:val="000000"/>
          <w:lang w:eastAsia="x-none"/>
        </w:rPr>
        <w:t xml:space="preserve">the </w:t>
      </w:r>
      <w:r>
        <w:rPr>
          <w:color w:val="000000"/>
          <w:lang w:eastAsia="x-none"/>
        </w:rPr>
        <w:t>number of years since the firm stopped exporting (</w:t>
      </w:r>
      <w:r w:rsidR="00C66F72">
        <w:rPr>
          <w:color w:val="000000"/>
          <w:lang w:eastAsia="x-none"/>
        </w:rPr>
        <w:t xml:space="preserve">Chen et al., 2019; Bernini et al., 2016; Surdu </w:t>
      </w:r>
      <w:r w:rsidR="004220A1">
        <w:t>&amp;</w:t>
      </w:r>
      <w:r w:rsidR="00C66F72" w:rsidRPr="00871343">
        <w:t xml:space="preserve"> </w:t>
      </w:r>
      <w:r w:rsidR="00C66F72">
        <w:rPr>
          <w:color w:val="000000"/>
          <w:lang w:eastAsia="x-none"/>
        </w:rPr>
        <w:t>Narula, 202</w:t>
      </w:r>
      <w:r w:rsidR="007E67AB">
        <w:rPr>
          <w:color w:val="000000"/>
          <w:lang w:eastAsia="x-none"/>
        </w:rPr>
        <w:t>1</w:t>
      </w:r>
      <w:r>
        <w:rPr>
          <w:color w:val="000000"/>
          <w:lang w:eastAsia="x-none"/>
        </w:rPr>
        <w:t xml:space="preserve">). If a firm restarted exporting, then the duration of the time-out period ends at the time of re-entry. Moreover, </w:t>
      </w:r>
      <w:r w:rsidR="00D542CC">
        <w:rPr>
          <w:color w:val="000000"/>
          <w:lang w:eastAsia="x-none"/>
        </w:rPr>
        <w:t>we</w:t>
      </w:r>
      <w:r>
        <w:rPr>
          <w:color w:val="000000"/>
          <w:lang w:eastAsia="x-none"/>
        </w:rPr>
        <w:t xml:space="preserve"> measure </w:t>
      </w:r>
      <w:r>
        <w:rPr>
          <w:i/>
          <w:iCs/>
          <w:color w:val="000000"/>
          <w:lang w:eastAsia="x-none"/>
        </w:rPr>
        <w:t>c</w:t>
      </w:r>
      <w:r w:rsidRPr="00810D49">
        <w:rPr>
          <w:i/>
          <w:iCs/>
          <w:color w:val="000000"/>
          <w:lang w:eastAsia="x-none"/>
        </w:rPr>
        <w:t>ollaboration</w:t>
      </w:r>
      <w:r>
        <w:rPr>
          <w:color w:val="000000"/>
          <w:lang w:eastAsia="x-none"/>
        </w:rPr>
        <w:t xml:space="preserve"> during the </w:t>
      </w:r>
      <w:r w:rsidR="009B73EF">
        <w:rPr>
          <w:color w:val="000000"/>
          <w:lang w:eastAsia="x-none"/>
        </w:rPr>
        <w:t>time-out</w:t>
      </w:r>
      <w:r>
        <w:rPr>
          <w:color w:val="000000"/>
          <w:lang w:eastAsia="x-none"/>
        </w:rPr>
        <w:t xml:space="preserve"> period, </w:t>
      </w:r>
      <w:r w:rsidR="00D542CC">
        <w:rPr>
          <w:color w:val="000000"/>
          <w:lang w:eastAsia="x-none"/>
        </w:rPr>
        <w:t>by</w:t>
      </w:r>
      <w:r>
        <w:rPr>
          <w:color w:val="000000"/>
          <w:lang w:eastAsia="x-none"/>
        </w:rPr>
        <w:t xml:space="preserve"> calculat</w:t>
      </w:r>
      <w:r w:rsidR="00D542CC">
        <w:rPr>
          <w:color w:val="000000"/>
          <w:lang w:eastAsia="x-none"/>
        </w:rPr>
        <w:t>ing</w:t>
      </w:r>
      <w:r>
        <w:rPr>
          <w:color w:val="000000"/>
          <w:lang w:eastAsia="x-none"/>
        </w:rPr>
        <w:t xml:space="preserve"> the number of years in which the firm collaborated with a foreign customer, supplier</w:t>
      </w:r>
      <w:r w:rsidR="00B76579">
        <w:rPr>
          <w:color w:val="000000"/>
          <w:lang w:eastAsia="x-none"/>
        </w:rPr>
        <w:t>,</w:t>
      </w:r>
      <w:r>
        <w:rPr>
          <w:color w:val="000000"/>
          <w:lang w:eastAsia="x-none"/>
        </w:rPr>
        <w:t xml:space="preserve"> or competitor during the </w:t>
      </w:r>
      <w:r w:rsidR="009B73EF">
        <w:rPr>
          <w:color w:val="000000"/>
          <w:lang w:eastAsia="x-none"/>
        </w:rPr>
        <w:t>time-out</w:t>
      </w:r>
      <w:r>
        <w:rPr>
          <w:color w:val="000000"/>
          <w:lang w:eastAsia="x-none"/>
        </w:rPr>
        <w:t xml:space="preserve"> period, and then divid</w:t>
      </w:r>
      <w:r w:rsidR="006E2453">
        <w:rPr>
          <w:color w:val="000000"/>
          <w:lang w:eastAsia="x-none"/>
        </w:rPr>
        <w:t>ing</w:t>
      </w:r>
      <w:r>
        <w:rPr>
          <w:color w:val="000000"/>
          <w:lang w:eastAsia="x-none"/>
        </w:rPr>
        <w:t xml:space="preserve"> this by the length of the </w:t>
      </w:r>
      <w:r w:rsidR="009B73EF">
        <w:rPr>
          <w:color w:val="000000"/>
          <w:lang w:eastAsia="x-none"/>
        </w:rPr>
        <w:t>time-out</w:t>
      </w:r>
      <w:r>
        <w:rPr>
          <w:color w:val="000000"/>
          <w:lang w:eastAsia="x-none"/>
        </w:rPr>
        <w:t xml:space="preserve"> period itself. </w:t>
      </w:r>
      <w:r w:rsidR="00EB3D41">
        <w:rPr>
          <w:color w:val="000000"/>
          <w:lang w:eastAsia="x-none"/>
        </w:rPr>
        <w:t>For example,</w:t>
      </w:r>
      <w:r>
        <w:rPr>
          <w:color w:val="000000"/>
          <w:lang w:eastAsia="x-none"/>
        </w:rPr>
        <w:t xml:space="preserve"> if a firm has not re-entered into exporting for 5 years (i.e.</w:t>
      </w:r>
      <w:r w:rsidR="00C37E1A">
        <w:rPr>
          <w:color w:val="000000"/>
          <w:lang w:eastAsia="x-none"/>
        </w:rPr>
        <w:t>,</w:t>
      </w:r>
      <w:r>
        <w:rPr>
          <w:color w:val="000000"/>
          <w:lang w:eastAsia="x-none"/>
        </w:rPr>
        <w:t xml:space="preserve"> </w:t>
      </w:r>
      <w:r w:rsidR="009B73EF">
        <w:rPr>
          <w:color w:val="000000"/>
          <w:lang w:eastAsia="x-none"/>
        </w:rPr>
        <w:t>time-out</w:t>
      </w:r>
      <w:r>
        <w:rPr>
          <w:color w:val="000000"/>
          <w:lang w:eastAsia="x-none"/>
        </w:rPr>
        <w:t xml:space="preserve"> period = 5) but has collaborated with foreign partner(s) for 3 years during the </w:t>
      </w:r>
      <w:r w:rsidR="009B73EF">
        <w:rPr>
          <w:color w:val="000000"/>
          <w:lang w:eastAsia="x-none"/>
        </w:rPr>
        <w:t>time-out</w:t>
      </w:r>
      <w:r>
        <w:rPr>
          <w:color w:val="000000"/>
          <w:lang w:eastAsia="x-none"/>
        </w:rPr>
        <w:t xml:space="preserve"> period, then our collaboration measure takes the value of 3/5=0.6. This measure varies from zero (reflecting no collaboration during the entire </w:t>
      </w:r>
      <w:r w:rsidR="009B73EF">
        <w:rPr>
          <w:color w:val="000000"/>
          <w:lang w:eastAsia="x-none"/>
        </w:rPr>
        <w:t>time-out</w:t>
      </w:r>
      <w:r>
        <w:rPr>
          <w:color w:val="000000"/>
          <w:lang w:eastAsia="x-none"/>
        </w:rPr>
        <w:t xml:space="preserve"> period) to one (reflecting collaboration throughout the </w:t>
      </w:r>
      <w:r w:rsidR="009B73EF">
        <w:rPr>
          <w:color w:val="000000"/>
          <w:lang w:eastAsia="x-none"/>
        </w:rPr>
        <w:t>time-out</w:t>
      </w:r>
      <w:r>
        <w:rPr>
          <w:color w:val="000000"/>
          <w:lang w:eastAsia="x-none"/>
        </w:rPr>
        <w:t xml:space="preserve"> period).  </w:t>
      </w:r>
    </w:p>
    <w:p w14:paraId="34D29FF2" w14:textId="2E8364BF" w:rsidR="000D5E14" w:rsidRPr="000D5E14" w:rsidRDefault="00801820" w:rsidP="00394E4D">
      <w:pPr>
        <w:spacing w:line="480" w:lineRule="auto"/>
        <w:ind w:firstLine="284"/>
        <w:rPr>
          <w:color w:val="000000"/>
          <w:lang w:eastAsia="x-none"/>
        </w:rPr>
      </w:pPr>
      <w:r>
        <w:rPr>
          <w:color w:val="000000"/>
          <w:lang w:eastAsia="x-none"/>
        </w:rPr>
        <w:t xml:space="preserve">Guided by previous studies, we control for </w:t>
      </w:r>
      <w:r w:rsidR="00AD47D8">
        <w:rPr>
          <w:color w:val="000000"/>
          <w:lang w:eastAsia="x-none"/>
        </w:rPr>
        <w:t>several</w:t>
      </w:r>
      <w:r>
        <w:rPr>
          <w:color w:val="000000"/>
          <w:lang w:eastAsia="x-none"/>
        </w:rPr>
        <w:t xml:space="preserve"> </w:t>
      </w:r>
      <w:r w:rsidR="00F808C7">
        <w:rPr>
          <w:color w:val="000000"/>
          <w:lang w:eastAsia="x-none"/>
        </w:rPr>
        <w:t xml:space="preserve">other </w:t>
      </w:r>
      <w:r>
        <w:rPr>
          <w:color w:val="000000"/>
          <w:lang w:eastAsia="x-none"/>
        </w:rPr>
        <w:t>factors</w:t>
      </w:r>
      <w:r w:rsidR="00494046">
        <w:rPr>
          <w:color w:val="000000"/>
          <w:lang w:eastAsia="x-none"/>
        </w:rPr>
        <w:t>.</w:t>
      </w:r>
      <w:r>
        <w:rPr>
          <w:color w:val="000000"/>
          <w:lang w:eastAsia="x-none"/>
        </w:rPr>
        <w:t xml:space="preserve"> First, we controlled for </w:t>
      </w:r>
      <w:r w:rsidRPr="00FA2656">
        <w:rPr>
          <w:i/>
          <w:iCs/>
          <w:color w:val="000000"/>
          <w:lang w:eastAsia="x-none"/>
        </w:rPr>
        <w:t xml:space="preserve">firm size </w:t>
      </w:r>
      <w:r>
        <w:rPr>
          <w:color w:val="000000"/>
          <w:lang w:eastAsia="x-none"/>
        </w:rPr>
        <w:t xml:space="preserve">(measured by the logarithm of total turnover), and </w:t>
      </w:r>
      <w:r w:rsidRPr="002070AE">
        <w:rPr>
          <w:i/>
          <w:iCs/>
          <w:color w:val="000000"/>
          <w:lang w:eastAsia="x-none"/>
        </w:rPr>
        <w:t>age</w:t>
      </w:r>
      <w:r>
        <w:rPr>
          <w:color w:val="000000"/>
          <w:lang w:eastAsia="x-none"/>
        </w:rPr>
        <w:t xml:space="preserve"> (</w:t>
      </w:r>
      <w:r w:rsidRPr="00810D49">
        <w:rPr>
          <w:color w:val="000000"/>
          <w:lang w:eastAsia="x-none"/>
        </w:rPr>
        <w:t xml:space="preserve">measured by the number of years since </w:t>
      </w:r>
      <w:r>
        <w:rPr>
          <w:color w:val="000000"/>
          <w:lang w:eastAsia="x-none"/>
        </w:rPr>
        <w:t xml:space="preserve">a </w:t>
      </w:r>
      <w:r w:rsidRPr="00810D49">
        <w:rPr>
          <w:color w:val="000000"/>
          <w:lang w:eastAsia="x-none"/>
        </w:rPr>
        <w:t>firm’s incorporation</w:t>
      </w:r>
      <w:r>
        <w:rPr>
          <w:color w:val="000000"/>
          <w:lang w:eastAsia="x-none"/>
        </w:rPr>
        <w:t xml:space="preserve"> date)</w:t>
      </w:r>
      <w:r w:rsidR="00425B7C">
        <w:rPr>
          <w:color w:val="000000"/>
          <w:lang w:eastAsia="x-none"/>
        </w:rPr>
        <w:t xml:space="preserve"> (</w:t>
      </w:r>
      <w:r w:rsidR="00494046">
        <w:rPr>
          <w:color w:val="000000"/>
          <w:lang w:eastAsia="x-none"/>
        </w:rPr>
        <w:t>Bernini et al</w:t>
      </w:r>
      <w:r w:rsidR="00425B7C">
        <w:rPr>
          <w:color w:val="000000"/>
          <w:lang w:eastAsia="x-none"/>
        </w:rPr>
        <w:t>., 201</w:t>
      </w:r>
      <w:r w:rsidR="00494046">
        <w:rPr>
          <w:color w:val="000000"/>
          <w:lang w:eastAsia="x-none"/>
        </w:rPr>
        <w:t>6; Surdu et al., 2018</w:t>
      </w:r>
      <w:r w:rsidR="00425B7C">
        <w:rPr>
          <w:color w:val="000000"/>
          <w:lang w:eastAsia="x-none"/>
        </w:rPr>
        <w:t>)</w:t>
      </w:r>
      <w:r>
        <w:rPr>
          <w:color w:val="000000"/>
          <w:lang w:eastAsia="x-none"/>
        </w:rPr>
        <w:t xml:space="preserve">. We further controlled for a firm’s </w:t>
      </w:r>
      <w:r w:rsidRPr="00FA2656">
        <w:rPr>
          <w:i/>
          <w:iCs/>
          <w:color w:val="000000"/>
          <w:lang w:eastAsia="x-none"/>
        </w:rPr>
        <w:t>export performance</w:t>
      </w:r>
      <w:r w:rsidRPr="00D34D7F">
        <w:rPr>
          <w:color w:val="000000"/>
          <w:lang w:eastAsia="x-none"/>
        </w:rPr>
        <w:t xml:space="preserve"> before exit</w:t>
      </w:r>
      <w:r>
        <w:rPr>
          <w:color w:val="000000"/>
          <w:lang w:eastAsia="x-none"/>
        </w:rPr>
        <w:t>, measured</w:t>
      </w:r>
      <w:r w:rsidR="00B602BF">
        <w:rPr>
          <w:color w:val="000000"/>
          <w:lang w:eastAsia="x-none"/>
        </w:rPr>
        <w:t xml:space="preserve"> as</w:t>
      </w:r>
      <w:r>
        <w:rPr>
          <w:color w:val="000000"/>
          <w:lang w:eastAsia="x-none"/>
        </w:rPr>
        <w:t xml:space="preserve"> the</w:t>
      </w:r>
      <w:r w:rsidR="00F711E0">
        <w:rPr>
          <w:color w:val="000000"/>
          <w:lang w:eastAsia="x-none"/>
        </w:rPr>
        <w:t xml:space="preserve"> log of the</w:t>
      </w:r>
      <w:r>
        <w:rPr>
          <w:color w:val="000000"/>
          <w:lang w:eastAsia="x-none"/>
        </w:rPr>
        <w:t xml:space="preserve"> </w:t>
      </w:r>
      <w:r w:rsidR="00B602BF">
        <w:rPr>
          <w:color w:val="000000"/>
          <w:lang w:eastAsia="x-none"/>
        </w:rPr>
        <w:t>volume</w:t>
      </w:r>
      <w:r>
        <w:rPr>
          <w:color w:val="000000"/>
          <w:lang w:eastAsia="x-none"/>
        </w:rPr>
        <w:t xml:space="preserve"> of sales from exporting at the time of exit</w:t>
      </w:r>
      <w:r w:rsidR="00494046">
        <w:rPr>
          <w:color w:val="000000"/>
          <w:lang w:eastAsia="x-none"/>
        </w:rPr>
        <w:t xml:space="preserve"> (Chen et al., 2019)</w:t>
      </w:r>
      <w:r>
        <w:rPr>
          <w:color w:val="000000"/>
          <w:lang w:eastAsia="x-none"/>
        </w:rPr>
        <w:t>, for</w:t>
      </w:r>
      <w:r w:rsidRPr="00D34D7F">
        <w:rPr>
          <w:color w:val="000000"/>
          <w:lang w:eastAsia="x-none"/>
        </w:rPr>
        <w:t xml:space="preserve"> </w:t>
      </w:r>
      <w:r>
        <w:rPr>
          <w:color w:val="000000"/>
          <w:lang w:eastAsia="x-none"/>
        </w:rPr>
        <w:t>firm</w:t>
      </w:r>
      <w:r w:rsidR="00D106CB">
        <w:rPr>
          <w:color w:val="000000"/>
          <w:lang w:eastAsia="x-none"/>
        </w:rPr>
        <w:t>-</w:t>
      </w:r>
      <w:r>
        <w:rPr>
          <w:color w:val="000000"/>
          <w:lang w:eastAsia="x-none"/>
        </w:rPr>
        <w:t xml:space="preserve">level </w:t>
      </w:r>
      <w:r w:rsidR="00B76579">
        <w:rPr>
          <w:color w:val="000000"/>
          <w:lang w:eastAsia="x-none"/>
        </w:rPr>
        <w:t>labor</w:t>
      </w:r>
      <w:r w:rsidRPr="00D34D7F">
        <w:rPr>
          <w:color w:val="000000"/>
          <w:lang w:eastAsia="x-none"/>
        </w:rPr>
        <w:t xml:space="preserve"> productivity (</w:t>
      </w:r>
      <w:r>
        <w:rPr>
          <w:i/>
          <w:iCs/>
          <w:color w:val="000000"/>
          <w:lang w:eastAsia="x-none"/>
        </w:rPr>
        <w:t>p</w:t>
      </w:r>
      <w:r w:rsidRPr="00535818">
        <w:rPr>
          <w:i/>
          <w:iCs/>
          <w:color w:val="000000"/>
          <w:lang w:eastAsia="x-none"/>
        </w:rPr>
        <w:t>roductivity</w:t>
      </w:r>
      <w:r w:rsidRPr="00D34D7F">
        <w:rPr>
          <w:color w:val="000000"/>
          <w:lang w:eastAsia="x-none"/>
        </w:rPr>
        <w:t>) measured as the sales (in € millions) per employee</w:t>
      </w:r>
      <w:r w:rsidR="00494046">
        <w:rPr>
          <w:color w:val="000000"/>
          <w:lang w:eastAsia="x-none"/>
        </w:rPr>
        <w:t xml:space="preserve"> (Ganotakis </w:t>
      </w:r>
      <w:r w:rsidR="004220A1">
        <w:t>&amp;</w:t>
      </w:r>
      <w:r w:rsidR="00494046" w:rsidRPr="00871343">
        <w:t xml:space="preserve"> </w:t>
      </w:r>
      <w:r w:rsidR="00494046">
        <w:rPr>
          <w:color w:val="000000"/>
          <w:lang w:eastAsia="x-none"/>
        </w:rPr>
        <w:t>Love, 2012)</w:t>
      </w:r>
      <w:r>
        <w:rPr>
          <w:color w:val="000000"/>
          <w:lang w:eastAsia="x-none"/>
        </w:rPr>
        <w:t xml:space="preserve"> and for the level of </w:t>
      </w:r>
      <w:r w:rsidRPr="00810D49">
        <w:rPr>
          <w:color w:val="000000"/>
          <w:lang w:eastAsia="x-none"/>
        </w:rPr>
        <w:t>employee skills</w:t>
      </w:r>
      <w:r>
        <w:rPr>
          <w:color w:val="000000"/>
          <w:lang w:eastAsia="x-none"/>
        </w:rPr>
        <w:t xml:space="preserve"> within a firm (</w:t>
      </w:r>
      <w:r w:rsidRPr="00CC7EA4">
        <w:rPr>
          <w:i/>
          <w:iCs/>
          <w:color w:val="000000"/>
          <w:lang w:eastAsia="x-none"/>
        </w:rPr>
        <w:t>human capital</w:t>
      </w:r>
      <w:r>
        <w:rPr>
          <w:color w:val="000000"/>
          <w:lang w:eastAsia="x-none"/>
        </w:rPr>
        <w:t>)</w:t>
      </w:r>
      <w:r w:rsidRPr="00D34D7F">
        <w:rPr>
          <w:color w:val="000000"/>
          <w:lang w:eastAsia="x-none"/>
        </w:rPr>
        <w:t xml:space="preserve"> </w:t>
      </w:r>
      <w:r>
        <w:rPr>
          <w:color w:val="000000"/>
          <w:lang w:eastAsia="x-none"/>
        </w:rPr>
        <w:t>proxied by</w:t>
      </w:r>
      <w:r w:rsidRPr="00D34D7F">
        <w:rPr>
          <w:color w:val="000000"/>
          <w:lang w:eastAsia="x-none"/>
        </w:rPr>
        <w:t xml:space="preserve"> the percentage of employees with degrees</w:t>
      </w:r>
      <w:r w:rsidR="00494046">
        <w:rPr>
          <w:color w:val="000000"/>
          <w:lang w:eastAsia="x-none"/>
        </w:rPr>
        <w:t xml:space="preserve"> (Love et al., 2014)</w:t>
      </w:r>
      <w:r>
        <w:rPr>
          <w:color w:val="000000"/>
          <w:lang w:eastAsia="x-none"/>
        </w:rPr>
        <w:t>. We also controlled for various aspects of a firm’s innovative activity</w:t>
      </w:r>
      <w:r w:rsidR="00494046">
        <w:rPr>
          <w:color w:val="000000"/>
          <w:lang w:eastAsia="x-none"/>
        </w:rPr>
        <w:t xml:space="preserve">, as those have been found to affect export propensity but also intensity </w:t>
      </w:r>
      <w:r w:rsidR="00494046">
        <w:rPr>
          <w:color w:val="000000"/>
          <w:lang w:eastAsia="x-none"/>
        </w:rPr>
        <w:lastRenderedPageBreak/>
        <w:t xml:space="preserve">(Ganotakis </w:t>
      </w:r>
      <w:r w:rsidR="00EA2614">
        <w:t>&amp;</w:t>
      </w:r>
      <w:r w:rsidR="00494046" w:rsidRPr="00871343">
        <w:t xml:space="preserve"> </w:t>
      </w:r>
      <w:r w:rsidR="00494046">
        <w:rPr>
          <w:color w:val="000000"/>
          <w:lang w:eastAsia="x-none"/>
        </w:rPr>
        <w:t>Love, 2011)</w:t>
      </w:r>
      <w:r w:rsidR="0035023B">
        <w:rPr>
          <w:color w:val="000000"/>
          <w:lang w:eastAsia="x-none"/>
        </w:rPr>
        <w:t>. These include</w:t>
      </w:r>
      <w:r>
        <w:rPr>
          <w:color w:val="000000"/>
          <w:lang w:eastAsia="x-none"/>
        </w:rPr>
        <w:t xml:space="preserve"> </w:t>
      </w:r>
      <w:r w:rsidRPr="00CC7EA4">
        <w:rPr>
          <w:i/>
          <w:iCs/>
          <w:color w:val="000000"/>
          <w:lang w:eastAsia="x-none"/>
        </w:rPr>
        <w:t>R&amp;D intensity</w:t>
      </w:r>
      <w:r>
        <w:rPr>
          <w:color w:val="000000"/>
          <w:lang w:eastAsia="x-none"/>
        </w:rPr>
        <w:t xml:space="preserve"> </w:t>
      </w:r>
      <w:r w:rsidR="00600F9B">
        <w:rPr>
          <w:color w:val="000000"/>
          <w:lang w:eastAsia="x-none"/>
        </w:rPr>
        <w:t xml:space="preserve">measured as </w:t>
      </w:r>
      <w:r w:rsidRPr="002F7AF8">
        <w:rPr>
          <w:color w:val="000000"/>
          <w:lang w:eastAsia="x-none"/>
        </w:rPr>
        <w:t xml:space="preserve">expenditure in internal </w:t>
      </w:r>
      <w:r>
        <w:rPr>
          <w:color w:val="000000"/>
          <w:lang w:eastAsia="x-none"/>
        </w:rPr>
        <w:t xml:space="preserve">and external </w:t>
      </w:r>
      <w:r w:rsidRPr="002F7AF8">
        <w:rPr>
          <w:color w:val="000000"/>
          <w:lang w:eastAsia="x-none"/>
        </w:rPr>
        <w:t xml:space="preserve">R&amp;D over the </w:t>
      </w:r>
      <w:r>
        <w:rPr>
          <w:color w:val="000000"/>
          <w:lang w:eastAsia="x-none"/>
        </w:rPr>
        <w:t>number of employees</w:t>
      </w:r>
      <w:r w:rsidR="00600F9B">
        <w:rPr>
          <w:color w:val="000000"/>
          <w:lang w:eastAsia="x-none"/>
        </w:rPr>
        <w:t xml:space="preserve"> (w</w:t>
      </w:r>
      <w:r w:rsidR="00600F9B" w:rsidRPr="00600F9B">
        <w:rPr>
          <w:color w:val="000000"/>
          <w:lang w:eastAsia="x-none"/>
        </w:rPr>
        <w:t xml:space="preserve">e </w:t>
      </w:r>
      <w:r w:rsidR="00B76579">
        <w:rPr>
          <w:color w:val="000000"/>
          <w:lang w:eastAsia="x-none"/>
        </w:rPr>
        <w:t>normalized</w:t>
      </w:r>
      <w:r w:rsidR="00600F9B" w:rsidRPr="00600F9B">
        <w:rPr>
          <w:color w:val="000000"/>
          <w:lang w:eastAsia="x-none"/>
        </w:rPr>
        <w:t xml:space="preserve"> this variable, so the estimated coefficients are </w:t>
      </w:r>
      <w:r w:rsidR="0035023B">
        <w:rPr>
          <w:color w:val="000000"/>
          <w:lang w:eastAsia="x-none"/>
        </w:rPr>
        <w:t>easier to interpret</w:t>
      </w:r>
      <w:r w:rsidR="00B613EE">
        <w:rPr>
          <w:color w:val="000000"/>
          <w:lang w:eastAsia="x-none"/>
        </w:rPr>
        <w:t>)</w:t>
      </w:r>
      <w:r w:rsidR="0035023B">
        <w:rPr>
          <w:color w:val="000000"/>
          <w:lang w:eastAsia="x-none"/>
        </w:rPr>
        <w:t xml:space="preserve">; </w:t>
      </w:r>
      <w:r>
        <w:rPr>
          <w:color w:val="000000"/>
          <w:lang w:eastAsia="x-none"/>
        </w:rPr>
        <w:t xml:space="preserve">whether a firm has introduced a </w:t>
      </w:r>
      <w:r w:rsidRPr="003A46BA">
        <w:rPr>
          <w:i/>
          <w:iCs/>
          <w:color w:val="000000"/>
          <w:lang w:eastAsia="x-none"/>
        </w:rPr>
        <w:t>product innovation</w:t>
      </w:r>
      <w:r>
        <w:rPr>
          <w:i/>
          <w:iCs/>
          <w:color w:val="000000"/>
          <w:lang w:eastAsia="x-none"/>
        </w:rPr>
        <w:t xml:space="preserve"> </w:t>
      </w:r>
      <w:r w:rsidRPr="00FA2656">
        <w:rPr>
          <w:color w:val="000000"/>
          <w:lang w:eastAsia="x-none"/>
        </w:rPr>
        <w:t>(dummy variable)</w:t>
      </w:r>
      <w:r w:rsidR="00B76579">
        <w:rPr>
          <w:color w:val="000000"/>
          <w:lang w:eastAsia="x-none"/>
        </w:rPr>
        <w:t>,</w:t>
      </w:r>
      <w:r>
        <w:rPr>
          <w:i/>
          <w:iCs/>
          <w:color w:val="000000"/>
          <w:lang w:eastAsia="x-none"/>
        </w:rPr>
        <w:t xml:space="preserve"> </w:t>
      </w:r>
      <w:r w:rsidRPr="00FA2656">
        <w:rPr>
          <w:color w:val="000000"/>
          <w:lang w:eastAsia="x-none"/>
        </w:rPr>
        <w:t xml:space="preserve">and </w:t>
      </w:r>
      <w:r w:rsidRPr="00A126F3">
        <w:rPr>
          <w:color w:val="000000"/>
          <w:lang w:eastAsia="x-none"/>
        </w:rPr>
        <w:t xml:space="preserve">whether </w:t>
      </w:r>
      <w:r>
        <w:rPr>
          <w:color w:val="000000"/>
          <w:lang w:eastAsia="x-none"/>
        </w:rPr>
        <w:t>it</w:t>
      </w:r>
      <w:r w:rsidRPr="00A126F3">
        <w:rPr>
          <w:color w:val="000000"/>
          <w:lang w:eastAsia="x-none"/>
        </w:rPr>
        <w:t xml:space="preserve"> has introduced</w:t>
      </w:r>
      <w:r w:rsidRPr="003A46BA">
        <w:rPr>
          <w:i/>
          <w:iCs/>
          <w:color w:val="000000"/>
          <w:lang w:eastAsia="x-none"/>
        </w:rPr>
        <w:t xml:space="preserve"> </w:t>
      </w:r>
      <w:r>
        <w:rPr>
          <w:i/>
          <w:iCs/>
          <w:color w:val="000000"/>
          <w:lang w:eastAsia="x-none"/>
        </w:rPr>
        <w:t xml:space="preserve">a </w:t>
      </w:r>
      <w:r w:rsidRPr="003A46BA">
        <w:rPr>
          <w:i/>
          <w:iCs/>
          <w:color w:val="000000"/>
          <w:lang w:eastAsia="x-none"/>
        </w:rPr>
        <w:t>process innovation</w:t>
      </w:r>
      <w:r>
        <w:rPr>
          <w:i/>
          <w:iCs/>
          <w:color w:val="000000"/>
          <w:lang w:eastAsia="x-none"/>
        </w:rPr>
        <w:t xml:space="preserve"> </w:t>
      </w:r>
      <w:r w:rsidRPr="00FA2656">
        <w:rPr>
          <w:color w:val="000000"/>
          <w:lang w:eastAsia="x-none"/>
        </w:rPr>
        <w:t>(dummy variable).</w:t>
      </w:r>
      <w:r>
        <w:rPr>
          <w:color w:val="000000"/>
          <w:lang w:eastAsia="x-none"/>
        </w:rPr>
        <w:t xml:space="preserve"> </w:t>
      </w:r>
      <w:r w:rsidRPr="00440028">
        <w:rPr>
          <w:i/>
          <w:iCs/>
          <w:color w:val="000000"/>
          <w:lang w:eastAsia="x-none"/>
        </w:rPr>
        <w:t>Size</w:t>
      </w:r>
      <w:r>
        <w:rPr>
          <w:color w:val="000000"/>
          <w:lang w:eastAsia="x-none"/>
        </w:rPr>
        <w:t xml:space="preserve">, </w:t>
      </w:r>
      <w:r w:rsidRPr="000C7192">
        <w:rPr>
          <w:i/>
          <w:iCs/>
          <w:color w:val="000000"/>
          <w:lang w:eastAsia="x-none"/>
        </w:rPr>
        <w:t>productivit</w:t>
      </w:r>
      <w:r w:rsidRPr="00535818">
        <w:rPr>
          <w:i/>
          <w:iCs/>
          <w:color w:val="000000"/>
          <w:lang w:eastAsia="x-none"/>
        </w:rPr>
        <w:t>y,</w:t>
      </w:r>
      <w:r>
        <w:rPr>
          <w:i/>
          <w:iCs/>
          <w:color w:val="000000"/>
          <w:lang w:eastAsia="x-none"/>
        </w:rPr>
        <w:t xml:space="preserve"> </w:t>
      </w:r>
      <w:r w:rsidRPr="00535818">
        <w:rPr>
          <w:i/>
          <w:iCs/>
          <w:color w:val="000000"/>
          <w:lang w:eastAsia="x-none"/>
        </w:rPr>
        <w:t>R&amp;D intensity</w:t>
      </w:r>
      <w:r>
        <w:rPr>
          <w:i/>
          <w:iCs/>
          <w:color w:val="000000"/>
          <w:lang w:eastAsia="x-none"/>
        </w:rPr>
        <w:t xml:space="preserve">, </w:t>
      </w:r>
      <w:r w:rsidRPr="003A46BA">
        <w:rPr>
          <w:i/>
          <w:iCs/>
          <w:color w:val="000000"/>
          <w:lang w:eastAsia="x-none"/>
        </w:rPr>
        <w:t>product innovation</w:t>
      </w:r>
      <w:r w:rsidR="00B76579">
        <w:rPr>
          <w:i/>
          <w:iCs/>
          <w:color w:val="000000"/>
          <w:lang w:eastAsia="x-none"/>
        </w:rPr>
        <w:t>,</w:t>
      </w:r>
      <w:r>
        <w:rPr>
          <w:i/>
          <w:iCs/>
          <w:color w:val="000000"/>
          <w:lang w:eastAsia="x-none"/>
        </w:rPr>
        <w:t xml:space="preserve"> </w:t>
      </w:r>
      <w:r w:rsidRPr="000C7192">
        <w:rPr>
          <w:color w:val="000000"/>
          <w:lang w:eastAsia="x-none"/>
        </w:rPr>
        <w:t>and</w:t>
      </w:r>
      <w:r>
        <w:rPr>
          <w:color w:val="000000"/>
          <w:lang w:eastAsia="x-none"/>
        </w:rPr>
        <w:t xml:space="preserve"> </w:t>
      </w:r>
      <w:r w:rsidRPr="003A46BA">
        <w:rPr>
          <w:i/>
          <w:iCs/>
          <w:color w:val="000000"/>
          <w:lang w:eastAsia="x-none"/>
        </w:rPr>
        <w:t>process innovation</w:t>
      </w:r>
      <w:r>
        <w:rPr>
          <w:i/>
          <w:iCs/>
          <w:color w:val="000000"/>
          <w:lang w:eastAsia="x-none"/>
        </w:rPr>
        <w:t xml:space="preserve"> </w:t>
      </w:r>
      <w:r w:rsidRPr="00876EDB">
        <w:rPr>
          <w:color w:val="000000"/>
          <w:lang w:eastAsia="x-none"/>
        </w:rPr>
        <w:t>were all lagged by one year to maintain the causal relationship between export re-entry propensity and firm</w:t>
      </w:r>
      <w:r w:rsidR="00B76579">
        <w:rPr>
          <w:color w:val="000000"/>
          <w:lang w:eastAsia="x-none"/>
        </w:rPr>
        <w:t>-</w:t>
      </w:r>
      <w:r w:rsidRPr="00876EDB">
        <w:rPr>
          <w:color w:val="000000"/>
          <w:lang w:eastAsia="x-none"/>
        </w:rPr>
        <w:t xml:space="preserve">level explanatory variables. </w:t>
      </w:r>
      <w:r w:rsidR="0035023B">
        <w:rPr>
          <w:color w:val="000000"/>
          <w:lang w:eastAsia="x-none"/>
        </w:rPr>
        <w:t>T</w:t>
      </w:r>
      <w:r w:rsidRPr="00876EDB">
        <w:rPr>
          <w:color w:val="000000"/>
          <w:lang w:eastAsia="x-none"/>
        </w:rPr>
        <w:t xml:space="preserve">o account for </w:t>
      </w:r>
      <w:r>
        <w:rPr>
          <w:color w:val="000000"/>
          <w:lang w:eastAsia="x-none"/>
        </w:rPr>
        <w:t xml:space="preserve">market and </w:t>
      </w:r>
      <w:r w:rsidRPr="00876EDB">
        <w:rPr>
          <w:color w:val="000000"/>
          <w:lang w:eastAsia="x-none"/>
        </w:rPr>
        <w:t>industr</w:t>
      </w:r>
      <w:r>
        <w:rPr>
          <w:color w:val="000000"/>
          <w:lang w:eastAsia="x-none"/>
        </w:rPr>
        <w:t>y</w:t>
      </w:r>
      <w:r w:rsidRPr="00876EDB">
        <w:rPr>
          <w:color w:val="000000"/>
          <w:lang w:eastAsia="x-none"/>
        </w:rPr>
        <w:t xml:space="preserve"> conditions,</w:t>
      </w:r>
      <w:r w:rsidR="004C15E4">
        <w:rPr>
          <w:color w:val="000000"/>
          <w:lang w:eastAsia="x-none"/>
        </w:rPr>
        <w:t xml:space="preserve"> </w:t>
      </w:r>
      <w:r>
        <w:rPr>
          <w:color w:val="000000"/>
          <w:lang w:eastAsia="x-none"/>
        </w:rPr>
        <w:t>w</w:t>
      </w:r>
      <w:r w:rsidRPr="003E0023">
        <w:rPr>
          <w:color w:val="000000"/>
          <w:lang w:eastAsia="x-none"/>
        </w:rPr>
        <w:t>e included</w:t>
      </w:r>
      <w:r w:rsidR="004C15E4">
        <w:rPr>
          <w:color w:val="000000"/>
          <w:lang w:eastAsia="x-none"/>
        </w:rPr>
        <w:t xml:space="preserve"> the GDP growth in Spain </w:t>
      </w:r>
      <w:r w:rsidR="004C15E4" w:rsidRPr="00FA2656">
        <w:rPr>
          <w:color w:val="000000"/>
          <w:lang w:eastAsia="x-none"/>
        </w:rPr>
        <w:t>(</w:t>
      </w:r>
      <w:r w:rsidR="004C15E4">
        <w:rPr>
          <w:color w:val="000000"/>
          <w:lang w:eastAsia="x-none"/>
        </w:rPr>
        <w:t xml:space="preserve">year on year growth </w:t>
      </w:r>
      <w:r w:rsidR="004C15E4" w:rsidRPr="00FA2656">
        <w:rPr>
          <w:color w:val="000000"/>
          <w:lang w:eastAsia="x-none"/>
        </w:rPr>
        <w:t xml:space="preserve">in </w:t>
      </w:r>
      <w:r w:rsidR="004C15E4">
        <w:rPr>
          <w:color w:val="000000"/>
          <w:lang w:eastAsia="x-none"/>
        </w:rPr>
        <w:t>GDP</w:t>
      </w:r>
      <w:r w:rsidR="004C15E4" w:rsidRPr="00FA2656">
        <w:rPr>
          <w:color w:val="000000"/>
          <w:lang w:eastAsia="x-none"/>
        </w:rPr>
        <w:t>)</w:t>
      </w:r>
      <w:r w:rsidR="004C15E4">
        <w:rPr>
          <w:color w:val="000000"/>
          <w:lang w:eastAsia="x-none"/>
        </w:rPr>
        <w:t xml:space="preserve"> (</w:t>
      </w:r>
      <w:r w:rsidR="004C15E4" w:rsidRPr="00B67019">
        <w:rPr>
          <w:i/>
          <w:iCs/>
          <w:color w:val="000000"/>
          <w:lang w:eastAsia="x-none"/>
        </w:rPr>
        <w:t>Domestic market growth</w:t>
      </w:r>
      <w:r w:rsidR="004C15E4">
        <w:rPr>
          <w:color w:val="000000"/>
          <w:lang w:eastAsia="x-none"/>
        </w:rPr>
        <w:t>),</w:t>
      </w:r>
      <w:r w:rsidRPr="003E0023">
        <w:rPr>
          <w:color w:val="000000"/>
          <w:lang w:eastAsia="x-none"/>
        </w:rPr>
        <w:t xml:space="preserve"> </w:t>
      </w:r>
      <w:r>
        <w:rPr>
          <w:color w:val="000000"/>
          <w:lang w:eastAsia="x-none"/>
        </w:rPr>
        <w:t xml:space="preserve">domestic </w:t>
      </w:r>
      <w:r w:rsidRPr="003E0023">
        <w:rPr>
          <w:color w:val="000000"/>
          <w:lang w:eastAsia="x-none"/>
        </w:rPr>
        <w:t>industry growth</w:t>
      </w:r>
      <w:r>
        <w:rPr>
          <w:color w:val="000000"/>
          <w:lang w:eastAsia="x-none"/>
        </w:rPr>
        <w:t xml:space="preserve"> </w:t>
      </w:r>
      <w:r w:rsidRPr="00FA2656">
        <w:rPr>
          <w:color w:val="000000"/>
          <w:lang w:eastAsia="x-none"/>
        </w:rPr>
        <w:t>(</w:t>
      </w:r>
      <w:r>
        <w:rPr>
          <w:color w:val="000000"/>
          <w:lang w:eastAsia="x-none"/>
        </w:rPr>
        <w:t xml:space="preserve">year on year growth </w:t>
      </w:r>
      <w:r w:rsidRPr="00FA2656">
        <w:rPr>
          <w:color w:val="000000"/>
          <w:lang w:eastAsia="x-none"/>
        </w:rPr>
        <w:t>in turnover)</w:t>
      </w:r>
      <w:r>
        <w:rPr>
          <w:color w:val="000000"/>
          <w:lang w:eastAsia="x-none"/>
        </w:rPr>
        <w:t xml:space="preserve"> (</w:t>
      </w:r>
      <w:r w:rsidRPr="00CC7EA4">
        <w:rPr>
          <w:i/>
          <w:iCs/>
          <w:color w:val="000000"/>
          <w:lang w:eastAsia="x-none"/>
        </w:rPr>
        <w:t>Sectoral Growth</w:t>
      </w:r>
      <w:r>
        <w:rPr>
          <w:color w:val="000000"/>
          <w:lang w:eastAsia="x-none"/>
        </w:rPr>
        <w:t>)</w:t>
      </w:r>
      <w:r w:rsidRPr="003E0023">
        <w:rPr>
          <w:color w:val="000000"/>
          <w:lang w:eastAsia="x-none"/>
        </w:rPr>
        <w:t xml:space="preserve"> to control for industry</w:t>
      </w:r>
      <w:r w:rsidR="00B76579">
        <w:rPr>
          <w:color w:val="000000"/>
          <w:lang w:eastAsia="x-none"/>
        </w:rPr>
        <w:t>-</w:t>
      </w:r>
      <w:r w:rsidRPr="003E0023">
        <w:rPr>
          <w:color w:val="000000"/>
          <w:lang w:eastAsia="x-none"/>
        </w:rPr>
        <w:t>specific performance</w:t>
      </w:r>
      <w:r w:rsidR="00494046">
        <w:rPr>
          <w:color w:val="000000"/>
          <w:lang w:eastAsia="x-none"/>
        </w:rPr>
        <w:t xml:space="preserve"> (Bernini et al., 2016)</w:t>
      </w:r>
      <w:r w:rsidRPr="003E0023">
        <w:rPr>
          <w:color w:val="000000"/>
          <w:lang w:eastAsia="x-none"/>
        </w:rPr>
        <w:t xml:space="preserve"> and industry business cycle effect</w:t>
      </w:r>
      <w:r>
        <w:rPr>
          <w:color w:val="000000"/>
          <w:lang w:eastAsia="x-none"/>
        </w:rPr>
        <w:t>s as well as</w:t>
      </w:r>
      <w:r w:rsidRPr="00391857">
        <w:rPr>
          <w:color w:val="000000"/>
          <w:lang w:eastAsia="x-none"/>
        </w:rPr>
        <w:t xml:space="preserve"> the industry level concentration ratio (</w:t>
      </w:r>
      <w:r w:rsidRPr="00391857">
        <w:rPr>
          <w:i/>
          <w:iCs/>
          <w:color w:val="000000"/>
          <w:lang w:eastAsia="x-none"/>
        </w:rPr>
        <w:t>Concentration</w:t>
      </w:r>
      <w:r w:rsidRPr="00391857">
        <w:rPr>
          <w:color w:val="000000"/>
          <w:lang w:eastAsia="x-none"/>
        </w:rPr>
        <w:t xml:space="preserve">) </w:t>
      </w:r>
      <w:r>
        <w:rPr>
          <w:color w:val="000000"/>
          <w:lang w:eastAsia="x-none"/>
        </w:rPr>
        <w:t>measured as the market share of the 3 largest firms</w:t>
      </w:r>
      <w:r w:rsidR="00494046">
        <w:rPr>
          <w:color w:val="000000"/>
          <w:lang w:eastAsia="x-none"/>
        </w:rPr>
        <w:t xml:space="preserve"> (Henisz </w:t>
      </w:r>
      <w:r w:rsidR="00D8332B">
        <w:t>&amp;</w:t>
      </w:r>
      <w:r w:rsidR="00494046" w:rsidRPr="00871343">
        <w:t xml:space="preserve"> </w:t>
      </w:r>
      <w:r w:rsidR="00494046">
        <w:rPr>
          <w:color w:val="000000"/>
          <w:lang w:eastAsia="x-none"/>
        </w:rPr>
        <w:t>Delios, 2004)</w:t>
      </w:r>
      <w:r w:rsidRPr="00391857">
        <w:rPr>
          <w:color w:val="000000"/>
          <w:lang w:eastAsia="x-none"/>
        </w:rPr>
        <w:t>.</w:t>
      </w:r>
      <w:r>
        <w:rPr>
          <w:color w:val="000000"/>
          <w:lang w:eastAsia="x-none"/>
        </w:rPr>
        <w:t xml:space="preserve"> </w:t>
      </w:r>
      <w:r w:rsidR="004C15E4">
        <w:rPr>
          <w:color w:val="000000"/>
          <w:lang w:eastAsia="x-none"/>
        </w:rPr>
        <w:t xml:space="preserve">Following </w:t>
      </w:r>
      <w:r w:rsidR="008A6AF2">
        <w:rPr>
          <w:color w:val="000000"/>
          <w:lang w:eastAsia="x-none"/>
        </w:rPr>
        <w:t>Bernini et. al. (2016), w</w:t>
      </w:r>
      <w:r w:rsidR="008A6AF2" w:rsidRPr="003E0023">
        <w:rPr>
          <w:color w:val="000000"/>
          <w:lang w:eastAsia="x-none"/>
        </w:rPr>
        <w:t xml:space="preserve">e </w:t>
      </w:r>
      <w:r w:rsidR="008A6AF2">
        <w:rPr>
          <w:color w:val="000000"/>
          <w:lang w:eastAsia="x-none"/>
        </w:rPr>
        <w:t xml:space="preserve">also </w:t>
      </w:r>
      <w:r w:rsidR="008A6AF2" w:rsidRPr="003E0023">
        <w:rPr>
          <w:color w:val="000000"/>
          <w:lang w:eastAsia="x-none"/>
        </w:rPr>
        <w:t>included</w:t>
      </w:r>
      <w:r w:rsidR="008A6AF2">
        <w:rPr>
          <w:color w:val="000000"/>
          <w:lang w:eastAsia="x-none"/>
        </w:rPr>
        <w:t xml:space="preserve"> the GDP growth in Spain at the time of exit (</w:t>
      </w:r>
      <w:r w:rsidR="008A6AF2" w:rsidRPr="002F2D26">
        <w:rPr>
          <w:i/>
          <w:iCs/>
          <w:color w:val="000000"/>
          <w:lang w:eastAsia="x-none"/>
        </w:rPr>
        <w:t>Domestic market growth</w:t>
      </w:r>
      <w:r w:rsidR="008A6AF2">
        <w:rPr>
          <w:i/>
          <w:iCs/>
          <w:color w:val="000000"/>
          <w:lang w:eastAsia="x-none"/>
        </w:rPr>
        <w:t xml:space="preserve"> at exit</w:t>
      </w:r>
      <w:r w:rsidR="008A6AF2">
        <w:rPr>
          <w:color w:val="000000"/>
          <w:lang w:eastAsia="x-none"/>
        </w:rPr>
        <w:t>)</w:t>
      </w:r>
      <w:r w:rsidR="0035023B">
        <w:rPr>
          <w:color w:val="000000"/>
          <w:lang w:eastAsia="x-none"/>
        </w:rPr>
        <w:t xml:space="preserve"> and</w:t>
      </w:r>
      <w:r w:rsidR="008A6AF2">
        <w:rPr>
          <w:color w:val="000000"/>
          <w:lang w:eastAsia="x-none"/>
        </w:rPr>
        <w:t xml:space="preserve"> </w:t>
      </w:r>
      <w:r w:rsidRPr="003E0023">
        <w:rPr>
          <w:color w:val="000000"/>
          <w:lang w:eastAsia="x-none"/>
        </w:rPr>
        <w:t xml:space="preserve">a series of </w:t>
      </w:r>
      <w:r>
        <w:rPr>
          <w:color w:val="000000"/>
          <w:lang w:eastAsia="x-none"/>
        </w:rPr>
        <w:t xml:space="preserve">industry </w:t>
      </w:r>
      <w:r w:rsidRPr="003E0023">
        <w:rPr>
          <w:color w:val="000000"/>
          <w:lang w:eastAsia="x-none"/>
        </w:rPr>
        <w:t>dummy variables.</w:t>
      </w:r>
      <w:r>
        <w:rPr>
          <w:color w:val="000000"/>
          <w:lang w:eastAsia="x-none"/>
        </w:rPr>
        <w:t xml:space="preserve"> </w:t>
      </w:r>
    </w:p>
    <w:p w14:paraId="26D0D087" w14:textId="77777777" w:rsidR="00801820" w:rsidRDefault="00801820" w:rsidP="00801820">
      <w:pPr>
        <w:spacing w:line="480" w:lineRule="auto"/>
        <w:ind w:firstLine="425"/>
        <w:rPr>
          <w:color w:val="000000"/>
          <w:lang w:eastAsia="x-none"/>
        </w:rPr>
      </w:pPr>
    </w:p>
    <w:p w14:paraId="33DC936D" w14:textId="3429C913" w:rsidR="00801820" w:rsidRPr="00455E95" w:rsidRDefault="00801820" w:rsidP="00801820">
      <w:pPr>
        <w:spacing w:line="480" w:lineRule="auto"/>
        <w:rPr>
          <w:b/>
          <w:bCs/>
          <w:color w:val="000000"/>
          <w:lang w:eastAsia="x-none"/>
        </w:rPr>
      </w:pPr>
      <w:r w:rsidRPr="00455E95">
        <w:rPr>
          <w:b/>
          <w:bCs/>
          <w:color w:val="000000"/>
          <w:lang w:eastAsia="x-none"/>
        </w:rPr>
        <w:t xml:space="preserve">3.3 Model specification: </w:t>
      </w:r>
      <w:r w:rsidR="00B76579">
        <w:rPr>
          <w:b/>
          <w:bCs/>
          <w:color w:val="000000"/>
          <w:lang w:eastAsia="x-none"/>
        </w:rPr>
        <w:t>modeling</w:t>
      </w:r>
      <w:r w:rsidRPr="00455E95">
        <w:rPr>
          <w:b/>
          <w:bCs/>
          <w:color w:val="000000"/>
          <w:lang w:eastAsia="x-none"/>
        </w:rPr>
        <w:t xml:space="preserve"> export performance after export re-entry</w:t>
      </w:r>
    </w:p>
    <w:p w14:paraId="26EABDF6" w14:textId="72688310" w:rsidR="008F1CAA" w:rsidRDefault="00801820" w:rsidP="008F1CAA">
      <w:pPr>
        <w:spacing w:line="480" w:lineRule="auto"/>
        <w:ind w:firstLine="284"/>
        <w:rPr>
          <w:color w:val="000000"/>
          <w:lang w:eastAsia="x-none"/>
        </w:rPr>
      </w:pPr>
      <w:r w:rsidRPr="00F1641F">
        <w:rPr>
          <w:color w:val="000000"/>
          <w:lang w:eastAsia="x-none"/>
        </w:rPr>
        <w:t xml:space="preserve">The </w:t>
      </w:r>
      <w:r>
        <w:rPr>
          <w:color w:val="000000"/>
          <w:lang w:eastAsia="x-none"/>
        </w:rPr>
        <w:t>second</w:t>
      </w:r>
      <w:r w:rsidRPr="00F1641F">
        <w:rPr>
          <w:color w:val="000000"/>
          <w:lang w:eastAsia="x-none"/>
        </w:rPr>
        <w:t xml:space="preserve"> stage of our analysis involves </w:t>
      </w:r>
      <w:r w:rsidR="00B76579">
        <w:rPr>
          <w:color w:val="000000"/>
          <w:lang w:eastAsia="x-none"/>
        </w:rPr>
        <w:t>modeling</w:t>
      </w:r>
      <w:r w:rsidRPr="00F1641F">
        <w:rPr>
          <w:color w:val="000000"/>
          <w:lang w:eastAsia="x-none"/>
        </w:rPr>
        <w:t xml:space="preserve"> </w:t>
      </w:r>
      <w:r>
        <w:rPr>
          <w:color w:val="000000"/>
          <w:lang w:eastAsia="x-none"/>
        </w:rPr>
        <w:t>e</w:t>
      </w:r>
      <w:r w:rsidRPr="00C5401C">
        <w:rPr>
          <w:color w:val="000000"/>
          <w:lang w:eastAsia="x-none"/>
        </w:rPr>
        <w:t xml:space="preserve">xport performance </w:t>
      </w:r>
      <w:r>
        <w:rPr>
          <w:color w:val="000000"/>
          <w:lang w:eastAsia="x-none"/>
        </w:rPr>
        <w:t>following</w:t>
      </w:r>
      <w:r w:rsidRPr="00C5401C">
        <w:rPr>
          <w:color w:val="000000"/>
          <w:lang w:eastAsia="x-none"/>
        </w:rPr>
        <w:t xml:space="preserve"> export re-entry</w:t>
      </w:r>
      <w:r w:rsidRPr="00F1641F">
        <w:rPr>
          <w:color w:val="000000"/>
          <w:lang w:eastAsia="x-none"/>
        </w:rPr>
        <w:t xml:space="preserve">. </w:t>
      </w:r>
      <w:r>
        <w:rPr>
          <w:color w:val="000000"/>
          <w:lang w:eastAsia="x-none"/>
        </w:rPr>
        <w:t>Here, we concentrate on firms</w:t>
      </w:r>
      <w:r w:rsidRPr="00F1641F">
        <w:rPr>
          <w:color w:val="000000"/>
          <w:lang w:eastAsia="x-none"/>
        </w:rPr>
        <w:t xml:space="preserve"> that </w:t>
      </w:r>
      <w:r>
        <w:rPr>
          <w:color w:val="000000"/>
          <w:lang w:eastAsia="x-none"/>
        </w:rPr>
        <w:t>restarted</w:t>
      </w:r>
      <w:r w:rsidRPr="00F1641F">
        <w:rPr>
          <w:color w:val="000000"/>
          <w:lang w:eastAsia="x-none"/>
        </w:rPr>
        <w:t xml:space="preserve"> export</w:t>
      </w:r>
      <w:r>
        <w:rPr>
          <w:color w:val="000000"/>
          <w:lang w:eastAsia="x-none"/>
        </w:rPr>
        <w:t>ing</w:t>
      </w:r>
      <w:r w:rsidRPr="00F1641F">
        <w:rPr>
          <w:color w:val="000000"/>
          <w:lang w:eastAsia="x-none"/>
        </w:rPr>
        <w:t xml:space="preserve"> and we </w:t>
      </w:r>
      <w:r>
        <w:rPr>
          <w:color w:val="000000"/>
          <w:lang w:eastAsia="x-none"/>
        </w:rPr>
        <w:t>examine their export performance in the first year of re-entry</w:t>
      </w:r>
      <w:r w:rsidR="00101DA0">
        <w:rPr>
          <w:color w:val="000000"/>
          <w:lang w:eastAsia="x-none"/>
        </w:rPr>
        <w:t xml:space="preserve">. We measure export performance </w:t>
      </w:r>
      <w:r w:rsidR="00EF5699">
        <w:rPr>
          <w:color w:val="000000"/>
          <w:lang w:eastAsia="x-none"/>
        </w:rPr>
        <w:t xml:space="preserve">as </w:t>
      </w:r>
      <w:r w:rsidR="005F0FBA">
        <w:rPr>
          <w:color w:val="000000"/>
          <w:lang w:eastAsia="x-none"/>
        </w:rPr>
        <w:t xml:space="preserve">the </w:t>
      </w:r>
      <w:r w:rsidR="00652D9C">
        <w:rPr>
          <w:color w:val="000000"/>
          <w:lang w:eastAsia="x-none"/>
        </w:rPr>
        <w:t xml:space="preserve">log of </w:t>
      </w:r>
      <w:r>
        <w:rPr>
          <w:color w:val="000000"/>
          <w:lang w:eastAsia="x-none"/>
        </w:rPr>
        <w:t>sales from exporting (</w:t>
      </w:r>
      <w:r w:rsidR="006A2C99">
        <w:rPr>
          <w:color w:val="000000"/>
          <w:lang w:eastAsia="x-none"/>
        </w:rPr>
        <w:t>Chen et al., 2019</w:t>
      </w:r>
      <w:r>
        <w:rPr>
          <w:color w:val="000000"/>
          <w:lang w:eastAsia="x-none"/>
        </w:rPr>
        <w:t xml:space="preserve">). </w:t>
      </w:r>
      <w:r w:rsidR="00101DA0">
        <w:rPr>
          <w:color w:val="000000"/>
          <w:lang w:eastAsia="x-none"/>
        </w:rPr>
        <w:t xml:space="preserve">This is an established, appropriate and direct measure of </w:t>
      </w:r>
      <w:r w:rsidR="000E18F2">
        <w:rPr>
          <w:color w:val="000000"/>
          <w:lang w:eastAsia="x-none"/>
        </w:rPr>
        <w:t>market</w:t>
      </w:r>
      <w:r w:rsidR="00F86CF3">
        <w:rPr>
          <w:color w:val="000000"/>
          <w:lang w:eastAsia="x-none"/>
        </w:rPr>
        <w:t>-</w:t>
      </w:r>
      <w:r w:rsidR="000E18F2">
        <w:rPr>
          <w:color w:val="000000"/>
          <w:lang w:eastAsia="x-none"/>
        </w:rPr>
        <w:t>related</w:t>
      </w:r>
      <w:r w:rsidR="00F86CF3">
        <w:rPr>
          <w:color w:val="000000"/>
          <w:lang w:eastAsia="x-none"/>
        </w:rPr>
        <w:t xml:space="preserve"> </w:t>
      </w:r>
      <w:r w:rsidR="00101DA0">
        <w:rPr>
          <w:color w:val="000000"/>
          <w:lang w:eastAsia="x-none"/>
        </w:rPr>
        <w:t>export performance</w:t>
      </w:r>
      <w:r w:rsidR="00283539">
        <w:rPr>
          <w:color w:val="000000"/>
          <w:lang w:eastAsia="x-none"/>
        </w:rPr>
        <w:t xml:space="preserve"> (Sousa, 2004).</w:t>
      </w:r>
      <w:r w:rsidR="00101DA0">
        <w:rPr>
          <w:color w:val="000000"/>
          <w:lang w:eastAsia="x-none"/>
        </w:rPr>
        <w:t xml:space="preserve"> </w:t>
      </w:r>
    </w:p>
    <w:p w14:paraId="301081E8" w14:textId="2E51D9D1" w:rsidR="00801820" w:rsidRPr="0009716A" w:rsidRDefault="005A750B" w:rsidP="0009716A">
      <w:pPr>
        <w:spacing w:line="480" w:lineRule="auto"/>
        <w:ind w:firstLine="284"/>
        <w:rPr>
          <w:color w:val="000000"/>
          <w:lang w:eastAsia="x-none"/>
        </w:rPr>
      </w:pPr>
      <w:r>
        <w:rPr>
          <w:color w:val="000000"/>
          <w:lang w:eastAsia="x-none"/>
        </w:rPr>
        <w:t xml:space="preserve">We </w:t>
      </w:r>
      <w:r w:rsidR="00801820" w:rsidRPr="00F1641F">
        <w:rPr>
          <w:color w:val="000000"/>
          <w:lang w:eastAsia="x-none"/>
        </w:rPr>
        <w:t xml:space="preserve">use a </w:t>
      </w:r>
      <w:r w:rsidR="009B6857">
        <w:rPr>
          <w:color w:val="000000"/>
          <w:lang w:eastAsia="x-none"/>
        </w:rPr>
        <w:t>random effect model to estimate the</w:t>
      </w:r>
      <w:r w:rsidR="00801820" w:rsidRPr="00F1641F">
        <w:rPr>
          <w:color w:val="000000"/>
          <w:lang w:eastAsia="x-none"/>
        </w:rPr>
        <w:t xml:space="preserve"> model.</w:t>
      </w:r>
      <w:r w:rsidR="00801820">
        <w:rPr>
          <w:color w:val="000000"/>
          <w:lang w:eastAsia="x-none"/>
        </w:rPr>
        <w:t xml:space="preserve"> Again, our key explanatory variable is the time</w:t>
      </w:r>
      <w:r w:rsidR="00375772">
        <w:rPr>
          <w:color w:val="000000"/>
          <w:lang w:eastAsia="x-none"/>
        </w:rPr>
        <w:t>-</w:t>
      </w:r>
      <w:r w:rsidR="00801820">
        <w:rPr>
          <w:color w:val="000000"/>
          <w:lang w:eastAsia="x-none"/>
        </w:rPr>
        <w:t>out period, i.e.</w:t>
      </w:r>
      <w:r w:rsidR="00C37E1A">
        <w:rPr>
          <w:color w:val="000000"/>
          <w:lang w:eastAsia="x-none"/>
        </w:rPr>
        <w:t>,</w:t>
      </w:r>
      <w:r w:rsidR="00801820">
        <w:rPr>
          <w:color w:val="000000"/>
          <w:lang w:eastAsia="x-none"/>
        </w:rPr>
        <w:t xml:space="preserve"> </w:t>
      </w:r>
      <w:r w:rsidR="00B76579">
        <w:rPr>
          <w:color w:val="000000"/>
          <w:lang w:eastAsia="x-none"/>
        </w:rPr>
        <w:t xml:space="preserve">the </w:t>
      </w:r>
      <w:r w:rsidR="00801820">
        <w:rPr>
          <w:color w:val="000000"/>
          <w:lang w:eastAsia="x-none"/>
        </w:rPr>
        <w:t>number of years since the firm stopped exporting to the time that they re-started exporting. Similar to the first stage, we use c</w:t>
      </w:r>
      <w:r w:rsidR="00801820" w:rsidRPr="00180F6A">
        <w:rPr>
          <w:i/>
          <w:iCs/>
          <w:color w:val="000000"/>
          <w:lang w:eastAsia="x-none"/>
        </w:rPr>
        <w:t>ollaboration</w:t>
      </w:r>
      <w:r w:rsidR="00801820">
        <w:rPr>
          <w:color w:val="000000"/>
          <w:lang w:eastAsia="x-none"/>
        </w:rPr>
        <w:t xml:space="preserve"> to </w:t>
      </w:r>
      <w:r w:rsidR="00801820" w:rsidRPr="00180F6A">
        <w:rPr>
          <w:color w:val="000000"/>
          <w:lang w:eastAsia="x-none"/>
        </w:rPr>
        <w:t>test our moderating hypotheses</w:t>
      </w:r>
      <w:r w:rsidR="00801820">
        <w:rPr>
          <w:color w:val="000000"/>
          <w:lang w:eastAsia="x-none"/>
        </w:rPr>
        <w:t xml:space="preserve">. We controlled for </w:t>
      </w:r>
      <w:r w:rsidR="00BD291B">
        <w:rPr>
          <w:color w:val="000000"/>
          <w:lang w:eastAsia="x-none"/>
        </w:rPr>
        <w:t>several</w:t>
      </w:r>
      <w:r w:rsidR="00801820">
        <w:rPr>
          <w:color w:val="000000"/>
          <w:lang w:eastAsia="x-none"/>
        </w:rPr>
        <w:t xml:space="preserve"> variables that </w:t>
      </w:r>
      <w:r w:rsidR="00583D0C">
        <w:rPr>
          <w:color w:val="000000"/>
          <w:lang w:eastAsia="x-none"/>
        </w:rPr>
        <w:t>can</w:t>
      </w:r>
      <w:r w:rsidR="00801820">
        <w:rPr>
          <w:color w:val="000000"/>
          <w:lang w:eastAsia="x-none"/>
        </w:rPr>
        <w:t xml:space="preserve"> affect export re-entry performance, such as </w:t>
      </w:r>
      <w:r w:rsidR="00801820" w:rsidRPr="00B31970">
        <w:rPr>
          <w:i/>
          <w:iCs/>
          <w:color w:val="000000"/>
          <w:lang w:eastAsia="x-none"/>
        </w:rPr>
        <w:t>firm</w:t>
      </w:r>
      <w:r w:rsidR="00801820">
        <w:rPr>
          <w:color w:val="000000"/>
          <w:lang w:eastAsia="x-none"/>
        </w:rPr>
        <w:t xml:space="preserve"> </w:t>
      </w:r>
      <w:r w:rsidR="00801820" w:rsidRPr="009A155A">
        <w:rPr>
          <w:i/>
          <w:iCs/>
          <w:color w:val="000000"/>
          <w:lang w:eastAsia="x-none"/>
        </w:rPr>
        <w:t>size</w:t>
      </w:r>
      <w:r w:rsidR="00801820">
        <w:rPr>
          <w:color w:val="000000"/>
          <w:lang w:eastAsia="x-none"/>
        </w:rPr>
        <w:t xml:space="preserve"> and </w:t>
      </w:r>
      <w:r w:rsidR="00801820" w:rsidRPr="00AF2B3A">
        <w:rPr>
          <w:i/>
          <w:iCs/>
          <w:color w:val="000000"/>
          <w:lang w:eastAsia="x-none"/>
        </w:rPr>
        <w:t>age</w:t>
      </w:r>
      <w:r w:rsidR="00801820">
        <w:rPr>
          <w:i/>
          <w:iCs/>
          <w:color w:val="000000"/>
          <w:lang w:eastAsia="x-none"/>
        </w:rPr>
        <w:t>,</w:t>
      </w:r>
      <w:r w:rsidR="00801820">
        <w:rPr>
          <w:color w:val="000000"/>
          <w:lang w:eastAsia="x-none"/>
        </w:rPr>
        <w:t xml:space="preserve"> </w:t>
      </w:r>
      <w:r w:rsidR="00801820" w:rsidRPr="00AF2B3A">
        <w:rPr>
          <w:i/>
          <w:iCs/>
          <w:color w:val="000000"/>
          <w:lang w:eastAsia="x-none"/>
        </w:rPr>
        <w:t>export performance before exit</w:t>
      </w:r>
      <w:r w:rsidR="00801820">
        <w:rPr>
          <w:color w:val="000000"/>
          <w:lang w:eastAsia="x-none"/>
        </w:rPr>
        <w:t xml:space="preserve">, </w:t>
      </w:r>
      <w:r w:rsidR="00801820" w:rsidRPr="00BF2224">
        <w:rPr>
          <w:i/>
          <w:iCs/>
          <w:color w:val="000000"/>
          <w:lang w:eastAsia="x-none"/>
        </w:rPr>
        <w:t>human capital</w:t>
      </w:r>
      <w:r w:rsidR="00801820">
        <w:rPr>
          <w:color w:val="000000"/>
          <w:lang w:eastAsia="x-none"/>
        </w:rPr>
        <w:t xml:space="preserve">, </w:t>
      </w:r>
      <w:r w:rsidR="00801820" w:rsidRPr="008B016A">
        <w:rPr>
          <w:i/>
          <w:iCs/>
          <w:color w:val="000000"/>
          <w:lang w:eastAsia="x-none"/>
        </w:rPr>
        <w:t>R&amp;D intensity</w:t>
      </w:r>
      <w:r w:rsidR="00801820">
        <w:rPr>
          <w:color w:val="000000"/>
          <w:lang w:eastAsia="x-none"/>
        </w:rPr>
        <w:t xml:space="preserve">, </w:t>
      </w:r>
      <w:r w:rsidR="00801820">
        <w:rPr>
          <w:color w:val="000000"/>
          <w:lang w:eastAsia="x-none"/>
        </w:rPr>
        <w:lastRenderedPageBreak/>
        <w:t xml:space="preserve">whether the firm has introduced a </w:t>
      </w:r>
      <w:r w:rsidR="00801820" w:rsidRPr="003A46BA">
        <w:rPr>
          <w:i/>
          <w:iCs/>
          <w:color w:val="000000"/>
          <w:lang w:eastAsia="x-none"/>
        </w:rPr>
        <w:t>product innovation</w:t>
      </w:r>
      <w:r w:rsidR="00B76579">
        <w:rPr>
          <w:i/>
          <w:iCs/>
          <w:color w:val="000000"/>
          <w:lang w:eastAsia="x-none"/>
        </w:rPr>
        <w:t>,</w:t>
      </w:r>
      <w:r w:rsidR="00801820">
        <w:rPr>
          <w:color w:val="000000"/>
          <w:lang w:eastAsia="x-none"/>
        </w:rPr>
        <w:t xml:space="preserve"> and whether it has introduced a </w:t>
      </w:r>
      <w:r w:rsidR="00801820" w:rsidRPr="003A46BA">
        <w:rPr>
          <w:i/>
          <w:iCs/>
          <w:color w:val="000000"/>
          <w:lang w:eastAsia="x-none"/>
        </w:rPr>
        <w:t>process innovation</w:t>
      </w:r>
      <w:r w:rsidR="00801820">
        <w:rPr>
          <w:color w:val="000000"/>
          <w:lang w:eastAsia="x-none"/>
        </w:rPr>
        <w:t>. Again, t</w:t>
      </w:r>
      <w:r w:rsidR="00801820" w:rsidRPr="00D34D7F">
        <w:rPr>
          <w:color w:val="000000"/>
          <w:lang w:eastAsia="x-none"/>
        </w:rPr>
        <w:t xml:space="preserve">o maintain the causal relationship between </w:t>
      </w:r>
      <w:r w:rsidR="00801820">
        <w:rPr>
          <w:color w:val="000000"/>
          <w:lang w:eastAsia="x-none"/>
        </w:rPr>
        <w:t>export re-entry</w:t>
      </w:r>
      <w:r w:rsidR="00801820" w:rsidRPr="00D34D7F">
        <w:rPr>
          <w:color w:val="000000"/>
          <w:lang w:eastAsia="x-none"/>
        </w:rPr>
        <w:t xml:space="preserve"> </w:t>
      </w:r>
      <w:r w:rsidR="007B7BE4">
        <w:rPr>
          <w:color w:val="000000"/>
          <w:lang w:eastAsia="x-none"/>
        </w:rPr>
        <w:t>perfo</w:t>
      </w:r>
      <w:r w:rsidR="0009716A">
        <w:rPr>
          <w:color w:val="000000"/>
          <w:lang w:eastAsia="x-none"/>
        </w:rPr>
        <w:t>r</w:t>
      </w:r>
      <w:r w:rsidR="007B7BE4">
        <w:rPr>
          <w:color w:val="000000"/>
          <w:lang w:eastAsia="x-none"/>
        </w:rPr>
        <w:t xml:space="preserve">mance </w:t>
      </w:r>
      <w:r w:rsidR="00801820" w:rsidRPr="00D34D7F">
        <w:rPr>
          <w:color w:val="000000"/>
          <w:lang w:eastAsia="x-none"/>
        </w:rPr>
        <w:t xml:space="preserve">and the </w:t>
      </w:r>
      <w:r w:rsidR="00801820">
        <w:rPr>
          <w:color w:val="000000"/>
          <w:lang w:eastAsia="x-none"/>
        </w:rPr>
        <w:t>firm level explanatory</w:t>
      </w:r>
      <w:r w:rsidR="00801820" w:rsidRPr="00D34D7F">
        <w:rPr>
          <w:color w:val="000000"/>
          <w:lang w:eastAsia="x-none"/>
        </w:rPr>
        <w:t xml:space="preserve"> variables, we lagged </w:t>
      </w:r>
      <w:r w:rsidR="00801820">
        <w:rPr>
          <w:color w:val="000000"/>
          <w:lang w:eastAsia="x-none"/>
        </w:rPr>
        <w:t>the following</w:t>
      </w:r>
      <w:r w:rsidR="00801820" w:rsidRPr="00D34D7F">
        <w:rPr>
          <w:color w:val="000000"/>
          <w:lang w:eastAsia="x-none"/>
        </w:rPr>
        <w:t xml:space="preserve"> variables by one year</w:t>
      </w:r>
      <w:r w:rsidR="00801820">
        <w:rPr>
          <w:color w:val="000000"/>
          <w:lang w:eastAsia="x-none"/>
        </w:rPr>
        <w:t xml:space="preserve">: Size, </w:t>
      </w:r>
      <w:r w:rsidR="00801820" w:rsidRPr="000C7192">
        <w:rPr>
          <w:i/>
          <w:iCs/>
          <w:color w:val="000000"/>
          <w:lang w:eastAsia="x-none"/>
        </w:rPr>
        <w:t>productivit</w:t>
      </w:r>
      <w:r w:rsidR="00801820" w:rsidRPr="00535818">
        <w:rPr>
          <w:i/>
          <w:iCs/>
          <w:color w:val="000000"/>
          <w:lang w:eastAsia="x-none"/>
        </w:rPr>
        <w:t>y, R&amp;D intensity</w:t>
      </w:r>
      <w:r w:rsidR="00801820">
        <w:rPr>
          <w:i/>
          <w:iCs/>
          <w:color w:val="000000"/>
          <w:lang w:eastAsia="x-none"/>
        </w:rPr>
        <w:t xml:space="preserve">, </w:t>
      </w:r>
      <w:r w:rsidR="00801820" w:rsidRPr="003A46BA">
        <w:rPr>
          <w:i/>
          <w:iCs/>
          <w:color w:val="000000"/>
          <w:lang w:eastAsia="x-none"/>
        </w:rPr>
        <w:t>product innovation</w:t>
      </w:r>
      <w:r w:rsidR="00B76579">
        <w:rPr>
          <w:i/>
          <w:iCs/>
          <w:color w:val="000000"/>
          <w:lang w:eastAsia="x-none"/>
        </w:rPr>
        <w:t>,</w:t>
      </w:r>
      <w:r w:rsidR="00801820">
        <w:rPr>
          <w:i/>
          <w:iCs/>
          <w:color w:val="000000"/>
          <w:lang w:eastAsia="x-none"/>
        </w:rPr>
        <w:t xml:space="preserve"> </w:t>
      </w:r>
      <w:r w:rsidR="00801820" w:rsidRPr="000C7192">
        <w:rPr>
          <w:color w:val="000000"/>
          <w:lang w:eastAsia="x-none"/>
        </w:rPr>
        <w:t>and</w:t>
      </w:r>
      <w:r w:rsidR="00801820">
        <w:rPr>
          <w:color w:val="000000"/>
          <w:lang w:eastAsia="x-none"/>
        </w:rPr>
        <w:t xml:space="preserve"> </w:t>
      </w:r>
      <w:r w:rsidR="00801820" w:rsidRPr="003A46BA">
        <w:rPr>
          <w:i/>
          <w:iCs/>
          <w:color w:val="000000"/>
          <w:lang w:eastAsia="x-none"/>
        </w:rPr>
        <w:t>process innovation</w:t>
      </w:r>
      <w:r w:rsidR="00801820">
        <w:rPr>
          <w:i/>
          <w:iCs/>
          <w:color w:val="000000"/>
          <w:lang w:eastAsia="x-none"/>
        </w:rPr>
        <w:t>.</w:t>
      </w:r>
      <w:r w:rsidR="00801820">
        <w:rPr>
          <w:color w:val="000000"/>
          <w:lang w:eastAsia="x-none"/>
        </w:rPr>
        <w:t xml:space="preserve"> W</w:t>
      </w:r>
      <w:r w:rsidR="00801820" w:rsidRPr="003E0023">
        <w:rPr>
          <w:color w:val="000000"/>
          <w:lang w:eastAsia="x-none"/>
        </w:rPr>
        <w:t>e</w:t>
      </w:r>
      <w:r w:rsidR="00801820">
        <w:rPr>
          <w:color w:val="000000"/>
          <w:lang w:eastAsia="x-none"/>
        </w:rPr>
        <w:t xml:space="preserve"> also</w:t>
      </w:r>
      <w:r w:rsidR="00801820" w:rsidRPr="003E0023">
        <w:rPr>
          <w:color w:val="000000"/>
          <w:lang w:eastAsia="x-none"/>
        </w:rPr>
        <w:t xml:space="preserve"> included the </w:t>
      </w:r>
      <w:r w:rsidR="00801820">
        <w:rPr>
          <w:color w:val="000000"/>
          <w:lang w:eastAsia="x-none"/>
        </w:rPr>
        <w:t xml:space="preserve">domestic </w:t>
      </w:r>
      <w:r w:rsidR="00801820" w:rsidRPr="003E0023">
        <w:rPr>
          <w:color w:val="000000"/>
          <w:lang w:eastAsia="x-none"/>
        </w:rPr>
        <w:t>industry growth</w:t>
      </w:r>
      <w:r w:rsidR="00801820">
        <w:rPr>
          <w:color w:val="000000"/>
          <w:lang w:eastAsia="x-none"/>
        </w:rPr>
        <w:t xml:space="preserve"> </w:t>
      </w:r>
      <w:r w:rsidR="00801820" w:rsidRPr="00FA2656">
        <w:rPr>
          <w:color w:val="000000"/>
          <w:lang w:eastAsia="x-none"/>
        </w:rPr>
        <w:t>(</w:t>
      </w:r>
      <w:r w:rsidR="00801820">
        <w:rPr>
          <w:color w:val="000000"/>
          <w:lang w:eastAsia="x-none"/>
        </w:rPr>
        <w:t>year</w:t>
      </w:r>
      <w:r w:rsidR="00B76579">
        <w:rPr>
          <w:color w:val="000000"/>
          <w:lang w:eastAsia="x-none"/>
        </w:rPr>
        <w:t>-</w:t>
      </w:r>
      <w:r w:rsidR="00801820">
        <w:rPr>
          <w:color w:val="000000"/>
          <w:lang w:eastAsia="x-none"/>
        </w:rPr>
        <w:t>on</w:t>
      </w:r>
      <w:r w:rsidR="00B76579">
        <w:rPr>
          <w:color w:val="000000"/>
          <w:lang w:eastAsia="x-none"/>
        </w:rPr>
        <w:t>-</w:t>
      </w:r>
      <w:r w:rsidR="00801820">
        <w:rPr>
          <w:color w:val="000000"/>
          <w:lang w:eastAsia="x-none"/>
        </w:rPr>
        <w:t xml:space="preserve">year growth </w:t>
      </w:r>
      <w:r w:rsidR="00801820" w:rsidRPr="00FA2656">
        <w:rPr>
          <w:color w:val="000000"/>
          <w:lang w:eastAsia="x-none"/>
        </w:rPr>
        <w:t>in turnover)</w:t>
      </w:r>
      <w:r w:rsidR="00801820">
        <w:rPr>
          <w:color w:val="000000"/>
          <w:lang w:eastAsia="x-none"/>
        </w:rPr>
        <w:t xml:space="preserve"> (</w:t>
      </w:r>
      <w:r w:rsidR="00801820" w:rsidRPr="00CC7EA4">
        <w:rPr>
          <w:i/>
          <w:iCs/>
          <w:color w:val="000000"/>
          <w:lang w:eastAsia="x-none"/>
        </w:rPr>
        <w:t>Sectoral Growth</w:t>
      </w:r>
      <w:r w:rsidR="00801820">
        <w:rPr>
          <w:color w:val="000000"/>
          <w:lang w:eastAsia="x-none"/>
        </w:rPr>
        <w:t>)</w:t>
      </w:r>
      <w:r w:rsidR="00801820" w:rsidRPr="003E0023">
        <w:rPr>
          <w:color w:val="000000"/>
          <w:lang w:eastAsia="x-none"/>
        </w:rPr>
        <w:t xml:space="preserve"> </w:t>
      </w:r>
      <w:r w:rsidR="00801820">
        <w:rPr>
          <w:color w:val="000000"/>
          <w:lang w:eastAsia="x-none"/>
        </w:rPr>
        <w:t xml:space="preserve">to control for any </w:t>
      </w:r>
      <w:r w:rsidR="00B76579">
        <w:rPr>
          <w:color w:val="000000"/>
          <w:lang w:eastAsia="x-none"/>
        </w:rPr>
        <w:t>effect</w:t>
      </w:r>
      <w:r w:rsidR="00801820">
        <w:rPr>
          <w:color w:val="000000"/>
          <w:lang w:eastAsia="x-none"/>
        </w:rPr>
        <w:t xml:space="preserve"> that the domestic growth can have on our dependent variable. </w:t>
      </w:r>
      <w:r w:rsidR="00801820" w:rsidRPr="003E0023">
        <w:rPr>
          <w:color w:val="000000"/>
          <w:lang w:eastAsia="x-none"/>
        </w:rPr>
        <w:t>Finally, we</w:t>
      </w:r>
      <w:r w:rsidR="00801820">
        <w:rPr>
          <w:color w:val="000000"/>
          <w:lang w:eastAsia="x-none"/>
        </w:rPr>
        <w:t xml:space="preserve"> again</w:t>
      </w:r>
      <w:r w:rsidR="00801820" w:rsidRPr="003E0023">
        <w:rPr>
          <w:color w:val="000000"/>
          <w:lang w:eastAsia="x-none"/>
        </w:rPr>
        <w:t xml:space="preserve"> include a series of</w:t>
      </w:r>
      <w:r w:rsidR="00801820">
        <w:rPr>
          <w:color w:val="000000"/>
          <w:lang w:eastAsia="x-none"/>
        </w:rPr>
        <w:t xml:space="preserve"> industry</w:t>
      </w:r>
      <w:r w:rsidR="00801820" w:rsidRPr="003E0023">
        <w:rPr>
          <w:color w:val="000000"/>
          <w:lang w:eastAsia="x-none"/>
        </w:rPr>
        <w:t xml:space="preserve"> dummy variables</w:t>
      </w:r>
      <w:r w:rsidR="00801820">
        <w:rPr>
          <w:color w:val="000000"/>
          <w:lang w:eastAsia="x-none"/>
        </w:rPr>
        <w:t xml:space="preserve"> to control for any other industry</w:t>
      </w:r>
      <w:r w:rsidR="00B76579">
        <w:rPr>
          <w:color w:val="000000"/>
          <w:lang w:eastAsia="x-none"/>
        </w:rPr>
        <w:t>-</w:t>
      </w:r>
      <w:r w:rsidR="00801820">
        <w:rPr>
          <w:color w:val="000000"/>
          <w:lang w:eastAsia="x-none"/>
        </w:rPr>
        <w:t>specific effects that can affect export performance.</w:t>
      </w:r>
    </w:p>
    <w:p w14:paraId="783FAD07" w14:textId="19D8FEF4" w:rsidR="00801820" w:rsidRPr="00F868D8" w:rsidRDefault="00801820" w:rsidP="00801820">
      <w:pPr>
        <w:spacing w:line="480" w:lineRule="auto"/>
        <w:rPr>
          <w:b/>
          <w:bCs/>
          <w:color w:val="000000"/>
          <w:lang w:eastAsia="x-none"/>
        </w:rPr>
      </w:pPr>
      <w:r w:rsidRPr="00F868D8">
        <w:rPr>
          <w:b/>
          <w:bCs/>
          <w:color w:val="000000"/>
          <w:lang w:eastAsia="x-none"/>
        </w:rPr>
        <w:t xml:space="preserve">4. </w:t>
      </w:r>
      <w:r w:rsidR="009823DA">
        <w:rPr>
          <w:b/>
          <w:bCs/>
          <w:color w:val="000000"/>
          <w:lang w:eastAsia="x-none"/>
        </w:rPr>
        <w:t>R</w:t>
      </w:r>
      <w:r w:rsidRPr="00F868D8">
        <w:rPr>
          <w:b/>
          <w:bCs/>
          <w:color w:val="000000"/>
          <w:lang w:eastAsia="x-none"/>
        </w:rPr>
        <w:t>esults</w:t>
      </w:r>
    </w:p>
    <w:p w14:paraId="103887DB" w14:textId="5D282215" w:rsidR="0048557F" w:rsidRDefault="00031B3D" w:rsidP="00EA4B16">
      <w:pPr>
        <w:spacing w:line="480" w:lineRule="auto"/>
        <w:ind w:firstLine="284"/>
        <w:rPr>
          <w:color w:val="000000"/>
          <w:lang w:eastAsia="x-none"/>
        </w:rPr>
      </w:pPr>
      <w:r w:rsidRPr="000D5E14">
        <w:rPr>
          <w:color w:val="000000"/>
          <w:lang w:eastAsia="x-none"/>
        </w:rPr>
        <w:t>Table 1 includes the descriptive statistics</w:t>
      </w:r>
      <w:r>
        <w:rPr>
          <w:color w:val="000000"/>
          <w:lang w:eastAsia="x-none"/>
        </w:rPr>
        <w:t xml:space="preserve"> </w:t>
      </w:r>
      <w:r w:rsidRPr="000D5E14">
        <w:rPr>
          <w:color w:val="000000"/>
          <w:lang w:eastAsia="x-none"/>
        </w:rPr>
        <w:t>and correlation</w:t>
      </w:r>
      <w:r>
        <w:rPr>
          <w:color w:val="000000"/>
          <w:lang w:eastAsia="x-none"/>
        </w:rPr>
        <w:t xml:space="preserve"> coefficients</w:t>
      </w:r>
      <w:r w:rsidR="00395660">
        <w:rPr>
          <w:color w:val="000000"/>
          <w:lang w:eastAsia="x-none"/>
        </w:rPr>
        <w:t xml:space="preserve">. </w:t>
      </w:r>
      <w:r w:rsidR="00801820" w:rsidRPr="00625608">
        <w:rPr>
          <w:color w:val="000000"/>
          <w:lang w:eastAsia="x-none"/>
        </w:rPr>
        <w:t xml:space="preserve">Table 2 </w:t>
      </w:r>
      <w:r w:rsidR="00801820">
        <w:rPr>
          <w:color w:val="000000"/>
          <w:lang w:eastAsia="x-none"/>
        </w:rPr>
        <w:t>report</w:t>
      </w:r>
      <w:r w:rsidR="003B417D">
        <w:rPr>
          <w:color w:val="000000"/>
          <w:lang w:eastAsia="x-none"/>
        </w:rPr>
        <w:t>s</w:t>
      </w:r>
      <w:r w:rsidR="00801820">
        <w:rPr>
          <w:color w:val="000000"/>
          <w:lang w:eastAsia="x-none"/>
        </w:rPr>
        <w:t xml:space="preserve"> the coefficients of the </w:t>
      </w:r>
      <w:r w:rsidR="00801820" w:rsidRPr="00625608">
        <w:rPr>
          <w:color w:val="000000"/>
          <w:lang w:eastAsia="x-none"/>
        </w:rPr>
        <w:t>random-effects probit model</w:t>
      </w:r>
      <w:r w:rsidR="00801820">
        <w:rPr>
          <w:color w:val="000000"/>
          <w:lang w:eastAsia="x-none"/>
        </w:rPr>
        <w:t xml:space="preserve"> </w:t>
      </w:r>
      <w:r w:rsidR="00801820" w:rsidRPr="00EB13A6">
        <w:rPr>
          <w:color w:val="000000"/>
          <w:lang w:eastAsia="x-none"/>
        </w:rPr>
        <w:t xml:space="preserve">where the dependent variable </w:t>
      </w:r>
      <w:r w:rsidR="00801820">
        <w:rPr>
          <w:color w:val="000000"/>
          <w:lang w:eastAsia="x-none"/>
        </w:rPr>
        <w:t>captures whether a firm re-enter</w:t>
      </w:r>
      <w:r w:rsidR="00133C9D">
        <w:rPr>
          <w:color w:val="000000"/>
          <w:lang w:eastAsia="x-none"/>
        </w:rPr>
        <w:t>s</w:t>
      </w:r>
      <w:r w:rsidR="00801820">
        <w:rPr>
          <w:color w:val="000000"/>
          <w:lang w:eastAsia="x-none"/>
        </w:rPr>
        <w:t xml:space="preserve"> into exporting. </w:t>
      </w:r>
      <w:r w:rsidR="00801820" w:rsidRPr="00625608">
        <w:rPr>
          <w:color w:val="000000"/>
          <w:lang w:eastAsia="x-none"/>
        </w:rPr>
        <w:t xml:space="preserve">Model </w:t>
      </w:r>
      <w:r w:rsidR="007F5A66">
        <w:rPr>
          <w:color w:val="000000"/>
          <w:lang w:eastAsia="x-none"/>
        </w:rPr>
        <w:t>2</w:t>
      </w:r>
      <w:r w:rsidR="00801820" w:rsidRPr="00625608">
        <w:rPr>
          <w:color w:val="000000"/>
          <w:lang w:eastAsia="x-none"/>
        </w:rPr>
        <w:t xml:space="preserve">.1 presents the </w:t>
      </w:r>
      <w:r w:rsidR="00801820">
        <w:rPr>
          <w:color w:val="000000"/>
          <w:lang w:eastAsia="x-none"/>
        </w:rPr>
        <w:t xml:space="preserve">results of the baseline estimation </w:t>
      </w:r>
      <w:r w:rsidR="00801820" w:rsidRPr="00625608">
        <w:rPr>
          <w:color w:val="000000"/>
          <w:lang w:eastAsia="x-none"/>
        </w:rPr>
        <w:t xml:space="preserve">for the effect </w:t>
      </w:r>
      <w:r w:rsidR="00801820">
        <w:rPr>
          <w:color w:val="000000"/>
          <w:lang w:eastAsia="x-none"/>
        </w:rPr>
        <w:t>that the</w:t>
      </w:r>
      <w:r w:rsidR="00801820" w:rsidRPr="00625608">
        <w:rPr>
          <w:color w:val="000000"/>
          <w:lang w:eastAsia="x-none"/>
        </w:rPr>
        <w:t xml:space="preserve"> </w:t>
      </w:r>
      <w:r w:rsidR="00801820">
        <w:rPr>
          <w:color w:val="000000"/>
          <w:lang w:eastAsia="x-none"/>
        </w:rPr>
        <w:t>time-out period has on e</w:t>
      </w:r>
      <w:r w:rsidR="00801820" w:rsidRPr="00625608">
        <w:rPr>
          <w:color w:val="000000"/>
          <w:lang w:eastAsia="x-none"/>
        </w:rPr>
        <w:t>xport re-entry probability.</w:t>
      </w:r>
      <w:r w:rsidR="00801820">
        <w:rPr>
          <w:color w:val="000000"/>
          <w:lang w:eastAsia="x-none"/>
        </w:rPr>
        <w:t xml:space="preserve"> Results </w:t>
      </w:r>
      <w:r w:rsidR="00801820" w:rsidRPr="007F032C">
        <w:rPr>
          <w:color w:val="000000"/>
          <w:lang w:eastAsia="x-none"/>
        </w:rPr>
        <w:t xml:space="preserve">show that the </w:t>
      </w:r>
      <w:r w:rsidR="007F5A66">
        <w:rPr>
          <w:color w:val="000000"/>
          <w:lang w:eastAsia="x-none"/>
        </w:rPr>
        <w:t>coefficient</w:t>
      </w:r>
      <w:r w:rsidR="00801820" w:rsidRPr="007F032C">
        <w:rPr>
          <w:color w:val="000000"/>
          <w:lang w:eastAsia="x-none"/>
        </w:rPr>
        <w:t xml:space="preserve"> of</w:t>
      </w:r>
      <w:r w:rsidR="00801820">
        <w:rPr>
          <w:color w:val="000000"/>
          <w:lang w:eastAsia="x-none"/>
        </w:rPr>
        <w:t xml:space="preserve"> </w:t>
      </w:r>
      <w:r w:rsidR="00801820" w:rsidRPr="004744A5">
        <w:rPr>
          <w:i/>
          <w:iCs/>
          <w:color w:val="000000"/>
          <w:lang w:eastAsia="x-none"/>
        </w:rPr>
        <w:t>time-out</w:t>
      </w:r>
      <w:r w:rsidR="00801820" w:rsidRPr="007F032C">
        <w:rPr>
          <w:color w:val="000000"/>
          <w:lang w:eastAsia="x-none"/>
        </w:rPr>
        <w:t xml:space="preserve"> is </w:t>
      </w:r>
      <w:r w:rsidR="00801820">
        <w:rPr>
          <w:color w:val="000000"/>
          <w:lang w:eastAsia="x-none"/>
        </w:rPr>
        <w:t>positive</w:t>
      </w:r>
      <w:r w:rsidR="00801820" w:rsidRPr="007F032C">
        <w:rPr>
          <w:color w:val="000000"/>
          <w:lang w:eastAsia="x-none"/>
        </w:rPr>
        <w:t xml:space="preserve"> and statistically significant (</w:t>
      </w:r>
      <w:r w:rsidR="007F5A66" w:rsidRPr="007F5A66">
        <w:rPr>
          <w:color w:val="000000"/>
          <w:lang w:eastAsia="x-none"/>
        </w:rPr>
        <w:t>β</w:t>
      </w:r>
      <w:r w:rsidR="00801820" w:rsidRPr="007F032C">
        <w:rPr>
          <w:color w:val="000000"/>
          <w:lang w:eastAsia="x-none"/>
        </w:rPr>
        <w:t xml:space="preserve">= </w:t>
      </w:r>
      <w:r w:rsidR="00A52735" w:rsidRPr="00A52735">
        <w:t>2.339</w:t>
      </w:r>
      <w:r w:rsidR="00801820" w:rsidRPr="007F032C">
        <w:rPr>
          <w:color w:val="000000"/>
          <w:lang w:eastAsia="x-none"/>
        </w:rPr>
        <w:t>, p = 0.000), and</w:t>
      </w:r>
      <w:r w:rsidR="00801820">
        <w:rPr>
          <w:color w:val="000000"/>
          <w:lang w:eastAsia="x-none"/>
        </w:rPr>
        <w:t xml:space="preserve"> that of </w:t>
      </w:r>
      <w:r w:rsidR="00801820" w:rsidRPr="004744A5">
        <w:rPr>
          <w:i/>
          <w:iCs/>
          <w:color w:val="000000"/>
          <w:lang w:eastAsia="x-none"/>
        </w:rPr>
        <w:t>time-out squared</w:t>
      </w:r>
      <w:r w:rsidR="00801820" w:rsidRPr="007F032C">
        <w:rPr>
          <w:color w:val="000000"/>
          <w:lang w:eastAsia="x-none"/>
        </w:rPr>
        <w:t xml:space="preserve"> is </w:t>
      </w:r>
      <w:r w:rsidR="00801820">
        <w:rPr>
          <w:color w:val="000000"/>
          <w:lang w:eastAsia="x-none"/>
        </w:rPr>
        <w:t xml:space="preserve">negative </w:t>
      </w:r>
      <w:r w:rsidR="00801820" w:rsidRPr="007F032C">
        <w:rPr>
          <w:color w:val="000000"/>
          <w:lang w:eastAsia="x-none"/>
        </w:rPr>
        <w:t>and statistically significant (</w:t>
      </w:r>
      <w:r w:rsidR="007F5A66" w:rsidRPr="007F5A66">
        <w:rPr>
          <w:color w:val="000000"/>
          <w:lang w:eastAsia="x-none"/>
        </w:rPr>
        <w:t>β</w:t>
      </w:r>
      <w:r w:rsidR="00801820" w:rsidRPr="007F032C">
        <w:rPr>
          <w:color w:val="000000"/>
          <w:lang w:eastAsia="x-none"/>
        </w:rPr>
        <w:t xml:space="preserve"> =</w:t>
      </w:r>
      <w:r w:rsidR="00801820">
        <w:rPr>
          <w:color w:val="000000"/>
          <w:lang w:eastAsia="x-none"/>
        </w:rPr>
        <w:t xml:space="preserve"> </w:t>
      </w:r>
      <w:r w:rsidR="007F5A66">
        <w:t>-</w:t>
      </w:r>
      <w:r w:rsidR="00A52735" w:rsidRPr="00A52735">
        <w:t>0.376</w:t>
      </w:r>
      <w:r w:rsidR="00801820" w:rsidRPr="007F032C">
        <w:rPr>
          <w:color w:val="000000"/>
          <w:lang w:eastAsia="x-none"/>
        </w:rPr>
        <w:t>, p = 0.00</w:t>
      </w:r>
      <w:r w:rsidR="00801820">
        <w:rPr>
          <w:color w:val="000000"/>
          <w:lang w:eastAsia="x-none"/>
        </w:rPr>
        <w:t>0</w:t>
      </w:r>
      <w:r w:rsidR="00801820" w:rsidRPr="007F032C">
        <w:rPr>
          <w:color w:val="000000"/>
          <w:lang w:eastAsia="x-none"/>
        </w:rPr>
        <w:t>)</w:t>
      </w:r>
      <w:r w:rsidR="003158BD">
        <w:rPr>
          <w:color w:val="000000"/>
          <w:lang w:eastAsia="x-none"/>
        </w:rPr>
        <w:t xml:space="preserve">. </w:t>
      </w:r>
      <w:r w:rsidR="00B65F28">
        <w:rPr>
          <w:color w:val="000000"/>
          <w:lang w:eastAsia="x-none"/>
        </w:rPr>
        <w:t xml:space="preserve">In </w:t>
      </w:r>
      <w:r w:rsidR="0048557F">
        <w:rPr>
          <w:color w:val="000000"/>
          <w:lang w:eastAsia="x-none"/>
        </w:rPr>
        <w:t>F</w:t>
      </w:r>
      <w:r w:rsidR="00B65F28">
        <w:rPr>
          <w:color w:val="000000"/>
          <w:lang w:eastAsia="x-none"/>
        </w:rPr>
        <w:t>igure 5</w:t>
      </w:r>
      <w:r w:rsidR="0044453B">
        <w:rPr>
          <w:color w:val="000000"/>
          <w:lang w:eastAsia="x-none"/>
        </w:rPr>
        <w:t>a</w:t>
      </w:r>
      <w:r w:rsidR="00B65F28">
        <w:rPr>
          <w:color w:val="000000"/>
          <w:lang w:eastAsia="x-none"/>
        </w:rPr>
        <w:t xml:space="preserve">, we plotted </w:t>
      </w:r>
      <w:r w:rsidR="00B65F28" w:rsidRPr="006E448B">
        <w:rPr>
          <w:color w:val="000000"/>
          <w:lang w:eastAsia="x-none"/>
        </w:rPr>
        <w:t xml:space="preserve">the </w:t>
      </w:r>
      <w:r w:rsidR="00E00C73">
        <w:rPr>
          <w:color w:val="000000"/>
          <w:lang w:eastAsia="x-none"/>
        </w:rPr>
        <w:t>average adjusted predictions</w:t>
      </w:r>
      <w:r w:rsidR="00B65F28" w:rsidRPr="006E448B">
        <w:rPr>
          <w:color w:val="000000"/>
          <w:lang w:eastAsia="x-none"/>
        </w:rPr>
        <w:t xml:space="preserve"> </w:t>
      </w:r>
      <w:r w:rsidR="00A93B99">
        <w:rPr>
          <w:color w:val="000000"/>
          <w:lang w:eastAsia="x-none"/>
        </w:rPr>
        <w:t xml:space="preserve">at </w:t>
      </w:r>
      <w:r w:rsidR="00253BC6">
        <w:rPr>
          <w:color w:val="000000"/>
          <w:lang w:eastAsia="x-none"/>
        </w:rPr>
        <w:t xml:space="preserve">different </w:t>
      </w:r>
      <w:r w:rsidR="00A93B99">
        <w:rPr>
          <w:color w:val="000000"/>
          <w:lang w:eastAsia="x-none"/>
        </w:rPr>
        <w:t>points of</w:t>
      </w:r>
      <w:r w:rsidR="00A93B99" w:rsidRPr="006E448B">
        <w:rPr>
          <w:color w:val="000000"/>
          <w:lang w:eastAsia="x-none"/>
        </w:rPr>
        <w:t xml:space="preserve"> </w:t>
      </w:r>
      <w:r w:rsidR="00B65F28" w:rsidRPr="006E448B">
        <w:rPr>
          <w:color w:val="000000"/>
          <w:lang w:eastAsia="x-none"/>
        </w:rPr>
        <w:t>the time-out period</w:t>
      </w:r>
      <w:r w:rsidR="00E23C4D" w:rsidRPr="00E23C4D">
        <w:rPr>
          <w:color w:val="000000"/>
          <w:vertAlign w:val="superscript"/>
          <w:lang w:eastAsia="x-none"/>
        </w:rPr>
        <w:footnoteReference w:id="4"/>
      </w:r>
      <w:r w:rsidR="0048557F">
        <w:rPr>
          <w:color w:val="000000"/>
          <w:lang w:eastAsia="x-none"/>
        </w:rPr>
        <w:t>.</w:t>
      </w:r>
      <w:r w:rsidR="00B65F28">
        <w:rPr>
          <w:color w:val="000000"/>
          <w:lang w:eastAsia="x-none"/>
        </w:rPr>
        <w:t xml:space="preserve"> </w:t>
      </w:r>
      <w:r w:rsidR="0048557F">
        <w:rPr>
          <w:color w:val="000000"/>
          <w:lang w:eastAsia="x-none"/>
        </w:rPr>
        <w:t>W</w:t>
      </w:r>
      <w:r w:rsidR="00B65F28">
        <w:rPr>
          <w:color w:val="000000"/>
          <w:lang w:eastAsia="x-none"/>
        </w:rPr>
        <w:t xml:space="preserve">e can </w:t>
      </w:r>
      <w:r w:rsidR="0048557F">
        <w:rPr>
          <w:color w:val="000000"/>
          <w:lang w:eastAsia="x-none"/>
        </w:rPr>
        <w:t>observe</w:t>
      </w:r>
      <w:r w:rsidR="00B65F28">
        <w:rPr>
          <w:color w:val="000000"/>
          <w:lang w:eastAsia="x-none"/>
        </w:rPr>
        <w:t xml:space="preserve"> </w:t>
      </w:r>
      <w:r w:rsidR="003A383B">
        <w:rPr>
          <w:color w:val="000000"/>
          <w:lang w:eastAsia="x-none"/>
        </w:rPr>
        <w:t>an</w:t>
      </w:r>
      <w:r w:rsidR="00B65F28">
        <w:rPr>
          <w:color w:val="000000"/>
          <w:lang w:eastAsia="x-none"/>
        </w:rPr>
        <w:t xml:space="preserve"> inverted </w:t>
      </w:r>
      <w:r w:rsidR="00DD0859">
        <w:rPr>
          <w:color w:val="000000"/>
          <w:lang w:eastAsia="x-none"/>
        </w:rPr>
        <w:t>U</w:t>
      </w:r>
      <w:r w:rsidR="00B65F28">
        <w:rPr>
          <w:color w:val="000000"/>
          <w:lang w:eastAsia="x-none"/>
        </w:rPr>
        <w:t xml:space="preserve">-curve relationship between the </w:t>
      </w:r>
      <w:r w:rsidR="009B73EF">
        <w:rPr>
          <w:color w:val="000000"/>
          <w:lang w:eastAsia="x-none"/>
        </w:rPr>
        <w:t>time-out</w:t>
      </w:r>
      <w:r w:rsidR="00B65F28">
        <w:rPr>
          <w:color w:val="000000"/>
          <w:lang w:eastAsia="x-none"/>
        </w:rPr>
        <w:t xml:space="preserve"> period and export re-entry propensity.</w:t>
      </w:r>
      <w:r w:rsidR="00D43E4E">
        <w:rPr>
          <w:color w:val="000000"/>
          <w:lang w:eastAsia="x-none"/>
        </w:rPr>
        <w:t xml:space="preserve"> </w:t>
      </w:r>
      <w:r w:rsidR="00261823" w:rsidRPr="00261823">
        <w:rPr>
          <w:color w:val="000000"/>
          <w:lang w:eastAsia="x-none"/>
        </w:rPr>
        <w:t xml:space="preserve">The predicted value of </w:t>
      </w:r>
      <w:r w:rsidR="0048514B">
        <w:rPr>
          <w:color w:val="000000"/>
          <w:lang w:eastAsia="x-none"/>
        </w:rPr>
        <w:t xml:space="preserve">the </w:t>
      </w:r>
      <w:r w:rsidR="00261823" w:rsidRPr="00261823">
        <w:rPr>
          <w:color w:val="000000"/>
          <w:lang w:eastAsia="x-none"/>
        </w:rPr>
        <w:t>turning point where we observe the maximum re-entry propensity is at around 3 years</w:t>
      </w:r>
      <w:r w:rsidR="0025508D">
        <w:rPr>
          <w:color w:val="000000"/>
          <w:lang w:eastAsia="x-none"/>
        </w:rPr>
        <w:t xml:space="preserve"> (t</w:t>
      </w:r>
      <w:r w:rsidR="0025508D" w:rsidRPr="0025508D">
        <w:rPr>
          <w:color w:val="000000"/>
          <w:lang w:eastAsia="x-none"/>
        </w:rPr>
        <w:t>he exact value of the turning point calculated by setting the first derivative to zero (Haans et al., 2016) is 3.11</w:t>
      </w:r>
      <w:r w:rsidR="0025508D">
        <w:rPr>
          <w:color w:val="000000"/>
          <w:lang w:eastAsia="x-none"/>
        </w:rPr>
        <w:t>)</w:t>
      </w:r>
      <w:r w:rsidR="0048514B">
        <w:rPr>
          <w:color w:val="000000"/>
          <w:lang w:eastAsia="x-none"/>
        </w:rPr>
        <w:t>.</w:t>
      </w:r>
      <w:r w:rsidR="00261823" w:rsidRPr="00261823">
        <w:rPr>
          <w:color w:val="000000"/>
          <w:lang w:eastAsia="x-none"/>
        </w:rPr>
        <w:t xml:space="preserve"> </w:t>
      </w:r>
      <w:r w:rsidR="00EC7B0D" w:rsidRPr="00EC7B0D">
        <w:rPr>
          <w:color w:val="000000"/>
          <w:lang w:eastAsia="x-none"/>
        </w:rPr>
        <w:t xml:space="preserve">Following the recommendation by Haans et al. (2016), we used the Fieller method to calculate the 95 percent confidence interval of the </w:t>
      </w:r>
      <w:r w:rsidR="00EC7B0D" w:rsidRPr="00EC7B0D">
        <w:rPr>
          <w:color w:val="000000"/>
          <w:lang w:eastAsia="x-none"/>
        </w:rPr>
        <w:lastRenderedPageBreak/>
        <w:t>turning point</w:t>
      </w:r>
      <w:r w:rsidR="00C525E2">
        <w:rPr>
          <w:color w:val="000000"/>
          <w:lang w:eastAsia="x-none"/>
        </w:rPr>
        <w:t xml:space="preserve"> (</w:t>
      </w:r>
      <w:r w:rsidR="006C1B88">
        <w:rPr>
          <w:color w:val="000000"/>
        </w:rPr>
        <w:t>2.</w:t>
      </w:r>
      <w:r w:rsidR="003564F4">
        <w:rPr>
          <w:color w:val="000000"/>
        </w:rPr>
        <w:t>796</w:t>
      </w:r>
      <w:r w:rsidR="00DF15FA">
        <w:rPr>
          <w:color w:val="000000"/>
        </w:rPr>
        <w:t xml:space="preserve">, </w:t>
      </w:r>
      <w:r w:rsidR="006C1B88">
        <w:rPr>
          <w:color w:val="000000"/>
        </w:rPr>
        <w:t>3.33</w:t>
      </w:r>
      <w:r w:rsidR="003564F4">
        <w:rPr>
          <w:color w:val="000000"/>
        </w:rPr>
        <w:t>0</w:t>
      </w:r>
      <w:r w:rsidR="00C525E2">
        <w:rPr>
          <w:color w:val="000000"/>
        </w:rPr>
        <w:t>)</w:t>
      </w:r>
      <w:r w:rsidR="00DE6F7F">
        <w:rPr>
          <w:color w:val="000000"/>
        </w:rPr>
        <w:t>, which</w:t>
      </w:r>
      <w:r w:rsidR="006C1B88">
        <w:rPr>
          <w:color w:val="000000"/>
          <w:lang w:eastAsia="x-none"/>
        </w:rPr>
        <w:t xml:space="preserve"> </w:t>
      </w:r>
      <w:r w:rsidR="00261823" w:rsidRPr="00261823">
        <w:rPr>
          <w:color w:val="000000"/>
          <w:lang w:eastAsia="x-none"/>
        </w:rPr>
        <w:t xml:space="preserve">is well within the sample data range. </w:t>
      </w:r>
      <w:r w:rsidR="00367EE6">
        <w:rPr>
          <w:color w:val="000000"/>
          <w:lang w:eastAsia="x-none"/>
        </w:rPr>
        <w:t xml:space="preserve">We also tested whether </w:t>
      </w:r>
      <w:r w:rsidR="00737272" w:rsidRPr="00737272">
        <w:rPr>
          <w:color w:val="000000"/>
          <w:lang w:eastAsia="x-none"/>
        </w:rPr>
        <w:t>the slope</w:t>
      </w:r>
      <w:r w:rsidR="00737272">
        <w:rPr>
          <w:color w:val="000000"/>
          <w:lang w:eastAsia="x-none"/>
        </w:rPr>
        <w:t>s</w:t>
      </w:r>
      <w:r w:rsidR="00737272" w:rsidRPr="00737272">
        <w:rPr>
          <w:color w:val="000000"/>
          <w:lang w:eastAsia="x-none"/>
        </w:rPr>
        <w:t xml:space="preserve"> </w:t>
      </w:r>
      <w:r w:rsidR="00737272">
        <w:rPr>
          <w:color w:val="000000"/>
          <w:lang w:eastAsia="x-none"/>
        </w:rPr>
        <w:t>are</w:t>
      </w:r>
      <w:r w:rsidR="00737272" w:rsidRPr="00737272">
        <w:rPr>
          <w:color w:val="000000"/>
          <w:lang w:eastAsia="x-none"/>
        </w:rPr>
        <w:t xml:space="preserve"> sufficiently steep at both</w:t>
      </w:r>
      <w:r w:rsidR="00737272">
        <w:rPr>
          <w:color w:val="000000"/>
          <w:lang w:eastAsia="x-none"/>
        </w:rPr>
        <w:t xml:space="preserve"> ends of the data range</w:t>
      </w:r>
      <w:r w:rsidR="00515F61">
        <w:rPr>
          <w:color w:val="000000"/>
          <w:lang w:eastAsia="x-none"/>
        </w:rPr>
        <w:t xml:space="preserve"> </w:t>
      </w:r>
      <w:r w:rsidR="00515F61" w:rsidRPr="00515F61">
        <w:rPr>
          <w:color w:val="000000"/>
          <w:lang w:eastAsia="x-none"/>
        </w:rPr>
        <w:t>(Haans et al., 2016; Lind &amp; Mehlum, 2010)</w:t>
      </w:r>
      <w:r w:rsidR="00515F61">
        <w:rPr>
          <w:color w:val="000000"/>
          <w:lang w:eastAsia="x-none"/>
        </w:rPr>
        <w:t xml:space="preserve">, and both slope tests were significant. </w:t>
      </w:r>
    </w:p>
    <w:p w14:paraId="26002117" w14:textId="584BD66B" w:rsidR="00195077" w:rsidRPr="00195077" w:rsidRDefault="0044453B" w:rsidP="00EA4B16">
      <w:pPr>
        <w:spacing w:line="480" w:lineRule="auto"/>
        <w:ind w:firstLine="284"/>
        <w:rPr>
          <w:color w:val="000000"/>
          <w:lang w:eastAsia="x-none"/>
        </w:rPr>
      </w:pPr>
      <w:r>
        <w:rPr>
          <w:color w:val="000000"/>
          <w:lang w:eastAsia="x-none"/>
        </w:rPr>
        <w:t>Since the coefficients of the models with limited dependent variables cannot</w:t>
      </w:r>
      <w:r w:rsidR="008F0FBF">
        <w:rPr>
          <w:color w:val="000000"/>
          <w:lang w:eastAsia="x-none"/>
        </w:rPr>
        <w:t xml:space="preserve"> </w:t>
      </w:r>
      <w:r>
        <w:rPr>
          <w:color w:val="000000"/>
          <w:lang w:eastAsia="x-none"/>
        </w:rPr>
        <w:t>be interpreted directly, we</w:t>
      </w:r>
      <w:r w:rsidR="005F5553">
        <w:rPr>
          <w:color w:val="000000"/>
          <w:lang w:eastAsia="x-none"/>
        </w:rPr>
        <w:t xml:space="preserve"> also</w:t>
      </w:r>
      <w:r>
        <w:rPr>
          <w:color w:val="000000"/>
          <w:lang w:eastAsia="x-none"/>
        </w:rPr>
        <w:t xml:space="preserve"> estimated the average marginal effects</w:t>
      </w:r>
      <w:r w:rsidR="000F1531">
        <w:rPr>
          <w:rStyle w:val="FootnoteReference"/>
          <w:color w:val="000000"/>
          <w:lang w:eastAsia="x-none"/>
        </w:rPr>
        <w:footnoteReference w:id="5"/>
      </w:r>
      <w:r>
        <w:rPr>
          <w:color w:val="000000"/>
          <w:lang w:eastAsia="x-none"/>
        </w:rPr>
        <w:t xml:space="preserve"> of </w:t>
      </w:r>
      <w:r w:rsidR="00B76579">
        <w:rPr>
          <w:color w:val="000000"/>
          <w:lang w:eastAsia="x-none"/>
        </w:rPr>
        <w:t xml:space="preserve">the </w:t>
      </w:r>
      <w:r>
        <w:rPr>
          <w:color w:val="000000"/>
          <w:lang w:eastAsia="x-none"/>
        </w:rPr>
        <w:t>time</w:t>
      </w:r>
      <w:r w:rsidR="00933066">
        <w:rPr>
          <w:color w:val="000000"/>
          <w:lang w:eastAsia="x-none"/>
        </w:rPr>
        <w:t>-</w:t>
      </w:r>
      <w:r>
        <w:rPr>
          <w:color w:val="000000"/>
          <w:lang w:eastAsia="x-none"/>
        </w:rPr>
        <w:t xml:space="preserve">out period </w:t>
      </w:r>
      <w:r w:rsidR="00933066">
        <w:rPr>
          <w:color w:val="000000"/>
          <w:lang w:eastAsia="x-none"/>
        </w:rPr>
        <w:t xml:space="preserve">at </w:t>
      </w:r>
      <w:r>
        <w:rPr>
          <w:color w:val="000000"/>
          <w:lang w:eastAsia="x-none"/>
        </w:rPr>
        <w:t>different</w:t>
      </w:r>
      <w:r w:rsidR="003C7C8A">
        <w:rPr>
          <w:color w:val="000000"/>
          <w:lang w:eastAsia="x-none"/>
        </w:rPr>
        <w:t xml:space="preserve"> </w:t>
      </w:r>
      <w:r w:rsidR="0024630D">
        <w:rPr>
          <w:color w:val="000000"/>
          <w:lang w:eastAsia="x-none"/>
        </w:rPr>
        <w:t>durations (years) of a time</w:t>
      </w:r>
      <w:r w:rsidR="00B76579">
        <w:rPr>
          <w:color w:val="000000"/>
          <w:lang w:eastAsia="x-none"/>
        </w:rPr>
        <w:t>-</w:t>
      </w:r>
      <w:r w:rsidR="0024630D">
        <w:rPr>
          <w:color w:val="000000"/>
          <w:lang w:eastAsia="x-none"/>
        </w:rPr>
        <w:t>out period</w:t>
      </w:r>
      <w:r>
        <w:rPr>
          <w:color w:val="000000"/>
          <w:lang w:eastAsia="x-none"/>
        </w:rPr>
        <w:t>. Table 3 reports the average marginal effects and their significance levels</w:t>
      </w:r>
      <w:r w:rsidR="007E529D">
        <w:rPr>
          <w:color w:val="000000"/>
          <w:lang w:eastAsia="x-none"/>
        </w:rPr>
        <w:t>.</w:t>
      </w:r>
      <w:r>
        <w:rPr>
          <w:color w:val="000000"/>
          <w:lang w:eastAsia="x-none"/>
        </w:rPr>
        <w:t xml:space="preserve"> </w:t>
      </w:r>
      <w:r w:rsidR="007E529D">
        <w:rPr>
          <w:color w:val="000000"/>
          <w:lang w:eastAsia="x-none"/>
        </w:rPr>
        <w:t>F</w:t>
      </w:r>
      <w:r>
        <w:rPr>
          <w:color w:val="000000"/>
          <w:lang w:eastAsia="x-none"/>
        </w:rPr>
        <w:t xml:space="preserve">igure 5b depicts the </w:t>
      </w:r>
      <w:bookmarkStart w:id="23" w:name="_Hlk75809839"/>
      <w:r>
        <w:rPr>
          <w:color w:val="000000"/>
          <w:lang w:eastAsia="x-none"/>
        </w:rPr>
        <w:t>plot of average marginal effects</w:t>
      </w:r>
      <w:bookmarkEnd w:id="23"/>
      <w:r>
        <w:rPr>
          <w:color w:val="000000"/>
          <w:lang w:eastAsia="x-none"/>
        </w:rPr>
        <w:t xml:space="preserve">. We can </w:t>
      </w:r>
      <w:r w:rsidR="007E529D">
        <w:rPr>
          <w:color w:val="000000"/>
          <w:lang w:eastAsia="x-none"/>
        </w:rPr>
        <w:t>observe</w:t>
      </w:r>
      <w:r w:rsidR="00606460">
        <w:rPr>
          <w:color w:val="000000"/>
          <w:lang w:eastAsia="x-none"/>
        </w:rPr>
        <w:t xml:space="preserve"> from both </w:t>
      </w:r>
      <w:r w:rsidR="0048514B">
        <w:rPr>
          <w:color w:val="000000"/>
          <w:lang w:eastAsia="x-none"/>
        </w:rPr>
        <w:t>T</w:t>
      </w:r>
      <w:r w:rsidR="00606460">
        <w:rPr>
          <w:color w:val="000000"/>
          <w:lang w:eastAsia="x-none"/>
        </w:rPr>
        <w:t xml:space="preserve">able 3 and </w:t>
      </w:r>
      <w:r w:rsidR="0048514B">
        <w:rPr>
          <w:color w:val="000000"/>
          <w:lang w:eastAsia="x-none"/>
        </w:rPr>
        <w:t>F</w:t>
      </w:r>
      <w:r w:rsidR="00606460">
        <w:rPr>
          <w:color w:val="000000"/>
          <w:lang w:eastAsia="x-none"/>
        </w:rPr>
        <w:t>igure 5b</w:t>
      </w:r>
      <w:r>
        <w:rPr>
          <w:color w:val="000000"/>
          <w:lang w:eastAsia="x-none"/>
        </w:rPr>
        <w:t xml:space="preserve"> that the average marginal effect is positive </w:t>
      </w:r>
      <w:r w:rsidR="00B76579">
        <w:rPr>
          <w:color w:val="000000"/>
          <w:lang w:eastAsia="x-none"/>
        </w:rPr>
        <w:t>from</w:t>
      </w:r>
      <w:r w:rsidR="00BD5C25">
        <w:rPr>
          <w:color w:val="000000"/>
          <w:lang w:eastAsia="x-none"/>
        </w:rPr>
        <w:t xml:space="preserve"> </w:t>
      </w:r>
      <w:r w:rsidR="00B76579">
        <w:rPr>
          <w:color w:val="000000"/>
          <w:lang w:eastAsia="x-none"/>
        </w:rPr>
        <w:t>the</w:t>
      </w:r>
      <w:r w:rsidR="00BD5C25">
        <w:rPr>
          <w:color w:val="000000"/>
          <w:lang w:eastAsia="x-none"/>
        </w:rPr>
        <w:t xml:space="preserve"> start until year 3 </w:t>
      </w:r>
      <w:r w:rsidR="000F532B">
        <w:rPr>
          <w:color w:val="000000"/>
          <w:lang w:eastAsia="x-none"/>
        </w:rPr>
        <w:t>albeit with a reducing</w:t>
      </w:r>
      <w:r w:rsidR="00BD5C25">
        <w:rPr>
          <w:color w:val="000000"/>
          <w:lang w:eastAsia="x-none"/>
        </w:rPr>
        <w:t xml:space="preserve"> (still positive)</w:t>
      </w:r>
      <w:r w:rsidR="000F532B">
        <w:rPr>
          <w:color w:val="000000"/>
          <w:lang w:eastAsia="x-none"/>
        </w:rPr>
        <w:t xml:space="preserve"> rate of change</w:t>
      </w:r>
      <w:r w:rsidR="00BD5C25">
        <w:rPr>
          <w:color w:val="000000"/>
          <w:lang w:eastAsia="x-none"/>
        </w:rPr>
        <w:t xml:space="preserve">. Beyond year 3, the average marginal effect </w:t>
      </w:r>
      <w:r>
        <w:rPr>
          <w:color w:val="000000"/>
          <w:lang w:eastAsia="x-none"/>
        </w:rPr>
        <w:t>becomes negative</w:t>
      </w:r>
      <w:r w:rsidR="00926A0B">
        <w:rPr>
          <w:color w:val="000000"/>
          <w:lang w:eastAsia="x-none"/>
        </w:rPr>
        <w:t xml:space="preserve"> with </w:t>
      </w:r>
      <w:r w:rsidR="00B76579">
        <w:rPr>
          <w:color w:val="000000"/>
          <w:lang w:eastAsia="x-none"/>
        </w:rPr>
        <w:t xml:space="preserve">an </w:t>
      </w:r>
      <w:r w:rsidR="00926A0B">
        <w:rPr>
          <w:color w:val="000000"/>
          <w:lang w:eastAsia="x-none"/>
        </w:rPr>
        <w:t xml:space="preserve">overall reducing rate of change. </w:t>
      </w:r>
      <w:r w:rsidR="00C22307">
        <w:rPr>
          <w:color w:val="000000"/>
          <w:lang w:eastAsia="x-none"/>
        </w:rPr>
        <w:t>The a</w:t>
      </w:r>
      <w:r>
        <w:rPr>
          <w:color w:val="000000"/>
          <w:lang w:eastAsia="x-none"/>
        </w:rPr>
        <w:t>verage marginal effect is positive and significant before year 3 (cross</w:t>
      </w:r>
      <w:r w:rsidR="00B76579">
        <w:rPr>
          <w:color w:val="000000"/>
          <w:lang w:eastAsia="x-none"/>
        </w:rPr>
        <w:t>-</w:t>
      </w:r>
      <w:r>
        <w:rPr>
          <w:color w:val="000000"/>
          <w:lang w:eastAsia="x-none"/>
        </w:rPr>
        <w:t>over point</w:t>
      </w:r>
      <w:r w:rsidR="00AC6B24">
        <w:rPr>
          <w:color w:val="000000"/>
          <w:lang w:eastAsia="x-none"/>
        </w:rPr>
        <w:t>, i.e.</w:t>
      </w:r>
      <w:r w:rsidR="00926A0B">
        <w:rPr>
          <w:color w:val="000000"/>
          <w:lang w:eastAsia="x-none"/>
        </w:rPr>
        <w:t>,</w:t>
      </w:r>
      <w:r w:rsidR="00AC6B24">
        <w:rPr>
          <w:color w:val="000000"/>
          <w:lang w:eastAsia="x-none"/>
        </w:rPr>
        <w:t xml:space="preserve"> </w:t>
      </w:r>
      <w:r w:rsidR="00B76579">
        <w:rPr>
          <w:color w:val="000000"/>
          <w:lang w:eastAsia="x-none"/>
        </w:rPr>
        <w:t>the</w:t>
      </w:r>
      <w:r w:rsidR="00AC6B24">
        <w:rPr>
          <w:color w:val="000000"/>
          <w:lang w:eastAsia="x-none"/>
        </w:rPr>
        <w:t xml:space="preserve"> turning point in the </w:t>
      </w:r>
      <w:r w:rsidR="00AC6B24" w:rsidRPr="00AC6B24">
        <w:rPr>
          <w:color w:val="000000"/>
          <w:lang w:eastAsia="x-none"/>
        </w:rPr>
        <w:t>inverted U-curve</w:t>
      </w:r>
      <w:r>
        <w:rPr>
          <w:color w:val="000000"/>
          <w:lang w:eastAsia="x-none"/>
        </w:rPr>
        <w:t xml:space="preserve">) </w:t>
      </w:r>
      <w:r w:rsidR="00AC6B24" w:rsidRPr="00AB2F97">
        <w:rPr>
          <w:color w:val="000000"/>
          <w:lang w:eastAsia="x-none"/>
        </w:rPr>
        <w:t xml:space="preserve">and negative and significant after year 3. </w:t>
      </w:r>
      <w:r w:rsidR="00680BF7" w:rsidRPr="00AB2F97">
        <w:rPr>
          <w:color w:val="000000"/>
          <w:lang w:eastAsia="x-none"/>
        </w:rPr>
        <w:t>Overall</w:t>
      </w:r>
      <w:r w:rsidR="00B65F28" w:rsidRPr="00AB2F97">
        <w:rPr>
          <w:color w:val="000000"/>
          <w:lang w:eastAsia="x-none"/>
        </w:rPr>
        <w:t xml:space="preserve">, we find strong support for </w:t>
      </w:r>
      <w:r w:rsidR="00801820" w:rsidRPr="00AB2F97">
        <w:rPr>
          <w:color w:val="000000"/>
          <w:lang w:eastAsia="x-none"/>
        </w:rPr>
        <w:t>hypothesis 1.</w:t>
      </w:r>
      <w:r w:rsidR="00FD38D2">
        <w:rPr>
          <w:color w:val="000000"/>
          <w:lang w:eastAsia="x-none"/>
        </w:rPr>
        <w:t xml:space="preserve"> </w:t>
      </w:r>
    </w:p>
    <w:p w14:paraId="6E023124" w14:textId="42269D94" w:rsidR="00195077" w:rsidRDefault="00195077" w:rsidP="00195077">
      <w:pPr>
        <w:spacing w:line="480" w:lineRule="auto"/>
        <w:ind w:firstLine="284"/>
        <w:jc w:val="center"/>
        <w:rPr>
          <w:color w:val="000000"/>
          <w:lang w:eastAsia="x-none"/>
        </w:rPr>
      </w:pPr>
      <w:bookmarkStart w:id="24" w:name="_Hlk49689195"/>
      <w:r w:rsidRPr="00195077">
        <w:rPr>
          <w:color w:val="000000"/>
          <w:lang w:eastAsia="x-none"/>
        </w:rPr>
        <w:t>** Insert Table</w:t>
      </w:r>
      <w:r>
        <w:rPr>
          <w:color w:val="000000"/>
          <w:lang w:eastAsia="x-none"/>
        </w:rPr>
        <w:t>s</w:t>
      </w:r>
      <w:r w:rsidRPr="00195077">
        <w:rPr>
          <w:color w:val="000000"/>
          <w:lang w:eastAsia="x-none"/>
        </w:rPr>
        <w:t xml:space="preserve"> </w:t>
      </w:r>
      <w:r w:rsidR="00956F2A">
        <w:rPr>
          <w:color w:val="000000"/>
          <w:lang w:eastAsia="x-none"/>
        </w:rPr>
        <w:t xml:space="preserve">1, </w:t>
      </w:r>
      <w:r>
        <w:rPr>
          <w:color w:val="000000"/>
          <w:lang w:eastAsia="x-none"/>
        </w:rPr>
        <w:t>2</w:t>
      </w:r>
      <w:r w:rsidR="000E78F2">
        <w:rPr>
          <w:color w:val="000000"/>
          <w:lang w:eastAsia="x-none"/>
        </w:rPr>
        <w:t>,</w:t>
      </w:r>
      <w:r>
        <w:rPr>
          <w:color w:val="000000"/>
          <w:lang w:eastAsia="x-none"/>
        </w:rPr>
        <w:t xml:space="preserve"> and 3</w:t>
      </w:r>
      <w:r w:rsidRPr="00195077">
        <w:rPr>
          <w:color w:val="000000"/>
          <w:lang w:eastAsia="x-none"/>
        </w:rPr>
        <w:t xml:space="preserve"> here **</w:t>
      </w:r>
    </w:p>
    <w:p w14:paraId="23037654" w14:textId="573AC1DE" w:rsidR="00195077" w:rsidRDefault="00195077" w:rsidP="00C456A0">
      <w:pPr>
        <w:spacing w:line="480" w:lineRule="auto"/>
        <w:ind w:left="284"/>
        <w:jc w:val="center"/>
        <w:rPr>
          <w:color w:val="000000"/>
          <w:lang w:eastAsia="x-none"/>
        </w:rPr>
      </w:pPr>
      <w:r w:rsidRPr="00195077">
        <w:rPr>
          <w:color w:val="000000"/>
          <w:lang w:eastAsia="x-none"/>
        </w:rPr>
        <w:t xml:space="preserve">** Insert </w:t>
      </w:r>
      <w:r>
        <w:rPr>
          <w:color w:val="000000"/>
          <w:lang w:eastAsia="x-none"/>
        </w:rPr>
        <w:t>Figure</w:t>
      </w:r>
      <w:r w:rsidR="009D51BD">
        <w:rPr>
          <w:color w:val="000000"/>
          <w:lang w:eastAsia="x-none"/>
        </w:rPr>
        <w:t>s</w:t>
      </w:r>
      <w:r w:rsidRPr="00195077">
        <w:rPr>
          <w:color w:val="000000"/>
          <w:lang w:eastAsia="x-none"/>
        </w:rPr>
        <w:t xml:space="preserve"> </w:t>
      </w:r>
      <w:r>
        <w:rPr>
          <w:color w:val="000000"/>
          <w:lang w:eastAsia="x-none"/>
        </w:rPr>
        <w:t>5</w:t>
      </w:r>
      <w:r w:rsidR="009D51BD">
        <w:rPr>
          <w:color w:val="000000"/>
          <w:lang w:eastAsia="x-none"/>
        </w:rPr>
        <w:t>a,</w:t>
      </w:r>
      <w:r w:rsidR="00615653">
        <w:rPr>
          <w:color w:val="000000"/>
          <w:lang w:eastAsia="x-none"/>
        </w:rPr>
        <w:t xml:space="preserve"> </w:t>
      </w:r>
      <w:r w:rsidR="009D51BD">
        <w:rPr>
          <w:color w:val="000000"/>
          <w:lang w:eastAsia="x-none"/>
        </w:rPr>
        <w:t>b</w:t>
      </w:r>
      <w:r w:rsidRPr="00195077">
        <w:rPr>
          <w:color w:val="000000"/>
          <w:lang w:eastAsia="x-none"/>
        </w:rPr>
        <w:t xml:space="preserve"> here **</w:t>
      </w:r>
    </w:p>
    <w:bookmarkEnd w:id="24"/>
    <w:p w14:paraId="03B4A75E" w14:textId="159EADA7" w:rsidR="00F60BD0" w:rsidRDefault="00620BDB" w:rsidP="00D56D0C">
      <w:pPr>
        <w:spacing w:line="480" w:lineRule="auto"/>
        <w:ind w:firstLine="284"/>
        <w:rPr>
          <w:color w:val="000000"/>
          <w:lang w:eastAsia="x-none"/>
        </w:rPr>
      </w:pPr>
      <w:r>
        <w:rPr>
          <w:color w:val="000000"/>
          <w:lang w:eastAsia="x-none"/>
        </w:rPr>
        <w:t>T</w:t>
      </w:r>
      <w:r w:rsidR="00801820">
        <w:rPr>
          <w:color w:val="000000"/>
          <w:lang w:eastAsia="x-none"/>
        </w:rPr>
        <w:t>o test hypothesis</w:t>
      </w:r>
      <w:r w:rsidR="001C3024">
        <w:rPr>
          <w:color w:val="000000"/>
          <w:lang w:eastAsia="x-none"/>
        </w:rPr>
        <w:t xml:space="preserve"> 2</w:t>
      </w:r>
      <w:r w:rsidR="00801820">
        <w:rPr>
          <w:color w:val="000000"/>
          <w:lang w:eastAsia="x-none"/>
        </w:rPr>
        <w:t xml:space="preserve">, we interacted the </w:t>
      </w:r>
      <w:r w:rsidR="0098026B" w:rsidRPr="00957884">
        <w:rPr>
          <w:color w:val="000000"/>
          <w:lang w:eastAsia="x-none"/>
        </w:rPr>
        <w:t>first order term</w:t>
      </w:r>
      <w:r w:rsidR="00801820">
        <w:rPr>
          <w:color w:val="000000"/>
          <w:lang w:eastAsia="x-none"/>
        </w:rPr>
        <w:t xml:space="preserve"> and the squared term of </w:t>
      </w:r>
      <w:r w:rsidR="00801820" w:rsidRPr="004744A5">
        <w:rPr>
          <w:i/>
          <w:iCs/>
          <w:color w:val="000000"/>
          <w:lang w:eastAsia="x-none"/>
        </w:rPr>
        <w:t>time-out</w:t>
      </w:r>
      <w:r w:rsidR="00801820">
        <w:rPr>
          <w:color w:val="000000"/>
          <w:lang w:eastAsia="x-none"/>
        </w:rPr>
        <w:t xml:space="preserve"> with </w:t>
      </w:r>
      <w:r w:rsidR="00801820">
        <w:rPr>
          <w:i/>
          <w:iCs/>
          <w:color w:val="000000"/>
          <w:lang w:eastAsia="x-none"/>
        </w:rPr>
        <w:t>c</w:t>
      </w:r>
      <w:r w:rsidR="00801820" w:rsidRPr="00180F6A">
        <w:rPr>
          <w:i/>
          <w:iCs/>
          <w:color w:val="000000"/>
          <w:lang w:eastAsia="x-none"/>
        </w:rPr>
        <w:t>ollaboration</w:t>
      </w:r>
      <w:r w:rsidR="000E78F2">
        <w:rPr>
          <w:i/>
          <w:iCs/>
          <w:color w:val="000000"/>
          <w:lang w:eastAsia="x-none"/>
        </w:rPr>
        <w:t>,</w:t>
      </w:r>
      <w:r w:rsidR="00801820">
        <w:rPr>
          <w:color w:val="000000"/>
          <w:lang w:eastAsia="x-none"/>
        </w:rPr>
        <w:t xml:space="preserve"> and the estimated results are reported in Model </w:t>
      </w:r>
      <w:r w:rsidR="00CD417A">
        <w:rPr>
          <w:color w:val="000000"/>
          <w:lang w:eastAsia="x-none"/>
        </w:rPr>
        <w:t>2</w:t>
      </w:r>
      <w:r w:rsidR="00801820">
        <w:rPr>
          <w:color w:val="000000"/>
          <w:lang w:eastAsia="x-none"/>
        </w:rPr>
        <w:t xml:space="preserve">.2. Again, </w:t>
      </w:r>
      <w:r w:rsidR="00801820" w:rsidRPr="002421EE">
        <w:rPr>
          <w:color w:val="000000"/>
          <w:lang w:eastAsia="x-none"/>
        </w:rPr>
        <w:t xml:space="preserve">the </w:t>
      </w:r>
      <w:r w:rsidR="00CD417A">
        <w:rPr>
          <w:color w:val="000000"/>
          <w:lang w:eastAsia="x-none"/>
        </w:rPr>
        <w:t xml:space="preserve">coefficient </w:t>
      </w:r>
      <w:r w:rsidR="00801820" w:rsidRPr="002421EE">
        <w:rPr>
          <w:color w:val="000000"/>
          <w:lang w:eastAsia="x-none"/>
        </w:rPr>
        <w:t xml:space="preserve">of </w:t>
      </w:r>
      <w:r w:rsidR="00801820">
        <w:rPr>
          <w:color w:val="000000"/>
          <w:lang w:eastAsia="x-none"/>
        </w:rPr>
        <w:t xml:space="preserve">the </w:t>
      </w:r>
      <w:r w:rsidR="00801820" w:rsidRPr="002421EE">
        <w:rPr>
          <w:color w:val="000000"/>
          <w:lang w:eastAsia="x-none"/>
        </w:rPr>
        <w:t xml:space="preserve">time-out </w:t>
      </w:r>
      <w:r w:rsidR="00801820">
        <w:rPr>
          <w:color w:val="000000"/>
          <w:lang w:eastAsia="x-none"/>
        </w:rPr>
        <w:t xml:space="preserve">variable </w:t>
      </w:r>
      <w:r w:rsidR="00801820" w:rsidRPr="002421EE">
        <w:rPr>
          <w:color w:val="000000"/>
          <w:lang w:eastAsia="x-none"/>
        </w:rPr>
        <w:t>is positive and statis</w:t>
      </w:r>
      <w:r w:rsidR="00801820" w:rsidRPr="007F032C">
        <w:rPr>
          <w:color w:val="000000"/>
          <w:lang w:eastAsia="x-none"/>
        </w:rPr>
        <w:t>tically significant (</w:t>
      </w:r>
      <w:r w:rsidR="00CD417A" w:rsidRPr="007F5A66">
        <w:rPr>
          <w:color w:val="000000"/>
          <w:lang w:eastAsia="x-none"/>
        </w:rPr>
        <w:t>β</w:t>
      </w:r>
      <w:r w:rsidR="00801820" w:rsidRPr="007F032C">
        <w:rPr>
          <w:color w:val="000000"/>
          <w:lang w:eastAsia="x-none"/>
        </w:rPr>
        <w:t xml:space="preserve"> = </w:t>
      </w:r>
      <w:r w:rsidR="00A52735" w:rsidRPr="00A52735">
        <w:t>2.382</w:t>
      </w:r>
      <w:r w:rsidR="00801820" w:rsidRPr="007F032C">
        <w:rPr>
          <w:color w:val="000000"/>
          <w:lang w:eastAsia="x-none"/>
        </w:rPr>
        <w:t>, p = 0.000), and</w:t>
      </w:r>
      <w:r w:rsidR="00801820">
        <w:rPr>
          <w:color w:val="000000"/>
          <w:lang w:eastAsia="x-none"/>
        </w:rPr>
        <w:t xml:space="preserve"> that of</w:t>
      </w:r>
      <w:r w:rsidR="00801820" w:rsidRPr="007F032C">
        <w:rPr>
          <w:color w:val="000000"/>
          <w:lang w:eastAsia="x-none"/>
        </w:rPr>
        <w:t xml:space="preserve"> the</w:t>
      </w:r>
      <w:r w:rsidR="00801820">
        <w:rPr>
          <w:color w:val="000000"/>
          <w:lang w:eastAsia="x-none"/>
        </w:rPr>
        <w:t xml:space="preserve"> </w:t>
      </w:r>
      <w:r w:rsidR="00801820" w:rsidRPr="004744A5">
        <w:rPr>
          <w:i/>
          <w:iCs/>
          <w:color w:val="000000"/>
          <w:lang w:eastAsia="x-none"/>
        </w:rPr>
        <w:t>time-out squared</w:t>
      </w:r>
      <w:r w:rsidR="00801820" w:rsidRPr="007F032C">
        <w:rPr>
          <w:color w:val="000000"/>
          <w:lang w:eastAsia="x-none"/>
        </w:rPr>
        <w:t xml:space="preserve"> is </w:t>
      </w:r>
      <w:r w:rsidR="00801820">
        <w:rPr>
          <w:color w:val="000000"/>
          <w:lang w:eastAsia="x-none"/>
        </w:rPr>
        <w:t xml:space="preserve">negative </w:t>
      </w:r>
      <w:r w:rsidR="00801820" w:rsidRPr="007F032C">
        <w:rPr>
          <w:color w:val="000000"/>
          <w:lang w:eastAsia="x-none"/>
        </w:rPr>
        <w:t>and statistically significant (</w:t>
      </w:r>
      <w:r w:rsidR="00CD417A" w:rsidRPr="007F5A66">
        <w:rPr>
          <w:color w:val="000000"/>
          <w:lang w:eastAsia="x-none"/>
        </w:rPr>
        <w:t>β</w:t>
      </w:r>
      <w:r w:rsidR="00801820" w:rsidRPr="007F032C">
        <w:rPr>
          <w:color w:val="000000"/>
          <w:lang w:eastAsia="x-none"/>
        </w:rPr>
        <w:t xml:space="preserve"> =</w:t>
      </w:r>
      <w:r w:rsidR="00801820">
        <w:rPr>
          <w:color w:val="000000"/>
          <w:lang w:eastAsia="x-none"/>
        </w:rPr>
        <w:t xml:space="preserve"> </w:t>
      </w:r>
      <w:r w:rsidR="00CD417A">
        <w:t>-</w:t>
      </w:r>
      <w:r w:rsidR="00A52735" w:rsidRPr="00A52735">
        <w:t>0.378</w:t>
      </w:r>
      <w:r w:rsidR="00801820" w:rsidRPr="007F032C">
        <w:rPr>
          <w:color w:val="000000"/>
          <w:lang w:eastAsia="x-none"/>
        </w:rPr>
        <w:t>, p = 0.00</w:t>
      </w:r>
      <w:r w:rsidR="00801820">
        <w:rPr>
          <w:color w:val="000000"/>
          <w:lang w:eastAsia="x-none"/>
        </w:rPr>
        <w:t>0</w:t>
      </w:r>
      <w:r w:rsidR="00801820" w:rsidRPr="007F032C">
        <w:rPr>
          <w:color w:val="000000"/>
          <w:lang w:eastAsia="x-none"/>
        </w:rPr>
        <w:t>)</w:t>
      </w:r>
      <w:r w:rsidR="005E6472">
        <w:rPr>
          <w:color w:val="000000"/>
          <w:lang w:eastAsia="x-none"/>
        </w:rPr>
        <w:t xml:space="preserve">. </w:t>
      </w:r>
      <w:r w:rsidR="00801820">
        <w:rPr>
          <w:color w:val="000000"/>
          <w:lang w:eastAsia="x-none"/>
        </w:rPr>
        <w:t xml:space="preserve">Similarly, the </w:t>
      </w:r>
      <w:r w:rsidR="00E00C91">
        <w:rPr>
          <w:color w:val="000000"/>
          <w:lang w:eastAsia="x-none"/>
        </w:rPr>
        <w:t>coefficient</w:t>
      </w:r>
      <w:r w:rsidR="00801820">
        <w:rPr>
          <w:color w:val="000000"/>
          <w:lang w:eastAsia="x-none"/>
        </w:rPr>
        <w:t xml:space="preserve"> of </w:t>
      </w:r>
      <w:r w:rsidR="00801820" w:rsidRPr="00B476F9">
        <w:rPr>
          <w:color w:val="000000"/>
          <w:lang w:eastAsia="x-none"/>
        </w:rPr>
        <w:t xml:space="preserve">the interaction between </w:t>
      </w:r>
      <w:r w:rsidR="00801820">
        <w:rPr>
          <w:color w:val="000000"/>
          <w:lang w:eastAsia="x-none"/>
        </w:rPr>
        <w:t>collaboration</w:t>
      </w:r>
      <w:r w:rsidR="00801820" w:rsidRPr="00B476F9">
        <w:rPr>
          <w:color w:val="000000"/>
          <w:lang w:eastAsia="x-none"/>
        </w:rPr>
        <w:t xml:space="preserve"> and the </w:t>
      </w:r>
      <w:r w:rsidR="0098026B" w:rsidRPr="00957884">
        <w:rPr>
          <w:color w:val="000000"/>
          <w:lang w:eastAsia="x-none"/>
        </w:rPr>
        <w:t>first order term</w:t>
      </w:r>
      <w:r w:rsidR="00801820" w:rsidRPr="00B476F9">
        <w:rPr>
          <w:color w:val="000000"/>
          <w:lang w:eastAsia="x-none"/>
        </w:rPr>
        <w:t xml:space="preserve"> of </w:t>
      </w:r>
      <w:r w:rsidR="000E78F2">
        <w:rPr>
          <w:color w:val="000000"/>
          <w:lang w:eastAsia="x-none"/>
        </w:rPr>
        <w:t>the</w:t>
      </w:r>
      <w:r w:rsidR="00801820" w:rsidRPr="00B476F9">
        <w:rPr>
          <w:color w:val="000000"/>
          <w:lang w:eastAsia="x-none"/>
        </w:rPr>
        <w:t xml:space="preserve"> </w:t>
      </w:r>
      <w:r w:rsidR="00801820" w:rsidRPr="004744A5">
        <w:rPr>
          <w:i/>
          <w:iCs/>
          <w:color w:val="000000"/>
          <w:lang w:eastAsia="x-none"/>
        </w:rPr>
        <w:t>time-out</w:t>
      </w:r>
      <w:r w:rsidR="00801820" w:rsidRPr="00B476F9">
        <w:rPr>
          <w:color w:val="000000"/>
          <w:lang w:eastAsia="x-none"/>
        </w:rPr>
        <w:t xml:space="preserve"> </w:t>
      </w:r>
      <w:r w:rsidR="00801820">
        <w:rPr>
          <w:color w:val="000000"/>
          <w:lang w:eastAsia="x-none"/>
        </w:rPr>
        <w:t xml:space="preserve">period is also positive and significant </w:t>
      </w:r>
      <w:r w:rsidR="00801820" w:rsidRPr="007F032C">
        <w:rPr>
          <w:color w:val="000000"/>
          <w:lang w:eastAsia="x-none"/>
        </w:rPr>
        <w:t>(</w:t>
      </w:r>
      <w:r w:rsidR="00E00C91" w:rsidRPr="007F5A66">
        <w:rPr>
          <w:color w:val="000000"/>
          <w:lang w:eastAsia="x-none"/>
        </w:rPr>
        <w:t>β</w:t>
      </w:r>
      <w:r w:rsidR="00801820" w:rsidRPr="007F032C">
        <w:rPr>
          <w:color w:val="000000"/>
          <w:lang w:eastAsia="x-none"/>
        </w:rPr>
        <w:t xml:space="preserve"> = </w:t>
      </w:r>
      <w:r w:rsidR="00CD2D54" w:rsidRPr="00CD2D54">
        <w:t>1.236</w:t>
      </w:r>
      <w:r w:rsidR="00801820" w:rsidRPr="007F032C">
        <w:rPr>
          <w:color w:val="000000"/>
          <w:lang w:eastAsia="x-none"/>
        </w:rPr>
        <w:t xml:space="preserve">, p = </w:t>
      </w:r>
      <w:r w:rsidR="00CD2D54" w:rsidRPr="00CD2D54">
        <w:rPr>
          <w:color w:val="000000"/>
          <w:lang w:eastAsia="x-none"/>
        </w:rPr>
        <w:t>0.025</w:t>
      </w:r>
      <w:r w:rsidR="00801820" w:rsidRPr="007F032C">
        <w:rPr>
          <w:color w:val="000000"/>
          <w:lang w:eastAsia="x-none"/>
        </w:rPr>
        <w:t>)</w:t>
      </w:r>
      <w:r w:rsidR="00801820">
        <w:rPr>
          <w:color w:val="000000"/>
          <w:lang w:eastAsia="x-none"/>
        </w:rPr>
        <w:t xml:space="preserve"> while the </w:t>
      </w:r>
      <w:r w:rsidR="00801820" w:rsidRPr="00B476F9">
        <w:rPr>
          <w:color w:val="000000"/>
          <w:lang w:eastAsia="x-none"/>
        </w:rPr>
        <w:t xml:space="preserve">interaction between </w:t>
      </w:r>
      <w:r w:rsidR="00801820">
        <w:rPr>
          <w:color w:val="000000"/>
          <w:lang w:eastAsia="x-none"/>
        </w:rPr>
        <w:t>collaboration</w:t>
      </w:r>
      <w:r w:rsidR="00801820" w:rsidRPr="00B476F9">
        <w:rPr>
          <w:color w:val="000000"/>
          <w:lang w:eastAsia="x-none"/>
        </w:rPr>
        <w:t xml:space="preserve"> and the </w:t>
      </w:r>
      <w:r w:rsidR="00801820">
        <w:rPr>
          <w:color w:val="000000"/>
          <w:lang w:eastAsia="x-none"/>
        </w:rPr>
        <w:t>square</w:t>
      </w:r>
      <w:r w:rsidR="00801820" w:rsidRPr="00B476F9">
        <w:rPr>
          <w:color w:val="000000"/>
          <w:lang w:eastAsia="x-none"/>
        </w:rPr>
        <w:t xml:space="preserve"> term of </w:t>
      </w:r>
      <w:r w:rsidR="000E78F2">
        <w:rPr>
          <w:color w:val="000000"/>
          <w:lang w:eastAsia="x-none"/>
        </w:rPr>
        <w:t xml:space="preserve">the </w:t>
      </w:r>
      <w:r w:rsidR="00801820" w:rsidRPr="004744A5">
        <w:rPr>
          <w:i/>
          <w:iCs/>
          <w:color w:val="000000"/>
          <w:lang w:eastAsia="x-none"/>
        </w:rPr>
        <w:t>time-out</w:t>
      </w:r>
      <w:r w:rsidR="00801820" w:rsidRPr="00B476F9">
        <w:rPr>
          <w:color w:val="000000"/>
          <w:lang w:eastAsia="x-none"/>
        </w:rPr>
        <w:t xml:space="preserve"> </w:t>
      </w:r>
      <w:r w:rsidR="00801820">
        <w:rPr>
          <w:color w:val="000000"/>
          <w:lang w:eastAsia="x-none"/>
        </w:rPr>
        <w:t xml:space="preserve">period is negative and significant </w:t>
      </w:r>
      <w:r w:rsidR="00801820" w:rsidRPr="007F032C">
        <w:rPr>
          <w:color w:val="000000"/>
          <w:lang w:eastAsia="x-none"/>
        </w:rPr>
        <w:t>(</w:t>
      </w:r>
      <w:r w:rsidR="00F00D73" w:rsidRPr="007F5A66">
        <w:rPr>
          <w:color w:val="000000"/>
          <w:lang w:eastAsia="x-none"/>
        </w:rPr>
        <w:t>β</w:t>
      </w:r>
      <w:r w:rsidR="00801820" w:rsidRPr="007F032C">
        <w:rPr>
          <w:color w:val="000000"/>
          <w:lang w:eastAsia="x-none"/>
        </w:rPr>
        <w:t xml:space="preserve"> =</w:t>
      </w:r>
      <w:r w:rsidR="00801820">
        <w:rPr>
          <w:color w:val="000000"/>
          <w:lang w:eastAsia="x-none"/>
        </w:rPr>
        <w:t xml:space="preserve"> </w:t>
      </w:r>
      <w:r w:rsidR="00CD2D54" w:rsidRPr="00CD2D54">
        <w:t>-0.241</w:t>
      </w:r>
      <w:r w:rsidR="00801820" w:rsidRPr="007F032C">
        <w:rPr>
          <w:color w:val="000000"/>
          <w:lang w:eastAsia="x-none"/>
        </w:rPr>
        <w:t xml:space="preserve">, </w:t>
      </w:r>
      <w:r w:rsidR="00801820" w:rsidRPr="007F032C">
        <w:rPr>
          <w:color w:val="000000"/>
          <w:lang w:eastAsia="x-none"/>
        </w:rPr>
        <w:lastRenderedPageBreak/>
        <w:t xml:space="preserve">p = </w:t>
      </w:r>
      <w:r w:rsidR="00CD2D54" w:rsidRPr="00CD2D54">
        <w:rPr>
          <w:color w:val="000000"/>
          <w:lang w:eastAsia="x-none"/>
        </w:rPr>
        <w:t>0.059</w:t>
      </w:r>
      <w:r w:rsidR="00801820" w:rsidRPr="007F032C">
        <w:rPr>
          <w:color w:val="000000"/>
          <w:lang w:eastAsia="x-none"/>
        </w:rPr>
        <w:t>)</w:t>
      </w:r>
      <w:r w:rsidR="00801820">
        <w:rPr>
          <w:color w:val="000000"/>
          <w:lang w:eastAsia="x-none"/>
        </w:rPr>
        <w:t xml:space="preserve">. </w:t>
      </w:r>
      <w:r w:rsidR="00B7395C">
        <w:rPr>
          <w:color w:val="000000"/>
          <w:lang w:val="en-US" w:eastAsia="x-none"/>
        </w:rPr>
        <w:t>T</w:t>
      </w:r>
      <w:r w:rsidR="00801820">
        <w:rPr>
          <w:color w:val="000000"/>
          <w:lang w:val="en-US" w:eastAsia="x-none"/>
        </w:rPr>
        <w:t>o gain a better understanding of the moderating relationship</w:t>
      </w:r>
      <w:r w:rsidR="00EF7E71">
        <w:rPr>
          <w:color w:val="000000"/>
          <w:lang w:val="en-US" w:eastAsia="x-none"/>
        </w:rPr>
        <w:t>,</w:t>
      </w:r>
      <w:r w:rsidR="00B77929">
        <w:rPr>
          <w:color w:val="000000"/>
          <w:lang w:val="en-US" w:eastAsia="x-none"/>
        </w:rPr>
        <w:t xml:space="preserve"> in Figure 6a</w:t>
      </w:r>
      <w:r w:rsidR="00801820">
        <w:rPr>
          <w:color w:val="000000"/>
          <w:lang w:val="en-US" w:eastAsia="x-none"/>
        </w:rPr>
        <w:t xml:space="preserve"> we </w:t>
      </w:r>
      <w:r w:rsidR="00801820" w:rsidRPr="006E448B">
        <w:rPr>
          <w:color w:val="000000"/>
          <w:lang w:eastAsia="x-none"/>
        </w:rPr>
        <w:t>plot</w:t>
      </w:r>
      <w:r w:rsidR="00801820">
        <w:rPr>
          <w:color w:val="000000"/>
          <w:lang w:eastAsia="x-none"/>
        </w:rPr>
        <w:t>ted</w:t>
      </w:r>
      <w:r w:rsidR="00801820" w:rsidRPr="006E448B">
        <w:rPr>
          <w:color w:val="000000"/>
          <w:lang w:eastAsia="x-none"/>
        </w:rPr>
        <w:t xml:space="preserve"> the</w:t>
      </w:r>
      <w:r w:rsidR="00173ACD">
        <w:rPr>
          <w:color w:val="000000"/>
          <w:lang w:eastAsia="x-none"/>
        </w:rPr>
        <w:t xml:space="preserve"> average adjusted predictions</w:t>
      </w:r>
      <w:r w:rsidR="00801820" w:rsidRPr="006E448B">
        <w:rPr>
          <w:color w:val="000000"/>
          <w:lang w:eastAsia="x-none"/>
        </w:rPr>
        <w:t xml:space="preserve"> </w:t>
      </w:r>
      <w:r w:rsidR="00173ACD">
        <w:rPr>
          <w:color w:val="000000"/>
          <w:lang w:eastAsia="x-none"/>
        </w:rPr>
        <w:t xml:space="preserve">at different points </w:t>
      </w:r>
      <w:r w:rsidR="00801820" w:rsidRPr="006E448B">
        <w:rPr>
          <w:color w:val="000000"/>
          <w:lang w:eastAsia="x-none"/>
        </w:rPr>
        <w:t>of the time-out period for three levels of collaboration: 0 (no collaboration during the time-out period), 0.5 (collaboration during half of the time-out period), and 1</w:t>
      </w:r>
      <w:r w:rsidR="00B45B73">
        <w:rPr>
          <w:color w:val="000000"/>
          <w:lang w:eastAsia="x-none"/>
        </w:rPr>
        <w:t xml:space="preserve"> </w:t>
      </w:r>
      <w:r w:rsidR="00801820" w:rsidRPr="006E448B">
        <w:rPr>
          <w:color w:val="000000"/>
          <w:lang w:eastAsia="x-none"/>
        </w:rPr>
        <w:t xml:space="preserve">(continuous collaboration during the time-out period). </w:t>
      </w:r>
      <w:r w:rsidR="00801820">
        <w:rPr>
          <w:color w:val="000000"/>
          <w:lang w:eastAsia="x-none"/>
        </w:rPr>
        <w:t xml:space="preserve">In </w:t>
      </w:r>
      <w:r w:rsidR="00D56D0C">
        <w:rPr>
          <w:color w:val="000000"/>
          <w:lang w:eastAsia="x-none"/>
        </w:rPr>
        <w:t>that figure</w:t>
      </w:r>
      <w:r w:rsidR="00801820">
        <w:rPr>
          <w:color w:val="000000"/>
          <w:lang w:eastAsia="x-none"/>
        </w:rPr>
        <w:t>, we</w:t>
      </w:r>
      <w:r w:rsidR="004D6813">
        <w:rPr>
          <w:color w:val="000000"/>
          <w:lang w:eastAsia="x-none"/>
        </w:rPr>
        <w:t xml:space="preserve"> can see</w:t>
      </w:r>
      <w:r w:rsidR="00801820">
        <w:rPr>
          <w:color w:val="000000"/>
          <w:lang w:eastAsia="x-none"/>
        </w:rPr>
        <w:t xml:space="preserve"> how the </w:t>
      </w:r>
      <w:r w:rsidR="00AA2B05">
        <w:rPr>
          <w:color w:val="000000"/>
          <w:lang w:eastAsia="x-none"/>
        </w:rPr>
        <w:t xml:space="preserve">inverted </w:t>
      </w:r>
      <w:r w:rsidR="00801820">
        <w:rPr>
          <w:color w:val="000000"/>
          <w:lang w:eastAsia="x-none"/>
        </w:rPr>
        <w:t xml:space="preserve">U-curve that represents the relationship between </w:t>
      </w:r>
      <w:r w:rsidR="000E78F2">
        <w:rPr>
          <w:color w:val="000000"/>
          <w:lang w:eastAsia="x-none"/>
        </w:rPr>
        <w:t xml:space="preserve">the </w:t>
      </w:r>
      <w:r w:rsidR="00801820">
        <w:rPr>
          <w:color w:val="000000"/>
          <w:lang w:eastAsia="x-none"/>
        </w:rPr>
        <w:t xml:space="preserve">time-out period and the probability to re-enter, changes for different values of the collaboration variable. The graph shows </w:t>
      </w:r>
      <w:r w:rsidR="00A214D0">
        <w:rPr>
          <w:color w:val="000000"/>
          <w:lang w:eastAsia="x-none"/>
        </w:rPr>
        <w:t xml:space="preserve">that the </w:t>
      </w:r>
      <w:r w:rsidR="00396F91">
        <w:rPr>
          <w:color w:val="000000"/>
          <w:lang w:eastAsia="x-none"/>
        </w:rPr>
        <w:t>U</w:t>
      </w:r>
      <w:r w:rsidR="00A214D0">
        <w:rPr>
          <w:color w:val="000000"/>
          <w:lang w:eastAsia="x-none"/>
        </w:rPr>
        <w:t xml:space="preserve">-curve relationship between the </w:t>
      </w:r>
      <w:r w:rsidR="009B73EF">
        <w:rPr>
          <w:color w:val="000000"/>
          <w:lang w:eastAsia="x-none"/>
        </w:rPr>
        <w:t>time-out</w:t>
      </w:r>
      <w:r w:rsidR="00A214D0">
        <w:rPr>
          <w:color w:val="000000"/>
          <w:lang w:eastAsia="x-none"/>
        </w:rPr>
        <w:t xml:space="preserve"> period and export re-entry propensity shifts up </w:t>
      </w:r>
      <w:r w:rsidR="00801820">
        <w:rPr>
          <w:color w:val="000000"/>
          <w:lang w:eastAsia="x-none"/>
        </w:rPr>
        <w:t>as the values of the collaboration variable increase.</w:t>
      </w:r>
      <w:r w:rsidR="00A214D0">
        <w:rPr>
          <w:color w:val="000000"/>
          <w:lang w:eastAsia="x-none"/>
        </w:rPr>
        <w:t xml:space="preserve"> This is in line with </w:t>
      </w:r>
      <w:r w:rsidR="009A3397">
        <w:rPr>
          <w:color w:val="000000"/>
          <w:lang w:eastAsia="x-none"/>
        </w:rPr>
        <w:t>the predictions of</w:t>
      </w:r>
      <w:r w:rsidR="00A214D0">
        <w:rPr>
          <w:color w:val="000000"/>
          <w:lang w:eastAsia="x-none"/>
        </w:rPr>
        <w:t xml:space="preserve"> H2. However, this upward shift is more pronounced in the first half of the </w:t>
      </w:r>
      <w:r w:rsidR="00D421EA">
        <w:rPr>
          <w:color w:val="000000"/>
          <w:lang w:eastAsia="x-none"/>
        </w:rPr>
        <w:t>U</w:t>
      </w:r>
      <w:r w:rsidR="00A214D0">
        <w:rPr>
          <w:color w:val="000000"/>
          <w:lang w:eastAsia="x-none"/>
        </w:rPr>
        <w:t xml:space="preserve">-curve </w:t>
      </w:r>
      <w:r w:rsidR="00183FEC">
        <w:rPr>
          <w:color w:val="000000"/>
          <w:lang w:eastAsia="x-none"/>
        </w:rPr>
        <w:t xml:space="preserve">as </w:t>
      </w:r>
      <w:r w:rsidR="00A214D0">
        <w:rPr>
          <w:color w:val="000000"/>
          <w:lang w:eastAsia="x-none"/>
        </w:rPr>
        <w:t xml:space="preserve">the difference between the curves reduces progressively with the increase in </w:t>
      </w:r>
      <w:r w:rsidR="000E78F2">
        <w:rPr>
          <w:color w:val="000000"/>
          <w:lang w:eastAsia="x-none"/>
        </w:rPr>
        <w:t xml:space="preserve">the </w:t>
      </w:r>
      <w:r w:rsidR="009B73EF">
        <w:rPr>
          <w:color w:val="000000"/>
          <w:lang w:eastAsia="x-none"/>
        </w:rPr>
        <w:t>time-out</w:t>
      </w:r>
      <w:r w:rsidR="00A214D0">
        <w:rPr>
          <w:color w:val="000000"/>
          <w:lang w:eastAsia="x-none"/>
        </w:rPr>
        <w:t xml:space="preserve"> period</w:t>
      </w:r>
      <w:r w:rsidR="000E78F2">
        <w:rPr>
          <w:color w:val="000000"/>
          <w:lang w:eastAsia="x-none"/>
        </w:rPr>
        <w:t>,</w:t>
      </w:r>
      <w:r w:rsidR="00A214D0">
        <w:rPr>
          <w:color w:val="000000"/>
          <w:lang w:eastAsia="x-none"/>
        </w:rPr>
        <w:t xml:space="preserve"> and eventually</w:t>
      </w:r>
      <w:r w:rsidR="000E78F2">
        <w:rPr>
          <w:color w:val="000000"/>
          <w:lang w:eastAsia="x-none"/>
        </w:rPr>
        <w:t>,</w:t>
      </w:r>
      <w:r w:rsidR="00A214D0">
        <w:rPr>
          <w:color w:val="000000"/>
          <w:lang w:eastAsia="x-none"/>
        </w:rPr>
        <w:t xml:space="preserve"> the curves merge at the end of the graphs. This suggest</w:t>
      </w:r>
      <w:r w:rsidR="00374CDF">
        <w:rPr>
          <w:color w:val="000000"/>
          <w:lang w:eastAsia="x-none"/>
        </w:rPr>
        <w:t>s</w:t>
      </w:r>
      <w:r w:rsidR="00A214D0">
        <w:rPr>
          <w:color w:val="000000"/>
          <w:lang w:eastAsia="x-none"/>
        </w:rPr>
        <w:t xml:space="preserve"> that collaboration has a more pronounce</w:t>
      </w:r>
      <w:r w:rsidR="00AB61D9">
        <w:rPr>
          <w:color w:val="000000"/>
          <w:lang w:eastAsia="x-none"/>
        </w:rPr>
        <w:t>d</w:t>
      </w:r>
      <w:r w:rsidR="00A214D0">
        <w:rPr>
          <w:color w:val="000000"/>
          <w:lang w:eastAsia="x-none"/>
        </w:rPr>
        <w:t xml:space="preserve"> effect on the first latent mechanism (</w:t>
      </w:r>
      <w:r w:rsidR="00B65F28">
        <w:rPr>
          <w:color w:val="000000"/>
          <w:lang w:eastAsia="x-none"/>
        </w:rPr>
        <w:t>i.e.</w:t>
      </w:r>
      <w:r w:rsidR="00AD63AF">
        <w:rPr>
          <w:color w:val="000000"/>
          <w:lang w:eastAsia="x-none"/>
        </w:rPr>
        <w:t>,</w:t>
      </w:r>
      <w:r w:rsidR="00B65F28">
        <w:rPr>
          <w:color w:val="000000"/>
          <w:lang w:eastAsia="x-none"/>
        </w:rPr>
        <w:t xml:space="preserve"> </w:t>
      </w:r>
      <w:r w:rsidR="00A214D0">
        <w:rPr>
          <w:color w:val="000000"/>
          <w:lang w:eastAsia="x-none"/>
        </w:rPr>
        <w:t xml:space="preserve">through </w:t>
      </w:r>
      <w:r w:rsidR="0067321B">
        <w:rPr>
          <w:color w:val="000000"/>
          <w:lang w:eastAsia="x-none"/>
        </w:rPr>
        <w:t>reducing the inertia</w:t>
      </w:r>
      <w:r w:rsidR="00A214D0">
        <w:rPr>
          <w:color w:val="000000"/>
          <w:lang w:eastAsia="x-none"/>
        </w:rPr>
        <w:t xml:space="preserve"> as per in figure 2(a)) than the second latent mechanism (</w:t>
      </w:r>
      <w:r w:rsidR="00B65F28">
        <w:rPr>
          <w:color w:val="000000"/>
          <w:lang w:eastAsia="x-none"/>
        </w:rPr>
        <w:t>i.e.</w:t>
      </w:r>
      <w:r w:rsidR="00AD63AF">
        <w:rPr>
          <w:color w:val="000000"/>
          <w:lang w:eastAsia="x-none"/>
        </w:rPr>
        <w:t>,</w:t>
      </w:r>
      <w:r w:rsidR="00B65F28">
        <w:rPr>
          <w:color w:val="000000"/>
          <w:lang w:eastAsia="x-none"/>
        </w:rPr>
        <w:t xml:space="preserve"> </w:t>
      </w:r>
      <w:r w:rsidR="00A214D0">
        <w:rPr>
          <w:color w:val="000000"/>
          <w:lang w:eastAsia="x-none"/>
        </w:rPr>
        <w:t xml:space="preserve">through increasing the </w:t>
      </w:r>
      <w:r w:rsidR="00A214D0" w:rsidRPr="00575FBA">
        <w:rPr>
          <w:color w:val="000000"/>
          <w:lang w:eastAsia="x-none"/>
        </w:rPr>
        <w:t>stock of knowledge/skills</w:t>
      </w:r>
      <w:r w:rsidR="00A214D0">
        <w:rPr>
          <w:color w:val="000000"/>
          <w:lang w:eastAsia="x-none"/>
        </w:rPr>
        <w:t xml:space="preserve"> as per in figure 2(b)</w:t>
      </w:r>
      <w:r w:rsidR="00A214D0" w:rsidRPr="00575FBA">
        <w:rPr>
          <w:color w:val="000000"/>
          <w:lang w:eastAsia="x-none"/>
        </w:rPr>
        <w:t>)</w:t>
      </w:r>
      <w:r w:rsidR="00BE3E8C">
        <w:rPr>
          <w:color w:val="000000"/>
          <w:lang w:eastAsia="x-none"/>
        </w:rPr>
        <w:t>.</w:t>
      </w:r>
      <w:r w:rsidR="001250BC">
        <w:rPr>
          <w:color w:val="000000"/>
          <w:lang w:eastAsia="x-none"/>
        </w:rPr>
        <w:t xml:space="preserve"> </w:t>
      </w:r>
    </w:p>
    <w:p w14:paraId="69A22854" w14:textId="1EEE5D52" w:rsidR="00195077" w:rsidRDefault="00DD4F74" w:rsidP="00526D52">
      <w:pPr>
        <w:spacing w:line="480" w:lineRule="auto"/>
        <w:ind w:firstLine="284"/>
        <w:rPr>
          <w:color w:val="000000"/>
          <w:lang w:eastAsia="x-none"/>
        </w:rPr>
      </w:pPr>
      <w:r>
        <w:rPr>
          <w:color w:val="000000"/>
          <w:lang w:eastAsia="x-none"/>
        </w:rPr>
        <w:t xml:space="preserve">As </w:t>
      </w:r>
      <w:r w:rsidR="0095591A">
        <w:rPr>
          <w:color w:val="000000"/>
          <w:lang w:eastAsia="x-none"/>
        </w:rPr>
        <w:t>for H1,</w:t>
      </w:r>
      <w:r>
        <w:rPr>
          <w:color w:val="000000"/>
          <w:lang w:eastAsia="x-none"/>
        </w:rPr>
        <w:t xml:space="preserve"> </w:t>
      </w:r>
      <w:r w:rsidR="0015472F">
        <w:rPr>
          <w:color w:val="000000"/>
          <w:lang w:eastAsia="x-none"/>
        </w:rPr>
        <w:t xml:space="preserve">given that </w:t>
      </w:r>
      <w:r w:rsidR="0015472F" w:rsidRPr="0015472F">
        <w:rPr>
          <w:color w:val="000000"/>
          <w:lang w:eastAsia="x-none"/>
        </w:rPr>
        <w:t xml:space="preserve">the coefficients of the probit model cannot be directly interpreted, </w:t>
      </w:r>
      <w:r w:rsidR="006A464C">
        <w:rPr>
          <w:color w:val="000000"/>
          <w:lang w:eastAsia="x-none"/>
        </w:rPr>
        <w:t>we</w:t>
      </w:r>
      <w:r>
        <w:rPr>
          <w:color w:val="000000"/>
          <w:lang w:eastAsia="x-none"/>
        </w:rPr>
        <w:t xml:space="preserve"> also</w:t>
      </w:r>
      <w:r w:rsidR="006A464C">
        <w:rPr>
          <w:color w:val="000000"/>
          <w:lang w:eastAsia="x-none"/>
        </w:rPr>
        <w:t xml:space="preserve"> estimated the average marginal effects of </w:t>
      </w:r>
      <w:r w:rsidR="000E78F2">
        <w:rPr>
          <w:color w:val="000000"/>
          <w:lang w:eastAsia="x-none"/>
        </w:rPr>
        <w:t xml:space="preserve">the </w:t>
      </w:r>
      <w:r w:rsidR="009B73EF">
        <w:rPr>
          <w:color w:val="000000"/>
          <w:lang w:eastAsia="x-none"/>
        </w:rPr>
        <w:t>time-out</w:t>
      </w:r>
      <w:r w:rsidR="006A464C">
        <w:rPr>
          <w:color w:val="000000"/>
          <w:lang w:eastAsia="x-none"/>
        </w:rPr>
        <w:t xml:space="preserve"> period at different </w:t>
      </w:r>
      <w:r w:rsidR="001E3736">
        <w:rPr>
          <w:color w:val="000000"/>
          <w:lang w:eastAsia="x-none"/>
        </w:rPr>
        <w:t>lengths</w:t>
      </w:r>
      <w:r w:rsidR="00110C26">
        <w:rPr>
          <w:color w:val="000000"/>
          <w:lang w:eastAsia="x-none"/>
        </w:rPr>
        <w:t xml:space="preserve"> </w:t>
      </w:r>
      <w:r w:rsidR="00602836">
        <w:rPr>
          <w:color w:val="000000"/>
          <w:lang w:eastAsia="x-none"/>
        </w:rPr>
        <w:t>of time-out period</w:t>
      </w:r>
      <w:r w:rsidR="009C5C96">
        <w:rPr>
          <w:color w:val="000000"/>
          <w:lang w:eastAsia="x-none"/>
        </w:rPr>
        <w:t xml:space="preserve">, </w:t>
      </w:r>
      <w:r w:rsidR="006A464C">
        <w:rPr>
          <w:color w:val="000000"/>
          <w:lang w:eastAsia="x-none"/>
        </w:rPr>
        <w:t>for different values of the collaboration variable</w:t>
      </w:r>
      <w:r w:rsidR="00602836">
        <w:rPr>
          <w:color w:val="000000"/>
          <w:lang w:eastAsia="x-none"/>
        </w:rPr>
        <w:t xml:space="preserve"> (reported in</w:t>
      </w:r>
      <w:r w:rsidR="006A464C">
        <w:rPr>
          <w:color w:val="000000"/>
          <w:lang w:eastAsia="x-none"/>
        </w:rPr>
        <w:t xml:space="preserve"> Table 4</w:t>
      </w:r>
      <w:r w:rsidR="00602836">
        <w:rPr>
          <w:color w:val="000000"/>
          <w:lang w:eastAsia="x-none"/>
        </w:rPr>
        <w:t>)</w:t>
      </w:r>
      <w:r w:rsidR="006F4176">
        <w:rPr>
          <w:color w:val="000000"/>
          <w:lang w:eastAsia="x-none"/>
        </w:rPr>
        <w:t>.</w:t>
      </w:r>
      <w:r w:rsidR="006A464C">
        <w:rPr>
          <w:color w:val="000000"/>
          <w:lang w:eastAsia="x-none"/>
        </w:rPr>
        <w:t xml:space="preserve"> </w:t>
      </w:r>
      <w:r w:rsidR="00BE1300">
        <w:rPr>
          <w:color w:val="000000"/>
          <w:lang w:eastAsia="x-none"/>
        </w:rPr>
        <w:t>F</w:t>
      </w:r>
      <w:r w:rsidR="006A464C">
        <w:rPr>
          <w:color w:val="000000"/>
          <w:lang w:eastAsia="x-none"/>
        </w:rPr>
        <w:t xml:space="preserve">igure 6b depicts the plot of average marginal effects. </w:t>
      </w:r>
      <w:r w:rsidR="0033499A">
        <w:rPr>
          <w:color w:val="000000"/>
          <w:lang w:eastAsia="x-none"/>
        </w:rPr>
        <w:t>For years 1 and 2, b</w:t>
      </w:r>
      <w:r>
        <w:rPr>
          <w:color w:val="000000"/>
          <w:lang w:eastAsia="x-none"/>
        </w:rPr>
        <w:t xml:space="preserve">efore </w:t>
      </w:r>
      <w:r w:rsidR="00BE1300">
        <w:rPr>
          <w:color w:val="000000"/>
          <w:lang w:eastAsia="x-none"/>
        </w:rPr>
        <w:t>the</w:t>
      </w:r>
      <w:r>
        <w:rPr>
          <w:color w:val="000000"/>
          <w:lang w:eastAsia="x-none"/>
        </w:rPr>
        <w:t xml:space="preserve"> turning point in the </w:t>
      </w:r>
      <w:r w:rsidRPr="00AC6B24">
        <w:rPr>
          <w:color w:val="000000"/>
          <w:lang w:eastAsia="x-none"/>
        </w:rPr>
        <w:t>inverted U-curve</w:t>
      </w:r>
      <w:r w:rsidR="00BE1300">
        <w:rPr>
          <w:color w:val="000000"/>
          <w:lang w:eastAsia="x-none"/>
        </w:rPr>
        <w:t xml:space="preserve"> (year 3</w:t>
      </w:r>
      <w:r w:rsidR="006A464C">
        <w:rPr>
          <w:color w:val="000000"/>
          <w:lang w:eastAsia="x-none"/>
        </w:rPr>
        <w:t>), the average marginal effect is positive and significant</w:t>
      </w:r>
      <w:r w:rsidR="00DF3023">
        <w:rPr>
          <w:color w:val="000000"/>
          <w:lang w:eastAsia="x-none"/>
        </w:rPr>
        <w:t>,</w:t>
      </w:r>
      <w:r w:rsidR="006A464C">
        <w:rPr>
          <w:color w:val="000000"/>
          <w:lang w:eastAsia="x-none"/>
        </w:rPr>
        <w:t xml:space="preserve"> and</w:t>
      </w:r>
      <w:r w:rsidR="00415FE8">
        <w:rPr>
          <w:color w:val="000000"/>
          <w:lang w:eastAsia="x-none"/>
        </w:rPr>
        <w:t xml:space="preserve"> overall,</w:t>
      </w:r>
      <w:r w:rsidR="006A464C">
        <w:rPr>
          <w:color w:val="000000"/>
          <w:lang w:eastAsia="x-none"/>
        </w:rPr>
        <w:t xml:space="preserve"> </w:t>
      </w:r>
      <w:r w:rsidR="000E78F2">
        <w:rPr>
          <w:color w:val="000000"/>
          <w:lang w:eastAsia="x-none"/>
        </w:rPr>
        <w:t>tends</w:t>
      </w:r>
      <w:r>
        <w:rPr>
          <w:color w:val="000000"/>
          <w:lang w:eastAsia="x-none"/>
        </w:rPr>
        <w:t xml:space="preserve"> to be comparatively higher for higher levels of </w:t>
      </w:r>
      <w:r w:rsidR="006A464C">
        <w:rPr>
          <w:color w:val="000000"/>
          <w:lang w:eastAsia="x-none"/>
        </w:rPr>
        <w:t>collaboration</w:t>
      </w:r>
      <w:r w:rsidR="00AC2347">
        <w:rPr>
          <w:color w:val="000000"/>
          <w:lang w:eastAsia="x-none"/>
        </w:rPr>
        <w:t xml:space="preserve"> </w:t>
      </w:r>
      <w:r w:rsidR="00AC2347" w:rsidRPr="00AC2347">
        <w:rPr>
          <w:color w:val="000000"/>
          <w:lang w:eastAsia="x-none"/>
        </w:rPr>
        <w:t>(</w:t>
      </w:r>
      <w:r w:rsidR="009A6F07">
        <w:rPr>
          <w:color w:val="000000"/>
          <w:lang w:eastAsia="x-none"/>
        </w:rPr>
        <w:t>except for</w:t>
      </w:r>
      <w:r w:rsidR="009A6F07" w:rsidRPr="00AC2347">
        <w:rPr>
          <w:color w:val="000000"/>
          <w:lang w:eastAsia="x-none"/>
        </w:rPr>
        <w:t xml:space="preserve"> </w:t>
      </w:r>
      <w:r w:rsidR="00AC2347" w:rsidRPr="00AC2347">
        <w:rPr>
          <w:color w:val="000000"/>
          <w:lang w:eastAsia="x-none"/>
        </w:rPr>
        <w:t>between collaboration levels 0.5 and 1 at year 2 - that is at a similar level)</w:t>
      </w:r>
      <w:r w:rsidR="006A464C">
        <w:rPr>
          <w:color w:val="000000"/>
          <w:lang w:eastAsia="x-none"/>
        </w:rPr>
        <w:t xml:space="preserve">. </w:t>
      </w:r>
      <w:r w:rsidR="00D96E31">
        <w:rPr>
          <w:color w:val="000000"/>
          <w:lang w:eastAsia="x-none"/>
        </w:rPr>
        <w:t xml:space="preserve">The confidence intervals further show </w:t>
      </w:r>
      <w:r w:rsidR="008E454F">
        <w:rPr>
          <w:color w:val="000000"/>
          <w:lang w:eastAsia="x-none"/>
        </w:rPr>
        <w:t>tha</w:t>
      </w:r>
      <w:r w:rsidR="003D559F">
        <w:rPr>
          <w:color w:val="000000"/>
          <w:lang w:eastAsia="x-none"/>
        </w:rPr>
        <w:t>t</w:t>
      </w:r>
      <w:r w:rsidR="008E454F">
        <w:rPr>
          <w:color w:val="000000"/>
          <w:lang w:eastAsia="x-none"/>
        </w:rPr>
        <w:t xml:space="preserve"> a significant difference</w:t>
      </w:r>
      <w:r w:rsidR="003D559F">
        <w:rPr>
          <w:color w:val="000000"/>
          <w:lang w:eastAsia="x-none"/>
        </w:rPr>
        <w:t xml:space="preserve"> exists</w:t>
      </w:r>
      <w:r w:rsidR="008E454F">
        <w:rPr>
          <w:color w:val="000000"/>
          <w:lang w:eastAsia="x-none"/>
        </w:rPr>
        <w:t xml:space="preserve"> </w:t>
      </w:r>
      <w:r w:rsidR="00257CAC">
        <w:rPr>
          <w:color w:val="000000"/>
          <w:lang w:eastAsia="x-none"/>
        </w:rPr>
        <w:t>in the first year after the exit event</w:t>
      </w:r>
      <w:r w:rsidR="002A3C08">
        <w:rPr>
          <w:color w:val="000000"/>
          <w:lang w:eastAsia="x-none"/>
        </w:rPr>
        <w:t>,</w:t>
      </w:r>
      <w:r w:rsidR="004551DD">
        <w:rPr>
          <w:color w:val="000000"/>
          <w:lang w:eastAsia="x-none"/>
        </w:rPr>
        <w:t xml:space="preserve"> between </w:t>
      </w:r>
      <w:r w:rsidR="00F16E81">
        <w:rPr>
          <w:color w:val="000000"/>
          <w:lang w:eastAsia="x-none"/>
        </w:rPr>
        <w:t>firms that don’t</w:t>
      </w:r>
      <w:r w:rsidR="00A30C14">
        <w:rPr>
          <w:color w:val="000000"/>
          <w:lang w:eastAsia="x-none"/>
        </w:rPr>
        <w:t xml:space="preserve"> engag</w:t>
      </w:r>
      <w:r w:rsidR="00F16E81">
        <w:rPr>
          <w:color w:val="000000"/>
          <w:lang w:eastAsia="x-none"/>
        </w:rPr>
        <w:t>e</w:t>
      </w:r>
      <w:r w:rsidR="00D74B7C">
        <w:rPr>
          <w:color w:val="000000"/>
          <w:lang w:eastAsia="x-none"/>
        </w:rPr>
        <w:t xml:space="preserve"> in</w:t>
      </w:r>
      <w:r w:rsidR="00A30C14">
        <w:rPr>
          <w:color w:val="000000"/>
          <w:lang w:eastAsia="x-none"/>
        </w:rPr>
        <w:t xml:space="preserve"> collaboration</w:t>
      </w:r>
      <w:r w:rsidR="000D4380">
        <w:rPr>
          <w:color w:val="000000"/>
          <w:lang w:eastAsia="x-none"/>
        </w:rPr>
        <w:t xml:space="preserve"> (collaboration = 0)</w:t>
      </w:r>
      <w:r w:rsidR="00A30C14">
        <w:rPr>
          <w:color w:val="000000"/>
          <w:lang w:eastAsia="x-none"/>
        </w:rPr>
        <w:t xml:space="preserve"> and </w:t>
      </w:r>
      <w:r w:rsidR="00D74B7C">
        <w:rPr>
          <w:color w:val="000000"/>
          <w:lang w:eastAsia="x-none"/>
        </w:rPr>
        <w:t xml:space="preserve">those that </w:t>
      </w:r>
      <w:r w:rsidR="00A30C14">
        <w:rPr>
          <w:color w:val="000000"/>
          <w:lang w:eastAsia="x-none"/>
        </w:rPr>
        <w:t>engag</w:t>
      </w:r>
      <w:r w:rsidR="002D64F6">
        <w:rPr>
          <w:color w:val="000000"/>
          <w:lang w:eastAsia="x-none"/>
        </w:rPr>
        <w:t>e</w:t>
      </w:r>
      <w:r w:rsidR="00A30C14">
        <w:rPr>
          <w:color w:val="000000"/>
          <w:lang w:eastAsia="x-none"/>
        </w:rPr>
        <w:t xml:space="preserve"> </w:t>
      </w:r>
      <w:r w:rsidR="00EF2206">
        <w:rPr>
          <w:color w:val="000000"/>
          <w:lang w:eastAsia="x-none"/>
        </w:rPr>
        <w:t>in</w:t>
      </w:r>
      <w:r w:rsidR="00A30C14">
        <w:rPr>
          <w:color w:val="000000"/>
          <w:lang w:eastAsia="x-none"/>
        </w:rPr>
        <w:t xml:space="preserve"> collaboration</w:t>
      </w:r>
      <w:r w:rsidR="000D4380">
        <w:rPr>
          <w:color w:val="000000"/>
          <w:lang w:eastAsia="x-none"/>
        </w:rPr>
        <w:t xml:space="preserve"> (collaboration </w:t>
      </w:r>
      <w:r w:rsidR="00183D24">
        <w:rPr>
          <w:color w:val="000000"/>
          <w:lang w:eastAsia="x-none"/>
        </w:rPr>
        <w:t>=</w:t>
      </w:r>
      <w:r w:rsidR="000D4380">
        <w:rPr>
          <w:color w:val="000000"/>
          <w:lang w:eastAsia="x-none"/>
        </w:rPr>
        <w:t xml:space="preserve"> 0.5 or 1)</w:t>
      </w:r>
      <w:r w:rsidR="00D74B7C">
        <w:rPr>
          <w:color w:val="000000"/>
          <w:lang w:eastAsia="x-none"/>
        </w:rPr>
        <w:t>.</w:t>
      </w:r>
      <w:r w:rsidR="00257CAC">
        <w:rPr>
          <w:color w:val="000000"/>
          <w:lang w:eastAsia="x-none"/>
        </w:rPr>
        <w:t xml:space="preserve"> </w:t>
      </w:r>
      <w:r w:rsidR="006A464C">
        <w:rPr>
          <w:color w:val="000000"/>
          <w:lang w:eastAsia="x-none"/>
        </w:rPr>
        <w:t xml:space="preserve">In contrast, </w:t>
      </w:r>
      <w:r>
        <w:rPr>
          <w:color w:val="000000"/>
          <w:lang w:eastAsia="x-none"/>
        </w:rPr>
        <w:t xml:space="preserve">after </w:t>
      </w:r>
      <w:r w:rsidR="00D44E60">
        <w:rPr>
          <w:color w:val="000000"/>
          <w:lang w:eastAsia="x-none"/>
        </w:rPr>
        <w:t>the turning</w:t>
      </w:r>
      <w:r>
        <w:rPr>
          <w:color w:val="000000"/>
          <w:lang w:eastAsia="x-none"/>
        </w:rPr>
        <w:t xml:space="preserve"> point</w:t>
      </w:r>
      <w:r w:rsidR="00CC4B82">
        <w:rPr>
          <w:color w:val="000000"/>
          <w:lang w:eastAsia="x-none"/>
        </w:rPr>
        <w:t xml:space="preserve"> (years 4 to 6)</w:t>
      </w:r>
      <w:r>
        <w:rPr>
          <w:color w:val="000000"/>
          <w:lang w:eastAsia="x-none"/>
        </w:rPr>
        <w:t xml:space="preserve">, the average marginal effect is </w:t>
      </w:r>
      <w:r w:rsidR="00327A7B">
        <w:rPr>
          <w:color w:val="000000"/>
          <w:lang w:eastAsia="x-none"/>
        </w:rPr>
        <w:t>negative,</w:t>
      </w:r>
      <w:r w:rsidR="001F2043">
        <w:rPr>
          <w:color w:val="000000"/>
          <w:lang w:eastAsia="x-none"/>
        </w:rPr>
        <w:t xml:space="preserve"> </w:t>
      </w:r>
      <w:r>
        <w:rPr>
          <w:color w:val="000000"/>
          <w:lang w:eastAsia="x-none"/>
        </w:rPr>
        <w:t>and</w:t>
      </w:r>
      <w:r w:rsidR="00C97340">
        <w:rPr>
          <w:color w:val="000000"/>
          <w:lang w:eastAsia="x-none"/>
        </w:rPr>
        <w:t xml:space="preserve"> the effects are</w:t>
      </w:r>
      <w:r>
        <w:rPr>
          <w:color w:val="000000"/>
          <w:lang w:eastAsia="x-none"/>
        </w:rPr>
        <w:t xml:space="preserve"> significant</w:t>
      </w:r>
      <w:r w:rsidR="007B6548">
        <w:rPr>
          <w:color w:val="000000"/>
          <w:lang w:eastAsia="x-none"/>
        </w:rPr>
        <w:t xml:space="preserve"> </w:t>
      </w:r>
      <w:r w:rsidR="00C97340">
        <w:rPr>
          <w:color w:val="000000"/>
          <w:lang w:eastAsia="x-none"/>
        </w:rPr>
        <w:t>except</w:t>
      </w:r>
      <w:r w:rsidR="007B6548">
        <w:rPr>
          <w:color w:val="000000"/>
          <w:lang w:eastAsia="x-none"/>
        </w:rPr>
        <w:t xml:space="preserve"> f</w:t>
      </w:r>
      <w:r w:rsidR="00B970FE">
        <w:rPr>
          <w:color w:val="000000"/>
          <w:lang w:eastAsia="x-none"/>
        </w:rPr>
        <w:t>or</w:t>
      </w:r>
      <w:r w:rsidR="00F825D3">
        <w:rPr>
          <w:color w:val="000000"/>
          <w:lang w:eastAsia="x-none"/>
        </w:rPr>
        <w:t xml:space="preserve"> three instances</w:t>
      </w:r>
      <w:r w:rsidR="009C28FD">
        <w:rPr>
          <w:color w:val="000000"/>
          <w:lang w:eastAsia="x-none"/>
        </w:rPr>
        <w:t xml:space="preserve"> where </w:t>
      </w:r>
      <w:r w:rsidR="00522A26">
        <w:rPr>
          <w:color w:val="000000"/>
          <w:lang w:eastAsia="x-none"/>
        </w:rPr>
        <w:t>effects are non-significant</w:t>
      </w:r>
      <w:r w:rsidR="00AC2498">
        <w:rPr>
          <w:color w:val="000000"/>
          <w:lang w:eastAsia="x-none"/>
        </w:rPr>
        <w:t>:</w:t>
      </w:r>
      <w:r w:rsidR="00112BB3">
        <w:rPr>
          <w:color w:val="000000"/>
          <w:lang w:eastAsia="x-none"/>
        </w:rPr>
        <w:t xml:space="preserve"> </w:t>
      </w:r>
      <w:r w:rsidR="00B707B4" w:rsidRPr="00B707B4">
        <w:rPr>
          <w:color w:val="000000"/>
          <w:lang w:eastAsia="x-none"/>
        </w:rPr>
        <w:t xml:space="preserve">collaboration = 1 in year 4 and collaboration = 0.5/1 in year </w:t>
      </w:r>
      <w:r w:rsidR="00B707B4" w:rsidRPr="00B707B4">
        <w:rPr>
          <w:color w:val="000000"/>
          <w:lang w:eastAsia="x-none"/>
        </w:rPr>
        <w:lastRenderedPageBreak/>
        <w:t>6</w:t>
      </w:r>
      <w:r w:rsidR="00974421">
        <w:rPr>
          <w:color w:val="000000"/>
          <w:lang w:eastAsia="x-none"/>
        </w:rPr>
        <w:t>)</w:t>
      </w:r>
      <w:r w:rsidR="001639D1">
        <w:rPr>
          <w:color w:val="000000"/>
          <w:lang w:eastAsia="x-none"/>
        </w:rPr>
        <w:t xml:space="preserve">. </w:t>
      </w:r>
      <w:r w:rsidR="00ED60F6">
        <w:rPr>
          <w:color w:val="000000"/>
          <w:lang w:eastAsia="x-none"/>
        </w:rPr>
        <w:t>However</w:t>
      </w:r>
      <w:r w:rsidR="001639D1">
        <w:rPr>
          <w:color w:val="000000"/>
          <w:lang w:eastAsia="x-none"/>
        </w:rPr>
        <w:t>,</w:t>
      </w:r>
      <w:r w:rsidR="00956B8C">
        <w:rPr>
          <w:color w:val="000000"/>
          <w:lang w:eastAsia="x-none"/>
        </w:rPr>
        <w:t xml:space="preserve"> </w:t>
      </w:r>
      <w:r w:rsidR="002D385E">
        <w:rPr>
          <w:color w:val="000000"/>
          <w:lang w:eastAsia="x-none"/>
        </w:rPr>
        <w:t xml:space="preserve">confidence intervals </w:t>
      </w:r>
      <w:r w:rsidR="00956B8C">
        <w:rPr>
          <w:color w:val="000000"/>
          <w:lang w:eastAsia="x-none"/>
        </w:rPr>
        <w:t xml:space="preserve">show no </w:t>
      </w:r>
      <w:r w:rsidR="000E78F2">
        <w:rPr>
          <w:color w:val="000000"/>
          <w:lang w:eastAsia="x-none"/>
        </w:rPr>
        <w:t>significant</w:t>
      </w:r>
      <w:r w:rsidR="00956B8C">
        <w:rPr>
          <w:color w:val="000000"/>
          <w:lang w:eastAsia="x-none"/>
        </w:rPr>
        <w:t xml:space="preserve"> difference between </w:t>
      </w:r>
      <w:r w:rsidR="006F4D83">
        <w:rPr>
          <w:color w:val="000000"/>
          <w:lang w:eastAsia="x-none"/>
        </w:rPr>
        <w:t xml:space="preserve">different levels of collaboration, </w:t>
      </w:r>
      <w:r w:rsidR="00ED60F6">
        <w:rPr>
          <w:color w:val="000000"/>
          <w:lang w:eastAsia="x-none"/>
        </w:rPr>
        <w:t xml:space="preserve">except </w:t>
      </w:r>
      <w:r w:rsidR="006F4D83">
        <w:rPr>
          <w:color w:val="000000"/>
          <w:lang w:eastAsia="x-none"/>
        </w:rPr>
        <w:t xml:space="preserve">for year 5 where not engaging in collaboration </w:t>
      </w:r>
      <w:r w:rsidR="00E87577">
        <w:rPr>
          <w:color w:val="000000"/>
          <w:lang w:eastAsia="x-none"/>
        </w:rPr>
        <w:t xml:space="preserve">is more beneficial for re-entry than </w:t>
      </w:r>
      <w:r w:rsidR="0090437E">
        <w:rPr>
          <w:color w:val="000000"/>
          <w:lang w:eastAsia="x-none"/>
        </w:rPr>
        <w:t>collaborati</w:t>
      </w:r>
      <w:r w:rsidR="000E78F2">
        <w:rPr>
          <w:color w:val="000000"/>
          <w:lang w:eastAsia="x-none"/>
        </w:rPr>
        <w:t>ng</w:t>
      </w:r>
      <w:r w:rsidR="006F4D83">
        <w:rPr>
          <w:color w:val="000000"/>
          <w:lang w:eastAsia="x-none"/>
        </w:rPr>
        <w:t>.</w:t>
      </w:r>
      <w:r>
        <w:rPr>
          <w:color w:val="000000"/>
          <w:lang w:eastAsia="x-none"/>
        </w:rPr>
        <w:t xml:space="preserve"> </w:t>
      </w:r>
      <w:r w:rsidR="00F43E54">
        <w:rPr>
          <w:color w:val="000000"/>
          <w:lang w:eastAsia="x-none"/>
        </w:rPr>
        <w:t xml:space="preserve">These results suggest that collaboration has a more pronounced positive effect on increasing the export re-entry propensity </w:t>
      </w:r>
      <w:r w:rsidR="00F43E54" w:rsidRPr="005C11B0">
        <w:rPr>
          <w:i/>
          <w:iCs/>
          <w:color w:val="000000"/>
          <w:lang w:eastAsia="x-none"/>
        </w:rPr>
        <w:t xml:space="preserve">in the </w:t>
      </w:r>
      <w:r w:rsidR="00F961D4" w:rsidRPr="005C11B0">
        <w:rPr>
          <w:i/>
          <w:iCs/>
          <w:color w:val="000000"/>
          <w:lang w:eastAsia="x-none"/>
        </w:rPr>
        <w:t>first year</w:t>
      </w:r>
      <w:r w:rsidR="00F961D4">
        <w:rPr>
          <w:color w:val="000000"/>
          <w:lang w:eastAsia="x-none"/>
        </w:rPr>
        <w:t xml:space="preserve"> since exit</w:t>
      </w:r>
      <w:r w:rsidR="00522799">
        <w:rPr>
          <w:color w:val="000000"/>
          <w:lang w:eastAsia="x-none"/>
        </w:rPr>
        <w:t>.</w:t>
      </w:r>
      <w:r w:rsidR="00F961D4">
        <w:rPr>
          <w:color w:val="000000"/>
          <w:lang w:eastAsia="x-none"/>
        </w:rPr>
        <w:t xml:space="preserve"> </w:t>
      </w:r>
      <w:r w:rsidR="00AD074A">
        <w:rPr>
          <w:color w:val="000000"/>
          <w:lang w:eastAsia="x-none"/>
        </w:rPr>
        <w:t>However,</w:t>
      </w:r>
      <w:r w:rsidR="00F43E54">
        <w:rPr>
          <w:color w:val="000000"/>
          <w:lang w:eastAsia="x-none"/>
        </w:rPr>
        <w:t xml:space="preserve"> this effect becomes insignificant</w:t>
      </w:r>
      <w:r w:rsidR="00B3132D">
        <w:rPr>
          <w:color w:val="000000"/>
          <w:lang w:eastAsia="x-none"/>
        </w:rPr>
        <w:t>/negative</w:t>
      </w:r>
      <w:r w:rsidR="00F43E54">
        <w:rPr>
          <w:color w:val="000000"/>
          <w:lang w:eastAsia="x-none"/>
        </w:rPr>
        <w:t xml:space="preserve"> in the later years. </w:t>
      </w:r>
      <w:r w:rsidR="00B3132D">
        <w:rPr>
          <w:color w:val="000000"/>
          <w:lang w:eastAsia="x-none"/>
        </w:rPr>
        <w:t>H2 is therefore</w:t>
      </w:r>
      <w:r w:rsidR="001F75B1">
        <w:rPr>
          <w:color w:val="000000"/>
          <w:lang w:eastAsia="x-none"/>
        </w:rPr>
        <w:t xml:space="preserve"> </w:t>
      </w:r>
      <w:r w:rsidR="008A0C1B">
        <w:rPr>
          <w:color w:val="000000"/>
          <w:lang w:eastAsia="x-none"/>
        </w:rPr>
        <w:t xml:space="preserve">only </w:t>
      </w:r>
      <w:r w:rsidR="001F75B1">
        <w:rPr>
          <w:color w:val="000000"/>
          <w:lang w:eastAsia="x-none"/>
        </w:rPr>
        <w:t xml:space="preserve">supported </w:t>
      </w:r>
      <w:r w:rsidR="008A0C1B">
        <w:rPr>
          <w:color w:val="000000"/>
          <w:lang w:eastAsia="x-none"/>
        </w:rPr>
        <w:t>in</w:t>
      </w:r>
      <w:r w:rsidR="001F75B1">
        <w:rPr>
          <w:color w:val="000000"/>
          <w:lang w:eastAsia="x-none"/>
        </w:rPr>
        <w:t xml:space="preserve"> the </w:t>
      </w:r>
      <w:r w:rsidR="00A2174A">
        <w:rPr>
          <w:color w:val="000000"/>
          <w:lang w:eastAsia="x-none"/>
        </w:rPr>
        <w:t xml:space="preserve">early </w:t>
      </w:r>
      <w:r w:rsidR="001F75B1">
        <w:rPr>
          <w:color w:val="000000"/>
          <w:lang w:eastAsia="x-none"/>
        </w:rPr>
        <w:t>stage since exit.</w:t>
      </w:r>
    </w:p>
    <w:p w14:paraId="77DE09D6" w14:textId="322C8105" w:rsidR="00195077" w:rsidRPr="00E811A2" w:rsidRDefault="00195077" w:rsidP="00AD63AF">
      <w:pPr>
        <w:spacing w:line="480" w:lineRule="auto"/>
        <w:ind w:firstLine="284"/>
        <w:jc w:val="center"/>
        <w:rPr>
          <w:color w:val="000000"/>
          <w:lang w:eastAsia="x-none"/>
        </w:rPr>
      </w:pPr>
      <w:r w:rsidRPr="00195077">
        <w:rPr>
          <w:color w:val="000000"/>
          <w:lang w:eastAsia="x-none"/>
        </w:rPr>
        <w:t>** Insert Figure</w:t>
      </w:r>
      <w:r w:rsidR="009D51BD">
        <w:rPr>
          <w:color w:val="000000"/>
          <w:lang w:eastAsia="x-none"/>
        </w:rPr>
        <w:t>s</w:t>
      </w:r>
      <w:r w:rsidRPr="00195077">
        <w:rPr>
          <w:color w:val="000000"/>
          <w:lang w:eastAsia="x-none"/>
        </w:rPr>
        <w:t xml:space="preserve"> </w:t>
      </w:r>
      <w:r>
        <w:rPr>
          <w:color w:val="000000"/>
          <w:lang w:eastAsia="x-none"/>
        </w:rPr>
        <w:t>6</w:t>
      </w:r>
      <w:r w:rsidR="00871DEC">
        <w:rPr>
          <w:color w:val="000000"/>
          <w:lang w:eastAsia="x-none"/>
        </w:rPr>
        <w:t>a</w:t>
      </w:r>
      <w:r w:rsidR="00327A7B">
        <w:rPr>
          <w:color w:val="000000"/>
          <w:lang w:eastAsia="x-none"/>
        </w:rPr>
        <w:t xml:space="preserve"> and </w:t>
      </w:r>
      <w:r w:rsidR="00871DEC">
        <w:rPr>
          <w:color w:val="000000"/>
          <w:lang w:eastAsia="x-none"/>
        </w:rPr>
        <w:t>b</w:t>
      </w:r>
      <w:r w:rsidRPr="00195077">
        <w:rPr>
          <w:color w:val="000000"/>
          <w:lang w:eastAsia="x-none"/>
        </w:rPr>
        <w:t xml:space="preserve"> here **</w:t>
      </w:r>
    </w:p>
    <w:p w14:paraId="0CB21890" w14:textId="0378A295" w:rsidR="0033508A" w:rsidRDefault="00801820" w:rsidP="00370BF7">
      <w:pPr>
        <w:spacing w:line="480" w:lineRule="auto"/>
        <w:ind w:firstLine="284"/>
        <w:rPr>
          <w:color w:val="000000"/>
          <w:lang w:eastAsia="x-none"/>
        </w:rPr>
      </w:pPr>
      <w:r w:rsidRPr="00684E0C">
        <w:rPr>
          <w:color w:val="000000"/>
          <w:lang w:eastAsia="x-none"/>
        </w:rPr>
        <w:t xml:space="preserve">Table </w:t>
      </w:r>
      <w:r w:rsidR="007B163F">
        <w:rPr>
          <w:color w:val="000000"/>
          <w:lang w:eastAsia="x-none"/>
        </w:rPr>
        <w:t>5</w:t>
      </w:r>
      <w:r w:rsidR="007B163F" w:rsidRPr="00684E0C">
        <w:rPr>
          <w:color w:val="000000"/>
          <w:lang w:eastAsia="x-none"/>
        </w:rPr>
        <w:t xml:space="preserve"> </w:t>
      </w:r>
      <w:r w:rsidRPr="00684E0C">
        <w:rPr>
          <w:color w:val="000000"/>
          <w:lang w:eastAsia="x-none"/>
        </w:rPr>
        <w:t>presents the estimated results of the regression</w:t>
      </w:r>
      <w:r w:rsidR="00305248">
        <w:rPr>
          <w:color w:val="000000"/>
          <w:lang w:eastAsia="x-none"/>
        </w:rPr>
        <w:t xml:space="preserve"> models</w:t>
      </w:r>
      <w:r w:rsidRPr="00684E0C">
        <w:rPr>
          <w:color w:val="000000"/>
          <w:lang w:eastAsia="x-none"/>
        </w:rPr>
        <w:t xml:space="preserve"> regarding export performance after re-entry. Model </w:t>
      </w:r>
      <w:r w:rsidR="007B163F">
        <w:rPr>
          <w:color w:val="000000"/>
          <w:lang w:eastAsia="x-none"/>
        </w:rPr>
        <w:t>5</w:t>
      </w:r>
      <w:r w:rsidRPr="00684E0C">
        <w:rPr>
          <w:color w:val="000000"/>
          <w:lang w:eastAsia="x-none"/>
        </w:rPr>
        <w:t xml:space="preserve">.1 presents the results of the baseline model for the effect of the time-out period on export performance. Results show that the coefficient of </w:t>
      </w:r>
      <w:r w:rsidRPr="00684E0C">
        <w:rPr>
          <w:i/>
          <w:iCs/>
          <w:color w:val="000000"/>
          <w:lang w:eastAsia="x-none"/>
        </w:rPr>
        <w:t>time-out</w:t>
      </w:r>
      <w:r w:rsidRPr="00684E0C">
        <w:rPr>
          <w:color w:val="000000"/>
          <w:lang w:eastAsia="x-none"/>
        </w:rPr>
        <w:t xml:space="preserve"> is negative and statistically significant (β = </w:t>
      </w:r>
      <w:r w:rsidR="005238C3" w:rsidRPr="005238C3">
        <w:t>-</w:t>
      </w:r>
      <w:r w:rsidR="002E2E9F" w:rsidRPr="002E2E9F">
        <w:t>0.608</w:t>
      </w:r>
      <w:r w:rsidRPr="00684E0C">
        <w:rPr>
          <w:color w:val="000000"/>
          <w:lang w:eastAsia="x-none"/>
        </w:rPr>
        <w:t xml:space="preserve">, p = </w:t>
      </w:r>
      <w:r w:rsidR="009459E5" w:rsidRPr="009459E5">
        <w:rPr>
          <w:color w:val="000000"/>
          <w:lang w:eastAsia="x-none"/>
        </w:rPr>
        <w:t>0.007</w:t>
      </w:r>
      <w:r w:rsidRPr="00684E0C">
        <w:rPr>
          <w:color w:val="000000"/>
          <w:lang w:eastAsia="x-none"/>
        </w:rPr>
        <w:t>), and the</w:t>
      </w:r>
      <w:r>
        <w:rPr>
          <w:color w:val="000000"/>
          <w:lang w:eastAsia="x-none"/>
        </w:rPr>
        <w:t xml:space="preserve"> </w:t>
      </w:r>
      <w:r w:rsidRPr="00684E0C">
        <w:rPr>
          <w:color w:val="000000"/>
          <w:lang w:eastAsia="x-none"/>
        </w:rPr>
        <w:t xml:space="preserve">coefficient of </w:t>
      </w:r>
      <w:r w:rsidRPr="00684E0C">
        <w:rPr>
          <w:i/>
          <w:iCs/>
          <w:color w:val="000000"/>
          <w:lang w:eastAsia="x-none"/>
        </w:rPr>
        <w:t>time-out squared</w:t>
      </w:r>
      <w:r w:rsidRPr="00684E0C">
        <w:rPr>
          <w:color w:val="000000"/>
          <w:lang w:eastAsia="x-none"/>
        </w:rPr>
        <w:t xml:space="preserve"> is positive and statistically significant (β = </w:t>
      </w:r>
      <w:r w:rsidR="002E2E9F" w:rsidRPr="002E2E9F">
        <w:t>0.105</w:t>
      </w:r>
      <w:r w:rsidRPr="00684E0C">
        <w:rPr>
          <w:color w:val="000000"/>
          <w:lang w:eastAsia="x-none"/>
        </w:rPr>
        <w:t xml:space="preserve">, p = </w:t>
      </w:r>
      <w:r w:rsidR="009459E5" w:rsidRPr="009459E5">
        <w:rPr>
          <w:color w:val="000000"/>
          <w:lang w:eastAsia="x-none"/>
        </w:rPr>
        <w:t>0.010</w:t>
      </w:r>
      <w:r w:rsidRPr="00684E0C">
        <w:rPr>
          <w:color w:val="000000"/>
          <w:lang w:eastAsia="x-none"/>
        </w:rPr>
        <w:t xml:space="preserve">), indicating a U-curve-shaped relationship between time-out period and the re-entry export performance. </w:t>
      </w:r>
      <w:r w:rsidR="003A383B">
        <w:rPr>
          <w:color w:val="000000"/>
          <w:lang w:eastAsia="x-none"/>
        </w:rPr>
        <w:t xml:space="preserve">In </w:t>
      </w:r>
      <w:r w:rsidR="0033508A">
        <w:rPr>
          <w:color w:val="000000"/>
          <w:lang w:eastAsia="x-none"/>
        </w:rPr>
        <w:t>F</w:t>
      </w:r>
      <w:r w:rsidR="003A383B">
        <w:rPr>
          <w:color w:val="000000"/>
          <w:lang w:eastAsia="x-none"/>
        </w:rPr>
        <w:t>igure 7</w:t>
      </w:r>
      <w:r w:rsidR="00251249">
        <w:rPr>
          <w:color w:val="000000"/>
          <w:lang w:eastAsia="x-none"/>
        </w:rPr>
        <w:t>a</w:t>
      </w:r>
      <w:r w:rsidR="003A383B">
        <w:rPr>
          <w:color w:val="000000"/>
          <w:lang w:eastAsia="x-none"/>
        </w:rPr>
        <w:t xml:space="preserve">, we plotted </w:t>
      </w:r>
      <w:r w:rsidR="003A383B" w:rsidRPr="006E448B">
        <w:rPr>
          <w:color w:val="000000"/>
          <w:lang w:eastAsia="x-none"/>
        </w:rPr>
        <w:t xml:space="preserve">the </w:t>
      </w:r>
      <w:r w:rsidR="00253BC6">
        <w:rPr>
          <w:color w:val="000000"/>
          <w:lang w:eastAsia="x-none"/>
        </w:rPr>
        <w:t>average adjusted predictions</w:t>
      </w:r>
      <w:r w:rsidR="00253BC6" w:rsidRPr="006E448B">
        <w:rPr>
          <w:color w:val="000000"/>
          <w:lang w:eastAsia="x-none"/>
        </w:rPr>
        <w:t xml:space="preserve"> </w:t>
      </w:r>
      <w:r w:rsidR="00253BC6">
        <w:rPr>
          <w:color w:val="000000"/>
          <w:lang w:eastAsia="x-none"/>
        </w:rPr>
        <w:t>at different points of</w:t>
      </w:r>
      <w:r w:rsidR="00253BC6" w:rsidRPr="006E448B">
        <w:rPr>
          <w:color w:val="000000"/>
          <w:lang w:eastAsia="x-none"/>
        </w:rPr>
        <w:t xml:space="preserve"> the time-out </w:t>
      </w:r>
      <w:r w:rsidR="00327A7B" w:rsidRPr="006E448B">
        <w:rPr>
          <w:color w:val="000000"/>
          <w:lang w:eastAsia="x-none"/>
        </w:rPr>
        <w:t>period,</w:t>
      </w:r>
      <w:r w:rsidR="003A383B">
        <w:rPr>
          <w:color w:val="000000"/>
          <w:lang w:eastAsia="x-none"/>
        </w:rPr>
        <w:t xml:space="preserve"> and we can clearly see a </w:t>
      </w:r>
      <w:r w:rsidR="00DC6113">
        <w:rPr>
          <w:color w:val="000000"/>
          <w:lang w:eastAsia="x-none"/>
        </w:rPr>
        <w:t>U</w:t>
      </w:r>
      <w:r w:rsidR="003A383B">
        <w:rPr>
          <w:color w:val="000000"/>
          <w:lang w:eastAsia="x-none"/>
        </w:rPr>
        <w:t xml:space="preserve">-curve relationship between the </w:t>
      </w:r>
      <w:r w:rsidR="009B73EF">
        <w:rPr>
          <w:color w:val="000000"/>
          <w:lang w:eastAsia="x-none"/>
        </w:rPr>
        <w:t>time-out</w:t>
      </w:r>
      <w:r w:rsidR="003A383B">
        <w:rPr>
          <w:color w:val="000000"/>
          <w:lang w:eastAsia="x-none"/>
        </w:rPr>
        <w:t xml:space="preserve"> period and re-entry export performance. </w:t>
      </w:r>
    </w:p>
    <w:p w14:paraId="3F78314C" w14:textId="19DF3B96" w:rsidR="00AB5CD4" w:rsidRDefault="008108DB" w:rsidP="00370BF7">
      <w:pPr>
        <w:spacing w:line="480" w:lineRule="auto"/>
        <w:ind w:firstLine="284"/>
        <w:rPr>
          <w:color w:val="000000"/>
          <w:lang w:eastAsia="x-none"/>
        </w:rPr>
      </w:pPr>
      <w:r w:rsidRPr="00450BE6">
        <w:rPr>
          <w:color w:val="000000"/>
          <w:lang w:eastAsia="x-none"/>
        </w:rPr>
        <w:t xml:space="preserve">The predicted value of </w:t>
      </w:r>
      <w:r w:rsidR="000E78F2">
        <w:rPr>
          <w:color w:val="000000"/>
          <w:lang w:eastAsia="x-none"/>
        </w:rPr>
        <w:t>the</w:t>
      </w:r>
      <w:r w:rsidRPr="00450BE6">
        <w:rPr>
          <w:color w:val="000000"/>
          <w:lang w:eastAsia="x-none"/>
        </w:rPr>
        <w:t xml:space="preserve"> turning point where </w:t>
      </w:r>
      <w:r>
        <w:rPr>
          <w:color w:val="000000"/>
          <w:lang w:eastAsia="x-none"/>
        </w:rPr>
        <w:t>we observe the minimum re-entry propensity is at around 3 years</w:t>
      </w:r>
      <w:r w:rsidR="0025508D">
        <w:rPr>
          <w:color w:val="000000"/>
          <w:lang w:eastAsia="x-none"/>
        </w:rPr>
        <w:t xml:space="preserve"> (t</w:t>
      </w:r>
      <w:r w:rsidR="0025508D" w:rsidRPr="0025508D">
        <w:rPr>
          <w:color w:val="000000"/>
          <w:lang w:eastAsia="x-none"/>
        </w:rPr>
        <w:t>he exact value of the turning point calculated by setting the first derivative to zero (Haans et al., 2016) is 2.895</w:t>
      </w:r>
      <w:r w:rsidR="0025508D">
        <w:rPr>
          <w:color w:val="000000"/>
          <w:lang w:eastAsia="x-none"/>
        </w:rPr>
        <w:t>),</w:t>
      </w:r>
      <w:r>
        <w:rPr>
          <w:color w:val="000000"/>
          <w:lang w:eastAsia="x-none"/>
        </w:rPr>
        <w:t xml:space="preserve"> and the </w:t>
      </w:r>
      <w:r w:rsidRPr="00450BE6">
        <w:rPr>
          <w:color w:val="000000"/>
          <w:lang w:eastAsia="x-none"/>
        </w:rPr>
        <w:t xml:space="preserve">confidence interval of the turning point </w:t>
      </w:r>
      <w:r w:rsidR="00096279">
        <w:rPr>
          <w:color w:val="000000"/>
          <w:lang w:eastAsia="x-none"/>
        </w:rPr>
        <w:t>(</w:t>
      </w:r>
      <w:r w:rsidR="00DF15FA">
        <w:rPr>
          <w:color w:val="000000"/>
        </w:rPr>
        <w:t>2.352, 3.998</w:t>
      </w:r>
      <w:r w:rsidR="00096279">
        <w:rPr>
          <w:color w:val="000000"/>
        </w:rPr>
        <w:t>)</w:t>
      </w:r>
      <w:r w:rsidR="00DF15FA">
        <w:rPr>
          <w:color w:val="000000"/>
        </w:rPr>
        <w:t xml:space="preserve"> </w:t>
      </w:r>
      <w:r>
        <w:rPr>
          <w:color w:val="000000"/>
          <w:lang w:eastAsia="x-none"/>
        </w:rPr>
        <w:t xml:space="preserve">is well within the sample data range. </w:t>
      </w:r>
      <w:r w:rsidR="00515F61">
        <w:rPr>
          <w:color w:val="000000"/>
          <w:lang w:eastAsia="x-none"/>
        </w:rPr>
        <w:t xml:space="preserve">We also tested whether </w:t>
      </w:r>
      <w:r w:rsidR="00515F61" w:rsidRPr="00737272">
        <w:rPr>
          <w:color w:val="000000"/>
          <w:lang w:eastAsia="x-none"/>
        </w:rPr>
        <w:t>the slope</w:t>
      </w:r>
      <w:r w:rsidR="00515F61">
        <w:rPr>
          <w:color w:val="000000"/>
          <w:lang w:eastAsia="x-none"/>
        </w:rPr>
        <w:t>s</w:t>
      </w:r>
      <w:r w:rsidR="00515F61" w:rsidRPr="00737272">
        <w:rPr>
          <w:color w:val="000000"/>
          <w:lang w:eastAsia="x-none"/>
        </w:rPr>
        <w:t xml:space="preserve"> </w:t>
      </w:r>
      <w:r w:rsidR="00515F61">
        <w:rPr>
          <w:color w:val="000000"/>
          <w:lang w:eastAsia="x-none"/>
        </w:rPr>
        <w:t>are</w:t>
      </w:r>
      <w:r w:rsidR="00515F61" w:rsidRPr="00737272">
        <w:rPr>
          <w:color w:val="000000"/>
          <w:lang w:eastAsia="x-none"/>
        </w:rPr>
        <w:t xml:space="preserve"> sufficiently steep at both</w:t>
      </w:r>
      <w:r w:rsidR="00515F61">
        <w:rPr>
          <w:color w:val="000000"/>
          <w:lang w:eastAsia="x-none"/>
        </w:rPr>
        <w:t xml:space="preserve"> ends of the data range </w:t>
      </w:r>
      <w:r w:rsidR="00515F61" w:rsidRPr="00515F61">
        <w:rPr>
          <w:color w:val="000000"/>
          <w:lang w:eastAsia="x-none"/>
        </w:rPr>
        <w:t>(Haans et al., 2016; Lind &amp; Mehlum, 2010)</w:t>
      </w:r>
      <w:r w:rsidR="00515F61">
        <w:rPr>
          <w:color w:val="000000"/>
          <w:lang w:eastAsia="x-none"/>
        </w:rPr>
        <w:t xml:space="preserve">, and both slope tests were significant. </w:t>
      </w:r>
      <w:r w:rsidR="00B17F03">
        <w:rPr>
          <w:color w:val="000000"/>
          <w:lang w:eastAsia="x-none"/>
        </w:rPr>
        <w:t xml:space="preserve">We </w:t>
      </w:r>
      <w:r w:rsidR="005F3C1A">
        <w:rPr>
          <w:color w:val="000000"/>
          <w:lang w:eastAsia="x-none"/>
        </w:rPr>
        <w:t xml:space="preserve">further </w:t>
      </w:r>
      <w:r w:rsidR="00B17F03">
        <w:rPr>
          <w:color w:val="000000"/>
          <w:lang w:eastAsia="x-none"/>
        </w:rPr>
        <w:t xml:space="preserve">estimated the average marginal effects of </w:t>
      </w:r>
      <w:r w:rsidR="000E78F2">
        <w:rPr>
          <w:color w:val="000000"/>
          <w:lang w:eastAsia="x-none"/>
        </w:rPr>
        <w:t xml:space="preserve">the </w:t>
      </w:r>
      <w:r w:rsidR="009B73EF">
        <w:rPr>
          <w:color w:val="000000"/>
          <w:lang w:eastAsia="x-none"/>
        </w:rPr>
        <w:t>time-out</w:t>
      </w:r>
      <w:r w:rsidR="00B17F03">
        <w:rPr>
          <w:color w:val="000000"/>
          <w:lang w:eastAsia="x-none"/>
        </w:rPr>
        <w:t xml:space="preserve"> period at different </w:t>
      </w:r>
      <w:r w:rsidR="00B10923">
        <w:rPr>
          <w:color w:val="000000"/>
          <w:lang w:eastAsia="x-none"/>
        </w:rPr>
        <w:t xml:space="preserve">years across the </w:t>
      </w:r>
      <w:r w:rsidR="009B73EF">
        <w:rPr>
          <w:color w:val="000000"/>
          <w:lang w:eastAsia="x-none"/>
        </w:rPr>
        <w:t>time-out</w:t>
      </w:r>
      <w:r w:rsidR="00B10923">
        <w:rPr>
          <w:color w:val="000000"/>
          <w:lang w:eastAsia="x-none"/>
        </w:rPr>
        <w:t xml:space="preserve"> period</w:t>
      </w:r>
      <w:r w:rsidR="00650C3D">
        <w:rPr>
          <w:color w:val="000000"/>
          <w:lang w:eastAsia="x-none"/>
        </w:rPr>
        <w:t xml:space="preserve"> (reported in</w:t>
      </w:r>
      <w:r w:rsidR="00B17F03">
        <w:rPr>
          <w:color w:val="000000"/>
          <w:lang w:eastAsia="x-none"/>
        </w:rPr>
        <w:t xml:space="preserve"> Table </w:t>
      </w:r>
      <w:r w:rsidR="00251249">
        <w:rPr>
          <w:color w:val="000000"/>
          <w:lang w:eastAsia="x-none"/>
        </w:rPr>
        <w:t>6</w:t>
      </w:r>
      <w:r w:rsidR="00650C3D">
        <w:rPr>
          <w:color w:val="000000"/>
          <w:lang w:eastAsia="x-none"/>
        </w:rPr>
        <w:t>)</w:t>
      </w:r>
      <w:r w:rsidR="00574710">
        <w:rPr>
          <w:color w:val="000000"/>
          <w:lang w:eastAsia="x-none"/>
        </w:rPr>
        <w:t>.</w:t>
      </w:r>
      <w:r w:rsidR="00B17F03">
        <w:rPr>
          <w:color w:val="000000"/>
          <w:lang w:eastAsia="x-none"/>
        </w:rPr>
        <w:t xml:space="preserve"> </w:t>
      </w:r>
      <w:r w:rsidR="007F25F1">
        <w:rPr>
          <w:color w:val="000000"/>
          <w:lang w:eastAsia="x-none"/>
        </w:rPr>
        <w:t>F</w:t>
      </w:r>
      <w:r w:rsidR="00B17F03">
        <w:rPr>
          <w:color w:val="000000"/>
          <w:lang w:eastAsia="x-none"/>
        </w:rPr>
        <w:t xml:space="preserve">igure </w:t>
      </w:r>
      <w:r w:rsidR="00251249">
        <w:rPr>
          <w:color w:val="000000"/>
          <w:lang w:eastAsia="x-none"/>
        </w:rPr>
        <w:t>7</w:t>
      </w:r>
      <w:r w:rsidR="00B17F03">
        <w:rPr>
          <w:color w:val="000000"/>
          <w:lang w:eastAsia="x-none"/>
        </w:rPr>
        <w:t>b depicts the plot of average marginal effects.</w:t>
      </w:r>
      <w:r w:rsidR="00380F53">
        <w:rPr>
          <w:color w:val="000000"/>
          <w:lang w:eastAsia="x-none"/>
        </w:rPr>
        <w:t xml:space="preserve"> </w:t>
      </w:r>
      <w:r w:rsidR="00A67204">
        <w:rPr>
          <w:color w:val="000000"/>
          <w:lang w:eastAsia="x-none"/>
        </w:rPr>
        <w:t xml:space="preserve">Before year 3, </w:t>
      </w:r>
      <w:r w:rsidR="004E3846">
        <w:rPr>
          <w:color w:val="000000"/>
          <w:lang w:eastAsia="x-none"/>
        </w:rPr>
        <w:t>t</w:t>
      </w:r>
      <w:r w:rsidR="00B17F03">
        <w:rPr>
          <w:color w:val="000000"/>
          <w:lang w:eastAsia="x-none"/>
        </w:rPr>
        <w:t xml:space="preserve">he average marginal effect is </w:t>
      </w:r>
      <w:r w:rsidR="00251249">
        <w:rPr>
          <w:color w:val="000000"/>
          <w:lang w:eastAsia="x-none"/>
        </w:rPr>
        <w:t>negative</w:t>
      </w:r>
      <w:r w:rsidR="007F25F1">
        <w:rPr>
          <w:color w:val="000000"/>
          <w:lang w:eastAsia="x-none"/>
        </w:rPr>
        <w:t>,</w:t>
      </w:r>
      <w:r w:rsidR="00B10923" w:rsidRPr="00B10923">
        <w:rPr>
          <w:color w:val="000000"/>
          <w:lang w:eastAsia="x-none"/>
        </w:rPr>
        <w:t xml:space="preserve"> </w:t>
      </w:r>
      <w:r w:rsidR="00CD0C91">
        <w:rPr>
          <w:color w:val="000000"/>
          <w:lang w:eastAsia="x-none"/>
        </w:rPr>
        <w:t>although this negative effect becomes smaller</w:t>
      </w:r>
      <w:r w:rsidR="00704F30">
        <w:rPr>
          <w:color w:val="000000"/>
          <w:lang w:eastAsia="x-none"/>
        </w:rPr>
        <w:t xml:space="preserve"> between year</w:t>
      </w:r>
      <w:r w:rsidR="00DB2BF4">
        <w:rPr>
          <w:color w:val="000000"/>
          <w:lang w:eastAsia="x-none"/>
        </w:rPr>
        <w:t>s</w:t>
      </w:r>
      <w:r w:rsidR="00704F30">
        <w:rPr>
          <w:color w:val="000000"/>
          <w:lang w:eastAsia="x-none"/>
        </w:rPr>
        <w:t xml:space="preserve"> 1 and 2</w:t>
      </w:r>
      <w:r w:rsidR="00CD0C91">
        <w:rPr>
          <w:color w:val="000000"/>
          <w:lang w:eastAsia="x-none"/>
        </w:rPr>
        <w:t xml:space="preserve"> (</w:t>
      </w:r>
      <w:r w:rsidR="00704F30">
        <w:rPr>
          <w:color w:val="000000"/>
          <w:lang w:eastAsia="x-none"/>
        </w:rPr>
        <w:t xml:space="preserve">i.e., </w:t>
      </w:r>
      <w:r w:rsidR="005238C3">
        <w:rPr>
          <w:color w:val="000000"/>
          <w:lang w:eastAsia="x-none"/>
        </w:rPr>
        <w:t xml:space="preserve">decreasing </w:t>
      </w:r>
      <w:r w:rsidR="00557E94">
        <w:rPr>
          <w:color w:val="000000"/>
          <w:lang w:eastAsia="x-none"/>
        </w:rPr>
        <w:t xml:space="preserve">but </w:t>
      </w:r>
      <w:r w:rsidR="00B10923" w:rsidRPr="00B10923">
        <w:rPr>
          <w:color w:val="000000"/>
          <w:lang w:eastAsia="x-none"/>
        </w:rPr>
        <w:t xml:space="preserve">still </w:t>
      </w:r>
      <w:r w:rsidR="00B10923">
        <w:rPr>
          <w:color w:val="000000"/>
          <w:lang w:eastAsia="x-none"/>
        </w:rPr>
        <w:t>negative</w:t>
      </w:r>
      <w:r w:rsidR="00B10923" w:rsidRPr="00B10923">
        <w:rPr>
          <w:color w:val="000000"/>
          <w:lang w:eastAsia="x-none"/>
        </w:rPr>
        <w:t xml:space="preserve"> rate of change</w:t>
      </w:r>
      <w:r w:rsidR="004508CB">
        <w:rPr>
          <w:color w:val="000000"/>
          <w:lang w:eastAsia="x-none"/>
        </w:rPr>
        <w:t>)</w:t>
      </w:r>
      <w:r w:rsidR="00B10923" w:rsidRPr="00B10923">
        <w:rPr>
          <w:color w:val="000000"/>
          <w:lang w:eastAsia="x-none"/>
        </w:rPr>
        <w:t xml:space="preserve">. </w:t>
      </w:r>
      <w:r w:rsidR="00557E94">
        <w:rPr>
          <w:color w:val="000000"/>
          <w:lang w:eastAsia="x-none"/>
        </w:rPr>
        <w:t xml:space="preserve">In </w:t>
      </w:r>
      <w:r w:rsidR="009459E5">
        <w:rPr>
          <w:color w:val="000000"/>
          <w:lang w:eastAsia="x-none"/>
        </w:rPr>
        <w:t>Y</w:t>
      </w:r>
      <w:r w:rsidR="00B10923" w:rsidRPr="00B10923">
        <w:rPr>
          <w:color w:val="000000"/>
          <w:lang w:eastAsia="x-none"/>
        </w:rPr>
        <w:t>ear 3</w:t>
      </w:r>
      <w:r w:rsidR="009459E5">
        <w:rPr>
          <w:color w:val="000000"/>
          <w:lang w:eastAsia="x-none"/>
        </w:rPr>
        <w:t xml:space="preserve"> and beyond</w:t>
      </w:r>
      <w:r w:rsidR="00B10923" w:rsidRPr="00B10923">
        <w:rPr>
          <w:color w:val="000000"/>
          <w:lang w:eastAsia="x-none"/>
        </w:rPr>
        <w:t xml:space="preserve">, </w:t>
      </w:r>
      <w:r w:rsidR="007F25F1">
        <w:rPr>
          <w:color w:val="000000"/>
          <w:lang w:eastAsia="x-none"/>
        </w:rPr>
        <w:t>it</w:t>
      </w:r>
      <w:r w:rsidR="00B10923" w:rsidRPr="00B10923">
        <w:rPr>
          <w:color w:val="000000"/>
          <w:lang w:eastAsia="x-none"/>
        </w:rPr>
        <w:t xml:space="preserve"> becomes </w:t>
      </w:r>
      <w:r w:rsidR="00B10923">
        <w:rPr>
          <w:color w:val="000000"/>
          <w:lang w:eastAsia="x-none"/>
        </w:rPr>
        <w:t>positive</w:t>
      </w:r>
      <w:r w:rsidR="00B10923" w:rsidRPr="00B10923">
        <w:rPr>
          <w:color w:val="000000"/>
          <w:lang w:eastAsia="x-none"/>
        </w:rPr>
        <w:t xml:space="preserve"> with </w:t>
      </w:r>
      <w:r w:rsidR="00B10923">
        <w:rPr>
          <w:color w:val="000000"/>
          <w:lang w:eastAsia="x-none"/>
        </w:rPr>
        <w:t xml:space="preserve">an </w:t>
      </w:r>
      <w:r w:rsidR="00B10923" w:rsidRPr="00B10923">
        <w:rPr>
          <w:color w:val="000000"/>
          <w:lang w:eastAsia="x-none"/>
        </w:rPr>
        <w:t xml:space="preserve">overall </w:t>
      </w:r>
      <w:r w:rsidR="00B10923">
        <w:rPr>
          <w:color w:val="000000"/>
          <w:lang w:eastAsia="x-none"/>
        </w:rPr>
        <w:lastRenderedPageBreak/>
        <w:t>increasing</w:t>
      </w:r>
      <w:r w:rsidR="00B10923" w:rsidRPr="00B10923">
        <w:rPr>
          <w:color w:val="000000"/>
          <w:lang w:eastAsia="x-none"/>
        </w:rPr>
        <w:t xml:space="preserve"> rate of change</w:t>
      </w:r>
      <w:r w:rsidR="00B17F03">
        <w:rPr>
          <w:color w:val="000000"/>
          <w:lang w:eastAsia="x-none"/>
        </w:rPr>
        <w:t xml:space="preserve">. </w:t>
      </w:r>
      <w:r w:rsidR="000E78F2">
        <w:rPr>
          <w:color w:val="000000"/>
          <w:lang w:eastAsia="x-none"/>
        </w:rPr>
        <w:t>The average</w:t>
      </w:r>
      <w:r w:rsidR="00B17F03">
        <w:rPr>
          <w:color w:val="000000"/>
          <w:lang w:eastAsia="x-none"/>
        </w:rPr>
        <w:t xml:space="preserve"> marginal effect is </w:t>
      </w:r>
      <w:r w:rsidR="00251249">
        <w:rPr>
          <w:color w:val="000000"/>
          <w:lang w:eastAsia="x-none"/>
        </w:rPr>
        <w:t>negative</w:t>
      </w:r>
      <w:r w:rsidR="00B17F03">
        <w:rPr>
          <w:color w:val="000000"/>
          <w:lang w:eastAsia="x-none"/>
        </w:rPr>
        <w:t xml:space="preserve"> and significant before year 3 (cross</w:t>
      </w:r>
      <w:r w:rsidR="000E78F2">
        <w:rPr>
          <w:color w:val="000000"/>
          <w:lang w:eastAsia="x-none"/>
        </w:rPr>
        <w:t>-</w:t>
      </w:r>
      <w:r w:rsidR="00B17F03">
        <w:rPr>
          <w:color w:val="000000"/>
          <w:lang w:eastAsia="x-none"/>
        </w:rPr>
        <w:t xml:space="preserve">over point) and </w:t>
      </w:r>
      <w:r w:rsidR="00251249">
        <w:rPr>
          <w:color w:val="000000"/>
          <w:lang w:eastAsia="x-none"/>
        </w:rPr>
        <w:t>positive</w:t>
      </w:r>
      <w:r w:rsidR="00B17F03">
        <w:rPr>
          <w:color w:val="000000"/>
          <w:lang w:eastAsia="x-none"/>
        </w:rPr>
        <w:t xml:space="preserve"> and significant after year 3. </w:t>
      </w:r>
      <w:r w:rsidR="00F732F8">
        <w:rPr>
          <w:color w:val="000000"/>
          <w:lang w:eastAsia="x-none"/>
        </w:rPr>
        <w:t>Overall, we find</w:t>
      </w:r>
      <w:r w:rsidR="003A383B">
        <w:rPr>
          <w:color w:val="000000"/>
          <w:lang w:eastAsia="x-none"/>
        </w:rPr>
        <w:t xml:space="preserve"> strong support for </w:t>
      </w:r>
      <w:r w:rsidR="009551B0">
        <w:rPr>
          <w:color w:val="000000"/>
          <w:lang w:eastAsia="x-none"/>
        </w:rPr>
        <w:t>H</w:t>
      </w:r>
      <w:r w:rsidR="003A383B">
        <w:rPr>
          <w:color w:val="000000"/>
          <w:lang w:eastAsia="x-none"/>
        </w:rPr>
        <w:t>ypothesis 3.</w:t>
      </w:r>
    </w:p>
    <w:p w14:paraId="24B672B0" w14:textId="544310F3" w:rsidR="00195077" w:rsidRDefault="00195077" w:rsidP="00871DEC">
      <w:pPr>
        <w:spacing w:line="480" w:lineRule="auto"/>
        <w:ind w:firstLine="284"/>
        <w:jc w:val="center"/>
        <w:rPr>
          <w:color w:val="000000"/>
          <w:lang w:eastAsia="x-none"/>
        </w:rPr>
      </w:pPr>
      <w:r w:rsidRPr="00195077">
        <w:rPr>
          <w:color w:val="000000"/>
          <w:lang w:eastAsia="x-none"/>
        </w:rPr>
        <w:t xml:space="preserve">** Insert Table </w:t>
      </w:r>
      <w:r>
        <w:rPr>
          <w:color w:val="000000"/>
          <w:lang w:eastAsia="x-none"/>
        </w:rPr>
        <w:t>4</w:t>
      </w:r>
      <w:r w:rsidR="00AB2F97">
        <w:rPr>
          <w:color w:val="000000"/>
          <w:lang w:eastAsia="x-none"/>
        </w:rPr>
        <w:t xml:space="preserve"> &amp; </w:t>
      </w:r>
      <w:r w:rsidR="00AB2F97" w:rsidRPr="00195077">
        <w:rPr>
          <w:color w:val="000000"/>
          <w:lang w:eastAsia="x-none"/>
        </w:rPr>
        <w:t>Figure</w:t>
      </w:r>
      <w:r w:rsidR="009D51BD">
        <w:rPr>
          <w:color w:val="000000"/>
          <w:lang w:eastAsia="x-none"/>
        </w:rPr>
        <w:t>s</w:t>
      </w:r>
      <w:r w:rsidR="00AB2F97" w:rsidRPr="00195077">
        <w:rPr>
          <w:color w:val="000000"/>
          <w:lang w:eastAsia="x-none"/>
        </w:rPr>
        <w:t xml:space="preserve"> </w:t>
      </w:r>
      <w:r w:rsidR="00AB2F97">
        <w:rPr>
          <w:color w:val="000000"/>
          <w:lang w:eastAsia="x-none"/>
        </w:rPr>
        <w:t>7</w:t>
      </w:r>
      <w:r w:rsidR="00871DEC">
        <w:rPr>
          <w:color w:val="000000"/>
          <w:lang w:eastAsia="x-none"/>
        </w:rPr>
        <w:t>a,</w:t>
      </w:r>
      <w:r w:rsidR="009D51BD">
        <w:rPr>
          <w:color w:val="000000"/>
          <w:lang w:eastAsia="x-none"/>
        </w:rPr>
        <w:t xml:space="preserve"> </w:t>
      </w:r>
      <w:r w:rsidR="00871DEC">
        <w:rPr>
          <w:color w:val="000000"/>
          <w:lang w:eastAsia="x-none"/>
        </w:rPr>
        <w:t>b</w:t>
      </w:r>
      <w:r w:rsidRPr="00195077">
        <w:rPr>
          <w:color w:val="000000"/>
          <w:lang w:eastAsia="x-none"/>
        </w:rPr>
        <w:t xml:space="preserve"> here **</w:t>
      </w:r>
    </w:p>
    <w:p w14:paraId="543C3CCA" w14:textId="24861BCE" w:rsidR="00757CE8" w:rsidRDefault="00AB2F97" w:rsidP="00757CE8">
      <w:pPr>
        <w:spacing w:line="480" w:lineRule="auto"/>
        <w:ind w:firstLine="284"/>
        <w:rPr>
          <w:color w:val="000000"/>
          <w:lang w:eastAsia="x-none"/>
        </w:rPr>
      </w:pPr>
      <w:r>
        <w:rPr>
          <w:color w:val="000000"/>
          <w:lang w:eastAsia="x-none"/>
        </w:rPr>
        <w:t>T</w:t>
      </w:r>
      <w:r w:rsidR="00801820">
        <w:rPr>
          <w:color w:val="000000"/>
          <w:lang w:eastAsia="x-none"/>
        </w:rPr>
        <w:t xml:space="preserve">o test </w:t>
      </w:r>
      <w:r w:rsidR="00FD0E79">
        <w:rPr>
          <w:color w:val="000000"/>
          <w:lang w:eastAsia="x-none"/>
        </w:rPr>
        <w:t>H</w:t>
      </w:r>
      <w:r w:rsidR="00801820">
        <w:rPr>
          <w:color w:val="000000"/>
          <w:lang w:eastAsia="x-none"/>
        </w:rPr>
        <w:t xml:space="preserve">ypothesis </w:t>
      </w:r>
      <w:r w:rsidR="00601738">
        <w:rPr>
          <w:color w:val="000000"/>
          <w:lang w:eastAsia="x-none"/>
        </w:rPr>
        <w:t>H4</w:t>
      </w:r>
      <w:r w:rsidR="00801820">
        <w:rPr>
          <w:color w:val="000000"/>
          <w:lang w:eastAsia="x-none"/>
        </w:rPr>
        <w:t>,</w:t>
      </w:r>
      <w:r w:rsidR="00DC6113">
        <w:rPr>
          <w:color w:val="000000"/>
          <w:lang w:eastAsia="x-none"/>
        </w:rPr>
        <w:t xml:space="preserve"> </w:t>
      </w:r>
      <w:r w:rsidR="00DC6113" w:rsidRPr="00DC6113">
        <w:rPr>
          <w:color w:val="000000"/>
          <w:lang w:eastAsia="x-none"/>
        </w:rPr>
        <w:t xml:space="preserve">we interacted the first order term and the squared term of </w:t>
      </w:r>
      <w:r w:rsidR="00DC6113" w:rsidRPr="00DC6113">
        <w:rPr>
          <w:i/>
          <w:iCs/>
          <w:color w:val="000000"/>
          <w:lang w:eastAsia="x-none"/>
        </w:rPr>
        <w:t>time-out</w:t>
      </w:r>
      <w:r w:rsidR="00DC6113" w:rsidRPr="00DC6113">
        <w:rPr>
          <w:color w:val="000000"/>
          <w:lang w:eastAsia="x-none"/>
        </w:rPr>
        <w:t xml:space="preserve"> with </w:t>
      </w:r>
      <w:r w:rsidR="00DC6113" w:rsidRPr="00DC6113">
        <w:rPr>
          <w:i/>
          <w:iCs/>
          <w:color w:val="000000"/>
          <w:lang w:eastAsia="x-none"/>
        </w:rPr>
        <w:t>collaboration</w:t>
      </w:r>
      <w:r w:rsidR="000E78F2">
        <w:rPr>
          <w:i/>
          <w:iCs/>
          <w:color w:val="000000"/>
          <w:lang w:eastAsia="x-none"/>
        </w:rPr>
        <w:t>,</w:t>
      </w:r>
      <w:r w:rsidR="00801820">
        <w:rPr>
          <w:color w:val="000000"/>
          <w:lang w:eastAsia="x-none"/>
        </w:rPr>
        <w:t xml:space="preserve"> and the estimated results are reported in Model </w:t>
      </w:r>
      <w:r w:rsidR="00293ADA">
        <w:rPr>
          <w:color w:val="000000"/>
          <w:lang w:eastAsia="x-none"/>
        </w:rPr>
        <w:t>5</w:t>
      </w:r>
      <w:r w:rsidR="00801820">
        <w:rPr>
          <w:color w:val="000000"/>
          <w:lang w:eastAsia="x-none"/>
        </w:rPr>
        <w:t xml:space="preserve">.2. </w:t>
      </w:r>
      <w:r w:rsidR="00F41586">
        <w:rPr>
          <w:color w:val="000000"/>
          <w:lang w:eastAsia="x-none"/>
        </w:rPr>
        <w:t>Regarding</w:t>
      </w:r>
      <w:r w:rsidR="00801820">
        <w:rPr>
          <w:color w:val="000000"/>
          <w:lang w:eastAsia="x-none"/>
        </w:rPr>
        <w:t xml:space="preserve"> the </w:t>
      </w:r>
      <w:r w:rsidR="00957884" w:rsidRPr="00957884">
        <w:rPr>
          <w:color w:val="000000"/>
          <w:lang w:eastAsia="x-none"/>
        </w:rPr>
        <w:t>first order term</w:t>
      </w:r>
      <w:r w:rsidR="00801820">
        <w:rPr>
          <w:color w:val="000000"/>
          <w:lang w:eastAsia="x-none"/>
        </w:rPr>
        <w:t xml:space="preserve"> and squared term of </w:t>
      </w:r>
      <w:r w:rsidR="00801820" w:rsidRPr="004744A5">
        <w:rPr>
          <w:i/>
          <w:iCs/>
          <w:color w:val="000000"/>
          <w:lang w:eastAsia="x-none"/>
        </w:rPr>
        <w:t>time-out</w:t>
      </w:r>
      <w:r w:rsidR="00801820" w:rsidRPr="002421EE">
        <w:rPr>
          <w:color w:val="000000"/>
          <w:lang w:eastAsia="x-none"/>
        </w:rPr>
        <w:t xml:space="preserve">, the coefficient of time-out is </w:t>
      </w:r>
      <w:r w:rsidR="00801820">
        <w:rPr>
          <w:color w:val="000000"/>
          <w:lang w:eastAsia="x-none"/>
        </w:rPr>
        <w:t>negative</w:t>
      </w:r>
      <w:r w:rsidR="00801820" w:rsidRPr="002421EE">
        <w:rPr>
          <w:color w:val="000000"/>
          <w:lang w:eastAsia="x-none"/>
        </w:rPr>
        <w:t xml:space="preserve"> and statis</w:t>
      </w:r>
      <w:r w:rsidR="00801820" w:rsidRPr="007F032C">
        <w:rPr>
          <w:color w:val="000000"/>
          <w:lang w:eastAsia="x-none"/>
        </w:rPr>
        <w:t xml:space="preserve">tically significant (β = </w:t>
      </w:r>
      <w:r w:rsidR="009459E5" w:rsidRPr="009459E5">
        <w:rPr>
          <w:color w:val="000000"/>
          <w:lang w:eastAsia="x-none"/>
        </w:rPr>
        <w:t>-0.566</w:t>
      </w:r>
      <w:r w:rsidR="00801820" w:rsidRPr="007F032C">
        <w:rPr>
          <w:color w:val="000000"/>
          <w:lang w:eastAsia="x-none"/>
        </w:rPr>
        <w:t xml:space="preserve">, p = </w:t>
      </w:r>
      <w:r w:rsidR="00651516" w:rsidRPr="00651516">
        <w:rPr>
          <w:color w:val="000000"/>
          <w:lang w:eastAsia="x-none"/>
        </w:rPr>
        <w:t>0.014</w:t>
      </w:r>
      <w:r w:rsidR="00801820" w:rsidRPr="007F032C">
        <w:rPr>
          <w:color w:val="000000"/>
          <w:lang w:eastAsia="x-none"/>
        </w:rPr>
        <w:t>), and the</w:t>
      </w:r>
      <w:r w:rsidR="00801820">
        <w:rPr>
          <w:color w:val="000000"/>
          <w:lang w:eastAsia="x-none"/>
        </w:rPr>
        <w:t xml:space="preserve"> </w:t>
      </w:r>
      <w:r w:rsidR="00801820" w:rsidRPr="007F032C">
        <w:rPr>
          <w:color w:val="000000"/>
          <w:lang w:eastAsia="x-none"/>
        </w:rPr>
        <w:t xml:space="preserve">coefficient of </w:t>
      </w:r>
      <w:r w:rsidR="00801820" w:rsidRPr="004744A5">
        <w:rPr>
          <w:i/>
          <w:iCs/>
          <w:color w:val="000000"/>
          <w:lang w:eastAsia="x-none"/>
        </w:rPr>
        <w:t>time-out squared</w:t>
      </w:r>
      <w:r w:rsidR="00801820" w:rsidRPr="007F032C">
        <w:rPr>
          <w:color w:val="000000"/>
          <w:lang w:eastAsia="x-none"/>
        </w:rPr>
        <w:t xml:space="preserve"> is </w:t>
      </w:r>
      <w:r w:rsidR="00801820">
        <w:rPr>
          <w:color w:val="000000"/>
          <w:lang w:eastAsia="x-none"/>
        </w:rPr>
        <w:t xml:space="preserve">positive </w:t>
      </w:r>
      <w:r w:rsidR="00801820" w:rsidRPr="007F032C">
        <w:rPr>
          <w:color w:val="000000"/>
          <w:lang w:eastAsia="x-none"/>
        </w:rPr>
        <w:t>and statistically significant (β =</w:t>
      </w:r>
      <w:r w:rsidR="009459E5" w:rsidRPr="009459E5">
        <w:rPr>
          <w:color w:val="000000"/>
          <w:lang w:eastAsia="x-none"/>
        </w:rPr>
        <w:t>0.0923</w:t>
      </w:r>
      <w:r w:rsidR="00801820" w:rsidRPr="007F032C">
        <w:rPr>
          <w:color w:val="000000"/>
          <w:lang w:eastAsia="x-none"/>
        </w:rPr>
        <w:t xml:space="preserve">, p = </w:t>
      </w:r>
      <w:r w:rsidR="00651516" w:rsidRPr="00651516">
        <w:rPr>
          <w:color w:val="000000"/>
          <w:lang w:eastAsia="x-none"/>
        </w:rPr>
        <w:t>0.025</w:t>
      </w:r>
      <w:r w:rsidR="00801820" w:rsidRPr="007F032C">
        <w:rPr>
          <w:color w:val="000000"/>
          <w:lang w:eastAsia="x-none"/>
        </w:rPr>
        <w:t xml:space="preserve">), indicating a U-curve-shaped relationship between </w:t>
      </w:r>
      <w:r w:rsidR="00801820">
        <w:rPr>
          <w:color w:val="000000"/>
          <w:lang w:eastAsia="x-none"/>
        </w:rPr>
        <w:t xml:space="preserve">time-out period </w:t>
      </w:r>
      <w:r w:rsidR="00801820" w:rsidRPr="007F032C">
        <w:rPr>
          <w:color w:val="000000"/>
          <w:lang w:eastAsia="x-none"/>
        </w:rPr>
        <w:t>and</w:t>
      </w:r>
      <w:r w:rsidR="00801820">
        <w:rPr>
          <w:color w:val="000000"/>
          <w:lang w:eastAsia="x-none"/>
        </w:rPr>
        <w:t xml:space="preserve"> </w:t>
      </w:r>
      <w:r w:rsidR="00801820" w:rsidRPr="00202E4F">
        <w:rPr>
          <w:color w:val="000000"/>
          <w:lang w:eastAsia="x-none"/>
        </w:rPr>
        <w:t xml:space="preserve">the </w:t>
      </w:r>
      <w:r w:rsidR="00801820">
        <w:rPr>
          <w:color w:val="000000"/>
          <w:lang w:eastAsia="x-none"/>
        </w:rPr>
        <w:t xml:space="preserve">re-entry export performance for the firms that did not maintain any collaboration with foreign partners during the </w:t>
      </w:r>
      <w:r w:rsidR="009B73EF">
        <w:rPr>
          <w:color w:val="000000"/>
          <w:lang w:eastAsia="x-none"/>
        </w:rPr>
        <w:t>time-out</w:t>
      </w:r>
      <w:r w:rsidR="00801820">
        <w:rPr>
          <w:color w:val="000000"/>
          <w:lang w:eastAsia="x-none"/>
        </w:rPr>
        <w:t xml:space="preserve"> period. Similar to the coefficient of the </w:t>
      </w:r>
      <w:r w:rsidR="00957884" w:rsidRPr="00957884">
        <w:rPr>
          <w:color w:val="000000"/>
          <w:lang w:eastAsia="x-none"/>
        </w:rPr>
        <w:t>first order term</w:t>
      </w:r>
      <w:r w:rsidR="00801820">
        <w:rPr>
          <w:color w:val="000000"/>
          <w:lang w:eastAsia="x-none"/>
        </w:rPr>
        <w:t xml:space="preserve"> of </w:t>
      </w:r>
      <w:r w:rsidR="000E78F2">
        <w:rPr>
          <w:color w:val="000000"/>
          <w:lang w:eastAsia="x-none"/>
        </w:rPr>
        <w:t xml:space="preserve">the </w:t>
      </w:r>
      <w:r w:rsidR="00801820" w:rsidRPr="004744A5">
        <w:rPr>
          <w:i/>
          <w:iCs/>
          <w:color w:val="000000"/>
          <w:lang w:eastAsia="x-none"/>
        </w:rPr>
        <w:t>time-out</w:t>
      </w:r>
      <w:r w:rsidR="00801820" w:rsidRPr="00B476F9">
        <w:rPr>
          <w:color w:val="000000"/>
          <w:lang w:eastAsia="x-none"/>
        </w:rPr>
        <w:t xml:space="preserve"> </w:t>
      </w:r>
      <w:r w:rsidR="00801820">
        <w:rPr>
          <w:color w:val="000000"/>
          <w:lang w:eastAsia="x-none"/>
        </w:rPr>
        <w:t xml:space="preserve">period, the coefficient of </w:t>
      </w:r>
      <w:r w:rsidR="00801820" w:rsidRPr="00B476F9">
        <w:rPr>
          <w:color w:val="000000"/>
          <w:lang w:eastAsia="x-none"/>
        </w:rPr>
        <w:t xml:space="preserve">the interaction between </w:t>
      </w:r>
      <w:r w:rsidR="00801820">
        <w:rPr>
          <w:color w:val="000000"/>
          <w:lang w:eastAsia="x-none"/>
        </w:rPr>
        <w:t>collaboration</w:t>
      </w:r>
      <w:r w:rsidR="00801820" w:rsidRPr="00B476F9">
        <w:rPr>
          <w:color w:val="000000"/>
          <w:lang w:eastAsia="x-none"/>
        </w:rPr>
        <w:t xml:space="preserve"> and </w:t>
      </w:r>
      <w:r w:rsidR="000E78F2">
        <w:rPr>
          <w:color w:val="000000"/>
          <w:lang w:eastAsia="x-none"/>
        </w:rPr>
        <w:t>the</w:t>
      </w:r>
      <w:r w:rsidR="00801820" w:rsidRPr="00B476F9">
        <w:rPr>
          <w:color w:val="000000"/>
          <w:lang w:eastAsia="x-none"/>
        </w:rPr>
        <w:t xml:space="preserve"> </w:t>
      </w:r>
      <w:r w:rsidR="00801820" w:rsidRPr="004744A5">
        <w:rPr>
          <w:i/>
          <w:iCs/>
          <w:color w:val="000000"/>
          <w:lang w:eastAsia="x-none"/>
        </w:rPr>
        <w:t>time-out</w:t>
      </w:r>
      <w:r w:rsidR="00801820" w:rsidRPr="00B476F9">
        <w:rPr>
          <w:color w:val="000000"/>
          <w:lang w:eastAsia="x-none"/>
        </w:rPr>
        <w:t xml:space="preserve"> </w:t>
      </w:r>
      <w:r w:rsidR="00801820">
        <w:rPr>
          <w:color w:val="000000"/>
          <w:lang w:eastAsia="x-none"/>
        </w:rPr>
        <w:t>period is negative</w:t>
      </w:r>
      <w:r w:rsidR="006819C2">
        <w:rPr>
          <w:color w:val="000000"/>
          <w:lang w:eastAsia="x-none"/>
        </w:rPr>
        <w:t xml:space="preserve"> </w:t>
      </w:r>
      <w:r w:rsidR="006819C2" w:rsidRPr="00440426">
        <w:rPr>
          <w:i/>
          <w:iCs/>
          <w:color w:val="000000"/>
          <w:lang w:eastAsia="x-none"/>
        </w:rPr>
        <w:t>but insignificant</w:t>
      </w:r>
      <w:r w:rsidR="00801820">
        <w:rPr>
          <w:color w:val="000000"/>
          <w:lang w:eastAsia="x-none"/>
        </w:rPr>
        <w:t xml:space="preserve"> </w:t>
      </w:r>
      <w:r w:rsidR="00801820" w:rsidRPr="007F032C">
        <w:rPr>
          <w:color w:val="000000"/>
          <w:lang w:eastAsia="x-none"/>
        </w:rPr>
        <w:t xml:space="preserve">(β = </w:t>
      </w:r>
      <w:r w:rsidR="009459E5" w:rsidRPr="009459E5">
        <w:rPr>
          <w:color w:val="000000"/>
          <w:lang w:eastAsia="x-none"/>
        </w:rPr>
        <w:t>-2.369</w:t>
      </w:r>
      <w:r w:rsidR="00801820" w:rsidRPr="007F032C">
        <w:rPr>
          <w:color w:val="000000"/>
          <w:lang w:eastAsia="x-none"/>
        </w:rPr>
        <w:t xml:space="preserve">, p = </w:t>
      </w:r>
      <w:r w:rsidR="00651516" w:rsidRPr="00651516">
        <w:rPr>
          <w:color w:val="000000"/>
          <w:lang w:eastAsia="x-none"/>
        </w:rPr>
        <w:t>0.112</w:t>
      </w:r>
      <w:r w:rsidR="00801820" w:rsidRPr="007F032C">
        <w:rPr>
          <w:color w:val="000000"/>
          <w:lang w:eastAsia="x-none"/>
        </w:rPr>
        <w:t>)</w:t>
      </w:r>
      <w:r w:rsidR="00801820">
        <w:rPr>
          <w:color w:val="000000"/>
          <w:lang w:eastAsia="x-none"/>
        </w:rPr>
        <w:t xml:space="preserve">. Again, similar to the coefficient of </w:t>
      </w:r>
      <w:r w:rsidR="000E78F2">
        <w:rPr>
          <w:color w:val="000000"/>
          <w:lang w:eastAsia="x-none"/>
        </w:rPr>
        <w:t xml:space="preserve">the </w:t>
      </w:r>
      <w:r w:rsidR="00801820">
        <w:rPr>
          <w:color w:val="000000"/>
          <w:lang w:eastAsia="x-none"/>
        </w:rPr>
        <w:t>square</w:t>
      </w:r>
      <w:r w:rsidR="00957884">
        <w:rPr>
          <w:color w:val="000000"/>
          <w:lang w:eastAsia="x-none"/>
        </w:rPr>
        <w:t>d</w:t>
      </w:r>
      <w:r w:rsidR="00801820">
        <w:rPr>
          <w:color w:val="000000"/>
          <w:lang w:eastAsia="x-none"/>
        </w:rPr>
        <w:t xml:space="preserve"> term of </w:t>
      </w:r>
      <w:r w:rsidR="000E78F2">
        <w:rPr>
          <w:color w:val="000000"/>
          <w:lang w:eastAsia="x-none"/>
        </w:rPr>
        <w:t xml:space="preserve">the </w:t>
      </w:r>
      <w:r w:rsidR="00801820" w:rsidRPr="004744A5">
        <w:rPr>
          <w:i/>
          <w:iCs/>
          <w:color w:val="000000"/>
          <w:lang w:eastAsia="x-none"/>
        </w:rPr>
        <w:t>time-out</w:t>
      </w:r>
      <w:r w:rsidR="00801820" w:rsidRPr="00B476F9">
        <w:rPr>
          <w:color w:val="000000"/>
          <w:lang w:eastAsia="x-none"/>
        </w:rPr>
        <w:t xml:space="preserve"> </w:t>
      </w:r>
      <w:r w:rsidR="00801820">
        <w:rPr>
          <w:color w:val="000000"/>
          <w:lang w:eastAsia="x-none"/>
        </w:rPr>
        <w:t xml:space="preserve">period, the coefficient of </w:t>
      </w:r>
      <w:r w:rsidR="00801820" w:rsidRPr="00B476F9">
        <w:rPr>
          <w:color w:val="000000"/>
          <w:lang w:eastAsia="x-none"/>
        </w:rPr>
        <w:t>the interaction</w:t>
      </w:r>
      <w:r w:rsidR="00801820">
        <w:rPr>
          <w:color w:val="000000"/>
          <w:lang w:eastAsia="x-none"/>
        </w:rPr>
        <w:t xml:space="preserve"> </w:t>
      </w:r>
      <w:r w:rsidR="00801820" w:rsidRPr="00B476F9">
        <w:rPr>
          <w:color w:val="000000"/>
          <w:lang w:eastAsia="x-none"/>
        </w:rPr>
        <w:t xml:space="preserve">between </w:t>
      </w:r>
      <w:r w:rsidR="00801820">
        <w:rPr>
          <w:color w:val="000000"/>
          <w:lang w:eastAsia="x-none"/>
        </w:rPr>
        <w:t>collaboration</w:t>
      </w:r>
      <w:r w:rsidR="00801820" w:rsidRPr="00B476F9">
        <w:rPr>
          <w:color w:val="000000"/>
          <w:lang w:eastAsia="x-none"/>
        </w:rPr>
        <w:t xml:space="preserve"> and the </w:t>
      </w:r>
      <w:r w:rsidR="00801820">
        <w:rPr>
          <w:color w:val="000000"/>
          <w:lang w:eastAsia="x-none"/>
        </w:rPr>
        <w:t>square</w:t>
      </w:r>
      <w:r w:rsidR="00801820" w:rsidRPr="00B476F9">
        <w:rPr>
          <w:color w:val="000000"/>
          <w:lang w:eastAsia="x-none"/>
        </w:rPr>
        <w:t xml:space="preserve"> term of </w:t>
      </w:r>
      <w:r w:rsidR="000E78F2">
        <w:rPr>
          <w:color w:val="000000"/>
          <w:lang w:eastAsia="x-none"/>
        </w:rPr>
        <w:t>the</w:t>
      </w:r>
      <w:r w:rsidR="00801820" w:rsidRPr="00B476F9">
        <w:rPr>
          <w:color w:val="000000"/>
          <w:lang w:eastAsia="x-none"/>
        </w:rPr>
        <w:t xml:space="preserve"> </w:t>
      </w:r>
      <w:r w:rsidR="00801820" w:rsidRPr="004744A5">
        <w:rPr>
          <w:i/>
          <w:iCs/>
          <w:color w:val="000000"/>
          <w:lang w:eastAsia="x-none"/>
        </w:rPr>
        <w:t>time-out</w:t>
      </w:r>
      <w:r w:rsidR="00801820" w:rsidRPr="00B476F9">
        <w:rPr>
          <w:color w:val="000000"/>
          <w:lang w:eastAsia="x-none"/>
        </w:rPr>
        <w:t xml:space="preserve"> </w:t>
      </w:r>
      <w:r w:rsidR="00801820">
        <w:rPr>
          <w:color w:val="000000"/>
          <w:lang w:eastAsia="x-none"/>
        </w:rPr>
        <w:t xml:space="preserve">period is also positive and significant </w:t>
      </w:r>
      <w:r w:rsidR="00801820" w:rsidRPr="007F032C">
        <w:rPr>
          <w:color w:val="000000"/>
          <w:lang w:eastAsia="x-none"/>
        </w:rPr>
        <w:t>(β =</w:t>
      </w:r>
      <w:r w:rsidR="00801820">
        <w:rPr>
          <w:color w:val="000000"/>
          <w:lang w:eastAsia="x-none"/>
        </w:rPr>
        <w:t xml:space="preserve"> </w:t>
      </w:r>
      <w:r w:rsidR="009459E5" w:rsidRPr="009459E5">
        <w:rPr>
          <w:color w:val="000000"/>
          <w:lang w:eastAsia="x-none"/>
        </w:rPr>
        <w:t>0.569</w:t>
      </w:r>
      <w:r w:rsidR="00801820" w:rsidRPr="007F032C">
        <w:rPr>
          <w:color w:val="000000"/>
          <w:lang w:eastAsia="x-none"/>
        </w:rPr>
        <w:t xml:space="preserve">, p = </w:t>
      </w:r>
      <w:r w:rsidR="00651516" w:rsidRPr="00651516">
        <w:rPr>
          <w:color w:val="000000"/>
          <w:lang w:eastAsia="x-none"/>
        </w:rPr>
        <w:t>0.055</w:t>
      </w:r>
      <w:r w:rsidR="00801820" w:rsidRPr="007F032C">
        <w:rPr>
          <w:color w:val="000000"/>
          <w:lang w:eastAsia="x-none"/>
        </w:rPr>
        <w:t>)</w:t>
      </w:r>
      <w:r w:rsidR="00801820">
        <w:rPr>
          <w:color w:val="000000"/>
          <w:lang w:eastAsia="x-none"/>
        </w:rPr>
        <w:t xml:space="preserve">. These results </w:t>
      </w:r>
      <w:r w:rsidR="006819C2">
        <w:rPr>
          <w:color w:val="000000"/>
          <w:lang w:eastAsia="x-none"/>
        </w:rPr>
        <w:t xml:space="preserve">suggest </w:t>
      </w:r>
      <w:r w:rsidR="00801820">
        <w:rPr>
          <w:color w:val="000000"/>
          <w:lang w:eastAsia="x-none"/>
        </w:rPr>
        <w:t xml:space="preserve">a </w:t>
      </w:r>
      <w:r w:rsidR="00801820" w:rsidRPr="00B476F9">
        <w:rPr>
          <w:color w:val="000000"/>
          <w:lang w:eastAsia="x-none"/>
        </w:rPr>
        <w:t xml:space="preserve">steepening of the </w:t>
      </w:r>
      <w:r w:rsidR="00801820">
        <w:rPr>
          <w:color w:val="000000"/>
          <w:lang w:eastAsia="x-none"/>
        </w:rPr>
        <w:t>U</w:t>
      </w:r>
      <w:r w:rsidR="00DC6113">
        <w:rPr>
          <w:color w:val="000000"/>
          <w:lang w:eastAsia="x-none"/>
        </w:rPr>
        <w:t>-</w:t>
      </w:r>
      <w:r w:rsidR="00801820" w:rsidRPr="00B476F9">
        <w:rPr>
          <w:color w:val="000000"/>
          <w:lang w:eastAsia="x-none"/>
        </w:rPr>
        <w:t>curve</w:t>
      </w:r>
      <w:r w:rsidR="00801820">
        <w:rPr>
          <w:color w:val="000000"/>
          <w:lang w:eastAsia="x-none"/>
        </w:rPr>
        <w:t xml:space="preserve"> with the increase of the collaboration variable. </w:t>
      </w:r>
    </w:p>
    <w:p w14:paraId="531F8D56" w14:textId="0A89A9CE" w:rsidR="00ED5B93" w:rsidRDefault="00801820" w:rsidP="00757CE8">
      <w:pPr>
        <w:spacing w:line="480" w:lineRule="auto"/>
        <w:ind w:firstLine="284"/>
        <w:rPr>
          <w:color w:val="000000"/>
          <w:lang w:eastAsia="x-none"/>
        </w:rPr>
      </w:pPr>
      <w:r>
        <w:rPr>
          <w:color w:val="000000"/>
          <w:lang w:eastAsia="x-none"/>
        </w:rPr>
        <w:t xml:space="preserve">We </w:t>
      </w:r>
      <w:r w:rsidRPr="003C551D">
        <w:rPr>
          <w:color w:val="000000"/>
          <w:lang w:eastAsia="x-none"/>
        </w:rPr>
        <w:t>plo</w:t>
      </w:r>
      <w:r>
        <w:rPr>
          <w:color w:val="000000"/>
          <w:lang w:eastAsia="x-none"/>
        </w:rPr>
        <w:t>tted (Figure</w:t>
      </w:r>
      <w:r w:rsidR="00293ADA">
        <w:rPr>
          <w:color w:val="000000"/>
          <w:lang w:eastAsia="x-none"/>
        </w:rPr>
        <w:t xml:space="preserve"> </w:t>
      </w:r>
      <w:r w:rsidR="006819C2">
        <w:rPr>
          <w:color w:val="000000"/>
          <w:lang w:eastAsia="x-none"/>
        </w:rPr>
        <w:t>8</w:t>
      </w:r>
      <w:r w:rsidR="00293ADA">
        <w:rPr>
          <w:color w:val="000000"/>
          <w:lang w:eastAsia="x-none"/>
        </w:rPr>
        <w:t>a</w:t>
      </w:r>
      <w:r>
        <w:rPr>
          <w:color w:val="000000"/>
          <w:lang w:eastAsia="x-none"/>
        </w:rPr>
        <w:t>)</w:t>
      </w:r>
      <w:r w:rsidRPr="003C551D">
        <w:rPr>
          <w:color w:val="000000"/>
          <w:lang w:eastAsia="x-none"/>
        </w:rPr>
        <w:t xml:space="preserve"> the </w:t>
      </w:r>
      <w:r w:rsidR="00293ADA">
        <w:rPr>
          <w:color w:val="000000"/>
          <w:lang w:eastAsia="x-none"/>
        </w:rPr>
        <w:t>average adjusted predictions</w:t>
      </w:r>
      <w:r w:rsidR="00293ADA" w:rsidRPr="006E448B">
        <w:rPr>
          <w:color w:val="000000"/>
          <w:lang w:eastAsia="x-none"/>
        </w:rPr>
        <w:t xml:space="preserve"> </w:t>
      </w:r>
      <w:r w:rsidR="00293ADA">
        <w:rPr>
          <w:color w:val="000000"/>
          <w:lang w:eastAsia="x-none"/>
        </w:rPr>
        <w:t>at different points of</w:t>
      </w:r>
      <w:r w:rsidR="00293ADA" w:rsidRPr="006E448B">
        <w:rPr>
          <w:color w:val="000000"/>
          <w:lang w:eastAsia="x-none"/>
        </w:rPr>
        <w:t xml:space="preserve"> the time-out period</w:t>
      </w:r>
      <w:r w:rsidRPr="003C551D">
        <w:rPr>
          <w:color w:val="000000"/>
          <w:lang w:eastAsia="x-none"/>
        </w:rPr>
        <w:t xml:space="preserve"> for three levels of collaboration: 0 (no collaboration during the time-out period), 0.5 (collaboration during half of the time-out period), and 1(continuous collaboration during the time-out period)</w:t>
      </w:r>
      <w:r>
        <w:rPr>
          <w:color w:val="000000"/>
          <w:lang w:eastAsia="x-none"/>
        </w:rPr>
        <w:t xml:space="preserve">. </w:t>
      </w:r>
      <w:r w:rsidR="006819C2">
        <w:rPr>
          <w:color w:val="000000"/>
          <w:lang w:eastAsia="x-none"/>
        </w:rPr>
        <w:t>We can see that</w:t>
      </w:r>
      <w:r w:rsidR="006C203D">
        <w:rPr>
          <w:color w:val="000000"/>
          <w:lang w:eastAsia="x-none"/>
        </w:rPr>
        <w:t xml:space="preserve"> </w:t>
      </w:r>
      <w:r w:rsidR="006819C2">
        <w:rPr>
          <w:color w:val="000000"/>
          <w:lang w:eastAsia="x-none"/>
        </w:rPr>
        <w:t xml:space="preserve">the left half of the </w:t>
      </w:r>
      <w:r w:rsidR="0034414E">
        <w:rPr>
          <w:color w:val="000000"/>
          <w:lang w:eastAsia="x-none"/>
        </w:rPr>
        <w:t>U</w:t>
      </w:r>
      <w:r w:rsidR="006819C2">
        <w:rPr>
          <w:color w:val="000000"/>
          <w:lang w:eastAsia="x-none"/>
        </w:rPr>
        <w:t>-curve do</w:t>
      </w:r>
      <w:r w:rsidR="00DD32B3">
        <w:rPr>
          <w:color w:val="000000"/>
          <w:lang w:eastAsia="x-none"/>
        </w:rPr>
        <w:t>es</w:t>
      </w:r>
      <w:r w:rsidR="006819C2">
        <w:rPr>
          <w:color w:val="000000"/>
          <w:lang w:eastAsia="x-none"/>
        </w:rPr>
        <w:t xml:space="preserve"> not change much</w:t>
      </w:r>
      <w:r w:rsidR="00B06C1E">
        <w:rPr>
          <w:color w:val="000000"/>
          <w:lang w:eastAsia="x-none"/>
        </w:rPr>
        <w:t>,</w:t>
      </w:r>
      <w:r w:rsidR="006819C2">
        <w:rPr>
          <w:color w:val="000000"/>
          <w:lang w:eastAsia="x-none"/>
        </w:rPr>
        <w:t xml:space="preserve"> but the </w:t>
      </w:r>
      <w:r w:rsidR="003E3BF3">
        <w:rPr>
          <w:color w:val="000000"/>
          <w:lang w:eastAsia="x-none"/>
        </w:rPr>
        <w:t>U</w:t>
      </w:r>
      <w:r w:rsidR="00810A28">
        <w:rPr>
          <w:color w:val="000000"/>
          <w:lang w:eastAsia="x-none"/>
        </w:rPr>
        <w:t xml:space="preserve">-curve </w:t>
      </w:r>
      <w:r w:rsidR="006819C2">
        <w:rPr>
          <w:color w:val="000000"/>
          <w:lang w:eastAsia="x-none"/>
        </w:rPr>
        <w:t xml:space="preserve">steepens up sharply </w:t>
      </w:r>
      <w:r w:rsidR="00DD32B3">
        <w:rPr>
          <w:color w:val="000000"/>
          <w:lang w:eastAsia="x-none"/>
        </w:rPr>
        <w:t>(</w:t>
      </w:r>
      <w:r w:rsidR="000E78F2">
        <w:rPr>
          <w:color w:val="000000"/>
          <w:lang w:eastAsia="x-none"/>
        </w:rPr>
        <w:t xml:space="preserve">the </w:t>
      </w:r>
      <w:r w:rsidR="00DD32B3">
        <w:rPr>
          <w:color w:val="000000"/>
          <w:lang w:eastAsia="x-none"/>
        </w:rPr>
        <w:t xml:space="preserve">effect is strong) </w:t>
      </w:r>
      <w:r w:rsidR="006819C2">
        <w:rPr>
          <w:color w:val="000000"/>
          <w:lang w:eastAsia="x-none"/>
        </w:rPr>
        <w:t>in the second half</w:t>
      </w:r>
      <w:r w:rsidR="00432285">
        <w:rPr>
          <w:color w:val="000000"/>
          <w:lang w:eastAsia="x-none"/>
        </w:rPr>
        <w:t xml:space="preserve"> (after year 3)</w:t>
      </w:r>
      <w:r w:rsidR="006819C2">
        <w:rPr>
          <w:color w:val="000000"/>
          <w:lang w:eastAsia="x-none"/>
        </w:rPr>
        <w:t xml:space="preserve"> </w:t>
      </w:r>
      <w:r w:rsidR="00810A28">
        <w:rPr>
          <w:color w:val="000000"/>
          <w:lang w:eastAsia="x-none"/>
        </w:rPr>
        <w:t>of</w:t>
      </w:r>
      <w:r w:rsidR="006819C2">
        <w:rPr>
          <w:color w:val="000000"/>
          <w:lang w:eastAsia="x-none"/>
        </w:rPr>
        <w:t xml:space="preserve"> the </w:t>
      </w:r>
      <w:r w:rsidR="00DC6113">
        <w:rPr>
          <w:color w:val="000000"/>
          <w:lang w:eastAsia="x-none"/>
        </w:rPr>
        <w:t>U</w:t>
      </w:r>
      <w:r w:rsidR="006819C2">
        <w:rPr>
          <w:color w:val="000000"/>
          <w:lang w:eastAsia="x-none"/>
        </w:rPr>
        <w:t>-curve</w:t>
      </w:r>
      <w:r w:rsidR="00810A28">
        <w:rPr>
          <w:color w:val="000000"/>
          <w:lang w:eastAsia="x-none"/>
        </w:rPr>
        <w:t xml:space="preserve"> as the </w:t>
      </w:r>
      <w:r w:rsidR="009B73EF">
        <w:rPr>
          <w:color w:val="000000"/>
          <w:lang w:eastAsia="x-none"/>
        </w:rPr>
        <w:t>time-out</w:t>
      </w:r>
      <w:r w:rsidR="00810A28">
        <w:rPr>
          <w:color w:val="000000"/>
          <w:lang w:eastAsia="x-none"/>
        </w:rPr>
        <w:t xml:space="preserve"> period increases</w:t>
      </w:r>
      <w:r w:rsidR="00DD32B3">
        <w:rPr>
          <w:color w:val="000000"/>
          <w:lang w:eastAsia="x-none"/>
        </w:rPr>
        <w:t>.</w:t>
      </w:r>
      <w:r w:rsidR="00524228">
        <w:rPr>
          <w:color w:val="000000"/>
          <w:lang w:eastAsia="x-none"/>
        </w:rPr>
        <w:t xml:space="preserve"> </w:t>
      </w:r>
      <w:r w:rsidR="00293ADA">
        <w:rPr>
          <w:color w:val="000000"/>
          <w:lang w:eastAsia="x-none"/>
        </w:rPr>
        <w:t xml:space="preserve">We also estimated the average marginal effects of </w:t>
      </w:r>
      <w:r w:rsidR="000E78F2">
        <w:rPr>
          <w:color w:val="000000"/>
          <w:lang w:eastAsia="x-none"/>
        </w:rPr>
        <w:t xml:space="preserve">the </w:t>
      </w:r>
      <w:r w:rsidR="009B73EF">
        <w:rPr>
          <w:color w:val="000000"/>
          <w:lang w:eastAsia="x-none"/>
        </w:rPr>
        <w:t>time-out</w:t>
      </w:r>
      <w:r w:rsidR="00293ADA">
        <w:rPr>
          <w:color w:val="000000"/>
          <w:lang w:eastAsia="x-none"/>
        </w:rPr>
        <w:t xml:space="preserve"> period at different </w:t>
      </w:r>
      <w:r w:rsidR="00CA57F9">
        <w:rPr>
          <w:color w:val="000000"/>
          <w:lang w:eastAsia="x-none"/>
        </w:rPr>
        <w:t xml:space="preserve">years across the </w:t>
      </w:r>
      <w:r w:rsidR="009B73EF">
        <w:rPr>
          <w:color w:val="000000"/>
          <w:lang w:eastAsia="x-none"/>
        </w:rPr>
        <w:t>time-out</w:t>
      </w:r>
      <w:r w:rsidR="00CA57F9">
        <w:rPr>
          <w:color w:val="000000"/>
          <w:lang w:eastAsia="x-none"/>
        </w:rPr>
        <w:t xml:space="preserve"> period</w:t>
      </w:r>
      <w:r w:rsidR="00293ADA">
        <w:rPr>
          <w:color w:val="000000"/>
          <w:lang w:eastAsia="x-none"/>
        </w:rPr>
        <w:t xml:space="preserve"> for different values of the collaboration variable. Table 7 reports the average marginal effects</w:t>
      </w:r>
      <w:r w:rsidR="00221035">
        <w:rPr>
          <w:color w:val="000000"/>
          <w:lang w:eastAsia="x-none"/>
        </w:rPr>
        <w:t>,</w:t>
      </w:r>
      <w:r w:rsidR="00293ADA">
        <w:rPr>
          <w:color w:val="000000"/>
          <w:lang w:eastAsia="x-none"/>
        </w:rPr>
        <w:t xml:space="preserve"> their significance levels</w:t>
      </w:r>
      <w:r w:rsidR="000E78F2">
        <w:rPr>
          <w:color w:val="000000"/>
          <w:lang w:eastAsia="x-none"/>
        </w:rPr>
        <w:t>,</w:t>
      </w:r>
      <w:r w:rsidR="00221035">
        <w:rPr>
          <w:color w:val="000000"/>
          <w:lang w:eastAsia="x-none"/>
        </w:rPr>
        <w:t xml:space="preserve"> and </w:t>
      </w:r>
      <w:r w:rsidR="00B06C1E">
        <w:rPr>
          <w:color w:val="000000"/>
          <w:lang w:eastAsia="x-none"/>
        </w:rPr>
        <w:t xml:space="preserve">corresponding </w:t>
      </w:r>
      <w:r w:rsidR="00221035">
        <w:rPr>
          <w:color w:val="000000"/>
          <w:lang w:eastAsia="x-none"/>
        </w:rPr>
        <w:t>confidence intervals</w:t>
      </w:r>
      <w:r w:rsidR="00293ADA">
        <w:rPr>
          <w:color w:val="000000"/>
          <w:lang w:eastAsia="x-none"/>
        </w:rPr>
        <w:t xml:space="preserve">, and </w:t>
      </w:r>
      <w:r w:rsidR="00006772">
        <w:rPr>
          <w:color w:val="000000"/>
          <w:lang w:eastAsia="x-none"/>
        </w:rPr>
        <w:t>F</w:t>
      </w:r>
      <w:r w:rsidR="00293ADA">
        <w:rPr>
          <w:color w:val="000000"/>
          <w:lang w:eastAsia="x-none"/>
        </w:rPr>
        <w:t>igure 8b depicts the plot of average marginal effects.</w:t>
      </w:r>
      <w:r w:rsidR="006C203D">
        <w:rPr>
          <w:color w:val="000000"/>
          <w:lang w:eastAsia="x-none"/>
        </w:rPr>
        <w:t xml:space="preserve"> </w:t>
      </w:r>
      <w:r w:rsidR="003F6782">
        <w:rPr>
          <w:color w:val="000000"/>
          <w:lang w:eastAsia="x-none"/>
        </w:rPr>
        <w:lastRenderedPageBreak/>
        <w:t xml:space="preserve">Both </w:t>
      </w:r>
      <w:r w:rsidR="005F0AF3">
        <w:rPr>
          <w:color w:val="000000"/>
          <w:lang w:eastAsia="x-none"/>
        </w:rPr>
        <w:t>T</w:t>
      </w:r>
      <w:r w:rsidR="003F6782">
        <w:rPr>
          <w:color w:val="000000"/>
          <w:lang w:eastAsia="x-none"/>
        </w:rPr>
        <w:t xml:space="preserve">able 7 and </w:t>
      </w:r>
      <w:r w:rsidR="005F0AF3">
        <w:rPr>
          <w:color w:val="000000"/>
          <w:lang w:eastAsia="x-none"/>
        </w:rPr>
        <w:t>F</w:t>
      </w:r>
      <w:r w:rsidR="003F6782">
        <w:rPr>
          <w:color w:val="000000"/>
          <w:lang w:eastAsia="x-none"/>
        </w:rPr>
        <w:t>igure 8b show</w:t>
      </w:r>
      <w:r w:rsidR="00293ADA">
        <w:rPr>
          <w:color w:val="000000"/>
          <w:lang w:eastAsia="x-none"/>
        </w:rPr>
        <w:t xml:space="preserve"> that </w:t>
      </w:r>
      <w:r w:rsidR="00112ED5">
        <w:rPr>
          <w:color w:val="000000"/>
          <w:lang w:eastAsia="x-none"/>
        </w:rPr>
        <w:t>in year</w:t>
      </w:r>
      <w:r w:rsidR="00261277">
        <w:rPr>
          <w:color w:val="000000"/>
          <w:lang w:eastAsia="x-none"/>
        </w:rPr>
        <w:t>s</w:t>
      </w:r>
      <w:r w:rsidR="00112ED5">
        <w:rPr>
          <w:color w:val="000000"/>
          <w:lang w:eastAsia="x-none"/>
        </w:rPr>
        <w:t xml:space="preserve"> 1 </w:t>
      </w:r>
      <w:r w:rsidR="00261277">
        <w:rPr>
          <w:color w:val="000000"/>
          <w:lang w:eastAsia="x-none"/>
        </w:rPr>
        <w:t xml:space="preserve">and 2 </w:t>
      </w:r>
      <w:r w:rsidR="00293ADA">
        <w:rPr>
          <w:color w:val="000000"/>
          <w:lang w:eastAsia="x-none"/>
        </w:rPr>
        <w:t xml:space="preserve">the average marginal effect is negative </w:t>
      </w:r>
      <w:r w:rsidR="00862721">
        <w:rPr>
          <w:color w:val="000000"/>
          <w:lang w:eastAsia="x-none"/>
        </w:rPr>
        <w:t>regardless of</w:t>
      </w:r>
      <w:r w:rsidR="0016238A">
        <w:rPr>
          <w:color w:val="000000"/>
          <w:lang w:eastAsia="x-none"/>
        </w:rPr>
        <w:t xml:space="preserve"> the</w:t>
      </w:r>
      <w:r w:rsidR="00862721">
        <w:rPr>
          <w:color w:val="000000"/>
          <w:lang w:eastAsia="x-none"/>
        </w:rPr>
        <w:t xml:space="preserve"> level of collaboration</w:t>
      </w:r>
      <w:r w:rsidR="00261277">
        <w:rPr>
          <w:color w:val="000000"/>
          <w:lang w:eastAsia="x-none"/>
        </w:rPr>
        <w:t>.</w:t>
      </w:r>
      <w:r w:rsidR="00C636C4">
        <w:rPr>
          <w:color w:val="000000"/>
          <w:lang w:eastAsia="x-none"/>
        </w:rPr>
        <w:t xml:space="preserve"> </w:t>
      </w:r>
      <w:r w:rsidR="000B7BBA">
        <w:rPr>
          <w:color w:val="000000"/>
          <w:lang w:eastAsia="x-none"/>
        </w:rPr>
        <w:t>Confidence intervals</w:t>
      </w:r>
      <w:r w:rsidR="00CD3C4E">
        <w:rPr>
          <w:color w:val="000000"/>
          <w:lang w:eastAsia="x-none"/>
        </w:rPr>
        <w:t xml:space="preserve"> </w:t>
      </w:r>
      <w:r w:rsidR="00B1691A">
        <w:rPr>
          <w:color w:val="000000"/>
          <w:lang w:eastAsia="x-none"/>
        </w:rPr>
        <w:t xml:space="preserve">further </w:t>
      </w:r>
      <w:r w:rsidR="008B1C9F">
        <w:rPr>
          <w:color w:val="000000"/>
          <w:lang w:eastAsia="x-none"/>
        </w:rPr>
        <w:t>indicate</w:t>
      </w:r>
      <w:r w:rsidR="00CD3C4E">
        <w:rPr>
          <w:color w:val="000000"/>
          <w:lang w:eastAsia="x-none"/>
        </w:rPr>
        <w:t xml:space="preserve"> that there is no </w:t>
      </w:r>
      <w:r w:rsidR="000E78F2">
        <w:rPr>
          <w:color w:val="000000"/>
          <w:lang w:eastAsia="x-none"/>
        </w:rPr>
        <w:t>significant</w:t>
      </w:r>
      <w:r w:rsidR="00CD3C4E">
        <w:rPr>
          <w:color w:val="000000"/>
          <w:lang w:eastAsia="x-none"/>
        </w:rPr>
        <w:t xml:space="preserve"> difference</w:t>
      </w:r>
      <w:r w:rsidR="005A492A">
        <w:rPr>
          <w:color w:val="000000"/>
          <w:lang w:eastAsia="x-none"/>
        </w:rPr>
        <w:t xml:space="preserve"> </w:t>
      </w:r>
      <w:r w:rsidR="00E64CF8">
        <w:rPr>
          <w:color w:val="000000"/>
          <w:lang w:eastAsia="x-none"/>
        </w:rPr>
        <w:t>in the performance of firms that</w:t>
      </w:r>
      <w:r w:rsidR="005A492A">
        <w:rPr>
          <w:color w:val="000000"/>
          <w:lang w:eastAsia="x-none"/>
        </w:rPr>
        <w:t xml:space="preserve"> </w:t>
      </w:r>
      <w:r w:rsidR="0098544C">
        <w:rPr>
          <w:color w:val="000000"/>
          <w:lang w:eastAsia="x-none"/>
        </w:rPr>
        <w:t>engag</w:t>
      </w:r>
      <w:r w:rsidR="00E64CF8">
        <w:rPr>
          <w:color w:val="000000"/>
          <w:lang w:eastAsia="x-none"/>
        </w:rPr>
        <w:t>e</w:t>
      </w:r>
      <w:r w:rsidR="0098544C">
        <w:rPr>
          <w:color w:val="000000"/>
          <w:lang w:eastAsia="x-none"/>
        </w:rPr>
        <w:t xml:space="preserve"> and </w:t>
      </w:r>
      <w:r w:rsidR="000E78F2">
        <w:rPr>
          <w:color w:val="000000"/>
          <w:lang w:eastAsia="x-none"/>
        </w:rPr>
        <w:t xml:space="preserve">do </w:t>
      </w:r>
      <w:r w:rsidR="0098544C">
        <w:rPr>
          <w:color w:val="000000"/>
          <w:lang w:eastAsia="x-none"/>
        </w:rPr>
        <w:t>not engag</w:t>
      </w:r>
      <w:r w:rsidR="00E64CF8">
        <w:rPr>
          <w:color w:val="000000"/>
          <w:lang w:eastAsia="x-none"/>
        </w:rPr>
        <w:t>e</w:t>
      </w:r>
      <w:r w:rsidR="0098544C">
        <w:rPr>
          <w:color w:val="000000"/>
          <w:lang w:eastAsia="x-none"/>
        </w:rPr>
        <w:t xml:space="preserve"> in </w:t>
      </w:r>
      <w:r w:rsidR="00D441D5">
        <w:rPr>
          <w:color w:val="000000"/>
          <w:lang w:eastAsia="x-none"/>
        </w:rPr>
        <w:t>collaboration</w:t>
      </w:r>
      <w:r w:rsidR="00B1691A">
        <w:rPr>
          <w:color w:val="000000"/>
          <w:lang w:eastAsia="x-none"/>
        </w:rPr>
        <w:t xml:space="preserve">. </w:t>
      </w:r>
      <w:r w:rsidR="00293ADA">
        <w:rPr>
          <w:color w:val="000000"/>
          <w:lang w:eastAsia="x-none"/>
        </w:rPr>
        <w:t xml:space="preserve">In contrast, </w:t>
      </w:r>
      <w:r w:rsidR="00FA6BEB">
        <w:rPr>
          <w:color w:val="000000"/>
          <w:lang w:eastAsia="x-none"/>
        </w:rPr>
        <w:t>from year 3 onwards</w:t>
      </w:r>
      <w:r w:rsidR="00293ADA">
        <w:rPr>
          <w:color w:val="000000"/>
          <w:lang w:eastAsia="x-none"/>
        </w:rPr>
        <w:t xml:space="preserve">, the average marginal effect is positive and </w:t>
      </w:r>
      <w:r w:rsidR="00361E7C">
        <w:rPr>
          <w:color w:val="000000"/>
          <w:lang w:eastAsia="x-none"/>
        </w:rPr>
        <w:t>significant</w:t>
      </w:r>
      <w:r w:rsidR="00903B72">
        <w:rPr>
          <w:color w:val="000000"/>
          <w:lang w:eastAsia="x-none"/>
        </w:rPr>
        <w:t xml:space="preserve"> (apart from </w:t>
      </w:r>
      <w:r w:rsidR="00C27BA0">
        <w:rPr>
          <w:color w:val="000000"/>
          <w:lang w:eastAsia="x-none"/>
        </w:rPr>
        <w:t>firms that don’t collaborate in year</w:t>
      </w:r>
      <w:r w:rsidR="0053711B">
        <w:rPr>
          <w:color w:val="000000"/>
          <w:lang w:eastAsia="x-none"/>
        </w:rPr>
        <w:t>s</w:t>
      </w:r>
      <w:r w:rsidR="00C27BA0">
        <w:rPr>
          <w:color w:val="000000"/>
          <w:lang w:eastAsia="x-none"/>
        </w:rPr>
        <w:t xml:space="preserve"> 3</w:t>
      </w:r>
      <w:r w:rsidR="0053711B">
        <w:rPr>
          <w:color w:val="000000"/>
          <w:lang w:eastAsia="x-none"/>
        </w:rPr>
        <w:t xml:space="preserve"> and 4</w:t>
      </w:r>
      <w:r w:rsidR="001C740E">
        <w:rPr>
          <w:color w:val="000000"/>
          <w:lang w:eastAsia="x-none"/>
        </w:rPr>
        <w:t>, in</w:t>
      </w:r>
      <w:r w:rsidR="00553F69">
        <w:rPr>
          <w:color w:val="000000"/>
          <w:lang w:eastAsia="x-none"/>
        </w:rPr>
        <w:t xml:space="preserve"> </w:t>
      </w:r>
      <w:r w:rsidR="001C740E">
        <w:rPr>
          <w:color w:val="000000"/>
          <w:lang w:eastAsia="x-none"/>
        </w:rPr>
        <w:t xml:space="preserve">which case it is </w:t>
      </w:r>
      <w:r w:rsidR="00553F69">
        <w:rPr>
          <w:color w:val="000000"/>
          <w:lang w:eastAsia="x-none"/>
        </w:rPr>
        <w:t>not significant</w:t>
      </w:r>
      <w:r w:rsidR="007670E2">
        <w:rPr>
          <w:color w:val="000000"/>
          <w:lang w:eastAsia="x-none"/>
        </w:rPr>
        <w:t>)</w:t>
      </w:r>
      <w:r w:rsidR="00361E7C">
        <w:rPr>
          <w:color w:val="000000"/>
          <w:lang w:eastAsia="x-none"/>
        </w:rPr>
        <w:t>,</w:t>
      </w:r>
      <w:r w:rsidR="00293ADA">
        <w:rPr>
          <w:color w:val="000000"/>
          <w:lang w:eastAsia="x-none"/>
        </w:rPr>
        <w:t xml:space="preserve"> and </w:t>
      </w:r>
      <w:r w:rsidR="00F16F40">
        <w:rPr>
          <w:color w:val="000000"/>
          <w:lang w:eastAsia="x-none"/>
        </w:rPr>
        <w:t xml:space="preserve">confidence intervals show that </w:t>
      </w:r>
      <w:r w:rsidR="00361E7C">
        <w:rPr>
          <w:color w:val="000000"/>
          <w:lang w:eastAsia="x-none"/>
        </w:rPr>
        <w:t xml:space="preserve">this </w:t>
      </w:r>
      <w:r w:rsidR="001C740E">
        <w:rPr>
          <w:color w:val="000000"/>
          <w:lang w:eastAsia="x-none"/>
        </w:rPr>
        <w:t xml:space="preserve">average marginal </w:t>
      </w:r>
      <w:r w:rsidR="00361E7C">
        <w:rPr>
          <w:color w:val="000000"/>
          <w:lang w:eastAsia="x-none"/>
        </w:rPr>
        <w:t>effect is</w:t>
      </w:r>
      <w:r w:rsidR="00293ADA">
        <w:rPr>
          <w:color w:val="000000"/>
          <w:lang w:eastAsia="x-none"/>
        </w:rPr>
        <w:t xml:space="preserve"> </w:t>
      </w:r>
      <w:r w:rsidR="00802CC9">
        <w:rPr>
          <w:color w:val="000000"/>
          <w:lang w:eastAsia="x-none"/>
        </w:rPr>
        <w:t>significantly greater</w:t>
      </w:r>
      <w:r w:rsidR="005F3562">
        <w:rPr>
          <w:color w:val="000000"/>
          <w:lang w:eastAsia="x-none"/>
        </w:rPr>
        <w:t xml:space="preserve"> for firms </w:t>
      </w:r>
      <w:r w:rsidR="00C27B63">
        <w:rPr>
          <w:color w:val="000000"/>
          <w:lang w:eastAsia="x-none"/>
        </w:rPr>
        <w:t>that engage in collaboration</w:t>
      </w:r>
      <w:r w:rsidR="00B206C7">
        <w:rPr>
          <w:color w:val="000000"/>
          <w:lang w:eastAsia="x-none"/>
        </w:rPr>
        <w:t xml:space="preserve"> (collaboration = 0.5 or 1)</w:t>
      </w:r>
      <w:r w:rsidR="00C27B63">
        <w:rPr>
          <w:color w:val="000000"/>
          <w:lang w:eastAsia="x-none"/>
        </w:rPr>
        <w:t xml:space="preserve"> in relation to those that don’t</w:t>
      </w:r>
      <w:r w:rsidR="00B206C7">
        <w:rPr>
          <w:color w:val="000000"/>
          <w:lang w:eastAsia="x-none"/>
        </w:rPr>
        <w:t xml:space="preserve"> (collaboration =0)</w:t>
      </w:r>
      <w:r w:rsidR="00C27B63">
        <w:rPr>
          <w:color w:val="000000"/>
          <w:lang w:eastAsia="x-none"/>
        </w:rPr>
        <w:t>.</w:t>
      </w:r>
      <w:r w:rsidR="00293ADA">
        <w:rPr>
          <w:color w:val="000000"/>
          <w:lang w:eastAsia="x-none"/>
        </w:rPr>
        <w:t xml:space="preserve"> </w:t>
      </w:r>
      <w:r w:rsidR="00524228" w:rsidRPr="00524228">
        <w:rPr>
          <w:color w:val="000000"/>
          <w:lang w:eastAsia="x-none"/>
        </w:rPr>
        <w:t xml:space="preserve">This provides partial support for </w:t>
      </w:r>
      <w:r w:rsidR="00006772">
        <w:rPr>
          <w:color w:val="000000"/>
          <w:lang w:eastAsia="x-none"/>
        </w:rPr>
        <w:t>H</w:t>
      </w:r>
      <w:r w:rsidR="00524228" w:rsidRPr="00524228">
        <w:rPr>
          <w:color w:val="000000"/>
          <w:lang w:eastAsia="x-none"/>
        </w:rPr>
        <w:t>ypothesis 4</w:t>
      </w:r>
      <w:r w:rsidR="00524228">
        <w:rPr>
          <w:color w:val="000000"/>
          <w:lang w:eastAsia="x-none"/>
        </w:rPr>
        <w:t xml:space="preserve">. </w:t>
      </w:r>
      <w:r w:rsidR="0004769A">
        <w:rPr>
          <w:color w:val="000000"/>
          <w:lang w:eastAsia="x-none"/>
        </w:rPr>
        <w:t>C</w:t>
      </w:r>
      <w:r w:rsidR="00C67294">
        <w:rPr>
          <w:color w:val="000000"/>
          <w:lang w:eastAsia="x-none"/>
        </w:rPr>
        <w:t xml:space="preserve">ollaborations appear to help firms accumulate new knowledge faster, </w:t>
      </w:r>
      <w:r w:rsidR="0004769A">
        <w:rPr>
          <w:color w:val="000000"/>
          <w:lang w:eastAsia="x-none"/>
        </w:rPr>
        <w:t xml:space="preserve">but </w:t>
      </w:r>
      <w:r w:rsidR="007B3466">
        <w:rPr>
          <w:color w:val="000000"/>
          <w:lang w:eastAsia="x-none"/>
        </w:rPr>
        <w:t xml:space="preserve">this is the case </w:t>
      </w:r>
      <w:r w:rsidR="006C2207">
        <w:rPr>
          <w:color w:val="000000"/>
          <w:lang w:eastAsia="x-none"/>
        </w:rPr>
        <w:t>only after they</w:t>
      </w:r>
      <w:r w:rsidR="00C67294">
        <w:rPr>
          <w:color w:val="000000"/>
          <w:lang w:eastAsia="x-none"/>
        </w:rPr>
        <w:t xml:space="preserve"> have unlearned a </w:t>
      </w:r>
      <w:r w:rsidR="007914E9">
        <w:rPr>
          <w:color w:val="000000"/>
          <w:lang w:eastAsia="x-none"/>
        </w:rPr>
        <w:t>(</w:t>
      </w:r>
      <w:r w:rsidR="00C67294">
        <w:rPr>
          <w:color w:val="000000"/>
          <w:lang w:eastAsia="x-none"/>
        </w:rPr>
        <w:t>large</w:t>
      </w:r>
      <w:r w:rsidR="007914E9">
        <w:rPr>
          <w:color w:val="000000"/>
          <w:lang w:eastAsia="x-none"/>
        </w:rPr>
        <w:t>)</w:t>
      </w:r>
      <w:r w:rsidR="00C67294">
        <w:rPr>
          <w:color w:val="000000"/>
          <w:lang w:eastAsia="x-none"/>
        </w:rPr>
        <w:t xml:space="preserve"> part of their previous experiential knowledge.</w:t>
      </w:r>
      <w:r w:rsidR="00ED5B93">
        <w:rPr>
          <w:color w:val="000000"/>
          <w:lang w:eastAsia="x-none"/>
        </w:rPr>
        <w:t xml:space="preserve"> </w:t>
      </w:r>
      <w:r w:rsidR="0004769A">
        <w:rPr>
          <w:color w:val="000000"/>
          <w:lang w:eastAsia="x-none"/>
        </w:rPr>
        <w:t>Hence</w:t>
      </w:r>
      <w:r w:rsidR="00ED5B93">
        <w:rPr>
          <w:color w:val="000000"/>
          <w:lang w:eastAsia="x-none"/>
        </w:rPr>
        <w:t xml:space="preserve">, for firms that collaborated during the </w:t>
      </w:r>
      <w:r w:rsidR="009B73EF">
        <w:rPr>
          <w:color w:val="000000"/>
          <w:lang w:eastAsia="x-none"/>
        </w:rPr>
        <w:t>time-out</w:t>
      </w:r>
      <w:r w:rsidR="00ED5B93">
        <w:rPr>
          <w:color w:val="000000"/>
          <w:lang w:eastAsia="x-none"/>
        </w:rPr>
        <w:t xml:space="preserve"> period, new learning gained through collaboration </w:t>
      </w:r>
      <w:r w:rsidR="00DD32B3">
        <w:rPr>
          <w:color w:val="000000"/>
          <w:lang w:eastAsia="x-none"/>
        </w:rPr>
        <w:t>can compensate for the</w:t>
      </w:r>
      <w:r w:rsidR="00ED5B93">
        <w:rPr>
          <w:color w:val="000000"/>
          <w:lang w:eastAsia="x-none"/>
        </w:rPr>
        <w:t xml:space="preserve"> loss of prior knowledge and skills due to depreciation</w:t>
      </w:r>
      <w:r w:rsidR="00DD32B3">
        <w:rPr>
          <w:color w:val="000000"/>
          <w:lang w:eastAsia="x-none"/>
        </w:rPr>
        <w:t xml:space="preserve"> </w:t>
      </w:r>
      <w:r w:rsidR="006C2207">
        <w:rPr>
          <w:color w:val="000000"/>
          <w:lang w:eastAsia="x-none"/>
        </w:rPr>
        <w:t>once</w:t>
      </w:r>
      <w:r w:rsidR="00DD32B3">
        <w:rPr>
          <w:color w:val="000000"/>
          <w:lang w:eastAsia="x-none"/>
        </w:rPr>
        <w:t xml:space="preserve"> firms have lost </w:t>
      </w:r>
      <w:r w:rsidR="0007514E">
        <w:rPr>
          <w:color w:val="000000"/>
          <w:lang w:eastAsia="x-none"/>
        </w:rPr>
        <w:t>a conside</w:t>
      </w:r>
      <w:r w:rsidR="00B778A1">
        <w:rPr>
          <w:color w:val="000000"/>
          <w:lang w:eastAsia="x-none"/>
        </w:rPr>
        <w:t>rable part of</w:t>
      </w:r>
      <w:r w:rsidR="00DD32B3">
        <w:rPr>
          <w:color w:val="000000"/>
          <w:lang w:eastAsia="x-none"/>
        </w:rPr>
        <w:t xml:space="preserve"> their prior knowledge</w:t>
      </w:r>
      <w:r w:rsidR="00ED5B93">
        <w:rPr>
          <w:color w:val="000000"/>
          <w:lang w:eastAsia="x-none"/>
        </w:rPr>
        <w:t>.</w:t>
      </w:r>
      <w:r w:rsidR="0046580E">
        <w:rPr>
          <w:color w:val="000000"/>
          <w:lang w:eastAsia="x-none"/>
        </w:rPr>
        <w:t xml:space="preserve"> </w:t>
      </w:r>
      <w:r w:rsidR="00ED5B93">
        <w:rPr>
          <w:color w:val="000000"/>
          <w:lang w:eastAsia="x-none"/>
        </w:rPr>
        <w:t xml:space="preserve"> </w:t>
      </w:r>
    </w:p>
    <w:p w14:paraId="0319D63A" w14:textId="1A4AC09B" w:rsidR="00E07B1B" w:rsidRDefault="00E07B1B" w:rsidP="009D51BD">
      <w:pPr>
        <w:spacing w:line="480" w:lineRule="auto"/>
        <w:ind w:firstLine="284"/>
        <w:jc w:val="center"/>
        <w:rPr>
          <w:color w:val="000000"/>
          <w:lang w:eastAsia="x-none"/>
        </w:rPr>
      </w:pPr>
      <w:r w:rsidRPr="00195077">
        <w:rPr>
          <w:color w:val="000000"/>
          <w:lang w:eastAsia="x-none"/>
        </w:rPr>
        <w:t>** Insert Figure</w:t>
      </w:r>
      <w:r w:rsidR="009D51BD">
        <w:rPr>
          <w:color w:val="000000"/>
          <w:lang w:eastAsia="x-none"/>
        </w:rPr>
        <w:t>s</w:t>
      </w:r>
      <w:r w:rsidRPr="00195077">
        <w:rPr>
          <w:color w:val="000000"/>
          <w:lang w:eastAsia="x-none"/>
        </w:rPr>
        <w:t xml:space="preserve"> </w:t>
      </w:r>
      <w:r>
        <w:rPr>
          <w:color w:val="000000"/>
          <w:lang w:eastAsia="x-none"/>
        </w:rPr>
        <w:t>8</w:t>
      </w:r>
      <w:r w:rsidR="009D51BD">
        <w:rPr>
          <w:color w:val="000000"/>
          <w:lang w:eastAsia="x-none"/>
        </w:rPr>
        <w:t>a</w:t>
      </w:r>
      <w:r w:rsidR="001C740E">
        <w:rPr>
          <w:color w:val="000000"/>
          <w:lang w:eastAsia="x-none"/>
        </w:rPr>
        <w:t xml:space="preserve"> &amp; </w:t>
      </w:r>
      <w:r w:rsidR="009D51BD">
        <w:rPr>
          <w:color w:val="000000"/>
          <w:lang w:eastAsia="x-none"/>
        </w:rPr>
        <w:t>b</w:t>
      </w:r>
      <w:r w:rsidRPr="00195077">
        <w:rPr>
          <w:color w:val="000000"/>
          <w:lang w:eastAsia="x-none"/>
        </w:rPr>
        <w:t xml:space="preserve"> here **</w:t>
      </w:r>
    </w:p>
    <w:p w14:paraId="2C0B9599" w14:textId="77777777" w:rsidR="00E07B1B" w:rsidRPr="00B37362" w:rsidRDefault="00E07B1B" w:rsidP="00E07B1B">
      <w:pPr>
        <w:spacing w:line="480" w:lineRule="auto"/>
        <w:rPr>
          <w:b/>
          <w:bCs/>
          <w:color w:val="000000"/>
          <w:lang w:eastAsia="x-none"/>
        </w:rPr>
      </w:pPr>
      <w:r w:rsidRPr="00B37362">
        <w:rPr>
          <w:b/>
          <w:bCs/>
          <w:color w:val="000000"/>
          <w:lang w:eastAsia="x-none"/>
        </w:rPr>
        <w:t>Robustness tests</w:t>
      </w:r>
    </w:p>
    <w:p w14:paraId="4BF1DBEE" w14:textId="7315A902" w:rsidR="00E07B1B" w:rsidRDefault="00A102D4" w:rsidP="00EA0740">
      <w:pPr>
        <w:spacing w:line="480" w:lineRule="auto"/>
        <w:ind w:firstLine="284"/>
        <w:rPr>
          <w:color w:val="000000"/>
          <w:lang w:eastAsia="x-none"/>
        </w:rPr>
      </w:pPr>
      <w:r>
        <w:rPr>
          <w:color w:val="000000"/>
          <w:lang w:eastAsia="x-none"/>
        </w:rPr>
        <w:t>To</w:t>
      </w:r>
      <w:r w:rsidR="00E07B1B">
        <w:rPr>
          <w:color w:val="000000"/>
          <w:lang w:eastAsia="x-none"/>
        </w:rPr>
        <w:t xml:space="preserve"> test for any potential selection bias arising as a result of any omitted variables that could potentially affect both export re-entry and re-entry performance, </w:t>
      </w:r>
      <w:r w:rsidR="00E07B1B" w:rsidRPr="006B6BA7">
        <w:rPr>
          <w:color w:val="000000"/>
          <w:lang w:eastAsia="x-none"/>
        </w:rPr>
        <w:t>we re-estimated our model</w:t>
      </w:r>
      <w:r w:rsidR="00E07B1B">
        <w:rPr>
          <w:color w:val="000000"/>
          <w:lang w:eastAsia="x-none"/>
        </w:rPr>
        <w:t>s</w:t>
      </w:r>
      <w:r w:rsidR="00E07B1B" w:rsidRPr="006B6BA7">
        <w:rPr>
          <w:color w:val="000000"/>
          <w:lang w:eastAsia="x-none"/>
        </w:rPr>
        <w:t xml:space="preserve"> using a two-stage Heckman correction procedure</w:t>
      </w:r>
      <w:r w:rsidR="00E07B1B">
        <w:rPr>
          <w:color w:val="000000"/>
          <w:lang w:eastAsia="x-none"/>
        </w:rPr>
        <w:t xml:space="preserve"> (Bernini et al., 2016; Ganotakis </w:t>
      </w:r>
      <w:r w:rsidR="00790049">
        <w:t>&amp;</w:t>
      </w:r>
      <w:r w:rsidR="00E07B1B" w:rsidRPr="00A630DE">
        <w:t xml:space="preserve"> </w:t>
      </w:r>
      <w:r w:rsidR="00E07B1B">
        <w:rPr>
          <w:color w:val="000000"/>
          <w:lang w:eastAsia="x-none"/>
        </w:rPr>
        <w:t>Love, 2012). First, we estimated the first stage (model explaining re-entry probability)</w:t>
      </w:r>
      <w:r w:rsidR="00E07B1B" w:rsidRPr="006B6BA7">
        <w:rPr>
          <w:color w:val="000000"/>
          <w:lang w:eastAsia="x-none"/>
        </w:rPr>
        <w:t xml:space="preserve"> while including an Inverse Mills Ratio derived from </w:t>
      </w:r>
      <w:r w:rsidR="005944B2">
        <w:rPr>
          <w:color w:val="000000"/>
          <w:lang w:eastAsia="x-none"/>
        </w:rPr>
        <w:t>a model explaining the initial decision to opt</w:t>
      </w:r>
      <w:r w:rsidR="000E78F2">
        <w:rPr>
          <w:color w:val="000000"/>
          <w:lang w:eastAsia="x-none"/>
        </w:rPr>
        <w:t>-</w:t>
      </w:r>
      <w:r w:rsidR="0076414B">
        <w:rPr>
          <w:color w:val="000000"/>
          <w:lang w:eastAsia="x-none"/>
        </w:rPr>
        <w:t>out from</w:t>
      </w:r>
      <w:r w:rsidR="005944B2">
        <w:rPr>
          <w:color w:val="000000"/>
          <w:lang w:eastAsia="x-none"/>
        </w:rPr>
        <w:t xml:space="preserve"> exporting</w:t>
      </w:r>
      <w:r w:rsidR="0076414B">
        <w:rPr>
          <w:color w:val="000000"/>
          <w:lang w:eastAsia="x-none"/>
        </w:rPr>
        <w:t xml:space="preserve"> (export exit decision)</w:t>
      </w:r>
      <w:r w:rsidR="005944B2">
        <w:rPr>
          <w:color w:val="000000"/>
          <w:lang w:eastAsia="x-none"/>
        </w:rPr>
        <w:t xml:space="preserve">. </w:t>
      </w:r>
      <w:r w:rsidR="0076414B">
        <w:rPr>
          <w:color w:val="000000"/>
          <w:lang w:eastAsia="x-none"/>
        </w:rPr>
        <w:t xml:space="preserve">The estimated effect of the </w:t>
      </w:r>
      <w:r w:rsidR="0076414B" w:rsidRPr="006B6BA7">
        <w:rPr>
          <w:color w:val="000000"/>
          <w:lang w:eastAsia="x-none"/>
        </w:rPr>
        <w:t>Inverse Mills Ratio</w:t>
      </w:r>
      <w:r w:rsidR="0076414B">
        <w:rPr>
          <w:color w:val="000000"/>
          <w:lang w:eastAsia="x-none"/>
        </w:rPr>
        <w:t xml:space="preserve"> was insignificant, suggesting an absence of such a selection bias from </w:t>
      </w:r>
      <w:r w:rsidR="000E78F2">
        <w:rPr>
          <w:color w:val="000000"/>
          <w:lang w:eastAsia="x-none"/>
        </w:rPr>
        <w:t xml:space="preserve">the </w:t>
      </w:r>
      <w:r w:rsidR="0076414B">
        <w:rPr>
          <w:color w:val="000000"/>
          <w:lang w:eastAsia="x-none"/>
        </w:rPr>
        <w:t xml:space="preserve">initial export entry decision to </w:t>
      </w:r>
      <w:r w:rsidR="000E78F2">
        <w:rPr>
          <w:color w:val="000000"/>
          <w:lang w:eastAsia="x-none"/>
        </w:rPr>
        <w:t xml:space="preserve">the </w:t>
      </w:r>
      <w:r w:rsidR="0076414B">
        <w:rPr>
          <w:color w:val="000000"/>
          <w:lang w:eastAsia="x-none"/>
        </w:rPr>
        <w:t xml:space="preserve">subsequent export re-entry decision. </w:t>
      </w:r>
      <w:r w:rsidR="0037383A">
        <w:rPr>
          <w:color w:val="000000"/>
          <w:lang w:eastAsia="x-none"/>
        </w:rPr>
        <w:t xml:space="preserve">Second, we </w:t>
      </w:r>
      <w:r w:rsidR="00E07B1B" w:rsidRPr="006B6BA7">
        <w:rPr>
          <w:color w:val="000000"/>
          <w:lang w:eastAsia="x-none"/>
        </w:rPr>
        <w:t>estimat</w:t>
      </w:r>
      <w:r w:rsidR="0037383A">
        <w:rPr>
          <w:color w:val="000000"/>
          <w:lang w:eastAsia="x-none"/>
        </w:rPr>
        <w:t>ed</w:t>
      </w:r>
      <w:r w:rsidR="00E07B1B" w:rsidRPr="006B6BA7">
        <w:rPr>
          <w:color w:val="000000"/>
          <w:lang w:eastAsia="x-none"/>
        </w:rPr>
        <w:t xml:space="preserve"> the </w:t>
      </w:r>
      <w:r w:rsidR="00E07B1B">
        <w:rPr>
          <w:color w:val="000000"/>
          <w:lang w:eastAsia="x-none"/>
        </w:rPr>
        <w:t>second stage (model explaining re-entry performance)</w:t>
      </w:r>
      <w:r w:rsidR="00E07B1B" w:rsidRPr="006B6BA7">
        <w:rPr>
          <w:color w:val="000000"/>
          <w:lang w:eastAsia="x-none"/>
        </w:rPr>
        <w:t xml:space="preserve"> while including an Inverse Mills Ratio derived from the first stage</w:t>
      </w:r>
      <w:r w:rsidR="00E07B1B">
        <w:rPr>
          <w:color w:val="000000"/>
          <w:lang w:eastAsia="x-none"/>
        </w:rPr>
        <w:t xml:space="preserve"> (model explaining re-entry probability). The estimated effect of the </w:t>
      </w:r>
      <w:r w:rsidR="00E07B1B" w:rsidRPr="006B6BA7">
        <w:rPr>
          <w:color w:val="000000"/>
          <w:lang w:eastAsia="x-none"/>
        </w:rPr>
        <w:t xml:space="preserve">Inverse Mills </w:t>
      </w:r>
      <w:r w:rsidR="00E07B1B" w:rsidRPr="006B6BA7">
        <w:rPr>
          <w:color w:val="000000"/>
          <w:lang w:eastAsia="x-none"/>
        </w:rPr>
        <w:lastRenderedPageBreak/>
        <w:t>Ratio</w:t>
      </w:r>
      <w:r w:rsidR="00E07B1B">
        <w:rPr>
          <w:color w:val="000000"/>
          <w:lang w:eastAsia="x-none"/>
        </w:rPr>
        <w:t xml:space="preserve"> was insignificant, suggesting an absence of such a selection bias</w:t>
      </w:r>
      <w:r w:rsidR="0037383A">
        <w:rPr>
          <w:color w:val="000000"/>
          <w:lang w:eastAsia="x-none"/>
        </w:rPr>
        <w:t xml:space="preserve"> </w:t>
      </w:r>
      <w:r w:rsidR="00302717">
        <w:rPr>
          <w:color w:val="000000"/>
          <w:lang w:eastAsia="x-none"/>
        </w:rPr>
        <w:t>between the re-entry decision and subsequent performance</w:t>
      </w:r>
      <w:r w:rsidR="00E07B1B">
        <w:rPr>
          <w:color w:val="000000"/>
          <w:lang w:eastAsia="x-none"/>
        </w:rPr>
        <w:t>.</w:t>
      </w:r>
    </w:p>
    <w:p w14:paraId="13FF12B5" w14:textId="66C19B25" w:rsidR="00E07B1B" w:rsidRDefault="00710402" w:rsidP="00B67019">
      <w:pPr>
        <w:spacing w:line="480" w:lineRule="auto"/>
        <w:ind w:firstLine="284"/>
        <w:rPr>
          <w:color w:val="000000"/>
          <w:lang w:eastAsia="x-none"/>
        </w:rPr>
      </w:pPr>
      <w:r w:rsidRPr="00710402">
        <w:rPr>
          <w:color w:val="000000"/>
          <w:lang w:eastAsia="x-none"/>
        </w:rPr>
        <w:t xml:space="preserve">We </w:t>
      </w:r>
      <w:r>
        <w:rPr>
          <w:color w:val="000000"/>
          <w:lang w:eastAsia="x-none"/>
        </w:rPr>
        <w:t xml:space="preserve">also conducted </w:t>
      </w:r>
      <w:r w:rsidRPr="00710402">
        <w:rPr>
          <w:color w:val="000000"/>
          <w:lang w:eastAsia="x-none"/>
        </w:rPr>
        <w:t>a test for endogeneity to test whether the collaboration is endogenously determined</w:t>
      </w:r>
      <w:r w:rsidR="008B0136">
        <w:rPr>
          <w:color w:val="000000"/>
          <w:lang w:eastAsia="x-none"/>
        </w:rPr>
        <w:t>, i.e.</w:t>
      </w:r>
      <w:r w:rsidR="00D24B07">
        <w:rPr>
          <w:color w:val="000000"/>
          <w:lang w:eastAsia="x-none"/>
        </w:rPr>
        <w:t>,</w:t>
      </w:r>
      <w:r w:rsidR="008B0136">
        <w:rPr>
          <w:color w:val="000000"/>
          <w:lang w:eastAsia="x-none"/>
        </w:rPr>
        <w:t xml:space="preserve"> more </w:t>
      </w:r>
      <w:r w:rsidR="008B0136" w:rsidRPr="008B0136">
        <w:rPr>
          <w:color w:val="000000"/>
          <w:lang w:eastAsia="x-none"/>
        </w:rPr>
        <w:t>successful firms</w:t>
      </w:r>
      <w:r w:rsidR="008B0136">
        <w:rPr>
          <w:color w:val="000000"/>
          <w:lang w:eastAsia="x-none"/>
        </w:rPr>
        <w:t xml:space="preserve"> (in terms of export performance)</w:t>
      </w:r>
      <w:r w:rsidR="008B0136" w:rsidRPr="008B0136">
        <w:rPr>
          <w:color w:val="000000"/>
          <w:lang w:eastAsia="x-none"/>
        </w:rPr>
        <w:t xml:space="preserve"> </w:t>
      </w:r>
      <w:r w:rsidR="008B0136">
        <w:rPr>
          <w:color w:val="000000"/>
          <w:lang w:eastAsia="x-none"/>
        </w:rPr>
        <w:t xml:space="preserve">tend to collaborate more with foreign partners. In our context, a good instrument should be correlated with foreign collaboration but </w:t>
      </w:r>
      <w:r w:rsidR="006F2F50">
        <w:rPr>
          <w:color w:val="000000"/>
          <w:lang w:eastAsia="x-none"/>
        </w:rPr>
        <w:t xml:space="preserve">be </w:t>
      </w:r>
      <w:r w:rsidR="008B0136">
        <w:rPr>
          <w:color w:val="000000"/>
          <w:lang w:eastAsia="x-none"/>
        </w:rPr>
        <w:t xml:space="preserve">exogenous </w:t>
      </w:r>
      <w:r w:rsidR="006F2F50">
        <w:rPr>
          <w:color w:val="000000"/>
          <w:lang w:eastAsia="x-none"/>
        </w:rPr>
        <w:t xml:space="preserve">to </w:t>
      </w:r>
      <w:r w:rsidR="008B0136">
        <w:rPr>
          <w:color w:val="000000"/>
          <w:lang w:eastAsia="x-none"/>
        </w:rPr>
        <w:t xml:space="preserve">export performance. </w:t>
      </w:r>
      <w:r>
        <w:rPr>
          <w:color w:val="000000"/>
          <w:lang w:eastAsia="x-none"/>
        </w:rPr>
        <w:t xml:space="preserve">We use two variables to instrument </w:t>
      </w:r>
      <w:r w:rsidR="007C62FD">
        <w:rPr>
          <w:color w:val="000000"/>
          <w:lang w:eastAsia="x-none"/>
        </w:rPr>
        <w:t xml:space="preserve">the </w:t>
      </w:r>
      <w:r>
        <w:rPr>
          <w:color w:val="000000"/>
          <w:lang w:eastAsia="x-none"/>
        </w:rPr>
        <w:t>foreign collaboration variable. First, we use a similarly constructed domestic collaboration variable (</w:t>
      </w:r>
      <w:r w:rsidR="00412AA0" w:rsidRPr="00412AA0">
        <w:rPr>
          <w:color w:val="000000"/>
          <w:lang w:eastAsia="x-none"/>
        </w:rPr>
        <w:t xml:space="preserve">the </w:t>
      </w:r>
      <w:r w:rsidR="00412AA0">
        <w:rPr>
          <w:color w:val="000000"/>
          <w:lang w:eastAsia="x-none"/>
        </w:rPr>
        <w:t xml:space="preserve">proportion of the period </w:t>
      </w:r>
      <w:r w:rsidR="00412AA0" w:rsidRPr="00412AA0">
        <w:rPr>
          <w:color w:val="000000"/>
          <w:lang w:eastAsia="x-none"/>
        </w:rPr>
        <w:t xml:space="preserve">in which the firm collaborated with a </w:t>
      </w:r>
      <w:r w:rsidR="00412AA0">
        <w:rPr>
          <w:color w:val="000000"/>
          <w:lang w:eastAsia="x-none"/>
        </w:rPr>
        <w:t>domestic</w:t>
      </w:r>
      <w:r w:rsidR="00412AA0" w:rsidRPr="00412AA0">
        <w:rPr>
          <w:color w:val="000000"/>
          <w:lang w:eastAsia="x-none"/>
        </w:rPr>
        <w:t xml:space="preserve"> customer, </w:t>
      </w:r>
      <w:r w:rsidR="00327A7B" w:rsidRPr="00412AA0">
        <w:rPr>
          <w:color w:val="000000"/>
          <w:lang w:eastAsia="x-none"/>
        </w:rPr>
        <w:t>supplier,</w:t>
      </w:r>
      <w:r w:rsidR="00412AA0" w:rsidRPr="00412AA0">
        <w:rPr>
          <w:color w:val="000000"/>
          <w:lang w:eastAsia="x-none"/>
        </w:rPr>
        <w:t xml:space="preserve"> or competitor during the </w:t>
      </w:r>
      <w:r w:rsidR="009B73EF">
        <w:rPr>
          <w:color w:val="000000"/>
          <w:lang w:eastAsia="x-none"/>
        </w:rPr>
        <w:t>time-out</w:t>
      </w:r>
      <w:r w:rsidR="00412AA0" w:rsidRPr="00412AA0">
        <w:rPr>
          <w:color w:val="000000"/>
          <w:lang w:eastAsia="x-none"/>
        </w:rPr>
        <w:t xml:space="preserve"> period</w:t>
      </w:r>
      <w:r>
        <w:rPr>
          <w:color w:val="000000"/>
          <w:lang w:eastAsia="x-none"/>
        </w:rPr>
        <w:t>)</w:t>
      </w:r>
      <w:r w:rsidR="00BB4BC7">
        <w:rPr>
          <w:color w:val="000000"/>
          <w:lang w:eastAsia="x-none"/>
        </w:rPr>
        <w:t xml:space="preserve">. </w:t>
      </w:r>
      <w:r w:rsidR="009447C2">
        <w:rPr>
          <w:color w:val="000000"/>
          <w:lang w:eastAsia="x-none"/>
        </w:rPr>
        <w:t xml:space="preserve">This is a good instrument as firms that collaborate with domestic partners are more likely to </w:t>
      </w:r>
      <w:r w:rsidR="007C62FD">
        <w:rPr>
          <w:color w:val="000000"/>
          <w:lang w:eastAsia="x-none"/>
        </w:rPr>
        <w:t xml:space="preserve">also </w:t>
      </w:r>
      <w:r w:rsidR="009447C2">
        <w:rPr>
          <w:color w:val="000000"/>
          <w:lang w:eastAsia="x-none"/>
        </w:rPr>
        <w:t>collaborate with foreign partners (</w:t>
      </w:r>
      <w:r w:rsidR="009447C2" w:rsidRPr="009447C2">
        <w:rPr>
          <w:color w:val="000000"/>
          <w:lang w:eastAsia="x-none"/>
        </w:rPr>
        <w:t>Kafouros</w:t>
      </w:r>
      <w:r w:rsidR="009447C2">
        <w:rPr>
          <w:color w:val="000000"/>
          <w:lang w:eastAsia="x-none"/>
        </w:rPr>
        <w:t xml:space="preserve"> et. al., 2020), but domestic collaborations should be exogenous </w:t>
      </w:r>
      <w:r w:rsidR="007C62FD">
        <w:rPr>
          <w:color w:val="000000"/>
          <w:lang w:eastAsia="x-none"/>
        </w:rPr>
        <w:t xml:space="preserve">to </w:t>
      </w:r>
      <w:r w:rsidR="009447C2">
        <w:rPr>
          <w:color w:val="000000"/>
          <w:lang w:eastAsia="x-none"/>
        </w:rPr>
        <w:t>export performance. The second instrument captures whether the</w:t>
      </w:r>
      <w:r w:rsidR="009447C2" w:rsidRPr="009447C2">
        <w:rPr>
          <w:color w:val="000000"/>
          <w:lang w:eastAsia="x-none"/>
        </w:rPr>
        <w:t xml:space="preserve"> firm</w:t>
      </w:r>
      <w:r w:rsidR="009447C2">
        <w:rPr>
          <w:color w:val="000000"/>
          <w:lang w:eastAsia="x-none"/>
        </w:rPr>
        <w:t xml:space="preserve"> </w:t>
      </w:r>
      <w:r w:rsidR="009447C2" w:rsidRPr="009447C2">
        <w:rPr>
          <w:color w:val="000000"/>
          <w:lang w:eastAsia="x-none"/>
        </w:rPr>
        <w:t>introduced new methods for managing external relations with partners</w:t>
      </w:r>
      <w:r w:rsidR="009447C2">
        <w:rPr>
          <w:color w:val="000000"/>
          <w:lang w:eastAsia="x-none"/>
        </w:rPr>
        <w:t xml:space="preserve">. </w:t>
      </w:r>
      <w:r w:rsidR="004C73AD">
        <w:rPr>
          <w:color w:val="000000"/>
          <w:lang w:eastAsia="x-none"/>
        </w:rPr>
        <w:t>S</w:t>
      </w:r>
      <w:r w:rsidR="009447C2">
        <w:rPr>
          <w:color w:val="000000"/>
          <w:lang w:eastAsia="x-none"/>
        </w:rPr>
        <w:t>uch methods could facilitate collaboration with foreign partners</w:t>
      </w:r>
      <w:r w:rsidR="00A67C82">
        <w:rPr>
          <w:color w:val="000000"/>
          <w:lang w:eastAsia="x-none"/>
        </w:rPr>
        <w:t xml:space="preserve"> (</w:t>
      </w:r>
      <w:r w:rsidR="00A67C82" w:rsidRPr="009447C2">
        <w:rPr>
          <w:color w:val="000000"/>
          <w:lang w:eastAsia="x-none"/>
        </w:rPr>
        <w:t>Kafouros</w:t>
      </w:r>
      <w:r w:rsidR="00A67C82">
        <w:rPr>
          <w:color w:val="000000"/>
          <w:lang w:eastAsia="x-none"/>
        </w:rPr>
        <w:t xml:space="preserve"> et al., 2020)</w:t>
      </w:r>
      <w:r w:rsidR="002C5CC6">
        <w:rPr>
          <w:color w:val="000000"/>
          <w:lang w:eastAsia="x-none"/>
        </w:rPr>
        <w:t xml:space="preserve"> but </w:t>
      </w:r>
      <w:r w:rsidR="004C73AD">
        <w:rPr>
          <w:color w:val="000000"/>
          <w:lang w:eastAsia="x-none"/>
        </w:rPr>
        <w:t>they are</w:t>
      </w:r>
      <w:r w:rsidR="00552078">
        <w:rPr>
          <w:color w:val="000000"/>
          <w:lang w:eastAsia="x-none"/>
        </w:rPr>
        <w:t xml:space="preserve"> not likely to be </w:t>
      </w:r>
      <w:r w:rsidR="002C5CC6">
        <w:rPr>
          <w:color w:val="000000"/>
          <w:lang w:eastAsia="x-none"/>
        </w:rPr>
        <w:t>directly linked to exporting</w:t>
      </w:r>
      <w:r w:rsidR="009447C2">
        <w:rPr>
          <w:color w:val="000000"/>
          <w:lang w:eastAsia="x-none"/>
        </w:rPr>
        <w:t xml:space="preserve">. </w:t>
      </w:r>
      <w:r w:rsidR="00B30708" w:rsidRPr="00B30708">
        <w:rPr>
          <w:color w:val="000000"/>
          <w:lang w:eastAsia="x-none"/>
        </w:rPr>
        <w:t xml:space="preserve">The validity of instruments was </w:t>
      </w:r>
      <w:r w:rsidR="009447C2">
        <w:rPr>
          <w:color w:val="000000"/>
          <w:lang w:eastAsia="x-none"/>
        </w:rPr>
        <w:t xml:space="preserve">also </w:t>
      </w:r>
      <w:r w:rsidR="00B30708" w:rsidRPr="00B30708">
        <w:rPr>
          <w:color w:val="000000"/>
          <w:lang w:eastAsia="x-none"/>
        </w:rPr>
        <w:t xml:space="preserve">checked by conducting an over-identification test and the test statistic confirms the validity of </w:t>
      </w:r>
      <w:r w:rsidR="000E78F2">
        <w:rPr>
          <w:color w:val="000000"/>
          <w:lang w:eastAsia="x-none"/>
        </w:rPr>
        <w:t xml:space="preserve">the </w:t>
      </w:r>
      <w:r w:rsidR="00B30708" w:rsidRPr="00B30708">
        <w:rPr>
          <w:color w:val="000000"/>
          <w:lang w:eastAsia="x-none"/>
        </w:rPr>
        <w:t>instruments used.</w:t>
      </w:r>
      <w:r w:rsidR="009447C2">
        <w:rPr>
          <w:color w:val="000000"/>
          <w:lang w:eastAsia="x-none"/>
        </w:rPr>
        <w:t xml:space="preserve"> The result of the endogeneity test suggests that </w:t>
      </w:r>
      <w:r w:rsidR="009447C2" w:rsidRPr="009447C2">
        <w:rPr>
          <w:color w:val="000000"/>
          <w:lang w:eastAsia="x-none"/>
        </w:rPr>
        <w:t>endogeneity is not a</w:t>
      </w:r>
      <w:r w:rsidR="004C73AD">
        <w:rPr>
          <w:color w:val="000000"/>
          <w:lang w:eastAsia="x-none"/>
        </w:rPr>
        <w:t xml:space="preserve"> concern</w:t>
      </w:r>
      <w:r w:rsidR="009447C2">
        <w:rPr>
          <w:color w:val="000000"/>
          <w:lang w:eastAsia="x-none"/>
        </w:rPr>
        <w:t xml:space="preserve">. </w:t>
      </w:r>
    </w:p>
    <w:p w14:paraId="632E2010" w14:textId="3881915C" w:rsidR="00E07B1B" w:rsidRDefault="0098026B" w:rsidP="00CA5117">
      <w:pPr>
        <w:spacing w:line="480" w:lineRule="auto"/>
        <w:ind w:firstLine="284"/>
        <w:rPr>
          <w:color w:val="000000"/>
          <w:lang w:eastAsia="x-none"/>
        </w:rPr>
      </w:pPr>
      <w:r w:rsidRPr="0098026B">
        <w:rPr>
          <w:color w:val="000000"/>
          <w:lang w:eastAsia="x-none"/>
        </w:rPr>
        <w:t xml:space="preserve">We </w:t>
      </w:r>
      <w:r w:rsidR="003B1A02">
        <w:rPr>
          <w:color w:val="000000"/>
          <w:lang w:eastAsia="x-none"/>
        </w:rPr>
        <w:t>conducted another</w:t>
      </w:r>
      <w:r>
        <w:rPr>
          <w:color w:val="000000"/>
          <w:lang w:eastAsia="x-none"/>
        </w:rPr>
        <w:t xml:space="preserve"> </w:t>
      </w:r>
      <w:r w:rsidRPr="0098026B">
        <w:rPr>
          <w:color w:val="000000"/>
          <w:lang w:eastAsia="x-none"/>
        </w:rPr>
        <w:t xml:space="preserve">robustness test </w:t>
      </w:r>
      <w:r w:rsidR="00FB31F8">
        <w:rPr>
          <w:color w:val="000000"/>
          <w:lang w:eastAsia="x-none"/>
        </w:rPr>
        <w:t>in which</w:t>
      </w:r>
      <w:r w:rsidR="00FB31F8" w:rsidRPr="0098026B">
        <w:rPr>
          <w:color w:val="000000"/>
          <w:lang w:eastAsia="x-none"/>
        </w:rPr>
        <w:t xml:space="preserve"> </w:t>
      </w:r>
      <w:r w:rsidRPr="0098026B">
        <w:rPr>
          <w:color w:val="000000"/>
          <w:lang w:eastAsia="x-none"/>
        </w:rPr>
        <w:t>we use</w:t>
      </w:r>
      <w:r w:rsidR="00FB31F8">
        <w:rPr>
          <w:color w:val="000000"/>
          <w:lang w:eastAsia="x-none"/>
        </w:rPr>
        <w:t>d</w:t>
      </w:r>
      <w:r w:rsidRPr="0098026B">
        <w:rPr>
          <w:color w:val="000000"/>
          <w:lang w:eastAsia="x-none"/>
        </w:rPr>
        <w:t xml:space="preserve"> an alternative measure to account for </w:t>
      </w:r>
      <w:r w:rsidR="00FA1B27">
        <w:rPr>
          <w:color w:val="000000"/>
          <w:lang w:eastAsia="x-none"/>
        </w:rPr>
        <w:t xml:space="preserve">multiple </w:t>
      </w:r>
      <w:r w:rsidRPr="0098026B">
        <w:rPr>
          <w:color w:val="000000"/>
          <w:lang w:eastAsia="x-none"/>
        </w:rPr>
        <w:t>collaboration</w:t>
      </w:r>
      <w:r w:rsidR="00FA1B27">
        <w:rPr>
          <w:color w:val="000000"/>
          <w:lang w:eastAsia="x-none"/>
        </w:rPr>
        <w:t>s</w:t>
      </w:r>
      <w:r w:rsidRPr="0098026B">
        <w:rPr>
          <w:color w:val="000000"/>
          <w:lang w:eastAsia="x-none"/>
        </w:rPr>
        <w:t xml:space="preserve"> with </w:t>
      </w:r>
      <w:r w:rsidR="00FA1B27">
        <w:rPr>
          <w:color w:val="000000"/>
          <w:lang w:eastAsia="x-none"/>
        </w:rPr>
        <w:t>different</w:t>
      </w:r>
      <w:r w:rsidRPr="0098026B">
        <w:rPr>
          <w:color w:val="000000"/>
          <w:lang w:eastAsia="x-none"/>
        </w:rPr>
        <w:t xml:space="preserve"> partner types. </w:t>
      </w:r>
      <w:r w:rsidR="00FA1B27">
        <w:rPr>
          <w:color w:val="000000"/>
          <w:lang w:eastAsia="x-none"/>
        </w:rPr>
        <w:t>W</w:t>
      </w:r>
      <w:r w:rsidRPr="0098026B">
        <w:rPr>
          <w:color w:val="000000"/>
          <w:lang w:eastAsia="x-none"/>
        </w:rPr>
        <w:t>e took the sum of the number of partnership types (customer</w:t>
      </w:r>
      <w:r w:rsidR="00FB31F8">
        <w:rPr>
          <w:color w:val="000000"/>
          <w:lang w:eastAsia="x-none"/>
        </w:rPr>
        <w:t>s</w:t>
      </w:r>
      <w:r w:rsidRPr="0098026B">
        <w:rPr>
          <w:color w:val="000000"/>
          <w:lang w:eastAsia="x-none"/>
        </w:rPr>
        <w:t xml:space="preserve">, </w:t>
      </w:r>
      <w:r w:rsidR="00327A7B" w:rsidRPr="0098026B">
        <w:rPr>
          <w:color w:val="000000"/>
          <w:lang w:eastAsia="x-none"/>
        </w:rPr>
        <w:t>supplier</w:t>
      </w:r>
      <w:r w:rsidR="00327A7B">
        <w:rPr>
          <w:color w:val="000000"/>
          <w:lang w:eastAsia="x-none"/>
        </w:rPr>
        <w:t>s,</w:t>
      </w:r>
      <w:r w:rsidRPr="0098026B">
        <w:rPr>
          <w:color w:val="000000"/>
          <w:lang w:eastAsia="x-none"/>
        </w:rPr>
        <w:t xml:space="preserve"> or competitor</w:t>
      </w:r>
      <w:r w:rsidR="00FB31F8">
        <w:rPr>
          <w:color w:val="000000"/>
          <w:lang w:eastAsia="x-none"/>
        </w:rPr>
        <w:t>s</w:t>
      </w:r>
      <w:r w:rsidRPr="0098026B">
        <w:rPr>
          <w:color w:val="000000"/>
          <w:lang w:eastAsia="x-none"/>
        </w:rPr>
        <w:t xml:space="preserve">) each year during the </w:t>
      </w:r>
      <w:r w:rsidR="009B73EF">
        <w:rPr>
          <w:color w:val="000000"/>
          <w:lang w:eastAsia="x-none"/>
        </w:rPr>
        <w:t>time-out</w:t>
      </w:r>
      <w:r w:rsidRPr="0098026B">
        <w:rPr>
          <w:color w:val="000000"/>
          <w:lang w:eastAsia="x-none"/>
        </w:rPr>
        <w:t xml:space="preserve"> period and </w:t>
      </w:r>
      <w:r w:rsidR="00FB31F8">
        <w:rPr>
          <w:color w:val="000000"/>
          <w:lang w:eastAsia="x-none"/>
        </w:rPr>
        <w:t>used</w:t>
      </w:r>
      <w:r w:rsidR="00FB31F8" w:rsidRPr="0098026B">
        <w:rPr>
          <w:color w:val="000000"/>
          <w:lang w:eastAsia="x-none"/>
        </w:rPr>
        <w:t xml:space="preserve"> </w:t>
      </w:r>
      <w:r w:rsidRPr="0098026B">
        <w:rPr>
          <w:color w:val="000000"/>
          <w:lang w:eastAsia="x-none"/>
        </w:rPr>
        <w:t xml:space="preserve">the average during the </w:t>
      </w:r>
      <w:r w:rsidR="009B73EF">
        <w:rPr>
          <w:color w:val="000000"/>
          <w:lang w:eastAsia="x-none"/>
        </w:rPr>
        <w:t>time-out</w:t>
      </w:r>
      <w:r w:rsidRPr="0098026B">
        <w:rPr>
          <w:color w:val="000000"/>
          <w:lang w:eastAsia="x-none"/>
        </w:rPr>
        <w:t xml:space="preserve"> period. </w:t>
      </w:r>
      <w:r w:rsidR="00BB74AD">
        <w:rPr>
          <w:color w:val="000000"/>
          <w:lang w:eastAsia="x-none"/>
        </w:rPr>
        <w:t>All t</w:t>
      </w:r>
      <w:r w:rsidRPr="0098026B">
        <w:rPr>
          <w:color w:val="000000"/>
          <w:lang w:eastAsia="x-none"/>
        </w:rPr>
        <w:t xml:space="preserve">he results </w:t>
      </w:r>
      <w:r w:rsidR="004B52E5">
        <w:rPr>
          <w:color w:val="000000"/>
          <w:lang w:eastAsia="x-none"/>
        </w:rPr>
        <w:t xml:space="preserve">remained </w:t>
      </w:r>
      <w:r w:rsidR="00ED3693">
        <w:rPr>
          <w:color w:val="000000"/>
          <w:lang w:eastAsia="x-none"/>
        </w:rPr>
        <w:t>the same</w:t>
      </w:r>
      <w:r w:rsidRPr="0098026B">
        <w:rPr>
          <w:color w:val="000000"/>
          <w:lang w:eastAsia="x-none"/>
        </w:rPr>
        <w:t xml:space="preserve"> with this alternative </w:t>
      </w:r>
      <w:r w:rsidR="00FB31F8" w:rsidRPr="0098026B">
        <w:rPr>
          <w:color w:val="000000"/>
          <w:lang w:eastAsia="x-none"/>
        </w:rPr>
        <w:t xml:space="preserve">collaboration </w:t>
      </w:r>
      <w:r w:rsidRPr="0098026B">
        <w:rPr>
          <w:color w:val="000000"/>
          <w:lang w:eastAsia="x-none"/>
        </w:rPr>
        <w:t>measure.</w:t>
      </w:r>
      <w:r>
        <w:rPr>
          <w:color w:val="000000"/>
          <w:lang w:eastAsia="x-none"/>
        </w:rPr>
        <w:t xml:space="preserve"> We also </w:t>
      </w:r>
      <w:r w:rsidRPr="0098026B">
        <w:rPr>
          <w:color w:val="000000"/>
          <w:lang w:eastAsia="x-none"/>
        </w:rPr>
        <w:t xml:space="preserve">carried out a test </w:t>
      </w:r>
      <w:r w:rsidR="00FB31F8">
        <w:rPr>
          <w:color w:val="000000"/>
          <w:lang w:eastAsia="x-none"/>
        </w:rPr>
        <w:t>in which</w:t>
      </w:r>
      <w:r w:rsidR="00FB31F8" w:rsidRPr="0098026B">
        <w:rPr>
          <w:color w:val="000000"/>
          <w:lang w:eastAsia="x-none"/>
        </w:rPr>
        <w:t xml:space="preserve"> </w:t>
      </w:r>
      <w:r w:rsidRPr="0098026B">
        <w:rPr>
          <w:color w:val="000000"/>
          <w:lang w:eastAsia="x-none"/>
        </w:rPr>
        <w:t xml:space="preserve">we </w:t>
      </w:r>
      <w:r>
        <w:rPr>
          <w:color w:val="000000"/>
          <w:lang w:eastAsia="x-none"/>
        </w:rPr>
        <w:t xml:space="preserve">replaced </w:t>
      </w:r>
      <w:r w:rsidR="00FB31F8">
        <w:rPr>
          <w:color w:val="000000"/>
          <w:lang w:eastAsia="x-none"/>
        </w:rPr>
        <w:t xml:space="preserve">the </w:t>
      </w:r>
      <w:r>
        <w:rPr>
          <w:color w:val="000000"/>
          <w:lang w:eastAsia="x-none"/>
        </w:rPr>
        <w:t xml:space="preserve">export performance (logged export sales) variable with </w:t>
      </w:r>
      <w:r w:rsidR="00FB31F8">
        <w:rPr>
          <w:color w:val="000000"/>
          <w:lang w:eastAsia="x-none"/>
        </w:rPr>
        <w:t xml:space="preserve">the </w:t>
      </w:r>
      <w:r>
        <w:rPr>
          <w:color w:val="000000"/>
          <w:lang w:eastAsia="x-none"/>
        </w:rPr>
        <w:t>percentage of exports</w:t>
      </w:r>
      <w:r w:rsidR="009B6857">
        <w:rPr>
          <w:color w:val="000000"/>
          <w:lang w:eastAsia="x-none"/>
        </w:rPr>
        <w:t xml:space="preserve"> (i.e., </w:t>
      </w:r>
      <w:r w:rsidR="000E78F2">
        <w:rPr>
          <w:color w:val="000000"/>
          <w:lang w:eastAsia="x-none"/>
        </w:rPr>
        <w:t xml:space="preserve">the </w:t>
      </w:r>
      <w:r w:rsidR="009B6857">
        <w:rPr>
          <w:color w:val="000000"/>
          <w:lang w:eastAsia="x-none"/>
        </w:rPr>
        <w:t>share of export sales over the total sales of the firm)</w:t>
      </w:r>
      <w:r>
        <w:rPr>
          <w:color w:val="000000"/>
          <w:lang w:eastAsia="x-none"/>
        </w:rPr>
        <w:t xml:space="preserve">. </w:t>
      </w:r>
      <w:r w:rsidR="005C6C3A">
        <w:rPr>
          <w:color w:val="000000"/>
          <w:lang w:eastAsia="x-none"/>
        </w:rPr>
        <w:t xml:space="preserve">As </w:t>
      </w:r>
      <w:r w:rsidR="009B6857">
        <w:rPr>
          <w:color w:val="000000"/>
          <w:lang w:eastAsia="x-none"/>
        </w:rPr>
        <w:t xml:space="preserve">this dependent variable is censored (i.e., a percentage), we </w:t>
      </w:r>
      <w:r w:rsidR="009B6857" w:rsidRPr="00F1641F">
        <w:rPr>
          <w:color w:val="000000"/>
          <w:lang w:eastAsia="x-none"/>
        </w:rPr>
        <w:t>use</w:t>
      </w:r>
      <w:r w:rsidR="00C2226C">
        <w:rPr>
          <w:color w:val="000000"/>
          <w:lang w:eastAsia="x-none"/>
        </w:rPr>
        <w:t>d a</w:t>
      </w:r>
      <w:r w:rsidR="009B6857" w:rsidRPr="00F1641F">
        <w:rPr>
          <w:color w:val="000000"/>
          <w:lang w:eastAsia="x-none"/>
        </w:rPr>
        <w:t xml:space="preserve"> </w:t>
      </w:r>
      <w:r w:rsidR="00FB31F8">
        <w:rPr>
          <w:color w:val="000000"/>
          <w:lang w:eastAsia="x-none"/>
        </w:rPr>
        <w:t>T</w:t>
      </w:r>
      <w:r w:rsidR="009B6857">
        <w:rPr>
          <w:color w:val="000000"/>
          <w:lang w:eastAsia="x-none"/>
        </w:rPr>
        <w:t>obit</w:t>
      </w:r>
      <w:r w:rsidR="009B6857" w:rsidRPr="00F1641F">
        <w:rPr>
          <w:color w:val="000000"/>
          <w:lang w:eastAsia="x-none"/>
        </w:rPr>
        <w:t xml:space="preserve"> </w:t>
      </w:r>
      <w:r w:rsidR="009B6857">
        <w:rPr>
          <w:color w:val="000000"/>
          <w:lang w:eastAsia="x-none"/>
        </w:rPr>
        <w:t>regression</w:t>
      </w:r>
      <w:r w:rsidR="009B6857" w:rsidRPr="00F1641F">
        <w:rPr>
          <w:color w:val="000000"/>
          <w:lang w:eastAsia="x-none"/>
        </w:rPr>
        <w:t>.</w:t>
      </w:r>
      <w:r w:rsidR="009B6857">
        <w:rPr>
          <w:color w:val="000000"/>
          <w:lang w:eastAsia="x-none"/>
        </w:rPr>
        <w:t xml:space="preserve"> </w:t>
      </w:r>
      <w:r w:rsidR="00F72F9E">
        <w:rPr>
          <w:color w:val="000000"/>
          <w:lang w:eastAsia="x-none"/>
        </w:rPr>
        <w:t>S</w:t>
      </w:r>
      <w:r w:rsidR="00BE3AD3">
        <w:rPr>
          <w:color w:val="000000"/>
          <w:lang w:eastAsia="x-none"/>
        </w:rPr>
        <w:t>imilar results were derived.</w:t>
      </w:r>
    </w:p>
    <w:p w14:paraId="54694FB3" w14:textId="77777777" w:rsidR="006D7311" w:rsidRPr="00195077" w:rsidRDefault="006D7311" w:rsidP="00CA5117">
      <w:pPr>
        <w:spacing w:line="480" w:lineRule="auto"/>
        <w:ind w:firstLine="284"/>
        <w:rPr>
          <w:color w:val="000000"/>
          <w:lang w:eastAsia="x-none"/>
        </w:rPr>
      </w:pPr>
    </w:p>
    <w:p w14:paraId="59E5008B" w14:textId="6860CBB1" w:rsidR="00F527C9" w:rsidRPr="00704A26" w:rsidRDefault="00E41979" w:rsidP="00BF6BB4">
      <w:pPr>
        <w:tabs>
          <w:tab w:val="left" w:pos="426"/>
        </w:tabs>
        <w:spacing w:line="480" w:lineRule="auto"/>
        <w:rPr>
          <w:b/>
          <w:bCs/>
          <w:color w:val="000000"/>
          <w:lang w:eastAsia="x-none"/>
        </w:rPr>
      </w:pPr>
      <w:r w:rsidRPr="00704A26">
        <w:rPr>
          <w:b/>
          <w:bCs/>
          <w:color w:val="000000"/>
          <w:lang w:eastAsia="x-none"/>
        </w:rPr>
        <w:lastRenderedPageBreak/>
        <w:t xml:space="preserve">5. Conclusions </w:t>
      </w:r>
    </w:p>
    <w:p w14:paraId="260C86C7" w14:textId="0745AAD2" w:rsidR="007C3616" w:rsidRPr="00704A26" w:rsidRDefault="00F523D4" w:rsidP="00BF6BB4">
      <w:pPr>
        <w:tabs>
          <w:tab w:val="left" w:pos="426"/>
        </w:tabs>
        <w:spacing w:line="480" w:lineRule="auto"/>
        <w:rPr>
          <w:b/>
          <w:bCs/>
          <w:color w:val="000000"/>
          <w:lang w:eastAsia="x-none"/>
        </w:rPr>
      </w:pPr>
      <w:r w:rsidRPr="00704A26">
        <w:rPr>
          <w:b/>
          <w:bCs/>
          <w:color w:val="000000"/>
          <w:lang w:eastAsia="x-none"/>
        </w:rPr>
        <w:t>5.</w:t>
      </w:r>
      <w:r w:rsidR="00E41979" w:rsidRPr="00704A26">
        <w:rPr>
          <w:b/>
          <w:bCs/>
          <w:color w:val="000000"/>
          <w:lang w:eastAsia="x-none"/>
        </w:rPr>
        <w:t>1</w:t>
      </w:r>
      <w:r w:rsidRPr="00704A26">
        <w:rPr>
          <w:b/>
          <w:bCs/>
          <w:color w:val="000000"/>
          <w:lang w:eastAsia="x-none"/>
        </w:rPr>
        <w:t xml:space="preserve"> </w:t>
      </w:r>
      <w:r w:rsidR="007C3616" w:rsidRPr="00704A26">
        <w:rPr>
          <w:b/>
          <w:bCs/>
          <w:color w:val="000000"/>
          <w:lang w:eastAsia="x-none"/>
        </w:rPr>
        <w:t>Theoretical contribution</w:t>
      </w:r>
      <w:r w:rsidR="009823DA">
        <w:rPr>
          <w:b/>
          <w:bCs/>
          <w:color w:val="000000"/>
          <w:lang w:eastAsia="x-none"/>
        </w:rPr>
        <w:t>s</w:t>
      </w:r>
      <w:r w:rsidR="00B22841">
        <w:rPr>
          <w:b/>
          <w:bCs/>
          <w:color w:val="000000"/>
          <w:lang w:eastAsia="x-none"/>
        </w:rPr>
        <w:t xml:space="preserve"> </w:t>
      </w:r>
    </w:p>
    <w:p w14:paraId="76A81119" w14:textId="6836DF91" w:rsidR="001177F8" w:rsidRDefault="007C3616" w:rsidP="0004402C">
      <w:pPr>
        <w:tabs>
          <w:tab w:val="left" w:pos="284"/>
        </w:tabs>
        <w:spacing w:line="480" w:lineRule="auto"/>
        <w:rPr>
          <w:color w:val="000000"/>
          <w:lang w:eastAsia="x-none"/>
        </w:rPr>
      </w:pPr>
      <w:r>
        <w:rPr>
          <w:color w:val="000000"/>
          <w:lang w:eastAsia="x-none"/>
        </w:rPr>
        <w:tab/>
      </w:r>
      <w:r w:rsidR="003D4623">
        <w:rPr>
          <w:color w:val="000000"/>
          <w:lang w:eastAsia="x-none"/>
        </w:rPr>
        <w:t>Building on organizational learning theory</w:t>
      </w:r>
      <w:r w:rsidR="0093108C" w:rsidRPr="0093108C">
        <w:rPr>
          <w:color w:val="000000"/>
          <w:lang w:eastAsia="x-none"/>
        </w:rPr>
        <w:t xml:space="preserve"> (Huber, 1991; Dodgson, 1993), we </w:t>
      </w:r>
      <w:r w:rsidR="00475B3F">
        <w:rPr>
          <w:color w:val="000000"/>
          <w:lang w:eastAsia="x-none"/>
        </w:rPr>
        <w:t>examine</w:t>
      </w:r>
      <w:r w:rsidR="00475B3F" w:rsidRPr="0093108C">
        <w:rPr>
          <w:color w:val="000000"/>
          <w:lang w:eastAsia="x-none"/>
        </w:rPr>
        <w:t xml:space="preserve"> </w:t>
      </w:r>
      <w:r w:rsidR="0093108C" w:rsidRPr="0093108C">
        <w:rPr>
          <w:color w:val="000000"/>
          <w:lang w:eastAsia="x-none"/>
        </w:rPr>
        <w:t>how the</w:t>
      </w:r>
      <w:r w:rsidR="00CA5902">
        <w:rPr>
          <w:color w:val="000000"/>
          <w:lang w:eastAsia="x-none"/>
        </w:rPr>
        <w:t xml:space="preserve"> time-out</w:t>
      </w:r>
      <w:r w:rsidR="0093108C" w:rsidRPr="0093108C">
        <w:rPr>
          <w:color w:val="000000"/>
          <w:lang w:eastAsia="x-none"/>
        </w:rPr>
        <w:t xml:space="preserve"> </w:t>
      </w:r>
      <w:r w:rsidR="003C1DB5" w:rsidRPr="0093108C">
        <w:rPr>
          <w:color w:val="000000"/>
          <w:lang w:eastAsia="x-none"/>
        </w:rPr>
        <w:t>period</w:t>
      </w:r>
      <w:r w:rsidR="0093108C" w:rsidRPr="0093108C">
        <w:rPr>
          <w:color w:val="000000"/>
          <w:lang w:eastAsia="x-none"/>
        </w:rPr>
        <w:t xml:space="preserve"> affects the likelihood of firms re-entering export markets</w:t>
      </w:r>
      <w:r w:rsidR="00475B3F">
        <w:rPr>
          <w:color w:val="000000"/>
          <w:lang w:eastAsia="x-none"/>
        </w:rPr>
        <w:t>,</w:t>
      </w:r>
      <w:r w:rsidR="0093108C" w:rsidRPr="0093108C">
        <w:rPr>
          <w:color w:val="000000"/>
          <w:lang w:eastAsia="x-none"/>
        </w:rPr>
        <w:t xml:space="preserve"> their re-entry export performance</w:t>
      </w:r>
      <w:r w:rsidR="00475B3F">
        <w:rPr>
          <w:color w:val="000000"/>
          <w:lang w:eastAsia="x-none"/>
        </w:rPr>
        <w:t>, and</w:t>
      </w:r>
      <w:r w:rsidR="0093108C" w:rsidRPr="0093108C">
        <w:rPr>
          <w:color w:val="000000"/>
          <w:lang w:eastAsia="x-none"/>
        </w:rPr>
        <w:t xml:space="preserve"> how </w:t>
      </w:r>
      <w:r w:rsidR="00475B3F" w:rsidRPr="0093108C">
        <w:rPr>
          <w:color w:val="000000"/>
          <w:lang w:eastAsia="x-none"/>
        </w:rPr>
        <w:t xml:space="preserve">foreign collaborations </w:t>
      </w:r>
      <w:r w:rsidR="00475B3F">
        <w:rPr>
          <w:color w:val="000000"/>
          <w:lang w:eastAsia="x-none"/>
        </w:rPr>
        <w:t xml:space="preserve">moderate </w:t>
      </w:r>
      <w:r w:rsidR="0093108C" w:rsidRPr="0093108C">
        <w:rPr>
          <w:color w:val="000000"/>
          <w:lang w:eastAsia="x-none"/>
        </w:rPr>
        <w:t xml:space="preserve">the effect </w:t>
      </w:r>
      <w:r w:rsidR="00475B3F">
        <w:rPr>
          <w:color w:val="000000"/>
          <w:lang w:eastAsia="x-none"/>
        </w:rPr>
        <w:t>of</w:t>
      </w:r>
      <w:r w:rsidR="0093108C" w:rsidRPr="0093108C">
        <w:rPr>
          <w:color w:val="000000"/>
          <w:lang w:eastAsia="x-none"/>
        </w:rPr>
        <w:t xml:space="preserve"> </w:t>
      </w:r>
      <w:r w:rsidR="000E78F2">
        <w:rPr>
          <w:color w:val="000000"/>
          <w:lang w:eastAsia="x-none"/>
        </w:rPr>
        <w:t xml:space="preserve">the </w:t>
      </w:r>
      <w:r w:rsidR="009B73EF">
        <w:rPr>
          <w:color w:val="000000"/>
          <w:lang w:eastAsia="x-none"/>
        </w:rPr>
        <w:t>time-out</w:t>
      </w:r>
      <w:r w:rsidR="0093108C" w:rsidRPr="0093108C">
        <w:rPr>
          <w:color w:val="000000"/>
          <w:lang w:eastAsia="x-none"/>
        </w:rPr>
        <w:t xml:space="preserve"> period on those two outcomes. </w:t>
      </w:r>
      <w:r w:rsidR="00B90232">
        <w:rPr>
          <w:color w:val="000000"/>
          <w:lang w:eastAsia="x-none"/>
        </w:rPr>
        <w:t>The</w:t>
      </w:r>
      <w:r w:rsidR="00B90232" w:rsidRPr="0093108C">
        <w:rPr>
          <w:color w:val="000000"/>
          <w:lang w:eastAsia="x-none"/>
        </w:rPr>
        <w:t xml:space="preserve"> </w:t>
      </w:r>
      <w:r w:rsidR="0093108C" w:rsidRPr="0093108C">
        <w:rPr>
          <w:color w:val="000000"/>
          <w:lang w:eastAsia="x-none"/>
        </w:rPr>
        <w:t xml:space="preserve">study </w:t>
      </w:r>
      <w:r w:rsidR="00C53D19">
        <w:rPr>
          <w:color w:val="000000"/>
          <w:lang w:eastAsia="x-none"/>
        </w:rPr>
        <w:t>addresses the ne</w:t>
      </w:r>
      <w:r w:rsidR="00863CCE">
        <w:rPr>
          <w:color w:val="000000"/>
          <w:lang w:eastAsia="x-none"/>
        </w:rPr>
        <w:t>e</w:t>
      </w:r>
      <w:r w:rsidR="00C53D19">
        <w:rPr>
          <w:color w:val="000000"/>
          <w:lang w:eastAsia="x-none"/>
        </w:rPr>
        <w:t>d to understand</w:t>
      </w:r>
      <w:r w:rsidR="0093108C" w:rsidRPr="0093108C">
        <w:rPr>
          <w:color w:val="000000"/>
          <w:lang w:eastAsia="x-none"/>
        </w:rPr>
        <w:t xml:space="preserve"> the role that the time-out period plays in the </w:t>
      </w:r>
      <w:r w:rsidR="00A81F59">
        <w:rPr>
          <w:color w:val="000000"/>
          <w:lang w:eastAsia="x-none"/>
        </w:rPr>
        <w:t xml:space="preserve">process of </w:t>
      </w:r>
      <w:r w:rsidR="0093108C" w:rsidRPr="0093108C">
        <w:rPr>
          <w:color w:val="000000"/>
          <w:lang w:eastAsia="x-none"/>
        </w:rPr>
        <w:t>re-</w:t>
      </w:r>
      <w:r w:rsidR="00A81F59">
        <w:rPr>
          <w:color w:val="000000"/>
          <w:lang w:eastAsia="x-none"/>
        </w:rPr>
        <w:t>entering foreign markets</w:t>
      </w:r>
      <w:r w:rsidR="0093108C" w:rsidRPr="0093108C">
        <w:rPr>
          <w:color w:val="000000"/>
          <w:lang w:eastAsia="x-none"/>
        </w:rPr>
        <w:t xml:space="preserve"> (Chen et al., 2019; Welch </w:t>
      </w:r>
      <w:r w:rsidR="002A5D75">
        <w:t>&amp;</w:t>
      </w:r>
      <w:r w:rsidR="0093108C" w:rsidRPr="00B52F63">
        <w:t xml:space="preserve"> </w:t>
      </w:r>
      <w:r w:rsidR="0093108C" w:rsidRPr="0093108C">
        <w:rPr>
          <w:color w:val="000000"/>
          <w:lang w:eastAsia="x-none"/>
        </w:rPr>
        <w:t>Welch, 2009)</w:t>
      </w:r>
      <w:r w:rsidR="00C53D19">
        <w:rPr>
          <w:color w:val="000000"/>
          <w:lang w:eastAsia="x-none"/>
        </w:rPr>
        <w:t>,</w:t>
      </w:r>
      <w:r w:rsidR="0093108C" w:rsidRPr="0093108C">
        <w:rPr>
          <w:color w:val="000000"/>
          <w:lang w:eastAsia="x-none"/>
        </w:rPr>
        <w:t xml:space="preserve"> how firms learn from foreign partners during the </w:t>
      </w:r>
      <w:r w:rsidR="009B73EF">
        <w:rPr>
          <w:color w:val="000000"/>
          <w:lang w:eastAsia="x-none"/>
        </w:rPr>
        <w:t>time-out</w:t>
      </w:r>
      <w:r w:rsidR="0093108C" w:rsidRPr="0093108C">
        <w:rPr>
          <w:color w:val="000000"/>
          <w:lang w:eastAsia="x-none"/>
        </w:rPr>
        <w:t xml:space="preserve"> period and whether external learning can compensate for the loss of </w:t>
      </w:r>
      <w:r w:rsidR="0093108C" w:rsidRPr="00345A09">
        <w:rPr>
          <w:color w:val="000000"/>
          <w:lang w:eastAsia="x-none"/>
        </w:rPr>
        <w:t>experiential knowledge (</w:t>
      </w:r>
      <w:r w:rsidR="00080388" w:rsidRPr="00080388">
        <w:rPr>
          <w:color w:val="000000"/>
          <w:lang w:eastAsia="x-none"/>
        </w:rPr>
        <w:t>Kafouros et al., 202</w:t>
      </w:r>
      <w:r w:rsidR="001E0A3D">
        <w:rPr>
          <w:color w:val="000000"/>
          <w:lang w:eastAsia="x-none"/>
        </w:rPr>
        <w:t>2</w:t>
      </w:r>
      <w:r w:rsidR="00250966">
        <w:rPr>
          <w:color w:val="000000"/>
          <w:lang w:eastAsia="x-none"/>
        </w:rPr>
        <w:t>a</w:t>
      </w:r>
      <w:r w:rsidR="00080388" w:rsidRPr="00080388">
        <w:rPr>
          <w:color w:val="000000"/>
          <w:lang w:eastAsia="x-none"/>
        </w:rPr>
        <w:t>;</w:t>
      </w:r>
      <w:r w:rsidR="00080388">
        <w:rPr>
          <w:color w:val="000000"/>
          <w:lang w:eastAsia="x-none"/>
        </w:rPr>
        <w:t xml:space="preserve"> </w:t>
      </w:r>
      <w:r w:rsidR="0093108C" w:rsidRPr="00345A09">
        <w:rPr>
          <w:color w:val="000000"/>
          <w:lang w:eastAsia="x-none"/>
        </w:rPr>
        <w:t xml:space="preserve">Surdu </w:t>
      </w:r>
      <w:r w:rsidR="002A5D75">
        <w:t>&amp;</w:t>
      </w:r>
      <w:r w:rsidR="0093108C" w:rsidRPr="00B52F63">
        <w:t xml:space="preserve"> </w:t>
      </w:r>
      <w:r w:rsidR="0093108C" w:rsidRPr="00345A09">
        <w:rPr>
          <w:color w:val="000000"/>
          <w:lang w:eastAsia="x-none"/>
        </w:rPr>
        <w:t>Narula, 202</w:t>
      </w:r>
      <w:r w:rsidR="00FA12D3">
        <w:rPr>
          <w:color w:val="000000"/>
          <w:lang w:eastAsia="x-none"/>
        </w:rPr>
        <w:t>1</w:t>
      </w:r>
      <w:r w:rsidR="0093108C" w:rsidRPr="00345A09">
        <w:rPr>
          <w:color w:val="000000"/>
          <w:lang w:eastAsia="x-none"/>
        </w:rPr>
        <w:t xml:space="preserve">; Vissak et al., 2020). </w:t>
      </w:r>
      <w:r w:rsidR="00345A09">
        <w:rPr>
          <w:color w:val="000000"/>
          <w:lang w:eastAsia="x-none"/>
        </w:rPr>
        <w:t xml:space="preserve">Accordingly, </w:t>
      </w:r>
      <w:r w:rsidR="009F2631">
        <w:rPr>
          <w:color w:val="000000"/>
          <w:lang w:eastAsia="x-none"/>
        </w:rPr>
        <w:t>it</w:t>
      </w:r>
      <w:r w:rsidR="006E56B5" w:rsidRPr="00345A09">
        <w:rPr>
          <w:color w:val="000000"/>
          <w:lang w:eastAsia="x-none"/>
        </w:rPr>
        <w:t xml:space="preserve"> </w:t>
      </w:r>
      <w:r w:rsidR="006E56B5">
        <w:rPr>
          <w:color w:val="000000"/>
          <w:lang w:eastAsia="x-none"/>
        </w:rPr>
        <w:t>contribut</w:t>
      </w:r>
      <w:r w:rsidR="00345A09">
        <w:rPr>
          <w:color w:val="000000"/>
          <w:lang w:eastAsia="x-none"/>
        </w:rPr>
        <w:t>es</w:t>
      </w:r>
      <w:r w:rsidR="00080388" w:rsidRPr="00080388">
        <w:rPr>
          <w:color w:val="000000"/>
          <w:lang w:eastAsia="x-none"/>
        </w:rPr>
        <w:t xml:space="preserve"> to the</w:t>
      </w:r>
      <w:r w:rsidR="00546A0A">
        <w:rPr>
          <w:color w:val="000000"/>
          <w:lang w:eastAsia="x-none"/>
        </w:rPr>
        <w:t xml:space="preserve"> IB literature on</w:t>
      </w:r>
      <w:r w:rsidR="00080388" w:rsidRPr="00080388">
        <w:rPr>
          <w:color w:val="000000"/>
          <w:lang w:eastAsia="x-none"/>
        </w:rPr>
        <w:t xml:space="preserve"> re-entry</w:t>
      </w:r>
      <w:r w:rsidR="00546A0A">
        <w:rPr>
          <w:color w:val="000000"/>
          <w:lang w:eastAsia="x-none"/>
        </w:rPr>
        <w:t xml:space="preserve"> </w:t>
      </w:r>
      <w:r w:rsidR="00D43E9D">
        <w:rPr>
          <w:color w:val="000000"/>
          <w:lang w:eastAsia="x-none"/>
        </w:rPr>
        <w:t>and</w:t>
      </w:r>
      <w:r w:rsidR="006E56B5">
        <w:rPr>
          <w:color w:val="000000"/>
          <w:lang w:eastAsia="x-none"/>
        </w:rPr>
        <w:t xml:space="preserve"> </w:t>
      </w:r>
      <w:r w:rsidR="00546A0A">
        <w:rPr>
          <w:color w:val="000000"/>
          <w:lang w:eastAsia="x-none"/>
        </w:rPr>
        <w:t xml:space="preserve">to </w:t>
      </w:r>
      <w:r w:rsidR="006E56B5">
        <w:rPr>
          <w:color w:val="000000"/>
          <w:lang w:eastAsia="x-none"/>
        </w:rPr>
        <w:t>o</w:t>
      </w:r>
      <w:r w:rsidR="00122869">
        <w:rPr>
          <w:color w:val="000000"/>
          <w:lang w:eastAsia="x-none"/>
        </w:rPr>
        <w:t>rganizational learning theory</w:t>
      </w:r>
      <w:r w:rsidR="00080388">
        <w:rPr>
          <w:color w:val="000000"/>
          <w:lang w:eastAsia="x-none"/>
        </w:rPr>
        <w:t>.</w:t>
      </w:r>
    </w:p>
    <w:p w14:paraId="7B799240" w14:textId="70C7010A" w:rsidR="00BC4D95" w:rsidRDefault="001177F8" w:rsidP="00147DD3">
      <w:pPr>
        <w:tabs>
          <w:tab w:val="left" w:pos="284"/>
        </w:tabs>
        <w:spacing w:line="480" w:lineRule="auto"/>
        <w:rPr>
          <w:color w:val="000000"/>
          <w:lang w:eastAsia="x-none"/>
        </w:rPr>
      </w:pPr>
      <w:r>
        <w:rPr>
          <w:color w:val="000000"/>
          <w:lang w:eastAsia="x-none"/>
        </w:rPr>
        <w:tab/>
      </w:r>
      <w:r w:rsidR="00CA5902">
        <w:rPr>
          <w:color w:val="000000"/>
          <w:lang w:eastAsia="x-none"/>
        </w:rPr>
        <w:t>The first contribution</w:t>
      </w:r>
      <w:r w:rsidR="001A1AB6">
        <w:rPr>
          <w:color w:val="000000"/>
          <w:lang w:eastAsia="x-none"/>
        </w:rPr>
        <w:t xml:space="preserve"> </w:t>
      </w:r>
      <w:r w:rsidR="005F3CFB">
        <w:rPr>
          <w:color w:val="000000"/>
          <w:lang w:eastAsia="x-none"/>
        </w:rPr>
        <w:t>to the</w:t>
      </w:r>
      <w:r w:rsidR="009A227B">
        <w:rPr>
          <w:color w:val="000000"/>
          <w:lang w:eastAsia="x-none"/>
        </w:rPr>
        <w:t xml:space="preserve"> re-entry</w:t>
      </w:r>
      <w:r w:rsidR="0035376B">
        <w:rPr>
          <w:color w:val="000000"/>
          <w:lang w:eastAsia="x-none"/>
        </w:rPr>
        <w:t xml:space="preserve"> literature</w:t>
      </w:r>
      <w:r w:rsidR="00C05B55">
        <w:rPr>
          <w:color w:val="000000"/>
          <w:lang w:eastAsia="x-none"/>
        </w:rPr>
        <w:t xml:space="preserve"> </w:t>
      </w:r>
      <w:r w:rsidR="00CA5902">
        <w:rPr>
          <w:color w:val="000000"/>
          <w:lang w:eastAsia="x-none"/>
        </w:rPr>
        <w:t>lies in</w:t>
      </w:r>
      <w:r w:rsidR="00CA5902" w:rsidRPr="007C3616">
        <w:rPr>
          <w:color w:val="000000"/>
          <w:lang w:eastAsia="x-none"/>
        </w:rPr>
        <w:t xml:space="preserve"> </w:t>
      </w:r>
      <w:r w:rsidR="00817B57">
        <w:rPr>
          <w:color w:val="000000"/>
          <w:lang w:eastAsia="x-none"/>
        </w:rPr>
        <w:t xml:space="preserve">explaining </w:t>
      </w:r>
      <w:r w:rsidR="00EC3788">
        <w:rPr>
          <w:color w:val="000000"/>
          <w:lang w:eastAsia="x-none"/>
        </w:rPr>
        <w:t xml:space="preserve">how </w:t>
      </w:r>
      <w:r w:rsidR="00522BE5" w:rsidRPr="00522BE5">
        <w:rPr>
          <w:color w:val="000000"/>
          <w:lang w:eastAsia="x-none"/>
        </w:rPr>
        <w:t xml:space="preserve">the time-out period </w:t>
      </w:r>
      <w:r w:rsidR="00122869">
        <w:rPr>
          <w:color w:val="000000"/>
          <w:lang w:eastAsia="x-none"/>
        </w:rPr>
        <w:t>influence</w:t>
      </w:r>
      <w:r w:rsidR="00522BE5">
        <w:rPr>
          <w:color w:val="000000"/>
          <w:lang w:eastAsia="x-none"/>
        </w:rPr>
        <w:t>s</w:t>
      </w:r>
      <w:r w:rsidR="006F3F61">
        <w:rPr>
          <w:color w:val="000000"/>
          <w:lang w:eastAsia="x-none"/>
        </w:rPr>
        <w:t xml:space="preserve"> </w:t>
      </w:r>
      <w:r w:rsidR="00122869">
        <w:rPr>
          <w:color w:val="000000"/>
          <w:lang w:eastAsia="x-none"/>
        </w:rPr>
        <w:t xml:space="preserve">the </w:t>
      </w:r>
      <w:r w:rsidR="009C3C13">
        <w:rPr>
          <w:color w:val="000000"/>
          <w:lang w:eastAsia="x-none"/>
        </w:rPr>
        <w:t xml:space="preserve">likelihood </w:t>
      </w:r>
      <w:r w:rsidR="00122869">
        <w:rPr>
          <w:color w:val="000000"/>
          <w:lang w:eastAsia="x-none"/>
        </w:rPr>
        <w:t xml:space="preserve">of re-entry </w:t>
      </w:r>
      <w:r w:rsidR="006F3F61">
        <w:rPr>
          <w:color w:val="000000"/>
          <w:lang w:eastAsia="x-none"/>
        </w:rPr>
        <w:t xml:space="preserve">but also </w:t>
      </w:r>
      <w:r w:rsidR="00122869">
        <w:rPr>
          <w:color w:val="000000"/>
          <w:lang w:eastAsia="x-none"/>
        </w:rPr>
        <w:t>re-entry performance</w:t>
      </w:r>
      <w:r w:rsidR="00E7760F">
        <w:rPr>
          <w:color w:val="000000"/>
          <w:lang w:eastAsia="x-none"/>
        </w:rPr>
        <w:t xml:space="preserve"> </w:t>
      </w:r>
      <w:r w:rsidR="00E7760F" w:rsidRPr="000810EE">
        <w:rPr>
          <w:i/>
          <w:iCs/>
          <w:color w:val="000000"/>
          <w:lang w:eastAsia="x-none"/>
        </w:rPr>
        <w:t>in different ways</w:t>
      </w:r>
      <w:r w:rsidR="00122869">
        <w:rPr>
          <w:color w:val="000000"/>
          <w:lang w:eastAsia="x-none"/>
        </w:rPr>
        <w:t>.</w:t>
      </w:r>
      <w:r w:rsidR="00E87BC5">
        <w:rPr>
          <w:color w:val="000000"/>
          <w:lang w:eastAsia="x-none"/>
        </w:rPr>
        <w:t xml:space="preserve"> </w:t>
      </w:r>
      <w:r w:rsidR="00817B57">
        <w:rPr>
          <w:color w:val="000000"/>
          <w:lang w:eastAsia="x-none"/>
        </w:rPr>
        <w:t>Specifically, w</w:t>
      </w:r>
      <w:r w:rsidR="00A67C80">
        <w:rPr>
          <w:color w:val="000000"/>
          <w:lang w:eastAsia="x-none"/>
        </w:rPr>
        <w:t xml:space="preserve">e </w:t>
      </w:r>
      <w:r w:rsidR="002F79E1">
        <w:rPr>
          <w:color w:val="000000"/>
          <w:lang w:eastAsia="x-none"/>
        </w:rPr>
        <w:t>explain how</w:t>
      </w:r>
      <w:r w:rsidR="00A67C80">
        <w:rPr>
          <w:color w:val="000000"/>
          <w:lang w:eastAsia="x-none"/>
        </w:rPr>
        <w:t xml:space="preserve"> the combination of</w:t>
      </w:r>
      <w:r w:rsidR="00522BE5" w:rsidRPr="00522BE5">
        <w:rPr>
          <w:color w:val="000000"/>
          <w:lang w:eastAsia="x-none"/>
        </w:rPr>
        <w:t xml:space="preserve"> two mechanisms across the time out</w:t>
      </w:r>
      <w:r w:rsidR="007D1778">
        <w:rPr>
          <w:color w:val="000000"/>
          <w:lang w:eastAsia="x-none"/>
        </w:rPr>
        <w:t>-</w:t>
      </w:r>
      <w:r w:rsidR="00522BE5" w:rsidRPr="00522BE5">
        <w:rPr>
          <w:color w:val="000000"/>
          <w:lang w:eastAsia="x-none"/>
        </w:rPr>
        <w:t>period</w:t>
      </w:r>
      <w:r w:rsidR="00817B57">
        <w:rPr>
          <w:color w:val="000000"/>
          <w:lang w:eastAsia="x-none"/>
        </w:rPr>
        <w:t>,</w:t>
      </w:r>
      <w:r w:rsidR="00A67C80">
        <w:rPr>
          <w:color w:val="000000"/>
          <w:lang w:eastAsia="x-none"/>
        </w:rPr>
        <w:t xml:space="preserve"> </w:t>
      </w:r>
      <w:r w:rsidR="00223166">
        <w:rPr>
          <w:color w:val="000000"/>
          <w:lang w:eastAsia="x-none"/>
        </w:rPr>
        <w:t>the</w:t>
      </w:r>
      <w:r w:rsidR="00A67C80">
        <w:rPr>
          <w:color w:val="000000"/>
          <w:lang w:eastAsia="x-none"/>
        </w:rPr>
        <w:t xml:space="preserve"> exit </w:t>
      </w:r>
      <w:r w:rsidR="000456DF">
        <w:rPr>
          <w:color w:val="000000"/>
          <w:lang w:eastAsia="x-none"/>
        </w:rPr>
        <w:t>event</w:t>
      </w:r>
      <w:r w:rsidR="007D4E27">
        <w:rPr>
          <w:color w:val="000000"/>
          <w:lang w:eastAsia="x-none"/>
        </w:rPr>
        <w:t>,</w:t>
      </w:r>
      <w:r w:rsidR="000456DF">
        <w:rPr>
          <w:color w:val="000000"/>
          <w:lang w:eastAsia="x-none"/>
        </w:rPr>
        <w:t xml:space="preserve"> </w:t>
      </w:r>
      <w:r w:rsidR="009913D6">
        <w:rPr>
          <w:color w:val="000000"/>
          <w:lang w:eastAsia="x-none"/>
        </w:rPr>
        <w:t>and</w:t>
      </w:r>
      <w:r w:rsidR="00CF6A64">
        <w:rPr>
          <w:color w:val="000000"/>
          <w:lang w:eastAsia="x-none"/>
        </w:rPr>
        <w:t xml:space="preserve"> </w:t>
      </w:r>
      <w:r w:rsidR="009913D6">
        <w:rPr>
          <w:color w:val="000000"/>
          <w:lang w:eastAsia="x-none"/>
        </w:rPr>
        <w:t>the</w:t>
      </w:r>
      <w:r w:rsidR="00A67C80">
        <w:rPr>
          <w:color w:val="000000"/>
          <w:lang w:eastAsia="x-none"/>
        </w:rPr>
        <w:t xml:space="preserve"> </w:t>
      </w:r>
      <w:r w:rsidR="00CF6A64">
        <w:rPr>
          <w:color w:val="000000"/>
          <w:lang w:eastAsia="x-none"/>
        </w:rPr>
        <w:t xml:space="preserve">gradual </w:t>
      </w:r>
      <w:r w:rsidR="00A67C80">
        <w:rPr>
          <w:color w:val="000000"/>
          <w:lang w:eastAsia="x-none"/>
        </w:rPr>
        <w:t>unlearning</w:t>
      </w:r>
      <w:r w:rsidR="009E6EE7">
        <w:rPr>
          <w:color w:val="000000"/>
          <w:lang w:eastAsia="x-none"/>
        </w:rPr>
        <w:t xml:space="preserve"> of </w:t>
      </w:r>
      <w:r w:rsidR="00522BE5" w:rsidRPr="00522BE5">
        <w:rPr>
          <w:color w:val="000000"/>
          <w:lang w:eastAsia="x-none"/>
        </w:rPr>
        <w:t>export</w:t>
      </w:r>
      <w:r w:rsidR="007D4E27">
        <w:rPr>
          <w:color w:val="000000"/>
          <w:lang w:eastAsia="x-none"/>
        </w:rPr>
        <w:t>-</w:t>
      </w:r>
      <w:r w:rsidR="00522BE5" w:rsidRPr="00522BE5">
        <w:rPr>
          <w:color w:val="000000"/>
          <w:lang w:eastAsia="x-none"/>
        </w:rPr>
        <w:t xml:space="preserve">related </w:t>
      </w:r>
      <w:r w:rsidR="009E6EE7">
        <w:rPr>
          <w:color w:val="000000"/>
          <w:lang w:eastAsia="x-none"/>
        </w:rPr>
        <w:t>experien</w:t>
      </w:r>
      <w:r w:rsidR="00D81507">
        <w:rPr>
          <w:color w:val="000000"/>
          <w:lang w:eastAsia="x-none"/>
        </w:rPr>
        <w:t>tial knowledge</w:t>
      </w:r>
      <w:r w:rsidR="002F79E1">
        <w:rPr>
          <w:color w:val="000000"/>
          <w:lang w:eastAsia="x-none"/>
        </w:rPr>
        <w:t xml:space="preserve"> </w:t>
      </w:r>
      <w:r w:rsidR="00D81507">
        <w:rPr>
          <w:color w:val="000000"/>
          <w:lang w:eastAsia="x-none"/>
        </w:rPr>
        <w:t>influence</w:t>
      </w:r>
      <w:r w:rsidR="002F79E1">
        <w:rPr>
          <w:color w:val="000000"/>
          <w:lang w:eastAsia="x-none"/>
        </w:rPr>
        <w:t xml:space="preserve"> managerial confidence about re-entering export markets</w:t>
      </w:r>
      <w:r w:rsidR="005D4A23">
        <w:rPr>
          <w:color w:val="000000"/>
          <w:lang w:eastAsia="x-none"/>
        </w:rPr>
        <w:t>, leading</w:t>
      </w:r>
      <w:r w:rsidR="002F79E1">
        <w:rPr>
          <w:color w:val="000000"/>
          <w:lang w:eastAsia="x-none"/>
        </w:rPr>
        <w:t xml:space="preserve"> </w:t>
      </w:r>
      <w:r w:rsidR="009E6EE7">
        <w:rPr>
          <w:color w:val="000000"/>
          <w:lang w:eastAsia="x-none"/>
        </w:rPr>
        <w:t>to an inverted U</w:t>
      </w:r>
      <w:r w:rsidR="00F67110">
        <w:rPr>
          <w:color w:val="000000"/>
          <w:lang w:eastAsia="x-none"/>
        </w:rPr>
        <w:t>-</w:t>
      </w:r>
      <w:r w:rsidR="009E6EE7">
        <w:rPr>
          <w:color w:val="000000"/>
          <w:lang w:eastAsia="x-none"/>
        </w:rPr>
        <w:t>shape</w:t>
      </w:r>
      <w:r w:rsidR="00F67110">
        <w:rPr>
          <w:color w:val="000000"/>
          <w:lang w:eastAsia="x-none"/>
        </w:rPr>
        <w:t>d</w:t>
      </w:r>
      <w:r w:rsidR="009E6EE7">
        <w:rPr>
          <w:color w:val="000000"/>
          <w:lang w:eastAsia="x-none"/>
        </w:rPr>
        <w:t xml:space="preserve"> relationship</w:t>
      </w:r>
      <w:r w:rsidR="00D81507">
        <w:rPr>
          <w:color w:val="000000"/>
          <w:lang w:eastAsia="x-none"/>
        </w:rPr>
        <w:t xml:space="preserve"> </w:t>
      </w:r>
      <w:r w:rsidR="00522BE5" w:rsidRPr="00522BE5">
        <w:rPr>
          <w:color w:val="000000"/>
          <w:lang w:eastAsia="x-none"/>
        </w:rPr>
        <w:t xml:space="preserve">between the time-out period </w:t>
      </w:r>
      <w:r w:rsidR="00522BE5">
        <w:rPr>
          <w:color w:val="000000"/>
          <w:lang w:eastAsia="x-none"/>
        </w:rPr>
        <w:t>and the</w:t>
      </w:r>
      <w:r w:rsidR="00D81507">
        <w:rPr>
          <w:color w:val="000000"/>
          <w:lang w:eastAsia="x-none"/>
        </w:rPr>
        <w:t xml:space="preserve"> </w:t>
      </w:r>
      <w:r w:rsidR="005D4A23">
        <w:rPr>
          <w:color w:val="000000"/>
          <w:lang w:eastAsia="x-none"/>
        </w:rPr>
        <w:t>likelihood</w:t>
      </w:r>
      <w:r w:rsidR="005D4A23" w:rsidRPr="00D81507">
        <w:rPr>
          <w:color w:val="000000"/>
          <w:lang w:eastAsia="x-none"/>
        </w:rPr>
        <w:t xml:space="preserve"> </w:t>
      </w:r>
      <w:r w:rsidR="00D81507" w:rsidRPr="00D81507">
        <w:rPr>
          <w:color w:val="000000"/>
          <w:lang w:eastAsia="x-none"/>
        </w:rPr>
        <w:t>of re-entry</w:t>
      </w:r>
      <w:r w:rsidR="00522BE5">
        <w:rPr>
          <w:color w:val="000000"/>
          <w:lang w:eastAsia="x-none"/>
        </w:rPr>
        <w:t>.</w:t>
      </w:r>
      <w:r w:rsidR="00D81507">
        <w:rPr>
          <w:color w:val="000000"/>
          <w:lang w:eastAsia="x-none"/>
        </w:rPr>
        <w:t xml:space="preserve"> </w:t>
      </w:r>
      <w:r w:rsidR="009603FC">
        <w:rPr>
          <w:color w:val="000000"/>
          <w:lang w:eastAsia="x-none"/>
        </w:rPr>
        <w:t>W</w:t>
      </w:r>
      <w:r w:rsidR="006D1480">
        <w:rPr>
          <w:color w:val="000000"/>
          <w:lang w:eastAsia="x-none"/>
        </w:rPr>
        <w:t>e</w:t>
      </w:r>
      <w:r w:rsidR="009603FC">
        <w:rPr>
          <w:color w:val="000000"/>
          <w:lang w:eastAsia="x-none"/>
        </w:rPr>
        <w:t xml:space="preserve"> further</w:t>
      </w:r>
      <w:r w:rsidR="009E6EE7">
        <w:rPr>
          <w:color w:val="000000"/>
          <w:lang w:eastAsia="x-none"/>
        </w:rPr>
        <w:t xml:space="preserve"> </w:t>
      </w:r>
      <w:r w:rsidR="004C117B">
        <w:rPr>
          <w:color w:val="000000"/>
          <w:lang w:eastAsia="x-none"/>
        </w:rPr>
        <w:t xml:space="preserve">explain </w:t>
      </w:r>
      <w:r w:rsidR="009E6EE7">
        <w:rPr>
          <w:color w:val="000000"/>
          <w:lang w:eastAsia="x-none"/>
        </w:rPr>
        <w:t xml:space="preserve">how </w:t>
      </w:r>
      <w:r w:rsidR="00154D25" w:rsidRPr="00154D25">
        <w:rPr>
          <w:color w:val="000000"/>
          <w:lang w:eastAsia="x-none"/>
        </w:rPr>
        <w:t>interaction</w:t>
      </w:r>
      <w:r w:rsidR="00817B57">
        <w:rPr>
          <w:color w:val="000000"/>
          <w:lang w:eastAsia="x-none"/>
        </w:rPr>
        <w:t>s</w:t>
      </w:r>
      <w:r w:rsidR="00154D25" w:rsidRPr="00154D25">
        <w:rPr>
          <w:color w:val="000000"/>
          <w:lang w:eastAsia="x-none"/>
        </w:rPr>
        <w:t xml:space="preserve"> between </w:t>
      </w:r>
      <w:r w:rsidR="00154D25">
        <w:rPr>
          <w:color w:val="000000"/>
          <w:lang w:eastAsia="x-none"/>
        </w:rPr>
        <w:t xml:space="preserve">the </w:t>
      </w:r>
      <w:r w:rsidR="009E6EE7">
        <w:rPr>
          <w:color w:val="000000"/>
          <w:lang w:eastAsia="x-none"/>
        </w:rPr>
        <w:t>unlearning of</w:t>
      </w:r>
      <w:r w:rsidR="000456DF">
        <w:rPr>
          <w:color w:val="000000"/>
          <w:lang w:eastAsia="x-none"/>
        </w:rPr>
        <w:t xml:space="preserve"> </w:t>
      </w:r>
      <w:r w:rsidR="001A0307">
        <w:rPr>
          <w:color w:val="000000"/>
          <w:lang w:eastAsia="x-none"/>
        </w:rPr>
        <w:t>export</w:t>
      </w:r>
      <w:r w:rsidR="0083068A">
        <w:rPr>
          <w:color w:val="000000"/>
          <w:lang w:eastAsia="x-none"/>
        </w:rPr>
        <w:t>-</w:t>
      </w:r>
      <w:r w:rsidR="001A0307">
        <w:rPr>
          <w:color w:val="000000"/>
          <w:lang w:eastAsia="x-none"/>
        </w:rPr>
        <w:t xml:space="preserve">related </w:t>
      </w:r>
      <w:r w:rsidR="00154D25">
        <w:rPr>
          <w:color w:val="000000"/>
          <w:lang w:eastAsia="x-none"/>
        </w:rPr>
        <w:t xml:space="preserve">experiential </w:t>
      </w:r>
      <w:r w:rsidR="001A0307">
        <w:rPr>
          <w:color w:val="000000"/>
          <w:lang w:eastAsia="x-none"/>
        </w:rPr>
        <w:t>knowledge</w:t>
      </w:r>
      <w:r w:rsidR="00382B56">
        <w:rPr>
          <w:color w:val="000000"/>
          <w:lang w:eastAsia="x-none"/>
        </w:rPr>
        <w:t xml:space="preserve"> </w:t>
      </w:r>
      <w:r w:rsidR="001A0307">
        <w:rPr>
          <w:color w:val="000000"/>
          <w:lang w:eastAsia="x-none"/>
        </w:rPr>
        <w:t>and the learning of n</w:t>
      </w:r>
      <w:r w:rsidR="004C117B">
        <w:rPr>
          <w:color w:val="000000"/>
          <w:lang w:eastAsia="x-none"/>
        </w:rPr>
        <w:t>ew</w:t>
      </w:r>
      <w:r w:rsidR="006D1480">
        <w:rPr>
          <w:color w:val="000000"/>
          <w:lang w:eastAsia="x-none"/>
        </w:rPr>
        <w:t xml:space="preserve"> knowledge</w:t>
      </w:r>
      <w:r w:rsidR="001A0307">
        <w:rPr>
          <w:color w:val="000000"/>
          <w:lang w:eastAsia="x-none"/>
        </w:rPr>
        <w:t xml:space="preserve"> </w:t>
      </w:r>
      <w:r w:rsidR="007D4E27">
        <w:rPr>
          <w:color w:val="000000"/>
          <w:lang w:eastAsia="x-none"/>
        </w:rPr>
        <w:t>influence</w:t>
      </w:r>
      <w:r w:rsidR="004C117B">
        <w:rPr>
          <w:color w:val="000000"/>
          <w:lang w:eastAsia="x-none"/>
        </w:rPr>
        <w:t xml:space="preserve"> the effectiveness of strategies adopted </w:t>
      </w:r>
      <w:r w:rsidR="009C05AA">
        <w:rPr>
          <w:color w:val="000000"/>
          <w:lang w:eastAsia="x-none"/>
        </w:rPr>
        <w:t>when</w:t>
      </w:r>
      <w:r w:rsidR="00FF71AC">
        <w:rPr>
          <w:color w:val="000000"/>
          <w:lang w:eastAsia="x-none"/>
        </w:rPr>
        <w:t xml:space="preserve"> </w:t>
      </w:r>
      <w:r w:rsidR="00704A26">
        <w:rPr>
          <w:color w:val="000000"/>
          <w:lang w:eastAsia="x-none"/>
        </w:rPr>
        <w:t>firm</w:t>
      </w:r>
      <w:r w:rsidR="009C05AA">
        <w:rPr>
          <w:color w:val="000000"/>
          <w:lang w:eastAsia="x-none"/>
        </w:rPr>
        <w:t>s</w:t>
      </w:r>
      <w:r w:rsidR="00704A26">
        <w:rPr>
          <w:color w:val="000000"/>
          <w:lang w:eastAsia="x-none"/>
        </w:rPr>
        <w:t xml:space="preserve"> re-initiate</w:t>
      </w:r>
      <w:r w:rsidR="00B73AD4">
        <w:rPr>
          <w:color w:val="000000"/>
          <w:lang w:eastAsia="x-none"/>
        </w:rPr>
        <w:t xml:space="preserve"> </w:t>
      </w:r>
      <w:r w:rsidR="00FF71AC">
        <w:rPr>
          <w:color w:val="000000"/>
          <w:lang w:eastAsia="x-none"/>
        </w:rPr>
        <w:t>exporting</w:t>
      </w:r>
      <w:r w:rsidR="00D97CCD">
        <w:rPr>
          <w:color w:val="000000"/>
          <w:lang w:eastAsia="x-none"/>
        </w:rPr>
        <w:t xml:space="preserve">. </w:t>
      </w:r>
      <w:r w:rsidR="005E3E3F">
        <w:rPr>
          <w:color w:val="000000"/>
          <w:lang w:eastAsia="x-none"/>
        </w:rPr>
        <w:t>In this regard, w</w:t>
      </w:r>
      <w:r w:rsidR="00D97CCD">
        <w:rPr>
          <w:color w:val="000000"/>
          <w:lang w:eastAsia="x-none"/>
        </w:rPr>
        <w:t xml:space="preserve">e </w:t>
      </w:r>
      <w:r w:rsidR="000D170C">
        <w:rPr>
          <w:color w:val="000000"/>
          <w:lang w:eastAsia="x-none"/>
        </w:rPr>
        <w:t xml:space="preserve">clarify </w:t>
      </w:r>
      <w:r w:rsidR="004C117B">
        <w:rPr>
          <w:color w:val="000000"/>
          <w:lang w:eastAsia="x-none"/>
        </w:rPr>
        <w:t xml:space="preserve">how the </w:t>
      </w:r>
      <w:r w:rsidR="001A0307">
        <w:rPr>
          <w:color w:val="000000"/>
          <w:lang w:eastAsia="x-none"/>
        </w:rPr>
        <w:t>combin</w:t>
      </w:r>
      <w:r w:rsidR="0009505F">
        <w:rPr>
          <w:color w:val="000000"/>
          <w:lang w:eastAsia="x-none"/>
        </w:rPr>
        <w:t xml:space="preserve">ed </w:t>
      </w:r>
      <w:r w:rsidR="00154D25" w:rsidRPr="00154D25">
        <w:rPr>
          <w:color w:val="000000"/>
          <w:lang w:eastAsia="x-none"/>
        </w:rPr>
        <w:t xml:space="preserve">effect of those mechanisms at different </w:t>
      </w:r>
      <w:r w:rsidR="009C05AA">
        <w:rPr>
          <w:color w:val="000000"/>
          <w:lang w:eastAsia="x-none"/>
        </w:rPr>
        <w:t>stages</w:t>
      </w:r>
      <w:r w:rsidR="009C05AA" w:rsidRPr="00154D25">
        <w:rPr>
          <w:color w:val="000000"/>
          <w:lang w:eastAsia="x-none"/>
        </w:rPr>
        <w:t xml:space="preserve"> </w:t>
      </w:r>
      <w:r w:rsidR="00154D25" w:rsidRPr="00154D25">
        <w:rPr>
          <w:color w:val="000000"/>
          <w:lang w:eastAsia="x-none"/>
        </w:rPr>
        <w:t xml:space="preserve">since the exit </w:t>
      </w:r>
      <w:r w:rsidR="004C117B">
        <w:rPr>
          <w:color w:val="000000"/>
          <w:lang w:eastAsia="x-none"/>
        </w:rPr>
        <w:t>leads to an inverted U</w:t>
      </w:r>
      <w:r w:rsidR="00F67110">
        <w:rPr>
          <w:color w:val="000000"/>
          <w:lang w:eastAsia="x-none"/>
        </w:rPr>
        <w:t>-</w:t>
      </w:r>
      <w:r w:rsidR="004C117B">
        <w:rPr>
          <w:color w:val="000000"/>
          <w:lang w:eastAsia="x-none"/>
        </w:rPr>
        <w:t>shape</w:t>
      </w:r>
      <w:r w:rsidR="00F67110">
        <w:rPr>
          <w:color w:val="000000"/>
          <w:lang w:eastAsia="x-none"/>
        </w:rPr>
        <w:t>d</w:t>
      </w:r>
      <w:r w:rsidR="004C117B">
        <w:rPr>
          <w:color w:val="000000"/>
          <w:lang w:eastAsia="x-none"/>
        </w:rPr>
        <w:t xml:space="preserve"> relationship </w:t>
      </w:r>
      <w:r w:rsidR="00154D25" w:rsidRPr="00154D25">
        <w:rPr>
          <w:color w:val="000000"/>
          <w:lang w:eastAsia="x-none"/>
        </w:rPr>
        <w:t>between the time-out period and</w:t>
      </w:r>
      <w:r w:rsidR="00154D25">
        <w:rPr>
          <w:color w:val="000000"/>
          <w:lang w:eastAsia="x-none"/>
        </w:rPr>
        <w:t xml:space="preserve"> </w:t>
      </w:r>
      <w:r w:rsidR="00BA1D76">
        <w:rPr>
          <w:color w:val="000000"/>
          <w:lang w:eastAsia="x-none"/>
        </w:rPr>
        <w:t xml:space="preserve">re-entry export performance. </w:t>
      </w:r>
    </w:p>
    <w:p w14:paraId="12CCEE4F" w14:textId="7D98FE52" w:rsidR="00F13324" w:rsidRDefault="0018773B" w:rsidP="00BC4D95">
      <w:pPr>
        <w:tabs>
          <w:tab w:val="left" w:pos="284"/>
        </w:tabs>
        <w:spacing w:line="480" w:lineRule="auto"/>
        <w:ind w:firstLine="284"/>
        <w:rPr>
          <w:color w:val="000000"/>
          <w:lang w:eastAsia="x-none"/>
        </w:rPr>
      </w:pPr>
      <w:r>
        <w:rPr>
          <w:color w:val="000000"/>
          <w:lang w:eastAsia="x-none"/>
        </w:rPr>
        <w:t>W</w:t>
      </w:r>
      <w:r w:rsidR="00B018D2">
        <w:rPr>
          <w:color w:val="000000"/>
          <w:lang w:eastAsia="x-none"/>
        </w:rPr>
        <w:t xml:space="preserve">e </w:t>
      </w:r>
      <w:r w:rsidR="00923B44">
        <w:rPr>
          <w:color w:val="000000"/>
          <w:lang w:eastAsia="x-none"/>
        </w:rPr>
        <w:t xml:space="preserve">also contribute to the re-entry literature by </w:t>
      </w:r>
      <w:r w:rsidR="00491B34">
        <w:rPr>
          <w:color w:val="000000"/>
          <w:lang w:eastAsia="x-none"/>
        </w:rPr>
        <w:t>explaining</w:t>
      </w:r>
      <w:r w:rsidR="00CF6A64">
        <w:rPr>
          <w:color w:val="000000"/>
          <w:lang w:eastAsia="x-none"/>
        </w:rPr>
        <w:t xml:space="preserve"> </w:t>
      </w:r>
      <w:r w:rsidR="00707BE5">
        <w:rPr>
          <w:color w:val="000000"/>
          <w:lang w:eastAsia="x-none"/>
        </w:rPr>
        <w:t xml:space="preserve">that </w:t>
      </w:r>
      <w:r w:rsidR="00CF6A64">
        <w:rPr>
          <w:color w:val="000000"/>
          <w:lang w:eastAsia="x-none"/>
        </w:rPr>
        <w:t>the</w:t>
      </w:r>
      <w:r w:rsidR="00F863D2">
        <w:rPr>
          <w:color w:val="000000"/>
          <w:lang w:eastAsia="x-none"/>
        </w:rPr>
        <w:t xml:space="preserve"> </w:t>
      </w:r>
      <w:r w:rsidR="00CF6A64">
        <w:rPr>
          <w:color w:val="000000"/>
          <w:lang w:eastAsia="x-none"/>
        </w:rPr>
        <w:t xml:space="preserve">knowledge that firms accumulate during the </w:t>
      </w:r>
      <w:r w:rsidR="009B73EF">
        <w:rPr>
          <w:color w:val="000000"/>
          <w:lang w:eastAsia="x-none"/>
        </w:rPr>
        <w:t>time-out</w:t>
      </w:r>
      <w:r w:rsidR="00CF6A64">
        <w:rPr>
          <w:color w:val="000000"/>
          <w:lang w:eastAsia="x-none"/>
        </w:rPr>
        <w:t xml:space="preserve"> period </w:t>
      </w:r>
      <w:r w:rsidR="00A30006">
        <w:rPr>
          <w:color w:val="000000"/>
          <w:lang w:eastAsia="x-none"/>
        </w:rPr>
        <w:t xml:space="preserve">from </w:t>
      </w:r>
      <w:r w:rsidR="00CF6A64">
        <w:rPr>
          <w:color w:val="000000"/>
          <w:lang w:eastAsia="x-none"/>
        </w:rPr>
        <w:t xml:space="preserve">foreign collaborations </w:t>
      </w:r>
      <w:r w:rsidR="00A30006">
        <w:rPr>
          <w:color w:val="000000"/>
          <w:lang w:eastAsia="x-none"/>
        </w:rPr>
        <w:t xml:space="preserve">enhances </w:t>
      </w:r>
      <w:r w:rsidR="006048CF">
        <w:rPr>
          <w:color w:val="000000"/>
          <w:lang w:eastAsia="x-none"/>
        </w:rPr>
        <w:t xml:space="preserve">(1) </w:t>
      </w:r>
      <w:r w:rsidR="00BA1D76">
        <w:rPr>
          <w:color w:val="000000"/>
          <w:lang w:eastAsia="x-none"/>
        </w:rPr>
        <w:t xml:space="preserve">the confidence </w:t>
      </w:r>
      <w:r w:rsidR="00A30006">
        <w:rPr>
          <w:color w:val="000000"/>
          <w:lang w:eastAsia="x-none"/>
        </w:rPr>
        <w:t xml:space="preserve">of </w:t>
      </w:r>
      <w:r w:rsidR="00BA1D76">
        <w:rPr>
          <w:color w:val="000000"/>
          <w:lang w:eastAsia="x-none"/>
        </w:rPr>
        <w:t>managers about re-</w:t>
      </w:r>
      <w:r w:rsidR="000D170C">
        <w:rPr>
          <w:color w:val="000000"/>
          <w:lang w:eastAsia="x-none"/>
        </w:rPr>
        <w:t xml:space="preserve">starting </w:t>
      </w:r>
      <w:r w:rsidR="00BA1D76">
        <w:rPr>
          <w:color w:val="000000"/>
          <w:lang w:eastAsia="x-none"/>
        </w:rPr>
        <w:t>exporting during the earl</w:t>
      </w:r>
      <w:r w:rsidR="000D170C">
        <w:rPr>
          <w:color w:val="000000"/>
          <w:lang w:eastAsia="x-none"/>
        </w:rPr>
        <w:t>ier</w:t>
      </w:r>
      <w:r w:rsidR="00707BE5">
        <w:rPr>
          <w:color w:val="000000"/>
          <w:lang w:eastAsia="x-none"/>
        </w:rPr>
        <w:t xml:space="preserve"> </w:t>
      </w:r>
      <w:r w:rsidR="000D170C">
        <w:rPr>
          <w:color w:val="000000"/>
          <w:lang w:eastAsia="x-none"/>
        </w:rPr>
        <w:t>(</w:t>
      </w:r>
      <w:r w:rsidR="00707BE5">
        <w:rPr>
          <w:color w:val="000000"/>
          <w:lang w:eastAsia="x-none"/>
        </w:rPr>
        <w:t>rather than the late</w:t>
      </w:r>
      <w:r w:rsidR="000D170C">
        <w:rPr>
          <w:color w:val="000000"/>
          <w:lang w:eastAsia="x-none"/>
        </w:rPr>
        <w:t>r)</w:t>
      </w:r>
      <w:r w:rsidR="00BA1D76">
        <w:rPr>
          <w:color w:val="000000"/>
          <w:lang w:eastAsia="x-none"/>
        </w:rPr>
        <w:t xml:space="preserve"> stages </w:t>
      </w:r>
      <w:r w:rsidR="001F4CCB">
        <w:rPr>
          <w:color w:val="000000"/>
          <w:lang w:eastAsia="x-none"/>
        </w:rPr>
        <w:t xml:space="preserve">since the </w:t>
      </w:r>
      <w:r w:rsidR="001F4CCB">
        <w:rPr>
          <w:color w:val="000000"/>
          <w:lang w:eastAsia="x-none"/>
        </w:rPr>
        <w:lastRenderedPageBreak/>
        <w:t>exit</w:t>
      </w:r>
      <w:r w:rsidR="00BA1D76">
        <w:rPr>
          <w:color w:val="000000"/>
          <w:lang w:eastAsia="x-none"/>
        </w:rPr>
        <w:t>, and</w:t>
      </w:r>
      <w:r w:rsidR="006048CF">
        <w:rPr>
          <w:color w:val="000000"/>
          <w:lang w:eastAsia="x-none"/>
        </w:rPr>
        <w:t xml:space="preserve"> (2)</w:t>
      </w:r>
      <w:r w:rsidR="00BA1D76">
        <w:rPr>
          <w:color w:val="000000"/>
          <w:lang w:eastAsia="x-none"/>
        </w:rPr>
        <w:t xml:space="preserve"> </w:t>
      </w:r>
      <w:r w:rsidR="005C6AB6">
        <w:rPr>
          <w:color w:val="000000"/>
          <w:lang w:eastAsia="x-none"/>
        </w:rPr>
        <w:t xml:space="preserve">the effectiveness of </w:t>
      </w:r>
      <w:r w:rsidR="000D170C">
        <w:rPr>
          <w:color w:val="000000"/>
          <w:lang w:eastAsia="x-none"/>
        </w:rPr>
        <w:t xml:space="preserve">a firm’s </w:t>
      </w:r>
      <w:r w:rsidR="005C6AB6">
        <w:rPr>
          <w:color w:val="000000"/>
          <w:lang w:eastAsia="x-none"/>
        </w:rPr>
        <w:t>strategies</w:t>
      </w:r>
      <w:r w:rsidR="00EE34EF">
        <w:rPr>
          <w:color w:val="000000"/>
          <w:lang w:eastAsia="x-none"/>
        </w:rPr>
        <w:t xml:space="preserve"> and </w:t>
      </w:r>
      <w:r w:rsidR="006447CD">
        <w:rPr>
          <w:color w:val="000000"/>
          <w:lang w:eastAsia="x-none"/>
        </w:rPr>
        <w:t>re-entry export performance during</w:t>
      </w:r>
      <w:r w:rsidR="005C6AB6">
        <w:rPr>
          <w:color w:val="000000"/>
          <w:lang w:eastAsia="x-none"/>
        </w:rPr>
        <w:t xml:space="preserve"> the </w:t>
      </w:r>
      <w:r w:rsidR="000D170C">
        <w:rPr>
          <w:color w:val="000000"/>
          <w:lang w:eastAsia="x-none"/>
        </w:rPr>
        <w:t xml:space="preserve">later </w:t>
      </w:r>
      <w:r w:rsidR="00707BE5">
        <w:rPr>
          <w:color w:val="000000"/>
          <w:lang w:eastAsia="x-none"/>
        </w:rPr>
        <w:t>rather than the earlier</w:t>
      </w:r>
      <w:r w:rsidR="005C6AB6">
        <w:rPr>
          <w:color w:val="000000"/>
          <w:lang w:eastAsia="x-none"/>
        </w:rPr>
        <w:t xml:space="preserve"> stages </w:t>
      </w:r>
      <w:r w:rsidR="001F4CCB">
        <w:rPr>
          <w:color w:val="000000"/>
          <w:lang w:eastAsia="x-none"/>
        </w:rPr>
        <w:t>since the exit event has occurred</w:t>
      </w:r>
      <w:r w:rsidR="005C6AB6">
        <w:rPr>
          <w:color w:val="000000"/>
          <w:lang w:eastAsia="x-none"/>
        </w:rPr>
        <w:t xml:space="preserve">. </w:t>
      </w:r>
    </w:p>
    <w:p w14:paraId="230F7A1D" w14:textId="6131EE39" w:rsidR="00707BE5" w:rsidRPr="00707BE5" w:rsidRDefault="00CC081C" w:rsidP="00EA7DD9">
      <w:pPr>
        <w:tabs>
          <w:tab w:val="left" w:pos="284"/>
        </w:tabs>
        <w:spacing w:line="480" w:lineRule="auto"/>
        <w:rPr>
          <w:color w:val="000000"/>
          <w:lang w:eastAsia="x-none"/>
        </w:rPr>
      </w:pPr>
      <w:r>
        <w:rPr>
          <w:color w:val="000000"/>
          <w:lang w:eastAsia="x-none"/>
        </w:rPr>
        <w:tab/>
      </w:r>
      <w:r w:rsidR="00DB385A">
        <w:rPr>
          <w:color w:val="000000"/>
          <w:lang w:eastAsia="x-none"/>
        </w:rPr>
        <w:t>Regarding</w:t>
      </w:r>
      <w:r w:rsidR="00255ACC">
        <w:rPr>
          <w:color w:val="000000"/>
          <w:lang w:eastAsia="x-none"/>
        </w:rPr>
        <w:t xml:space="preserve"> </w:t>
      </w:r>
      <w:r w:rsidR="00707BE5">
        <w:rPr>
          <w:color w:val="000000"/>
          <w:lang w:eastAsia="x-none"/>
        </w:rPr>
        <w:t>the likelihood of re-entry, c</w:t>
      </w:r>
      <w:r w:rsidR="00707BE5" w:rsidRPr="00707BE5">
        <w:rPr>
          <w:color w:val="000000"/>
          <w:lang w:eastAsia="x-none"/>
        </w:rPr>
        <w:t xml:space="preserve">ollaborations play an important role in </w:t>
      </w:r>
      <w:r w:rsidR="00BF7C47">
        <w:rPr>
          <w:color w:val="000000"/>
          <w:lang w:eastAsia="x-none"/>
        </w:rPr>
        <w:t>reducing</w:t>
      </w:r>
      <w:r w:rsidR="00BF7C47" w:rsidRPr="00707BE5">
        <w:rPr>
          <w:color w:val="000000"/>
          <w:lang w:eastAsia="x-none"/>
        </w:rPr>
        <w:t xml:space="preserve"> </w:t>
      </w:r>
      <w:r w:rsidR="00707BE5" w:rsidRPr="00707BE5">
        <w:rPr>
          <w:color w:val="000000"/>
          <w:lang w:eastAsia="x-none"/>
        </w:rPr>
        <w:t xml:space="preserve">the </w:t>
      </w:r>
      <w:r w:rsidR="00736E1E">
        <w:rPr>
          <w:color w:val="000000"/>
          <w:lang w:eastAsia="x-none"/>
        </w:rPr>
        <w:t xml:space="preserve">high level of </w:t>
      </w:r>
      <w:r w:rsidR="00707BE5" w:rsidRPr="00707BE5">
        <w:rPr>
          <w:color w:val="000000"/>
          <w:lang w:eastAsia="x-none"/>
        </w:rPr>
        <w:t xml:space="preserve">perceived risk that arises after </w:t>
      </w:r>
      <w:r w:rsidR="00417DA6">
        <w:rPr>
          <w:color w:val="000000"/>
          <w:lang w:eastAsia="x-none"/>
        </w:rPr>
        <w:t>the</w:t>
      </w:r>
      <w:r w:rsidR="00417DA6" w:rsidRPr="00707BE5">
        <w:rPr>
          <w:color w:val="000000"/>
          <w:lang w:eastAsia="x-none"/>
        </w:rPr>
        <w:t xml:space="preserve"> </w:t>
      </w:r>
      <w:r w:rsidR="00707BE5" w:rsidRPr="00707BE5">
        <w:rPr>
          <w:color w:val="000000"/>
          <w:lang w:eastAsia="x-none"/>
        </w:rPr>
        <w:t>exit (</w:t>
      </w:r>
      <w:r w:rsidR="004C2B57">
        <w:rPr>
          <w:color w:val="000000"/>
          <w:lang w:eastAsia="x-none"/>
        </w:rPr>
        <w:t>Javalgi</w:t>
      </w:r>
      <w:r w:rsidR="004C2B57" w:rsidRPr="004C2B57">
        <w:rPr>
          <w:color w:val="000000"/>
          <w:lang w:eastAsia="x-none"/>
        </w:rPr>
        <w:t xml:space="preserve"> </w:t>
      </w:r>
      <w:r w:rsidR="00707BE5" w:rsidRPr="004C2B57">
        <w:rPr>
          <w:color w:val="000000"/>
          <w:lang w:eastAsia="x-none"/>
        </w:rPr>
        <w:t>et al., 2011; Welch</w:t>
      </w:r>
      <w:r w:rsidR="00707BE5" w:rsidRPr="00707BE5">
        <w:rPr>
          <w:color w:val="000000"/>
          <w:lang w:eastAsia="x-none"/>
        </w:rPr>
        <w:t xml:space="preserve"> </w:t>
      </w:r>
      <w:r w:rsidR="00C8344E">
        <w:t>&amp;</w:t>
      </w:r>
      <w:r w:rsidR="00707BE5" w:rsidRPr="00B52F63">
        <w:t xml:space="preserve"> </w:t>
      </w:r>
      <w:r w:rsidR="00707BE5" w:rsidRPr="00707BE5">
        <w:rPr>
          <w:color w:val="000000"/>
          <w:lang w:eastAsia="x-none"/>
        </w:rPr>
        <w:t>Welch, 2009)</w:t>
      </w:r>
      <w:r w:rsidR="00431C1C">
        <w:rPr>
          <w:color w:val="000000"/>
          <w:lang w:eastAsia="x-none"/>
        </w:rPr>
        <w:t>.</w:t>
      </w:r>
      <w:r w:rsidR="00707BE5" w:rsidRPr="00707BE5">
        <w:rPr>
          <w:color w:val="000000"/>
          <w:lang w:eastAsia="x-none"/>
        </w:rPr>
        <w:t xml:space="preserve"> </w:t>
      </w:r>
      <w:r w:rsidR="00154D25" w:rsidRPr="00154D25">
        <w:rPr>
          <w:color w:val="000000"/>
          <w:lang w:eastAsia="x-none"/>
        </w:rPr>
        <w:t xml:space="preserve">Foreign partners can help firms identify some of the </w:t>
      </w:r>
      <w:r w:rsidR="000F75CB">
        <w:rPr>
          <w:color w:val="000000"/>
          <w:lang w:eastAsia="x-none"/>
        </w:rPr>
        <w:t>challenges</w:t>
      </w:r>
      <w:r w:rsidR="000F75CB" w:rsidRPr="00154D25">
        <w:rPr>
          <w:color w:val="000000"/>
          <w:lang w:eastAsia="x-none"/>
        </w:rPr>
        <w:t xml:space="preserve"> </w:t>
      </w:r>
      <w:r w:rsidR="00154D25" w:rsidRPr="00154D25">
        <w:rPr>
          <w:color w:val="000000"/>
          <w:lang w:eastAsia="x-none"/>
        </w:rPr>
        <w:t>(e.g., adjust</w:t>
      </w:r>
      <w:r w:rsidR="000F75CB">
        <w:rPr>
          <w:color w:val="000000"/>
          <w:lang w:eastAsia="x-none"/>
        </w:rPr>
        <w:t>ing</w:t>
      </w:r>
      <w:r w:rsidR="00154D25" w:rsidRPr="00154D25">
        <w:rPr>
          <w:color w:val="000000"/>
          <w:lang w:eastAsia="x-none"/>
        </w:rPr>
        <w:t xml:space="preserve"> to </w:t>
      </w:r>
      <w:r w:rsidR="000F75CB">
        <w:rPr>
          <w:color w:val="000000"/>
          <w:lang w:eastAsia="x-none"/>
        </w:rPr>
        <w:t xml:space="preserve">different </w:t>
      </w:r>
      <w:r w:rsidR="00154D25" w:rsidRPr="00154D25">
        <w:rPr>
          <w:color w:val="000000"/>
          <w:lang w:eastAsia="x-none"/>
        </w:rPr>
        <w:t>culture</w:t>
      </w:r>
      <w:r w:rsidR="000F75CB">
        <w:rPr>
          <w:color w:val="000000"/>
          <w:lang w:eastAsia="x-none"/>
        </w:rPr>
        <w:t>s,</w:t>
      </w:r>
      <w:r w:rsidR="00154D25" w:rsidRPr="00154D25">
        <w:rPr>
          <w:color w:val="000000"/>
          <w:lang w:eastAsia="x-none"/>
        </w:rPr>
        <w:t xml:space="preserve"> customer preferences</w:t>
      </w:r>
      <w:r w:rsidR="007D4E27">
        <w:rPr>
          <w:color w:val="000000"/>
          <w:lang w:eastAsia="x-none"/>
        </w:rPr>
        <w:t>,</w:t>
      </w:r>
      <w:r w:rsidR="000F75CB">
        <w:rPr>
          <w:color w:val="000000"/>
          <w:lang w:eastAsia="x-none"/>
        </w:rPr>
        <w:t xml:space="preserve"> and institutions</w:t>
      </w:r>
      <w:r w:rsidR="00154D25" w:rsidRPr="00154D25">
        <w:rPr>
          <w:color w:val="000000"/>
          <w:lang w:eastAsia="x-none"/>
        </w:rPr>
        <w:t xml:space="preserve">) that led to exit and overcome those by assisting managers in </w:t>
      </w:r>
      <w:r w:rsidR="000F75CB">
        <w:rPr>
          <w:color w:val="000000"/>
          <w:lang w:eastAsia="x-none"/>
        </w:rPr>
        <w:t>identifying</w:t>
      </w:r>
      <w:r w:rsidR="000F75CB" w:rsidRPr="00154D25">
        <w:rPr>
          <w:color w:val="000000"/>
          <w:lang w:eastAsia="x-none"/>
        </w:rPr>
        <w:t xml:space="preserve"> </w:t>
      </w:r>
      <w:r w:rsidR="00154D25" w:rsidRPr="00154D25">
        <w:rPr>
          <w:color w:val="000000"/>
          <w:lang w:eastAsia="x-none"/>
        </w:rPr>
        <w:t>corrective action</w:t>
      </w:r>
      <w:r w:rsidR="000F75CB">
        <w:rPr>
          <w:color w:val="000000"/>
          <w:lang w:eastAsia="x-none"/>
        </w:rPr>
        <w:t>s</w:t>
      </w:r>
      <w:r w:rsidR="00154D25" w:rsidRPr="00154D25">
        <w:rPr>
          <w:color w:val="000000"/>
          <w:lang w:eastAsia="x-none"/>
        </w:rPr>
        <w:t>. This</w:t>
      </w:r>
      <w:r w:rsidR="001241E5">
        <w:rPr>
          <w:color w:val="000000"/>
          <w:lang w:eastAsia="x-none"/>
        </w:rPr>
        <w:t>,</w:t>
      </w:r>
      <w:r w:rsidR="00154D25" w:rsidRPr="00154D25">
        <w:rPr>
          <w:color w:val="000000"/>
          <w:lang w:eastAsia="x-none"/>
        </w:rPr>
        <w:t xml:space="preserve"> in turn</w:t>
      </w:r>
      <w:r w:rsidR="001241E5">
        <w:rPr>
          <w:color w:val="000000"/>
          <w:lang w:eastAsia="x-none"/>
        </w:rPr>
        <w:t>,</w:t>
      </w:r>
      <w:r w:rsidR="00154D25" w:rsidRPr="00154D25">
        <w:rPr>
          <w:color w:val="000000"/>
          <w:lang w:eastAsia="x-none"/>
        </w:rPr>
        <w:t xml:space="preserve"> increases confidence about re-entering export markets (Domininquez </w:t>
      </w:r>
      <w:r w:rsidR="004761C6">
        <w:t>&amp;</w:t>
      </w:r>
      <w:r w:rsidR="00154D25" w:rsidRPr="00B52F63">
        <w:t xml:space="preserve"> </w:t>
      </w:r>
      <w:r w:rsidR="00154D25" w:rsidRPr="00154D25">
        <w:rPr>
          <w:color w:val="000000"/>
          <w:lang w:eastAsia="x-none"/>
        </w:rPr>
        <w:t xml:space="preserve">Mayrhofer, 2017; Vissak </w:t>
      </w:r>
      <w:r w:rsidR="004761C6">
        <w:t>&amp;</w:t>
      </w:r>
      <w:r w:rsidR="00154D25" w:rsidRPr="00B52F63">
        <w:t xml:space="preserve"> </w:t>
      </w:r>
      <w:r w:rsidR="00154D25" w:rsidRPr="00154D25">
        <w:rPr>
          <w:color w:val="000000"/>
          <w:lang w:eastAsia="x-none"/>
        </w:rPr>
        <w:t>Francionni, 2013; Vissak et al., 2020)</w:t>
      </w:r>
      <w:r w:rsidR="00154D25">
        <w:rPr>
          <w:color w:val="000000"/>
          <w:lang w:eastAsia="x-none"/>
        </w:rPr>
        <w:t xml:space="preserve">. </w:t>
      </w:r>
      <w:r w:rsidR="00707BE5" w:rsidRPr="00707BE5">
        <w:rPr>
          <w:color w:val="000000"/>
          <w:lang w:eastAsia="x-none"/>
        </w:rPr>
        <w:t>Nevertheless, after this</w:t>
      </w:r>
      <w:r w:rsidR="00C42390">
        <w:rPr>
          <w:color w:val="000000"/>
          <w:lang w:eastAsia="x-none"/>
        </w:rPr>
        <w:t xml:space="preserve"> early</w:t>
      </w:r>
      <w:r w:rsidR="00707BE5" w:rsidRPr="00707BE5">
        <w:rPr>
          <w:color w:val="000000"/>
          <w:lang w:eastAsia="x-none"/>
        </w:rPr>
        <w:t xml:space="preserve"> phase, collaborating appears to have a progressively less important effect on the likelihood of re-entry. </w:t>
      </w:r>
      <w:r w:rsidR="002B3BCA">
        <w:rPr>
          <w:color w:val="000000"/>
          <w:lang w:eastAsia="x-none"/>
        </w:rPr>
        <w:t>F</w:t>
      </w:r>
      <w:r w:rsidR="00707BE5" w:rsidRPr="00707BE5">
        <w:rPr>
          <w:color w:val="000000"/>
          <w:lang w:eastAsia="x-none"/>
        </w:rPr>
        <w:t>irms that have not re-start</w:t>
      </w:r>
      <w:r w:rsidR="002B3BCA">
        <w:rPr>
          <w:color w:val="000000"/>
          <w:lang w:eastAsia="x-none"/>
        </w:rPr>
        <w:t>ed</w:t>
      </w:r>
      <w:r w:rsidR="00707BE5" w:rsidRPr="00707BE5">
        <w:rPr>
          <w:color w:val="000000"/>
          <w:lang w:eastAsia="x-none"/>
        </w:rPr>
        <w:t xml:space="preserve"> exporting after exchanging knowledge with foreign partners for </w:t>
      </w:r>
      <w:r w:rsidR="002E48A7" w:rsidRPr="002E48A7">
        <w:rPr>
          <w:color w:val="000000"/>
          <w:lang w:eastAsia="x-none"/>
        </w:rPr>
        <w:t>some time</w:t>
      </w:r>
      <w:r w:rsidR="002A2335">
        <w:rPr>
          <w:color w:val="000000"/>
          <w:lang w:eastAsia="x-none"/>
        </w:rPr>
        <w:t xml:space="preserve"> </w:t>
      </w:r>
      <w:r w:rsidR="002B3BCA">
        <w:rPr>
          <w:color w:val="000000"/>
          <w:lang w:eastAsia="x-none"/>
        </w:rPr>
        <w:t>may</w:t>
      </w:r>
      <w:r w:rsidR="002B3BCA" w:rsidRPr="00707BE5">
        <w:rPr>
          <w:color w:val="000000"/>
          <w:lang w:eastAsia="x-none"/>
        </w:rPr>
        <w:t xml:space="preserve"> </w:t>
      </w:r>
      <w:r w:rsidR="00707BE5" w:rsidRPr="00707BE5">
        <w:rPr>
          <w:color w:val="000000"/>
          <w:lang w:eastAsia="x-none"/>
        </w:rPr>
        <w:t>lose trust in their partners’ ability to help their re-</w:t>
      </w:r>
      <w:r w:rsidR="00577B6A">
        <w:rPr>
          <w:color w:val="000000"/>
          <w:lang w:eastAsia="x-none"/>
        </w:rPr>
        <w:t xml:space="preserve">entry </w:t>
      </w:r>
      <w:r w:rsidR="00707BE5" w:rsidRPr="00707BE5">
        <w:rPr>
          <w:color w:val="000000"/>
          <w:lang w:eastAsia="x-none"/>
        </w:rPr>
        <w:t>effort</w:t>
      </w:r>
      <w:r w:rsidR="002B3BCA">
        <w:rPr>
          <w:color w:val="000000"/>
          <w:lang w:eastAsia="x-none"/>
        </w:rPr>
        <w:t>s</w:t>
      </w:r>
      <w:r w:rsidR="00707BE5" w:rsidRPr="00707BE5">
        <w:rPr>
          <w:color w:val="000000"/>
          <w:lang w:eastAsia="x-none"/>
        </w:rPr>
        <w:t xml:space="preserve"> </w:t>
      </w:r>
      <w:r w:rsidR="00230DEC" w:rsidRPr="00707BE5">
        <w:rPr>
          <w:color w:val="000000"/>
          <w:lang w:eastAsia="x-none"/>
        </w:rPr>
        <w:t>and</w:t>
      </w:r>
      <w:r w:rsidR="00230DEC">
        <w:rPr>
          <w:color w:val="000000"/>
          <w:lang w:eastAsia="x-none"/>
        </w:rPr>
        <w:t>/</w:t>
      </w:r>
      <w:r w:rsidR="00707BE5" w:rsidRPr="00707BE5">
        <w:rPr>
          <w:color w:val="000000"/>
          <w:lang w:eastAsia="x-none"/>
        </w:rPr>
        <w:t xml:space="preserve">or in their own capabilities to </w:t>
      </w:r>
      <w:r w:rsidR="002B3BCA">
        <w:rPr>
          <w:color w:val="000000"/>
          <w:lang w:eastAsia="x-none"/>
        </w:rPr>
        <w:t>do so</w:t>
      </w:r>
      <w:r w:rsidR="00707BE5" w:rsidRPr="00707BE5">
        <w:rPr>
          <w:color w:val="000000"/>
          <w:lang w:eastAsia="x-none"/>
        </w:rPr>
        <w:t xml:space="preserve">. This </w:t>
      </w:r>
      <w:r w:rsidR="00DB2749">
        <w:rPr>
          <w:color w:val="000000"/>
          <w:lang w:eastAsia="x-none"/>
        </w:rPr>
        <w:t>may</w:t>
      </w:r>
      <w:r w:rsidR="00DB2749" w:rsidRPr="00707BE5">
        <w:rPr>
          <w:color w:val="000000"/>
          <w:lang w:eastAsia="x-none"/>
        </w:rPr>
        <w:t xml:space="preserve"> </w:t>
      </w:r>
      <w:r w:rsidR="00707BE5" w:rsidRPr="00707BE5">
        <w:rPr>
          <w:color w:val="000000"/>
          <w:lang w:eastAsia="x-none"/>
        </w:rPr>
        <w:t>lead to ‘internal failure’ and therefore to a loss of confidence about re-start</w:t>
      </w:r>
      <w:r w:rsidR="0041121D">
        <w:rPr>
          <w:color w:val="000000"/>
          <w:lang w:eastAsia="x-none"/>
        </w:rPr>
        <w:t>ing</w:t>
      </w:r>
      <w:r w:rsidR="00707BE5" w:rsidRPr="00707BE5">
        <w:rPr>
          <w:color w:val="000000"/>
          <w:lang w:eastAsia="x-none"/>
        </w:rPr>
        <w:t xml:space="preserve"> exporting. We</w:t>
      </w:r>
      <w:r w:rsidR="007D4E27">
        <w:rPr>
          <w:color w:val="000000"/>
          <w:lang w:eastAsia="x-none"/>
        </w:rPr>
        <w:t>,</w:t>
      </w:r>
      <w:r w:rsidR="00707BE5" w:rsidRPr="00707BE5">
        <w:rPr>
          <w:color w:val="000000"/>
          <w:lang w:eastAsia="x-none"/>
        </w:rPr>
        <w:t xml:space="preserve"> therefore</w:t>
      </w:r>
      <w:r w:rsidR="007D4E27">
        <w:rPr>
          <w:color w:val="000000"/>
          <w:lang w:eastAsia="x-none"/>
        </w:rPr>
        <w:t>,</w:t>
      </w:r>
      <w:r w:rsidR="00707BE5" w:rsidRPr="00707BE5">
        <w:rPr>
          <w:color w:val="000000"/>
          <w:lang w:eastAsia="x-none"/>
        </w:rPr>
        <w:t xml:space="preserve"> </w:t>
      </w:r>
      <w:r w:rsidR="0088230A">
        <w:rPr>
          <w:color w:val="000000"/>
          <w:lang w:eastAsia="x-none"/>
        </w:rPr>
        <w:t>show</w:t>
      </w:r>
      <w:r w:rsidR="0088230A" w:rsidRPr="00707BE5">
        <w:rPr>
          <w:color w:val="000000"/>
          <w:lang w:eastAsia="x-none"/>
        </w:rPr>
        <w:t xml:space="preserve"> </w:t>
      </w:r>
      <w:r w:rsidR="00707BE5" w:rsidRPr="00707BE5">
        <w:rPr>
          <w:color w:val="000000"/>
          <w:lang w:eastAsia="x-none"/>
        </w:rPr>
        <w:t xml:space="preserve">that the effect </w:t>
      </w:r>
      <w:r w:rsidR="00230DEC">
        <w:rPr>
          <w:color w:val="000000"/>
          <w:lang w:eastAsia="x-none"/>
        </w:rPr>
        <w:t>of</w:t>
      </w:r>
      <w:r w:rsidR="00230DEC" w:rsidRPr="00707BE5">
        <w:rPr>
          <w:color w:val="000000"/>
          <w:lang w:eastAsia="x-none"/>
        </w:rPr>
        <w:t xml:space="preserve"> </w:t>
      </w:r>
      <w:r w:rsidR="00707BE5" w:rsidRPr="00707BE5">
        <w:rPr>
          <w:color w:val="000000"/>
          <w:lang w:eastAsia="x-none"/>
        </w:rPr>
        <w:t xml:space="preserve">foreign </w:t>
      </w:r>
      <w:r w:rsidR="0044708E">
        <w:rPr>
          <w:color w:val="000000"/>
          <w:lang w:eastAsia="x-none"/>
        </w:rPr>
        <w:t>collaborations</w:t>
      </w:r>
      <w:r w:rsidR="0044708E" w:rsidRPr="00707BE5">
        <w:rPr>
          <w:color w:val="000000"/>
          <w:lang w:eastAsia="x-none"/>
        </w:rPr>
        <w:t xml:space="preserve"> </w:t>
      </w:r>
      <w:r w:rsidR="00707BE5" w:rsidRPr="00707BE5">
        <w:rPr>
          <w:color w:val="000000"/>
          <w:lang w:eastAsia="x-none"/>
        </w:rPr>
        <w:t xml:space="preserve">on the </w:t>
      </w:r>
      <w:r w:rsidR="00C827F9">
        <w:rPr>
          <w:color w:val="000000"/>
          <w:lang w:eastAsia="x-none"/>
        </w:rPr>
        <w:t>likelihood</w:t>
      </w:r>
      <w:r w:rsidR="00707BE5" w:rsidRPr="00707BE5">
        <w:rPr>
          <w:color w:val="000000"/>
          <w:lang w:eastAsia="x-none"/>
        </w:rPr>
        <w:t xml:space="preserve"> of re-entry is not </w:t>
      </w:r>
      <w:r w:rsidR="0088230A">
        <w:rPr>
          <w:color w:val="000000"/>
          <w:lang w:eastAsia="x-none"/>
        </w:rPr>
        <w:t>merely</w:t>
      </w:r>
      <w:r w:rsidR="00707BE5" w:rsidRPr="00707BE5">
        <w:rPr>
          <w:color w:val="000000"/>
          <w:lang w:eastAsia="x-none"/>
        </w:rPr>
        <w:t xml:space="preserve"> positive as </w:t>
      </w:r>
      <w:r w:rsidR="0041121D">
        <w:rPr>
          <w:color w:val="000000"/>
          <w:lang w:eastAsia="x-none"/>
        </w:rPr>
        <w:t>the literature often presumes</w:t>
      </w:r>
      <w:r w:rsidR="00707BE5" w:rsidRPr="00707BE5">
        <w:rPr>
          <w:color w:val="000000"/>
          <w:lang w:eastAsia="x-none"/>
        </w:rPr>
        <w:t xml:space="preserve"> (Yal</w:t>
      </w:r>
      <w:r w:rsidR="00083481">
        <w:rPr>
          <w:color w:val="000000"/>
          <w:lang w:eastAsia="x-none"/>
        </w:rPr>
        <w:t>y</w:t>
      </w:r>
      <w:r w:rsidR="00707BE5" w:rsidRPr="00707BE5">
        <w:rPr>
          <w:color w:val="000000"/>
          <w:lang w:eastAsia="x-none"/>
        </w:rPr>
        <w:t>a et al., 2018).</w:t>
      </w:r>
    </w:p>
    <w:p w14:paraId="0339433B" w14:textId="223CAF13" w:rsidR="004F01B5" w:rsidRDefault="00CC081C" w:rsidP="00EA7DD9">
      <w:pPr>
        <w:tabs>
          <w:tab w:val="left" w:pos="284"/>
        </w:tabs>
        <w:spacing w:line="480" w:lineRule="auto"/>
        <w:rPr>
          <w:color w:val="000000"/>
          <w:lang w:eastAsia="x-none"/>
        </w:rPr>
      </w:pPr>
      <w:r>
        <w:rPr>
          <w:color w:val="000000"/>
          <w:lang w:eastAsia="x-none"/>
        </w:rPr>
        <w:tab/>
      </w:r>
      <w:r w:rsidR="00E206F4">
        <w:rPr>
          <w:color w:val="000000"/>
          <w:lang w:eastAsia="x-none"/>
        </w:rPr>
        <w:t>Furthermore</w:t>
      </w:r>
      <w:r w:rsidR="0041121D">
        <w:rPr>
          <w:color w:val="000000"/>
          <w:lang w:eastAsia="x-none"/>
        </w:rPr>
        <w:t>,</w:t>
      </w:r>
      <w:r w:rsidR="007B47D9">
        <w:rPr>
          <w:color w:val="000000"/>
          <w:lang w:eastAsia="x-none"/>
        </w:rPr>
        <w:t xml:space="preserve"> </w:t>
      </w:r>
      <w:r w:rsidR="00A03FA6">
        <w:rPr>
          <w:color w:val="000000"/>
          <w:lang w:eastAsia="x-none"/>
        </w:rPr>
        <w:t xml:space="preserve">the study also shows that </w:t>
      </w:r>
      <w:r w:rsidR="007B47D9">
        <w:rPr>
          <w:color w:val="000000"/>
          <w:lang w:eastAsia="x-none"/>
        </w:rPr>
        <w:t>foreign collaborations</w:t>
      </w:r>
      <w:r w:rsidR="00496D58">
        <w:rPr>
          <w:color w:val="000000"/>
          <w:lang w:eastAsia="x-none"/>
        </w:rPr>
        <w:t xml:space="preserve"> appear to </w:t>
      </w:r>
      <w:r w:rsidR="0091742E">
        <w:rPr>
          <w:color w:val="000000"/>
          <w:lang w:eastAsia="x-none"/>
        </w:rPr>
        <w:t>enhance re-entry export performance mainly during the late</w:t>
      </w:r>
      <w:r w:rsidR="00A03FA6">
        <w:rPr>
          <w:color w:val="000000"/>
          <w:lang w:eastAsia="x-none"/>
        </w:rPr>
        <w:t>r</w:t>
      </w:r>
      <w:r w:rsidR="0091742E">
        <w:rPr>
          <w:color w:val="000000"/>
          <w:lang w:eastAsia="x-none"/>
        </w:rPr>
        <w:t xml:space="preserve"> </w:t>
      </w:r>
      <w:r w:rsidR="00A03FA6">
        <w:rPr>
          <w:color w:val="000000"/>
          <w:lang w:eastAsia="x-none"/>
        </w:rPr>
        <w:t>(</w:t>
      </w:r>
      <w:r w:rsidR="0091742E">
        <w:rPr>
          <w:color w:val="000000"/>
          <w:lang w:eastAsia="x-none"/>
        </w:rPr>
        <w:t>rather than the</w:t>
      </w:r>
      <w:r w:rsidR="007B47D9">
        <w:rPr>
          <w:color w:val="000000"/>
          <w:lang w:eastAsia="x-none"/>
        </w:rPr>
        <w:t xml:space="preserve"> earl</w:t>
      </w:r>
      <w:r w:rsidR="00A03FA6">
        <w:rPr>
          <w:color w:val="000000"/>
          <w:lang w:eastAsia="x-none"/>
        </w:rPr>
        <w:t>ier)</w:t>
      </w:r>
      <w:r w:rsidR="007B47D9">
        <w:rPr>
          <w:color w:val="000000"/>
          <w:lang w:eastAsia="x-none"/>
        </w:rPr>
        <w:t xml:space="preserve"> stages </w:t>
      </w:r>
      <w:r w:rsidR="00A03FA6">
        <w:rPr>
          <w:color w:val="000000"/>
          <w:lang w:eastAsia="x-none"/>
        </w:rPr>
        <w:t>of the time-out period</w:t>
      </w:r>
      <w:r w:rsidR="007B0AB2">
        <w:rPr>
          <w:color w:val="000000"/>
          <w:lang w:eastAsia="x-none"/>
        </w:rPr>
        <w:t>.</w:t>
      </w:r>
      <w:r w:rsidR="002E48A7" w:rsidRPr="002E48A7">
        <w:rPr>
          <w:color w:val="000000"/>
          <w:lang w:eastAsia="x-none"/>
        </w:rPr>
        <w:t xml:space="preserve"> </w:t>
      </w:r>
      <w:r w:rsidR="003A189D">
        <w:rPr>
          <w:color w:val="000000"/>
          <w:lang w:eastAsia="x-none"/>
        </w:rPr>
        <w:t>Our analysis suggests that</w:t>
      </w:r>
      <w:r w:rsidR="002E48A7" w:rsidRPr="002E48A7">
        <w:rPr>
          <w:color w:val="000000"/>
          <w:lang w:eastAsia="x-none"/>
        </w:rPr>
        <w:t xml:space="preserve"> during the early stages since exit, firms with a greater motivation to re-enter may become more confident to do so (e.g., through failure analysis).</w:t>
      </w:r>
      <w:r w:rsidR="007B0AB2">
        <w:rPr>
          <w:color w:val="000000"/>
          <w:lang w:eastAsia="x-none"/>
        </w:rPr>
        <w:t xml:space="preserve"> </w:t>
      </w:r>
      <w:r w:rsidR="002E48A7" w:rsidRPr="002E48A7">
        <w:rPr>
          <w:color w:val="000000"/>
          <w:lang w:eastAsia="x-none"/>
        </w:rPr>
        <w:t xml:space="preserve">During that early phase, firms </w:t>
      </w:r>
      <w:r w:rsidR="00C42390" w:rsidRPr="00C42390">
        <w:rPr>
          <w:color w:val="000000"/>
          <w:lang w:eastAsia="x-none"/>
        </w:rPr>
        <w:t>are more likely to base their decision making</w:t>
      </w:r>
      <w:r w:rsidR="006A34AA">
        <w:rPr>
          <w:color w:val="000000"/>
          <w:lang w:eastAsia="x-none"/>
        </w:rPr>
        <w:t xml:space="preserve"> regarding the strategy to be adopted after re-entry</w:t>
      </w:r>
      <w:r w:rsidR="00C42390" w:rsidRPr="00C42390">
        <w:rPr>
          <w:color w:val="000000"/>
          <w:lang w:eastAsia="x-none"/>
        </w:rPr>
        <w:t xml:space="preserve"> on their prior knowledge</w:t>
      </w:r>
      <w:r w:rsidR="00B92EE1">
        <w:rPr>
          <w:color w:val="000000"/>
          <w:lang w:eastAsia="x-none"/>
        </w:rPr>
        <w:t>,</w:t>
      </w:r>
      <w:r w:rsidR="00B92EE1" w:rsidRPr="00B92EE1">
        <w:rPr>
          <w:color w:val="000000"/>
          <w:lang w:eastAsia="x-none"/>
        </w:rPr>
        <w:t xml:space="preserve"> derived from the exit event and prior exporting activities which will still be largely intact (Surdu </w:t>
      </w:r>
      <w:r w:rsidR="004C1E4B">
        <w:t>&amp;</w:t>
      </w:r>
      <w:r w:rsidR="00B92EE1" w:rsidRPr="00B52F63">
        <w:t xml:space="preserve"> </w:t>
      </w:r>
      <w:r w:rsidR="00B92EE1" w:rsidRPr="00B92EE1">
        <w:rPr>
          <w:color w:val="000000"/>
          <w:lang w:eastAsia="x-none"/>
        </w:rPr>
        <w:t>Narula, 2021; Surdu et al., 2018). That level of knowledge</w:t>
      </w:r>
      <w:r w:rsidR="00C42390" w:rsidRPr="00C42390">
        <w:rPr>
          <w:color w:val="000000"/>
          <w:lang w:eastAsia="x-none"/>
        </w:rPr>
        <w:t xml:space="preserve"> might lead to overconfidence which can cause</w:t>
      </w:r>
      <w:r w:rsidR="00B92EE1">
        <w:rPr>
          <w:color w:val="000000"/>
          <w:lang w:eastAsia="x-none"/>
        </w:rPr>
        <w:t xml:space="preserve"> managers</w:t>
      </w:r>
      <w:r w:rsidR="00C42390" w:rsidRPr="00C42390">
        <w:rPr>
          <w:color w:val="000000"/>
          <w:lang w:eastAsia="x-none"/>
        </w:rPr>
        <w:t xml:space="preserve"> to disregard external information (</w:t>
      </w:r>
      <w:r w:rsidR="00B92EE1" w:rsidRPr="00B92EE1">
        <w:rPr>
          <w:color w:val="000000"/>
          <w:lang w:eastAsia="x-none"/>
        </w:rPr>
        <w:t>Aguzzoli et al., 202</w:t>
      </w:r>
      <w:r w:rsidR="00F743B4">
        <w:rPr>
          <w:color w:val="000000"/>
          <w:lang w:eastAsia="x-none"/>
        </w:rPr>
        <w:t>1</w:t>
      </w:r>
      <w:r w:rsidR="00B92EE1" w:rsidRPr="00B92EE1">
        <w:rPr>
          <w:color w:val="000000"/>
          <w:lang w:eastAsia="x-none"/>
        </w:rPr>
        <w:t>;</w:t>
      </w:r>
      <w:r w:rsidR="00B92EE1">
        <w:rPr>
          <w:color w:val="000000"/>
          <w:lang w:eastAsia="x-none"/>
        </w:rPr>
        <w:t xml:space="preserve"> </w:t>
      </w:r>
      <w:r w:rsidR="00C42390" w:rsidRPr="00C42390">
        <w:rPr>
          <w:color w:val="000000"/>
          <w:lang w:eastAsia="x-none"/>
        </w:rPr>
        <w:t>Nummela et al., 2016), even if it comes from their partners.</w:t>
      </w:r>
      <w:r w:rsidR="00C42390" w:rsidRPr="00C42390">
        <w:rPr>
          <w:b/>
          <w:bCs/>
          <w:color w:val="000000"/>
          <w:lang w:eastAsia="x-none"/>
        </w:rPr>
        <w:t xml:space="preserve"> </w:t>
      </w:r>
      <w:r w:rsidR="00B92EE1" w:rsidRPr="00B92EE1">
        <w:rPr>
          <w:color w:val="000000"/>
          <w:lang w:eastAsia="x-none"/>
        </w:rPr>
        <w:t xml:space="preserve">However, if firms re-enter over longer time-out periods, knowledge </w:t>
      </w:r>
      <w:r w:rsidR="00DC2EFD">
        <w:rPr>
          <w:color w:val="000000"/>
          <w:lang w:eastAsia="x-none"/>
        </w:rPr>
        <w:t>from</w:t>
      </w:r>
      <w:r w:rsidR="00DC2EFD" w:rsidRPr="00B92EE1">
        <w:rPr>
          <w:color w:val="000000"/>
          <w:lang w:eastAsia="x-none"/>
        </w:rPr>
        <w:t xml:space="preserve"> </w:t>
      </w:r>
      <w:r w:rsidR="00B92EE1" w:rsidRPr="00B92EE1">
        <w:rPr>
          <w:color w:val="000000"/>
          <w:lang w:eastAsia="x-none"/>
        </w:rPr>
        <w:t xml:space="preserve">foreign partners </w:t>
      </w:r>
      <w:r w:rsidR="00DC2EFD">
        <w:rPr>
          <w:color w:val="000000"/>
          <w:lang w:eastAsia="x-none"/>
        </w:rPr>
        <w:t>tends to</w:t>
      </w:r>
      <w:r w:rsidR="00B92EE1" w:rsidRPr="00B92EE1">
        <w:rPr>
          <w:color w:val="000000"/>
          <w:lang w:eastAsia="x-none"/>
        </w:rPr>
        <w:t xml:space="preserve"> be </w:t>
      </w:r>
      <w:r w:rsidR="00DC2EFD">
        <w:rPr>
          <w:color w:val="000000"/>
          <w:lang w:eastAsia="x-none"/>
        </w:rPr>
        <w:t>more</w:t>
      </w:r>
      <w:r w:rsidR="00B92EE1" w:rsidRPr="00B92EE1">
        <w:rPr>
          <w:color w:val="000000"/>
          <w:lang w:eastAsia="x-none"/>
        </w:rPr>
        <w:t xml:space="preserve"> importa</w:t>
      </w:r>
      <w:r w:rsidR="00DC2EFD">
        <w:rPr>
          <w:color w:val="000000"/>
          <w:lang w:eastAsia="x-none"/>
        </w:rPr>
        <w:t>nt</w:t>
      </w:r>
      <w:r w:rsidR="00B92EE1" w:rsidRPr="00B92EE1">
        <w:rPr>
          <w:color w:val="000000"/>
          <w:lang w:eastAsia="x-none"/>
        </w:rPr>
        <w:t xml:space="preserve"> and valuable for adapting re-entry strategy (Surdu </w:t>
      </w:r>
      <w:r w:rsidR="00B92EE1" w:rsidRPr="00B92EE1">
        <w:rPr>
          <w:color w:val="000000"/>
          <w:lang w:eastAsia="x-none"/>
        </w:rPr>
        <w:lastRenderedPageBreak/>
        <w:t xml:space="preserve">et al., 2018; Welch </w:t>
      </w:r>
      <w:r w:rsidR="004C1E4B">
        <w:t>&amp;</w:t>
      </w:r>
      <w:r w:rsidR="00B92EE1" w:rsidRPr="00B52F63">
        <w:t xml:space="preserve"> </w:t>
      </w:r>
      <w:r w:rsidR="00B92EE1" w:rsidRPr="00B92EE1">
        <w:rPr>
          <w:color w:val="000000"/>
          <w:lang w:eastAsia="x-none"/>
        </w:rPr>
        <w:t>Welch, 2009). This is</w:t>
      </w:r>
      <w:r w:rsidR="00DC2EFD">
        <w:rPr>
          <w:color w:val="000000"/>
          <w:lang w:eastAsia="x-none"/>
        </w:rPr>
        <w:t xml:space="preserve"> often the case</w:t>
      </w:r>
      <w:r w:rsidR="00B92EE1" w:rsidRPr="00B92EE1">
        <w:rPr>
          <w:color w:val="000000"/>
          <w:lang w:eastAsia="x-none"/>
        </w:rPr>
        <w:t xml:space="preserve"> because prior experiential knowledge will have atrophied (and confidence in managerial ability reduced) and because the external knowledge will be more recent and</w:t>
      </w:r>
      <w:r w:rsidR="00DC2EFD">
        <w:rPr>
          <w:color w:val="000000"/>
          <w:lang w:eastAsia="x-none"/>
        </w:rPr>
        <w:t>, therefore,</w:t>
      </w:r>
      <w:r w:rsidR="00B92EE1" w:rsidRPr="00B92EE1">
        <w:rPr>
          <w:color w:val="000000"/>
          <w:lang w:eastAsia="x-none"/>
        </w:rPr>
        <w:t xml:space="preserve"> in line with external market conditions. </w:t>
      </w:r>
    </w:p>
    <w:p w14:paraId="4AF06718" w14:textId="1B18E5F1" w:rsidR="004B1A69" w:rsidRDefault="004F01B5" w:rsidP="00EA7DD9">
      <w:pPr>
        <w:tabs>
          <w:tab w:val="left" w:pos="284"/>
        </w:tabs>
        <w:spacing w:line="480" w:lineRule="auto"/>
        <w:rPr>
          <w:color w:val="000000"/>
          <w:lang w:eastAsia="x-none"/>
        </w:rPr>
      </w:pPr>
      <w:r>
        <w:rPr>
          <w:color w:val="000000"/>
          <w:lang w:eastAsia="x-none"/>
        </w:rPr>
        <w:tab/>
      </w:r>
      <w:r w:rsidR="003D4623">
        <w:rPr>
          <w:color w:val="000000"/>
          <w:lang w:eastAsia="x-none"/>
        </w:rPr>
        <w:t xml:space="preserve">The above </w:t>
      </w:r>
      <w:r w:rsidR="006819A9">
        <w:rPr>
          <w:color w:val="000000"/>
          <w:lang w:eastAsia="x-none"/>
        </w:rPr>
        <w:t xml:space="preserve">contributions to </w:t>
      </w:r>
      <w:r w:rsidR="0066693B">
        <w:rPr>
          <w:color w:val="000000"/>
          <w:lang w:eastAsia="x-none"/>
        </w:rPr>
        <w:t>the re-</w:t>
      </w:r>
      <w:r w:rsidR="008E6A2D">
        <w:rPr>
          <w:color w:val="000000"/>
          <w:lang w:eastAsia="x-none"/>
        </w:rPr>
        <w:t xml:space="preserve">entry </w:t>
      </w:r>
      <w:r w:rsidR="0066693B">
        <w:rPr>
          <w:color w:val="000000"/>
          <w:lang w:eastAsia="x-none"/>
        </w:rPr>
        <w:t xml:space="preserve">literature </w:t>
      </w:r>
      <w:r w:rsidR="008E1B8B">
        <w:rPr>
          <w:color w:val="000000"/>
          <w:lang w:eastAsia="x-none"/>
        </w:rPr>
        <w:t>also</w:t>
      </w:r>
      <w:r w:rsidR="003D4623">
        <w:rPr>
          <w:color w:val="000000"/>
          <w:lang w:eastAsia="x-none"/>
        </w:rPr>
        <w:t xml:space="preserve"> </w:t>
      </w:r>
      <w:r w:rsidR="009C3E1C">
        <w:rPr>
          <w:color w:val="000000"/>
          <w:lang w:eastAsia="x-none"/>
        </w:rPr>
        <w:t xml:space="preserve">extend </w:t>
      </w:r>
      <w:r w:rsidR="003D4623">
        <w:rPr>
          <w:color w:val="000000"/>
          <w:lang w:eastAsia="x-none"/>
        </w:rPr>
        <w:t>organizational learning theory</w:t>
      </w:r>
      <w:r w:rsidR="00E00715">
        <w:rPr>
          <w:color w:val="000000"/>
          <w:lang w:eastAsia="x-none"/>
        </w:rPr>
        <w:t xml:space="preserve"> in </w:t>
      </w:r>
      <w:r w:rsidR="00C20D41">
        <w:rPr>
          <w:color w:val="000000"/>
          <w:lang w:eastAsia="x-none"/>
        </w:rPr>
        <w:t>two</w:t>
      </w:r>
      <w:r w:rsidR="00E00715">
        <w:rPr>
          <w:color w:val="000000"/>
          <w:lang w:eastAsia="x-none"/>
        </w:rPr>
        <w:t xml:space="preserve"> ways. First,</w:t>
      </w:r>
      <w:r w:rsidR="00EB6E1F">
        <w:rPr>
          <w:color w:val="000000"/>
          <w:lang w:eastAsia="x-none"/>
        </w:rPr>
        <w:t xml:space="preserve"> </w:t>
      </w:r>
      <w:r w:rsidR="002D790B">
        <w:rPr>
          <w:color w:val="000000"/>
          <w:lang w:eastAsia="x-none"/>
        </w:rPr>
        <w:t>the study</w:t>
      </w:r>
      <w:r w:rsidR="008E1B8B">
        <w:rPr>
          <w:color w:val="000000"/>
          <w:lang w:eastAsia="x-none"/>
        </w:rPr>
        <w:t xml:space="preserve"> </w:t>
      </w:r>
      <w:r w:rsidR="005B1351">
        <w:rPr>
          <w:color w:val="000000"/>
          <w:lang w:eastAsia="x-none"/>
        </w:rPr>
        <w:t>provid</w:t>
      </w:r>
      <w:r w:rsidR="009C3E1C">
        <w:rPr>
          <w:color w:val="000000"/>
          <w:lang w:eastAsia="x-none"/>
        </w:rPr>
        <w:t>e</w:t>
      </w:r>
      <w:r w:rsidR="002D790B">
        <w:rPr>
          <w:color w:val="000000"/>
          <w:lang w:eastAsia="x-none"/>
        </w:rPr>
        <w:t>s</w:t>
      </w:r>
      <w:r w:rsidR="005B1351">
        <w:rPr>
          <w:color w:val="000000"/>
          <w:lang w:eastAsia="x-none"/>
        </w:rPr>
        <w:t xml:space="preserve"> </w:t>
      </w:r>
      <w:r w:rsidR="00E00715">
        <w:rPr>
          <w:color w:val="000000"/>
          <w:lang w:eastAsia="x-none"/>
        </w:rPr>
        <w:t xml:space="preserve">a </w:t>
      </w:r>
      <w:r w:rsidR="005B1351">
        <w:rPr>
          <w:color w:val="000000"/>
          <w:lang w:eastAsia="x-none"/>
        </w:rPr>
        <w:t xml:space="preserve">detailed </w:t>
      </w:r>
      <w:r w:rsidR="007161DD">
        <w:rPr>
          <w:color w:val="000000"/>
          <w:lang w:eastAsia="x-none"/>
        </w:rPr>
        <w:t>explanation</w:t>
      </w:r>
      <w:r w:rsidR="00FA33E0">
        <w:rPr>
          <w:color w:val="000000"/>
          <w:lang w:eastAsia="x-none"/>
        </w:rPr>
        <w:t xml:space="preserve"> </w:t>
      </w:r>
      <w:r w:rsidR="009C3E1C">
        <w:rPr>
          <w:color w:val="000000"/>
          <w:lang w:eastAsia="x-none"/>
        </w:rPr>
        <w:t xml:space="preserve">of </w:t>
      </w:r>
      <w:r w:rsidR="00E00715">
        <w:rPr>
          <w:color w:val="000000"/>
          <w:lang w:eastAsia="x-none"/>
        </w:rPr>
        <w:t xml:space="preserve">the </w:t>
      </w:r>
      <w:r w:rsidR="00FA33E0">
        <w:rPr>
          <w:color w:val="000000"/>
          <w:lang w:eastAsia="x-none"/>
        </w:rPr>
        <w:t>circumstances</w:t>
      </w:r>
      <w:r w:rsidR="00E00715">
        <w:rPr>
          <w:color w:val="000000"/>
          <w:lang w:eastAsia="x-none"/>
        </w:rPr>
        <w:t xml:space="preserve"> under which</w:t>
      </w:r>
      <w:r w:rsidR="00FA33E0">
        <w:rPr>
          <w:color w:val="000000"/>
          <w:lang w:eastAsia="x-none"/>
        </w:rPr>
        <w:t xml:space="preserve"> </w:t>
      </w:r>
      <w:r w:rsidR="002A2F52">
        <w:rPr>
          <w:color w:val="000000"/>
          <w:lang w:eastAsia="x-none"/>
        </w:rPr>
        <w:t xml:space="preserve">unlearning </w:t>
      </w:r>
      <w:r w:rsidR="00265AF1">
        <w:rPr>
          <w:color w:val="000000"/>
          <w:lang w:eastAsia="x-none"/>
        </w:rPr>
        <w:t>(</w:t>
      </w:r>
      <w:r w:rsidR="00071FB8" w:rsidRPr="00071FB8">
        <w:rPr>
          <w:color w:val="000000"/>
          <w:lang w:eastAsia="x-none"/>
        </w:rPr>
        <w:t xml:space="preserve">Levitt </w:t>
      </w:r>
      <w:r w:rsidR="004C1E4B">
        <w:rPr>
          <w:color w:val="000000"/>
          <w:lang w:eastAsia="x-none"/>
        </w:rPr>
        <w:t>&amp;</w:t>
      </w:r>
      <w:r w:rsidR="00071FB8" w:rsidRPr="00071FB8">
        <w:rPr>
          <w:color w:val="000000"/>
          <w:lang w:eastAsia="x-none"/>
        </w:rPr>
        <w:t xml:space="preserve"> March, 1998</w:t>
      </w:r>
      <w:r w:rsidR="00071FB8">
        <w:rPr>
          <w:color w:val="000000"/>
          <w:lang w:eastAsia="x-none"/>
        </w:rPr>
        <w:t xml:space="preserve">; </w:t>
      </w:r>
      <w:r w:rsidR="00071FB8" w:rsidRPr="00071FB8">
        <w:rPr>
          <w:color w:val="000000"/>
          <w:lang w:eastAsia="x-none"/>
        </w:rPr>
        <w:t>Hedberg, 1981</w:t>
      </w:r>
      <w:r w:rsidR="00071FB8">
        <w:rPr>
          <w:color w:val="000000"/>
          <w:lang w:eastAsia="x-none"/>
        </w:rPr>
        <w:t>; Huber, 199</w:t>
      </w:r>
      <w:r w:rsidR="003B6755">
        <w:rPr>
          <w:color w:val="000000"/>
          <w:lang w:eastAsia="x-none"/>
        </w:rPr>
        <w:t>1</w:t>
      </w:r>
      <w:r w:rsidR="00265AF1">
        <w:rPr>
          <w:color w:val="000000"/>
          <w:lang w:eastAsia="x-none"/>
        </w:rPr>
        <w:t>)</w:t>
      </w:r>
      <w:r w:rsidR="002A2F52">
        <w:rPr>
          <w:color w:val="000000"/>
          <w:lang w:eastAsia="x-none"/>
        </w:rPr>
        <w:t xml:space="preserve"> </w:t>
      </w:r>
      <w:r w:rsidR="00CB0B7C">
        <w:rPr>
          <w:color w:val="000000"/>
          <w:lang w:eastAsia="x-none"/>
        </w:rPr>
        <w:t xml:space="preserve">is detrimental and when it </w:t>
      </w:r>
      <w:r w:rsidR="00C20D41">
        <w:rPr>
          <w:color w:val="000000"/>
          <w:lang w:eastAsia="x-none"/>
        </w:rPr>
        <w:t>can be</w:t>
      </w:r>
      <w:r w:rsidR="00CB0B7C">
        <w:rPr>
          <w:color w:val="000000"/>
          <w:lang w:eastAsia="x-none"/>
        </w:rPr>
        <w:t xml:space="preserve"> beneficial to a firm. </w:t>
      </w:r>
      <w:r w:rsidR="00944048">
        <w:rPr>
          <w:color w:val="000000"/>
          <w:lang w:eastAsia="x-none"/>
        </w:rPr>
        <w:t xml:space="preserve">We </w:t>
      </w:r>
      <w:r w:rsidR="00C456D2">
        <w:rPr>
          <w:color w:val="000000"/>
          <w:lang w:eastAsia="x-none"/>
        </w:rPr>
        <w:t xml:space="preserve">show that although </w:t>
      </w:r>
      <w:r w:rsidR="00265AF1">
        <w:rPr>
          <w:color w:val="000000"/>
          <w:lang w:eastAsia="x-none"/>
        </w:rPr>
        <w:t>unlearning can have a detrimental effect on the probability</w:t>
      </w:r>
      <w:r w:rsidR="00B018D2">
        <w:rPr>
          <w:color w:val="000000"/>
          <w:lang w:eastAsia="x-none"/>
        </w:rPr>
        <w:t xml:space="preserve"> of </w:t>
      </w:r>
      <w:r w:rsidR="00C456D2">
        <w:rPr>
          <w:color w:val="000000"/>
          <w:lang w:eastAsia="x-none"/>
        </w:rPr>
        <w:t>an</w:t>
      </w:r>
      <w:r w:rsidR="00B018D2">
        <w:rPr>
          <w:color w:val="000000"/>
          <w:lang w:eastAsia="x-none"/>
        </w:rPr>
        <w:t xml:space="preserve"> event</w:t>
      </w:r>
      <w:r w:rsidR="00C456D2">
        <w:rPr>
          <w:color w:val="000000"/>
          <w:lang w:eastAsia="x-none"/>
        </w:rPr>
        <w:t xml:space="preserve"> recurring</w:t>
      </w:r>
      <w:r w:rsidR="00265AF1">
        <w:rPr>
          <w:color w:val="000000"/>
          <w:lang w:eastAsia="x-none"/>
        </w:rPr>
        <w:t xml:space="preserve">, </w:t>
      </w:r>
      <w:r w:rsidR="00071FB8">
        <w:rPr>
          <w:color w:val="000000"/>
          <w:lang w:eastAsia="x-none"/>
        </w:rPr>
        <w:t>it</w:t>
      </w:r>
      <w:r w:rsidR="00265AF1">
        <w:rPr>
          <w:color w:val="000000"/>
          <w:lang w:eastAsia="x-none"/>
        </w:rPr>
        <w:t xml:space="preserve"> can be beneficial </w:t>
      </w:r>
      <w:r w:rsidR="00062A65">
        <w:rPr>
          <w:color w:val="000000"/>
          <w:lang w:eastAsia="x-none"/>
        </w:rPr>
        <w:t>for</w:t>
      </w:r>
      <w:r w:rsidR="00265AF1">
        <w:rPr>
          <w:color w:val="000000"/>
          <w:lang w:eastAsia="x-none"/>
        </w:rPr>
        <w:t xml:space="preserve"> </w:t>
      </w:r>
      <w:r w:rsidR="00C456D2">
        <w:rPr>
          <w:color w:val="000000"/>
          <w:lang w:eastAsia="x-none"/>
        </w:rPr>
        <w:t xml:space="preserve">the </w:t>
      </w:r>
      <w:r w:rsidR="00265AF1">
        <w:rPr>
          <w:color w:val="000000"/>
          <w:lang w:eastAsia="x-none"/>
        </w:rPr>
        <w:t>performance</w:t>
      </w:r>
      <w:r w:rsidR="00C456D2">
        <w:rPr>
          <w:color w:val="000000"/>
          <w:lang w:eastAsia="x-none"/>
        </w:rPr>
        <w:t xml:space="preserve"> of that event</w:t>
      </w:r>
      <w:r w:rsidR="00265AF1">
        <w:rPr>
          <w:color w:val="000000"/>
          <w:lang w:eastAsia="x-none"/>
        </w:rPr>
        <w:t>.</w:t>
      </w:r>
      <w:r w:rsidR="001E44A9" w:rsidRPr="001E44A9">
        <w:t xml:space="preserve"> </w:t>
      </w:r>
      <w:r w:rsidR="00C456D2">
        <w:t xml:space="preserve">Second, </w:t>
      </w:r>
      <w:r w:rsidR="002D790B">
        <w:rPr>
          <w:color w:val="000000"/>
          <w:lang w:eastAsia="x-none"/>
        </w:rPr>
        <w:t xml:space="preserve">the study </w:t>
      </w:r>
      <w:r w:rsidR="007D64B5">
        <w:t>contribute</w:t>
      </w:r>
      <w:r w:rsidR="002D790B">
        <w:t>s</w:t>
      </w:r>
      <w:r w:rsidR="007D64B5">
        <w:t xml:space="preserve"> to </w:t>
      </w:r>
      <w:r w:rsidR="009E7CF9">
        <w:t>organizational learning theory</w:t>
      </w:r>
      <w:r w:rsidR="00875A31">
        <w:t xml:space="preserve"> by </w:t>
      </w:r>
      <w:r w:rsidR="007D64B5">
        <w:t>clarifying</w:t>
      </w:r>
      <w:r w:rsidR="00A6011A">
        <w:t xml:space="preserve"> </w:t>
      </w:r>
      <w:r w:rsidR="004C0FD8">
        <w:t>how useful</w:t>
      </w:r>
      <w:r w:rsidR="004A4FE7">
        <w:t xml:space="preserve"> the</w:t>
      </w:r>
      <w:r w:rsidR="00EC7E4C">
        <w:t xml:space="preserve"> knowledge</w:t>
      </w:r>
      <w:r w:rsidR="004A4FE7">
        <w:t xml:space="preserve"> obtained from</w:t>
      </w:r>
      <w:r w:rsidR="00EC7E4C">
        <w:t xml:space="preserve"> ‘</w:t>
      </w:r>
      <w:r w:rsidR="004A4FE7">
        <w:t xml:space="preserve">external </w:t>
      </w:r>
      <w:r w:rsidR="00EC7E4C">
        <w:t xml:space="preserve">focused search’ </w:t>
      </w:r>
      <w:r w:rsidR="00DA1DBB">
        <w:t>is</w:t>
      </w:r>
      <w:r w:rsidR="00EC7E4C">
        <w:t xml:space="preserve"> </w:t>
      </w:r>
      <w:r w:rsidR="008F19A1" w:rsidRPr="008F19A1">
        <w:t>across different levels of unlearning, and for different outcomes of an activity</w:t>
      </w:r>
      <w:r w:rsidR="00657549">
        <w:t>.</w:t>
      </w:r>
      <w:r w:rsidR="008F19A1" w:rsidRPr="008F19A1">
        <w:t xml:space="preserve"> </w:t>
      </w:r>
      <w:r w:rsidR="00C456A0">
        <w:t>Specifically</w:t>
      </w:r>
      <w:r>
        <w:t xml:space="preserve">, we show that </w:t>
      </w:r>
      <w:r w:rsidR="008F19A1" w:rsidRPr="008F19A1">
        <w:t xml:space="preserve">external knowledge is beneficial for the performance of an activity only once a substantial amount of prior knowledge has been unlearned (i.e., the </w:t>
      </w:r>
      <w:r w:rsidR="008B50F9">
        <w:t>effect</w:t>
      </w:r>
      <w:r w:rsidR="008B50F9" w:rsidRPr="008F19A1">
        <w:t xml:space="preserve"> </w:t>
      </w:r>
      <w:r w:rsidR="008B50F9">
        <w:t>of</w:t>
      </w:r>
      <w:r w:rsidR="008B50F9" w:rsidRPr="008F19A1">
        <w:t xml:space="preserve"> </w:t>
      </w:r>
      <w:r w:rsidR="008F19A1" w:rsidRPr="008F19A1">
        <w:t xml:space="preserve">external knowledge on experiential knowledge is more pronounced after an initial period has passed since a firm stopped an activity). </w:t>
      </w:r>
      <w:r w:rsidR="008B50F9">
        <w:t>By contrast</w:t>
      </w:r>
      <w:r w:rsidR="008F19A1" w:rsidRPr="008F19A1">
        <w:t xml:space="preserve">, external knowledge is more beneficial for </w:t>
      </w:r>
      <w:r w:rsidR="008B50F9">
        <w:t xml:space="preserve">increasing </w:t>
      </w:r>
      <w:r w:rsidR="008F19A1" w:rsidRPr="008F19A1">
        <w:t xml:space="preserve">the likelihood of </w:t>
      </w:r>
      <w:r w:rsidR="008B50F9" w:rsidRPr="008F19A1">
        <w:t xml:space="preserve">repeating </w:t>
      </w:r>
      <w:r w:rsidR="008B50F9">
        <w:t>an</w:t>
      </w:r>
      <w:r w:rsidR="008B50F9" w:rsidRPr="008F19A1">
        <w:t xml:space="preserve"> </w:t>
      </w:r>
      <w:r w:rsidR="008F19A1" w:rsidRPr="008F19A1">
        <w:t>activity during the initial phase</w:t>
      </w:r>
      <w:r w:rsidR="003A2CD8">
        <w:t xml:space="preserve"> </w:t>
      </w:r>
      <w:r w:rsidR="008F19A1" w:rsidRPr="008F19A1">
        <w:t>after a firm has stopped carrying out that activity</w:t>
      </w:r>
      <w:r w:rsidR="007D4E27" w:rsidRPr="008F19A1">
        <w:t>,</w:t>
      </w:r>
      <w:r w:rsidR="008F19A1" w:rsidRPr="008F19A1">
        <w:t xml:space="preserve"> i.e., when a firm has just started to unlearn prior knowledge.</w:t>
      </w:r>
      <w:r w:rsidR="00657549" w:rsidRPr="00657549">
        <w:rPr>
          <w:color w:val="000000"/>
          <w:lang w:eastAsia="x-none"/>
        </w:rPr>
        <w:t xml:space="preserve"> </w:t>
      </w:r>
    </w:p>
    <w:p w14:paraId="5E7CFC1A" w14:textId="59371C6F" w:rsidR="00657549" w:rsidRDefault="004B1A69" w:rsidP="00EA7DD9">
      <w:pPr>
        <w:tabs>
          <w:tab w:val="left" w:pos="284"/>
        </w:tabs>
        <w:spacing w:line="480" w:lineRule="auto"/>
        <w:rPr>
          <w:color w:val="000000"/>
          <w:lang w:eastAsia="x-none"/>
        </w:rPr>
      </w:pPr>
      <w:r>
        <w:rPr>
          <w:color w:val="000000"/>
          <w:lang w:eastAsia="x-none"/>
        </w:rPr>
        <w:tab/>
      </w:r>
      <w:r w:rsidR="00657549" w:rsidRPr="00657549">
        <w:t xml:space="preserve">Finally, our findings allow us to contribute to the wider IB and organizational learning </w:t>
      </w:r>
      <w:r w:rsidR="007D4E27">
        <w:t>literature</w:t>
      </w:r>
      <w:r w:rsidR="00F367BA">
        <w:t>s</w:t>
      </w:r>
      <w:r w:rsidR="00657549" w:rsidRPr="00657549">
        <w:t xml:space="preserve">. </w:t>
      </w:r>
      <w:r w:rsidR="00D0265E">
        <w:t xml:space="preserve">The </w:t>
      </w:r>
      <w:r w:rsidR="00657549" w:rsidRPr="00657549">
        <w:t xml:space="preserve">IB literature (Freixanet </w:t>
      </w:r>
      <w:r w:rsidR="004C1E4B">
        <w:rPr>
          <w:color w:val="000000"/>
          <w:lang w:eastAsia="x-none"/>
        </w:rPr>
        <w:t>&amp;</w:t>
      </w:r>
      <w:r w:rsidR="00657549" w:rsidRPr="00B52F63">
        <w:rPr>
          <w:color w:val="000000"/>
        </w:rPr>
        <w:t xml:space="preserve"> </w:t>
      </w:r>
      <w:r w:rsidR="00657549" w:rsidRPr="00657549">
        <w:t xml:space="preserve">Renart, 2020; </w:t>
      </w:r>
      <w:r w:rsidR="009F3225" w:rsidRPr="009F3225">
        <w:t xml:space="preserve">Johanson </w:t>
      </w:r>
      <w:r w:rsidR="004C1E4B">
        <w:rPr>
          <w:color w:val="000000"/>
          <w:lang w:eastAsia="x-none"/>
        </w:rPr>
        <w:t>&amp;</w:t>
      </w:r>
      <w:r w:rsidR="009F3225" w:rsidRPr="00B52F63">
        <w:rPr>
          <w:color w:val="000000"/>
        </w:rPr>
        <w:t xml:space="preserve"> </w:t>
      </w:r>
      <w:r w:rsidR="009F3225" w:rsidRPr="009F3225">
        <w:t>Vahlne, 1977; 2009</w:t>
      </w:r>
      <w:r w:rsidR="009253AE">
        <w:t xml:space="preserve">; </w:t>
      </w:r>
      <w:r w:rsidR="00657549" w:rsidRPr="00657549">
        <w:t xml:space="preserve">Luo </w:t>
      </w:r>
      <w:r w:rsidR="004C1E4B">
        <w:rPr>
          <w:color w:val="000000"/>
          <w:lang w:eastAsia="x-none"/>
        </w:rPr>
        <w:t>&amp;</w:t>
      </w:r>
      <w:r w:rsidR="00657549" w:rsidRPr="00B52F63">
        <w:rPr>
          <w:color w:val="000000"/>
        </w:rPr>
        <w:t xml:space="preserve"> </w:t>
      </w:r>
      <w:r w:rsidR="00657549" w:rsidRPr="00657549">
        <w:t xml:space="preserve">Peng, 1999) </w:t>
      </w:r>
      <w:r w:rsidR="007D4E27">
        <w:t>emphasizes</w:t>
      </w:r>
      <w:r w:rsidR="00657549" w:rsidRPr="00657549">
        <w:t xml:space="preserve"> the importance of experiential knowledge in carrying out various foreign activities. However, our results indicate that when firms no longer carry out a certain activity </w:t>
      </w:r>
      <w:r w:rsidR="00657549" w:rsidRPr="00657549">
        <w:rPr>
          <w:i/>
          <w:iCs/>
        </w:rPr>
        <w:t>for a considerable period</w:t>
      </w:r>
      <w:r w:rsidR="00657549" w:rsidRPr="00657549">
        <w:t xml:space="preserve"> does not necessarily mean that the loss of experiential knowledge will have an adverse effect on all aspects of performing that activity in the future.</w:t>
      </w:r>
      <w:r w:rsidR="00C456A0">
        <w:rPr>
          <w:color w:val="000000"/>
          <w:lang w:eastAsia="x-none"/>
        </w:rPr>
        <w:t xml:space="preserve"> </w:t>
      </w:r>
      <w:r w:rsidR="00657549" w:rsidRPr="00657549">
        <w:rPr>
          <w:color w:val="000000"/>
          <w:lang w:eastAsia="x-none"/>
        </w:rPr>
        <w:t>It can be beneficial for its performance (if firms cho</w:t>
      </w:r>
      <w:r w:rsidR="00B90CBD">
        <w:rPr>
          <w:color w:val="000000"/>
          <w:lang w:eastAsia="x-none"/>
        </w:rPr>
        <w:t>o</w:t>
      </w:r>
      <w:r w:rsidR="00657549" w:rsidRPr="00657549">
        <w:rPr>
          <w:color w:val="000000"/>
          <w:lang w:eastAsia="x-none"/>
        </w:rPr>
        <w:t xml:space="preserve">se to repeat it) because </w:t>
      </w:r>
      <w:r w:rsidR="00253F45">
        <w:rPr>
          <w:color w:val="000000"/>
          <w:lang w:eastAsia="x-none"/>
        </w:rPr>
        <w:t>less valuable</w:t>
      </w:r>
      <w:r w:rsidR="00657549" w:rsidRPr="00657549">
        <w:rPr>
          <w:color w:val="000000"/>
          <w:lang w:eastAsia="x-none"/>
        </w:rPr>
        <w:t xml:space="preserve"> and outdated knowledge and routines are unlearned. </w:t>
      </w:r>
      <w:r w:rsidR="00B90CBD">
        <w:rPr>
          <w:color w:val="000000"/>
          <w:lang w:eastAsia="x-none"/>
        </w:rPr>
        <w:t>I</w:t>
      </w:r>
      <w:r w:rsidR="00657549" w:rsidRPr="00657549">
        <w:rPr>
          <w:color w:val="000000"/>
          <w:lang w:eastAsia="x-none"/>
        </w:rPr>
        <w:t>mportantly</w:t>
      </w:r>
      <w:r w:rsidR="00B90CBD">
        <w:rPr>
          <w:color w:val="000000"/>
          <w:lang w:eastAsia="x-none"/>
        </w:rPr>
        <w:t>,</w:t>
      </w:r>
      <w:r w:rsidR="00657549" w:rsidRPr="00657549">
        <w:rPr>
          <w:color w:val="000000"/>
          <w:lang w:eastAsia="x-none"/>
        </w:rPr>
        <w:t xml:space="preserve"> we also contribute to the wider debate (</w:t>
      </w:r>
      <w:r w:rsidR="00363B04">
        <w:rPr>
          <w:color w:val="000000"/>
          <w:lang w:eastAsia="x-none"/>
        </w:rPr>
        <w:t>Aguzzoli</w:t>
      </w:r>
      <w:r w:rsidR="00657549" w:rsidRPr="00657549">
        <w:rPr>
          <w:color w:val="000000"/>
          <w:lang w:eastAsia="x-none"/>
        </w:rPr>
        <w:t xml:space="preserve"> et al., 202</w:t>
      </w:r>
      <w:r w:rsidR="007734D9">
        <w:rPr>
          <w:color w:val="000000"/>
          <w:lang w:eastAsia="x-none"/>
        </w:rPr>
        <w:t>1</w:t>
      </w:r>
      <w:r w:rsidR="00657549" w:rsidRPr="00657549">
        <w:rPr>
          <w:color w:val="000000"/>
          <w:lang w:eastAsia="x-none"/>
        </w:rPr>
        <w:t xml:space="preserve">; Madsen </w:t>
      </w:r>
      <w:r w:rsidR="009262D5">
        <w:rPr>
          <w:color w:val="000000"/>
          <w:lang w:eastAsia="x-none"/>
        </w:rPr>
        <w:t>&amp;</w:t>
      </w:r>
      <w:r w:rsidR="00657549" w:rsidRPr="00657549">
        <w:rPr>
          <w:color w:val="000000"/>
          <w:lang w:eastAsia="x-none"/>
        </w:rPr>
        <w:t xml:space="preserve"> Desai, 2010) in organizational learning literature </w:t>
      </w:r>
      <w:r w:rsidR="00657549" w:rsidRPr="00657549">
        <w:rPr>
          <w:color w:val="000000"/>
          <w:lang w:eastAsia="x-none"/>
        </w:rPr>
        <w:lastRenderedPageBreak/>
        <w:t xml:space="preserve">regarding how effective learning from failure is. Results suggest that learning from failure can help firms achieve higher levels of performance (e.g., by avoiding unsuccessful strategies and taking corrective action) if they attempt to 1) learn from failure as soon as possible and 2) restart that failed activity </w:t>
      </w:r>
      <w:r w:rsidR="00657549" w:rsidRPr="00657549">
        <w:rPr>
          <w:i/>
          <w:iCs/>
          <w:color w:val="000000"/>
          <w:lang w:eastAsia="x-none"/>
        </w:rPr>
        <w:t>once failure analysis has taken place</w:t>
      </w:r>
      <w:r w:rsidR="00657549" w:rsidRPr="00657549">
        <w:rPr>
          <w:color w:val="000000"/>
          <w:lang w:eastAsia="x-none"/>
        </w:rPr>
        <w:t>. Delaying either of those actions</w:t>
      </w:r>
      <w:r w:rsidR="00DB3B1A">
        <w:rPr>
          <w:color w:val="000000"/>
          <w:lang w:eastAsia="x-none"/>
        </w:rPr>
        <w:t xml:space="preserve"> may</w:t>
      </w:r>
      <w:r w:rsidR="00657549" w:rsidRPr="00657549">
        <w:rPr>
          <w:color w:val="000000"/>
          <w:lang w:eastAsia="x-none"/>
        </w:rPr>
        <w:t xml:space="preserve"> lead to reduced performance due to</w:t>
      </w:r>
      <w:r w:rsidR="00B00A78">
        <w:rPr>
          <w:color w:val="000000"/>
          <w:lang w:eastAsia="x-none"/>
        </w:rPr>
        <w:t xml:space="preserve"> potential</w:t>
      </w:r>
      <w:r w:rsidR="00657549" w:rsidRPr="00657549">
        <w:rPr>
          <w:color w:val="000000"/>
          <w:lang w:eastAsia="x-none"/>
        </w:rPr>
        <w:t xml:space="preserve"> knowledge atrophy.</w:t>
      </w:r>
    </w:p>
    <w:p w14:paraId="7436E180" w14:textId="46C8E850" w:rsidR="00657549" w:rsidRDefault="00E54810" w:rsidP="00EA7DD9">
      <w:pPr>
        <w:tabs>
          <w:tab w:val="left" w:pos="284"/>
        </w:tabs>
        <w:spacing w:line="480" w:lineRule="auto"/>
        <w:rPr>
          <w:color w:val="000000"/>
          <w:lang w:eastAsia="x-none"/>
        </w:rPr>
      </w:pPr>
      <w:r>
        <w:rPr>
          <w:b/>
          <w:bCs/>
          <w:color w:val="000000"/>
          <w:lang w:eastAsia="x-none"/>
        </w:rPr>
        <w:t xml:space="preserve">5.2 </w:t>
      </w:r>
      <w:r w:rsidR="00F367BA">
        <w:rPr>
          <w:b/>
          <w:bCs/>
          <w:color w:val="000000"/>
          <w:lang w:eastAsia="x-none"/>
        </w:rPr>
        <w:t>Managerial Relevance</w:t>
      </w:r>
      <w:r>
        <w:rPr>
          <w:color w:val="000000"/>
          <w:lang w:eastAsia="x-none"/>
        </w:rPr>
        <w:t xml:space="preserve"> </w:t>
      </w:r>
      <w:r w:rsidR="00657549" w:rsidRPr="00657549">
        <w:rPr>
          <w:color w:val="000000"/>
          <w:lang w:eastAsia="x-none"/>
        </w:rPr>
        <w:t xml:space="preserve">   </w:t>
      </w:r>
    </w:p>
    <w:p w14:paraId="0DF302FD" w14:textId="7F6AD305" w:rsidR="00E00456" w:rsidRDefault="00657549" w:rsidP="00EA7DD9">
      <w:pPr>
        <w:tabs>
          <w:tab w:val="left" w:pos="284"/>
        </w:tabs>
        <w:spacing w:line="480" w:lineRule="auto"/>
        <w:rPr>
          <w:color w:val="000000"/>
          <w:lang w:eastAsia="x-none"/>
        </w:rPr>
      </w:pPr>
      <w:r>
        <w:rPr>
          <w:color w:val="000000"/>
          <w:lang w:eastAsia="x-none"/>
        </w:rPr>
        <w:tab/>
      </w:r>
      <w:r w:rsidR="00B22841">
        <w:rPr>
          <w:color w:val="000000"/>
          <w:lang w:eastAsia="x-none"/>
        </w:rPr>
        <w:t xml:space="preserve">In terms of </w:t>
      </w:r>
      <w:r w:rsidR="00406379">
        <w:rPr>
          <w:color w:val="000000"/>
          <w:lang w:eastAsia="x-none"/>
        </w:rPr>
        <w:t xml:space="preserve">managerial </w:t>
      </w:r>
      <w:r w:rsidR="00B22841">
        <w:rPr>
          <w:color w:val="000000"/>
          <w:lang w:eastAsia="x-none"/>
        </w:rPr>
        <w:t xml:space="preserve">implications, </w:t>
      </w:r>
      <w:r w:rsidR="00DC7CBB">
        <w:rPr>
          <w:color w:val="000000"/>
          <w:lang w:eastAsia="x-none"/>
        </w:rPr>
        <w:t xml:space="preserve">our analysis </w:t>
      </w:r>
      <w:r w:rsidR="00406379">
        <w:rPr>
          <w:color w:val="000000"/>
          <w:lang w:eastAsia="x-none"/>
        </w:rPr>
        <w:t xml:space="preserve">suggests </w:t>
      </w:r>
      <w:r w:rsidR="00DC7CBB">
        <w:rPr>
          <w:color w:val="000000"/>
          <w:lang w:eastAsia="x-none"/>
        </w:rPr>
        <w:t>that m</w:t>
      </w:r>
      <w:r w:rsidR="00CB4BF2">
        <w:rPr>
          <w:color w:val="000000"/>
          <w:lang w:eastAsia="x-none"/>
        </w:rPr>
        <w:t xml:space="preserve">anagers </w:t>
      </w:r>
      <w:r w:rsidR="0029738D">
        <w:rPr>
          <w:color w:val="000000"/>
          <w:lang w:eastAsia="x-none"/>
        </w:rPr>
        <w:t xml:space="preserve">that experience an exit </w:t>
      </w:r>
      <w:r w:rsidR="00CB4BF2">
        <w:rPr>
          <w:color w:val="000000"/>
          <w:lang w:eastAsia="x-none"/>
        </w:rPr>
        <w:t xml:space="preserve">should </w:t>
      </w:r>
      <w:r w:rsidR="0029738D" w:rsidRPr="0029738D">
        <w:rPr>
          <w:color w:val="000000"/>
          <w:lang w:eastAsia="x-none"/>
        </w:rPr>
        <w:t>learn from failure as soon as possible</w:t>
      </w:r>
      <w:r w:rsidR="0029738D">
        <w:rPr>
          <w:color w:val="000000"/>
          <w:lang w:eastAsia="x-none"/>
        </w:rPr>
        <w:t xml:space="preserve">. </w:t>
      </w:r>
      <w:r w:rsidR="00DA253B">
        <w:rPr>
          <w:color w:val="000000"/>
          <w:lang w:eastAsia="x-none"/>
        </w:rPr>
        <w:t>D</w:t>
      </w:r>
      <w:r w:rsidR="0029738D">
        <w:rPr>
          <w:color w:val="000000"/>
          <w:lang w:eastAsia="x-none"/>
        </w:rPr>
        <w:t xml:space="preserve">oing so </w:t>
      </w:r>
      <w:r w:rsidR="00DC7CBB">
        <w:rPr>
          <w:color w:val="000000"/>
          <w:lang w:eastAsia="x-none"/>
        </w:rPr>
        <w:t>will enable their firms</w:t>
      </w:r>
      <w:r w:rsidR="0029738D">
        <w:rPr>
          <w:color w:val="000000"/>
          <w:lang w:eastAsia="x-none"/>
        </w:rPr>
        <w:t xml:space="preserve"> to achieve higher levels of re-entry export performance than if they re-enter at a later point</w:t>
      </w:r>
      <w:r w:rsidR="00497E71">
        <w:rPr>
          <w:color w:val="000000"/>
          <w:lang w:eastAsia="x-none"/>
        </w:rPr>
        <w:t xml:space="preserve"> because of the contemporary nature of their skills and knowledge</w:t>
      </w:r>
      <w:r w:rsidR="00725756">
        <w:rPr>
          <w:color w:val="000000"/>
          <w:lang w:eastAsia="x-none"/>
        </w:rPr>
        <w:t>.</w:t>
      </w:r>
      <w:r w:rsidR="00CB4BF2">
        <w:rPr>
          <w:color w:val="000000"/>
          <w:lang w:eastAsia="x-none"/>
        </w:rPr>
        <w:t xml:space="preserve"> </w:t>
      </w:r>
      <w:r w:rsidR="00497E71">
        <w:rPr>
          <w:color w:val="000000"/>
          <w:lang w:eastAsia="x-none"/>
        </w:rPr>
        <w:t xml:space="preserve">Firms </w:t>
      </w:r>
      <w:r w:rsidR="006D01C2">
        <w:rPr>
          <w:color w:val="000000"/>
          <w:lang w:eastAsia="x-none"/>
        </w:rPr>
        <w:t>can also</w:t>
      </w:r>
      <w:r w:rsidR="00497E71">
        <w:rPr>
          <w:color w:val="000000"/>
          <w:lang w:eastAsia="x-none"/>
        </w:rPr>
        <w:t xml:space="preserve"> overcome the psychological barriers of re-ent</w:t>
      </w:r>
      <w:r w:rsidR="00406379">
        <w:rPr>
          <w:color w:val="000000"/>
          <w:lang w:eastAsia="x-none"/>
        </w:rPr>
        <w:t>ering sooner</w:t>
      </w:r>
      <w:r w:rsidR="00083841">
        <w:rPr>
          <w:color w:val="000000"/>
          <w:lang w:eastAsia="x-none"/>
        </w:rPr>
        <w:t xml:space="preserve"> </w:t>
      </w:r>
      <w:r w:rsidR="0029738D" w:rsidRPr="0029738D">
        <w:rPr>
          <w:color w:val="000000"/>
          <w:lang w:eastAsia="x-none"/>
        </w:rPr>
        <w:t>by forming foreign collaborations.</w:t>
      </w:r>
      <w:r w:rsidR="00083841">
        <w:rPr>
          <w:color w:val="000000"/>
          <w:lang w:eastAsia="x-none"/>
        </w:rPr>
        <w:t xml:space="preserve"> </w:t>
      </w:r>
      <w:r w:rsidR="00406379">
        <w:rPr>
          <w:color w:val="000000"/>
          <w:lang w:eastAsia="x-none"/>
        </w:rPr>
        <w:t>A</w:t>
      </w:r>
      <w:r w:rsidR="00083841">
        <w:rPr>
          <w:color w:val="000000"/>
          <w:lang w:eastAsia="x-none"/>
        </w:rPr>
        <w:t xml:space="preserve">lthough </w:t>
      </w:r>
      <w:r w:rsidR="00A4687C">
        <w:rPr>
          <w:color w:val="000000"/>
          <w:lang w:eastAsia="x-none"/>
        </w:rPr>
        <w:t>restarting exporting</w:t>
      </w:r>
      <w:r w:rsidR="00083841">
        <w:rPr>
          <w:color w:val="000000"/>
          <w:lang w:eastAsia="x-none"/>
        </w:rPr>
        <w:t xml:space="preserve"> </w:t>
      </w:r>
      <w:r w:rsidR="005C090F">
        <w:rPr>
          <w:color w:val="000000"/>
          <w:lang w:eastAsia="x-none"/>
        </w:rPr>
        <w:t xml:space="preserve">may </w:t>
      </w:r>
      <w:r w:rsidR="00083841">
        <w:rPr>
          <w:color w:val="000000"/>
          <w:lang w:eastAsia="x-none"/>
        </w:rPr>
        <w:t xml:space="preserve">become more difficult </w:t>
      </w:r>
      <w:r w:rsidR="00406379">
        <w:rPr>
          <w:color w:val="000000"/>
          <w:lang w:eastAsia="x-none"/>
        </w:rPr>
        <w:t>when firms delay their attempt to re-enter export markets (</w:t>
      </w:r>
      <w:r w:rsidR="000C65EB">
        <w:rPr>
          <w:color w:val="000000"/>
          <w:lang w:eastAsia="x-none"/>
        </w:rPr>
        <w:t>because</w:t>
      </w:r>
      <w:r w:rsidR="00083841">
        <w:rPr>
          <w:color w:val="000000"/>
          <w:lang w:eastAsia="x-none"/>
        </w:rPr>
        <w:t xml:space="preserve"> </w:t>
      </w:r>
      <w:r w:rsidR="006D7BA7">
        <w:rPr>
          <w:color w:val="000000"/>
          <w:lang w:eastAsia="x-none"/>
        </w:rPr>
        <w:t>a large part</w:t>
      </w:r>
      <w:r w:rsidR="00CE5090">
        <w:rPr>
          <w:color w:val="000000"/>
          <w:lang w:eastAsia="x-none"/>
        </w:rPr>
        <w:t xml:space="preserve"> </w:t>
      </w:r>
      <w:r w:rsidR="006D7BA7">
        <w:rPr>
          <w:color w:val="000000"/>
          <w:lang w:eastAsia="x-none"/>
        </w:rPr>
        <w:t xml:space="preserve">of the previous experiential knowledge </w:t>
      </w:r>
      <w:r w:rsidR="00CE5090">
        <w:rPr>
          <w:color w:val="000000"/>
          <w:lang w:eastAsia="x-none"/>
        </w:rPr>
        <w:t>will have been unlearned</w:t>
      </w:r>
      <w:r w:rsidR="00406379">
        <w:rPr>
          <w:color w:val="000000"/>
          <w:lang w:eastAsia="x-none"/>
        </w:rPr>
        <w:t>)</w:t>
      </w:r>
      <w:r w:rsidR="00CE5090">
        <w:rPr>
          <w:color w:val="000000"/>
          <w:lang w:eastAsia="x-none"/>
        </w:rPr>
        <w:t xml:space="preserve">, achieving re-entry should be beneficial because the firm will </w:t>
      </w:r>
      <w:r w:rsidR="00A4687C">
        <w:rPr>
          <w:color w:val="000000"/>
          <w:lang w:eastAsia="x-none"/>
        </w:rPr>
        <w:t>be forced to search for and</w:t>
      </w:r>
      <w:r w:rsidR="00CE5090">
        <w:rPr>
          <w:color w:val="000000"/>
          <w:lang w:eastAsia="x-none"/>
        </w:rPr>
        <w:t xml:space="preserve"> absorb new</w:t>
      </w:r>
      <w:r w:rsidR="00B018D2">
        <w:rPr>
          <w:color w:val="000000"/>
          <w:lang w:eastAsia="x-none"/>
        </w:rPr>
        <w:t xml:space="preserve"> and up to date</w:t>
      </w:r>
      <w:r w:rsidR="00BA4DF0">
        <w:rPr>
          <w:color w:val="000000"/>
          <w:lang w:eastAsia="x-none"/>
        </w:rPr>
        <w:t xml:space="preserve"> foreign</w:t>
      </w:r>
      <w:r w:rsidR="00CE5090">
        <w:rPr>
          <w:color w:val="000000"/>
          <w:lang w:eastAsia="x-none"/>
        </w:rPr>
        <w:t xml:space="preserve"> knowledge</w:t>
      </w:r>
      <w:r w:rsidR="00A4687C">
        <w:rPr>
          <w:color w:val="000000"/>
          <w:lang w:eastAsia="x-none"/>
        </w:rPr>
        <w:t xml:space="preserve">. </w:t>
      </w:r>
      <w:r w:rsidR="00D930A1">
        <w:rPr>
          <w:color w:val="000000"/>
          <w:lang w:eastAsia="x-none"/>
        </w:rPr>
        <w:t>C</w:t>
      </w:r>
      <w:r w:rsidR="00A4687C">
        <w:rPr>
          <w:color w:val="000000"/>
          <w:lang w:eastAsia="x-none"/>
        </w:rPr>
        <w:t xml:space="preserve">ollaboration with foreign partners can increase the </w:t>
      </w:r>
      <w:r w:rsidR="00406379">
        <w:rPr>
          <w:color w:val="000000"/>
          <w:lang w:eastAsia="x-none"/>
        </w:rPr>
        <w:t xml:space="preserve">effectiveness </w:t>
      </w:r>
      <w:r w:rsidR="00A4687C">
        <w:rPr>
          <w:color w:val="000000"/>
          <w:lang w:eastAsia="x-none"/>
        </w:rPr>
        <w:t>of</w:t>
      </w:r>
      <w:r w:rsidR="00452BDF">
        <w:rPr>
          <w:color w:val="000000"/>
          <w:lang w:eastAsia="x-none"/>
        </w:rPr>
        <w:t xml:space="preserve"> </w:t>
      </w:r>
      <w:r w:rsidR="00A4687C">
        <w:rPr>
          <w:color w:val="000000"/>
          <w:lang w:eastAsia="x-none"/>
        </w:rPr>
        <w:t>new knowledge assimilation</w:t>
      </w:r>
      <w:r w:rsidR="00452BDF">
        <w:rPr>
          <w:color w:val="000000"/>
          <w:lang w:eastAsia="x-none"/>
        </w:rPr>
        <w:t xml:space="preserve"> and us</w:t>
      </w:r>
      <w:r w:rsidR="00D96C82">
        <w:rPr>
          <w:color w:val="000000"/>
          <w:lang w:eastAsia="x-none"/>
        </w:rPr>
        <w:t>e</w:t>
      </w:r>
      <w:r w:rsidR="00B306D8">
        <w:rPr>
          <w:color w:val="000000"/>
          <w:lang w:eastAsia="x-none"/>
        </w:rPr>
        <w:t xml:space="preserve">. </w:t>
      </w:r>
    </w:p>
    <w:p w14:paraId="6F6BD6B1" w14:textId="1F54ACF3" w:rsidR="00F523D4" w:rsidRPr="004F01B5" w:rsidRDefault="00DE5434" w:rsidP="004C73AD">
      <w:pPr>
        <w:tabs>
          <w:tab w:val="left" w:pos="426"/>
        </w:tabs>
        <w:spacing w:line="480" w:lineRule="auto"/>
        <w:rPr>
          <w:b/>
          <w:bCs/>
          <w:color w:val="000000"/>
          <w:lang w:eastAsia="x-none"/>
        </w:rPr>
      </w:pPr>
      <w:r w:rsidRPr="004F01B5">
        <w:rPr>
          <w:b/>
          <w:bCs/>
          <w:color w:val="000000"/>
          <w:lang w:eastAsia="x-none"/>
        </w:rPr>
        <w:t>5</w:t>
      </w:r>
      <w:r w:rsidR="00F523D4" w:rsidRPr="004F01B5">
        <w:rPr>
          <w:b/>
          <w:bCs/>
          <w:color w:val="000000"/>
          <w:lang w:eastAsia="x-none"/>
        </w:rPr>
        <w:t>.</w:t>
      </w:r>
      <w:r w:rsidR="0025397B">
        <w:rPr>
          <w:b/>
          <w:bCs/>
          <w:color w:val="000000"/>
          <w:lang w:eastAsia="x-none"/>
        </w:rPr>
        <w:t>3</w:t>
      </w:r>
      <w:r w:rsidR="00F523D4" w:rsidRPr="004F01B5">
        <w:rPr>
          <w:b/>
          <w:bCs/>
          <w:color w:val="000000"/>
          <w:lang w:eastAsia="x-none"/>
        </w:rPr>
        <w:t xml:space="preserve"> </w:t>
      </w:r>
      <w:r w:rsidR="00B306D8" w:rsidRPr="004F01B5">
        <w:rPr>
          <w:b/>
          <w:bCs/>
          <w:color w:val="000000"/>
          <w:lang w:eastAsia="x-none"/>
        </w:rPr>
        <w:t xml:space="preserve">  </w:t>
      </w:r>
      <w:r w:rsidR="0080719E" w:rsidRPr="004F01B5">
        <w:rPr>
          <w:b/>
          <w:bCs/>
          <w:color w:val="000000"/>
          <w:lang w:eastAsia="x-none"/>
        </w:rPr>
        <w:t>Limitations and future research</w:t>
      </w:r>
    </w:p>
    <w:p w14:paraId="6E0BA39C" w14:textId="1C6370D6" w:rsidR="00544423" w:rsidRDefault="0080719E" w:rsidP="0004402C">
      <w:pPr>
        <w:tabs>
          <w:tab w:val="left" w:pos="284"/>
        </w:tabs>
        <w:spacing w:line="480" w:lineRule="auto"/>
        <w:rPr>
          <w:color w:val="000000"/>
          <w:lang w:eastAsia="x-none"/>
        </w:rPr>
      </w:pPr>
      <w:r>
        <w:rPr>
          <w:color w:val="000000"/>
          <w:lang w:eastAsia="x-none"/>
        </w:rPr>
        <w:tab/>
      </w:r>
      <w:r w:rsidR="00EE6563">
        <w:rPr>
          <w:color w:val="000000"/>
          <w:lang w:eastAsia="x-none"/>
        </w:rPr>
        <w:t>For theoretical reasons,</w:t>
      </w:r>
      <w:r w:rsidR="00825F66">
        <w:rPr>
          <w:color w:val="000000"/>
          <w:lang w:eastAsia="x-none"/>
        </w:rPr>
        <w:t xml:space="preserve"> </w:t>
      </w:r>
      <w:r w:rsidR="00DD614D">
        <w:rPr>
          <w:color w:val="000000"/>
          <w:lang w:eastAsia="x-none"/>
        </w:rPr>
        <w:t>this study</w:t>
      </w:r>
      <w:r w:rsidR="00EE6563">
        <w:rPr>
          <w:color w:val="000000"/>
          <w:lang w:eastAsia="x-none"/>
        </w:rPr>
        <w:t xml:space="preserve"> focused</w:t>
      </w:r>
      <w:r w:rsidR="00ED46F3">
        <w:rPr>
          <w:color w:val="000000"/>
          <w:lang w:eastAsia="x-none"/>
        </w:rPr>
        <w:t xml:space="preserve"> </w:t>
      </w:r>
      <w:r w:rsidR="00EE6563">
        <w:rPr>
          <w:color w:val="000000"/>
          <w:lang w:eastAsia="x-none"/>
        </w:rPr>
        <w:t>on</w:t>
      </w:r>
      <w:r w:rsidR="00ED46F3">
        <w:rPr>
          <w:color w:val="000000"/>
          <w:lang w:eastAsia="x-none"/>
        </w:rPr>
        <w:t xml:space="preserve"> a specific group of companies that have a consistent pattern of exporting. Our results therefore can be </w:t>
      </w:r>
      <w:r w:rsidR="007D4E27">
        <w:rPr>
          <w:color w:val="000000"/>
          <w:lang w:eastAsia="x-none"/>
        </w:rPr>
        <w:t>generalized</w:t>
      </w:r>
      <w:r w:rsidR="00ED46F3">
        <w:rPr>
          <w:color w:val="000000"/>
          <w:lang w:eastAsia="x-none"/>
        </w:rPr>
        <w:t xml:space="preserve"> specifically for the case of those firms and not for sporadic exporters (Bernini et al., 2016) that </w:t>
      </w:r>
      <w:r w:rsidR="00E4490D">
        <w:rPr>
          <w:color w:val="000000"/>
          <w:lang w:eastAsia="x-none"/>
        </w:rPr>
        <w:t xml:space="preserve">may </w:t>
      </w:r>
      <w:r w:rsidR="00ED46F3">
        <w:rPr>
          <w:color w:val="000000"/>
          <w:lang w:eastAsia="x-none"/>
        </w:rPr>
        <w:t>experience and perceive exit</w:t>
      </w:r>
      <w:r w:rsidR="00E4490D">
        <w:rPr>
          <w:color w:val="000000"/>
          <w:lang w:eastAsia="x-none"/>
        </w:rPr>
        <w:t>s</w:t>
      </w:r>
      <w:r w:rsidR="00ED46F3">
        <w:rPr>
          <w:color w:val="000000"/>
          <w:lang w:eastAsia="x-none"/>
        </w:rPr>
        <w:t xml:space="preserve"> </w:t>
      </w:r>
      <w:r w:rsidR="00A102D4">
        <w:rPr>
          <w:color w:val="000000"/>
          <w:lang w:eastAsia="x-none"/>
        </w:rPr>
        <w:t>differently</w:t>
      </w:r>
      <w:r w:rsidR="00ED46F3">
        <w:rPr>
          <w:color w:val="000000"/>
          <w:lang w:eastAsia="x-none"/>
        </w:rPr>
        <w:t xml:space="preserve">. Moreover, we examined the effect of the </w:t>
      </w:r>
      <w:r w:rsidR="009B73EF">
        <w:rPr>
          <w:color w:val="000000"/>
          <w:lang w:eastAsia="x-none"/>
        </w:rPr>
        <w:t>time-out</w:t>
      </w:r>
      <w:r w:rsidR="00ED46F3">
        <w:rPr>
          <w:color w:val="000000"/>
          <w:lang w:eastAsia="x-none"/>
        </w:rPr>
        <w:t xml:space="preserve"> period only for exporting firms. </w:t>
      </w:r>
      <w:r w:rsidR="00E4490D">
        <w:rPr>
          <w:color w:val="000000"/>
          <w:lang w:eastAsia="x-none"/>
        </w:rPr>
        <w:t>F</w:t>
      </w:r>
      <w:r w:rsidR="00ED46F3">
        <w:rPr>
          <w:color w:val="000000"/>
          <w:lang w:eastAsia="x-none"/>
        </w:rPr>
        <w:t xml:space="preserve">uture studies </w:t>
      </w:r>
      <w:r w:rsidR="00E4490D">
        <w:rPr>
          <w:color w:val="000000"/>
          <w:lang w:eastAsia="x-none"/>
        </w:rPr>
        <w:t xml:space="preserve">should </w:t>
      </w:r>
      <w:r w:rsidR="00ED46F3">
        <w:rPr>
          <w:color w:val="000000"/>
          <w:lang w:eastAsia="x-none"/>
        </w:rPr>
        <w:t xml:space="preserve">examine the effect of the </w:t>
      </w:r>
      <w:r w:rsidR="009B73EF">
        <w:rPr>
          <w:color w:val="000000"/>
          <w:lang w:eastAsia="x-none"/>
        </w:rPr>
        <w:t>time-out</w:t>
      </w:r>
      <w:r w:rsidR="00ED46F3">
        <w:rPr>
          <w:color w:val="000000"/>
          <w:lang w:eastAsia="x-none"/>
        </w:rPr>
        <w:t xml:space="preserve"> period for other forms of internationalization, such as </w:t>
      </w:r>
      <w:r w:rsidR="00F9568D">
        <w:rPr>
          <w:color w:val="000000"/>
          <w:lang w:eastAsia="x-none"/>
        </w:rPr>
        <w:t xml:space="preserve">joint ventures or divestments and acquisitions </w:t>
      </w:r>
      <w:r w:rsidR="00ED46F3">
        <w:rPr>
          <w:color w:val="000000"/>
          <w:lang w:eastAsia="x-none"/>
        </w:rPr>
        <w:t>(</w:t>
      </w:r>
      <w:r w:rsidR="00F9568D" w:rsidRPr="00F9568D">
        <w:rPr>
          <w:color w:val="000000"/>
          <w:lang w:eastAsia="x-none"/>
        </w:rPr>
        <w:t>Fuad and Gaur, 2019;</w:t>
      </w:r>
      <w:r w:rsidR="00F9568D">
        <w:rPr>
          <w:color w:val="000000"/>
          <w:lang w:eastAsia="x-none"/>
        </w:rPr>
        <w:t xml:space="preserve"> </w:t>
      </w:r>
      <w:r w:rsidR="00E41979">
        <w:rPr>
          <w:color w:val="000000"/>
          <w:lang w:eastAsia="x-none"/>
        </w:rPr>
        <w:t xml:space="preserve">Konara et al., 2020; </w:t>
      </w:r>
      <w:r w:rsidR="00F9568D">
        <w:rPr>
          <w:color w:val="000000"/>
          <w:lang w:eastAsia="x-none"/>
        </w:rPr>
        <w:t xml:space="preserve">Lee et al., 2019; </w:t>
      </w:r>
      <w:r w:rsidR="00ED46F3">
        <w:rPr>
          <w:color w:val="000000"/>
          <w:lang w:eastAsia="x-none"/>
        </w:rPr>
        <w:t>Surdu et al., 2018)</w:t>
      </w:r>
      <w:r w:rsidR="00DD614D">
        <w:rPr>
          <w:color w:val="000000"/>
          <w:lang w:eastAsia="x-none"/>
        </w:rPr>
        <w:t>.</w:t>
      </w:r>
      <w:r w:rsidR="00ED46F3">
        <w:rPr>
          <w:color w:val="000000"/>
          <w:lang w:eastAsia="x-none"/>
        </w:rPr>
        <w:t xml:space="preserve"> </w:t>
      </w:r>
    </w:p>
    <w:p w14:paraId="519E0873" w14:textId="271EDE08" w:rsidR="00C7332F" w:rsidRDefault="00544423" w:rsidP="008A4FE9">
      <w:pPr>
        <w:tabs>
          <w:tab w:val="left" w:pos="284"/>
        </w:tabs>
        <w:spacing w:line="480" w:lineRule="auto"/>
        <w:rPr>
          <w:color w:val="000000"/>
          <w:lang w:eastAsia="x-none"/>
        </w:rPr>
      </w:pPr>
      <w:r>
        <w:rPr>
          <w:color w:val="000000"/>
          <w:lang w:eastAsia="x-none"/>
        </w:rPr>
        <w:tab/>
        <w:t xml:space="preserve">As </w:t>
      </w:r>
      <w:r w:rsidR="008B3DCE">
        <w:rPr>
          <w:color w:val="000000"/>
          <w:lang w:eastAsia="x-none"/>
        </w:rPr>
        <w:t>in other re-entry studies (Bernini et al., 2016; Chen et al., 2019),</w:t>
      </w:r>
      <w:r w:rsidR="0012040F">
        <w:rPr>
          <w:color w:val="000000"/>
          <w:lang w:eastAsia="x-none"/>
        </w:rPr>
        <w:t xml:space="preserve"> a limitation of our study </w:t>
      </w:r>
      <w:r w:rsidR="001E1001">
        <w:rPr>
          <w:color w:val="000000"/>
          <w:lang w:eastAsia="x-none"/>
        </w:rPr>
        <w:t>concerns</w:t>
      </w:r>
      <w:r w:rsidR="0012040F">
        <w:rPr>
          <w:color w:val="000000"/>
          <w:lang w:eastAsia="x-none"/>
        </w:rPr>
        <w:t xml:space="preserve"> the fact that</w:t>
      </w:r>
      <w:r w:rsidR="008B3DCE">
        <w:rPr>
          <w:color w:val="000000"/>
          <w:lang w:eastAsia="x-none"/>
        </w:rPr>
        <w:t xml:space="preserve"> the dataset does not include</w:t>
      </w:r>
      <w:r w:rsidR="00B602E6" w:rsidRPr="00B602E6">
        <w:rPr>
          <w:color w:val="000000"/>
          <w:lang w:eastAsia="x-none"/>
        </w:rPr>
        <w:t xml:space="preserve"> information on other </w:t>
      </w:r>
      <w:r w:rsidR="001E1001" w:rsidRPr="00B602E6">
        <w:rPr>
          <w:color w:val="000000"/>
          <w:lang w:eastAsia="x-none"/>
        </w:rPr>
        <w:t xml:space="preserve">entry </w:t>
      </w:r>
      <w:r w:rsidR="00B602E6" w:rsidRPr="00B602E6">
        <w:rPr>
          <w:color w:val="000000"/>
          <w:lang w:eastAsia="x-none"/>
        </w:rPr>
        <w:t>modes</w:t>
      </w:r>
      <w:r w:rsidR="00267637">
        <w:rPr>
          <w:color w:val="000000"/>
          <w:lang w:eastAsia="x-none"/>
        </w:rPr>
        <w:t xml:space="preserve">. </w:t>
      </w:r>
      <w:r w:rsidR="00267637">
        <w:rPr>
          <w:color w:val="000000"/>
          <w:lang w:eastAsia="x-none"/>
        </w:rPr>
        <w:lastRenderedPageBreak/>
        <w:t xml:space="preserve">Nevertheless, </w:t>
      </w:r>
      <w:r w:rsidR="007A24BD">
        <w:rPr>
          <w:color w:val="000000"/>
          <w:lang w:eastAsia="x-none"/>
        </w:rPr>
        <w:t>this is less of a concern in our stud</w:t>
      </w:r>
      <w:r w:rsidR="003E0255">
        <w:rPr>
          <w:color w:val="000000"/>
          <w:lang w:eastAsia="x-none"/>
        </w:rPr>
        <w:t>y</w:t>
      </w:r>
      <w:r w:rsidR="00E278CC">
        <w:rPr>
          <w:color w:val="000000"/>
          <w:lang w:eastAsia="x-none"/>
        </w:rPr>
        <w:t xml:space="preserve"> for two reasons. First</w:t>
      </w:r>
      <w:r w:rsidR="003C5955">
        <w:rPr>
          <w:color w:val="000000"/>
          <w:lang w:eastAsia="x-none"/>
        </w:rPr>
        <w:t>,</w:t>
      </w:r>
      <w:r w:rsidR="00E278CC">
        <w:rPr>
          <w:color w:val="000000"/>
          <w:lang w:eastAsia="x-none"/>
        </w:rPr>
        <w:t xml:space="preserve"> </w:t>
      </w:r>
      <w:r w:rsidR="004A5DD5">
        <w:rPr>
          <w:color w:val="000000"/>
          <w:lang w:eastAsia="x-none"/>
        </w:rPr>
        <w:t xml:space="preserve">empirical </w:t>
      </w:r>
      <w:r w:rsidR="003C5955">
        <w:rPr>
          <w:color w:val="000000"/>
          <w:lang w:eastAsia="x-none"/>
        </w:rPr>
        <w:t>evidence</w:t>
      </w:r>
      <w:r w:rsidR="00E278CC">
        <w:rPr>
          <w:color w:val="000000"/>
          <w:lang w:eastAsia="x-none"/>
        </w:rPr>
        <w:t xml:space="preserve"> </w:t>
      </w:r>
      <w:r w:rsidR="003C5955">
        <w:rPr>
          <w:color w:val="000000"/>
          <w:lang w:eastAsia="x-none"/>
        </w:rPr>
        <w:t>(</w:t>
      </w:r>
      <w:r w:rsidR="003C5955" w:rsidRPr="003C5955">
        <w:rPr>
          <w:color w:val="000000"/>
          <w:lang w:eastAsia="x-none"/>
        </w:rPr>
        <w:t>Surdu et al</w:t>
      </w:r>
      <w:r w:rsidR="003C5955">
        <w:rPr>
          <w:color w:val="000000"/>
          <w:lang w:eastAsia="x-none"/>
        </w:rPr>
        <w:t>.,</w:t>
      </w:r>
      <w:r w:rsidR="003C5955" w:rsidRPr="003C5955">
        <w:rPr>
          <w:color w:val="000000"/>
          <w:lang w:eastAsia="x-none"/>
        </w:rPr>
        <w:t xml:space="preserve"> 2018; 2019)</w:t>
      </w:r>
      <w:r w:rsidR="003C5955">
        <w:rPr>
          <w:color w:val="000000"/>
          <w:lang w:eastAsia="x-none"/>
        </w:rPr>
        <w:t xml:space="preserve"> </w:t>
      </w:r>
      <w:r w:rsidR="007D4E27">
        <w:rPr>
          <w:color w:val="000000"/>
          <w:lang w:eastAsia="x-none"/>
        </w:rPr>
        <w:t>shows</w:t>
      </w:r>
      <w:r w:rsidR="002637EC">
        <w:rPr>
          <w:color w:val="000000"/>
          <w:lang w:eastAsia="x-none"/>
        </w:rPr>
        <w:t xml:space="preserve"> that</w:t>
      </w:r>
      <w:r w:rsidR="003C5955" w:rsidRPr="003C5955">
        <w:rPr>
          <w:color w:val="000000"/>
          <w:lang w:eastAsia="x-none"/>
        </w:rPr>
        <w:t xml:space="preserve"> when firms exit</w:t>
      </w:r>
      <w:r>
        <w:rPr>
          <w:color w:val="000000"/>
          <w:lang w:eastAsia="x-none"/>
        </w:rPr>
        <w:t xml:space="preserve"> and re-enter</w:t>
      </w:r>
      <w:r w:rsidR="003C5955" w:rsidRPr="003C5955">
        <w:rPr>
          <w:color w:val="000000"/>
          <w:lang w:eastAsia="x-none"/>
        </w:rPr>
        <w:t xml:space="preserve"> foreign markets, they are most likely to do so through exporting rather than resource</w:t>
      </w:r>
      <w:r w:rsidR="001E1001">
        <w:rPr>
          <w:color w:val="000000"/>
          <w:lang w:eastAsia="x-none"/>
        </w:rPr>
        <w:t>-intensive</w:t>
      </w:r>
      <w:r w:rsidR="003C5955" w:rsidRPr="003C5955">
        <w:rPr>
          <w:color w:val="000000"/>
          <w:lang w:eastAsia="x-none"/>
        </w:rPr>
        <w:t xml:space="preserve"> </w:t>
      </w:r>
      <w:r w:rsidR="001E1001">
        <w:rPr>
          <w:color w:val="000000"/>
          <w:lang w:eastAsia="x-none"/>
        </w:rPr>
        <w:t>modes</w:t>
      </w:r>
      <w:r w:rsidR="003C5955" w:rsidRPr="003C5955">
        <w:rPr>
          <w:color w:val="000000"/>
          <w:lang w:eastAsia="x-none"/>
        </w:rPr>
        <w:t xml:space="preserve"> of internationalization. </w:t>
      </w:r>
      <w:r w:rsidR="002637EC">
        <w:rPr>
          <w:color w:val="000000"/>
          <w:lang w:eastAsia="x-none"/>
        </w:rPr>
        <w:t xml:space="preserve">Second, </w:t>
      </w:r>
      <w:r w:rsidR="0085523C">
        <w:rPr>
          <w:color w:val="000000"/>
          <w:lang w:eastAsia="x-none"/>
        </w:rPr>
        <w:t>it is</w:t>
      </w:r>
      <w:r w:rsidR="00D479F3">
        <w:rPr>
          <w:color w:val="000000"/>
          <w:lang w:eastAsia="x-none"/>
        </w:rPr>
        <w:t xml:space="preserve"> </w:t>
      </w:r>
      <w:r w:rsidR="0085523C">
        <w:rPr>
          <w:color w:val="000000"/>
          <w:lang w:eastAsia="x-none"/>
        </w:rPr>
        <w:t xml:space="preserve">unlikely that firms </w:t>
      </w:r>
      <w:r w:rsidR="007408B5">
        <w:rPr>
          <w:color w:val="000000"/>
          <w:lang w:eastAsia="x-none"/>
        </w:rPr>
        <w:t xml:space="preserve">will </w:t>
      </w:r>
      <w:r w:rsidR="001B20DB">
        <w:rPr>
          <w:color w:val="000000"/>
          <w:lang w:eastAsia="x-none"/>
        </w:rPr>
        <w:t xml:space="preserve">stop exporting </w:t>
      </w:r>
      <w:r w:rsidR="007D4E27">
        <w:rPr>
          <w:color w:val="000000"/>
          <w:lang w:eastAsia="x-none"/>
        </w:rPr>
        <w:t>to</w:t>
      </w:r>
      <w:r w:rsidR="001B20DB">
        <w:rPr>
          <w:color w:val="000000"/>
          <w:lang w:eastAsia="x-none"/>
        </w:rPr>
        <w:t xml:space="preserve"> all co</w:t>
      </w:r>
      <w:r w:rsidR="007408B5">
        <w:rPr>
          <w:color w:val="000000"/>
          <w:lang w:eastAsia="x-none"/>
        </w:rPr>
        <w:t>untries</w:t>
      </w:r>
      <w:r w:rsidR="0085523C">
        <w:rPr>
          <w:color w:val="000000"/>
          <w:lang w:eastAsia="x-none"/>
        </w:rPr>
        <w:t xml:space="preserve"> to</w:t>
      </w:r>
      <w:r w:rsidR="007408B5">
        <w:rPr>
          <w:color w:val="000000"/>
          <w:lang w:eastAsia="x-none"/>
        </w:rPr>
        <w:t xml:space="preserve"> re-enter</w:t>
      </w:r>
      <w:r w:rsidR="00D479F3">
        <w:rPr>
          <w:color w:val="000000"/>
          <w:lang w:eastAsia="x-none"/>
        </w:rPr>
        <w:t xml:space="preserve"> one or more markets</w:t>
      </w:r>
      <w:r w:rsidR="007408B5">
        <w:rPr>
          <w:color w:val="000000"/>
          <w:lang w:eastAsia="x-none"/>
        </w:rPr>
        <w:t xml:space="preserve"> </w:t>
      </w:r>
      <w:r w:rsidR="0085523C">
        <w:rPr>
          <w:color w:val="000000"/>
          <w:lang w:eastAsia="x-none"/>
        </w:rPr>
        <w:t>with a different mode of internationalization</w:t>
      </w:r>
      <w:r w:rsidR="00D479F3">
        <w:rPr>
          <w:color w:val="000000"/>
          <w:lang w:eastAsia="x-none"/>
        </w:rPr>
        <w:t xml:space="preserve">. </w:t>
      </w:r>
      <w:r w:rsidR="00AB28A9">
        <w:rPr>
          <w:color w:val="000000"/>
          <w:lang w:eastAsia="x-none"/>
        </w:rPr>
        <w:t>S</w:t>
      </w:r>
      <w:r w:rsidR="00D479F3">
        <w:rPr>
          <w:color w:val="000000"/>
          <w:lang w:eastAsia="x-none"/>
        </w:rPr>
        <w:t xml:space="preserve">uch a scenario has not been observed </w:t>
      </w:r>
      <w:r w:rsidR="005E17A3">
        <w:rPr>
          <w:color w:val="000000"/>
          <w:lang w:eastAsia="x-none"/>
        </w:rPr>
        <w:t xml:space="preserve">in recent qualitative studies </w:t>
      </w:r>
      <w:r w:rsidR="0059070B" w:rsidRPr="0059070B">
        <w:rPr>
          <w:color w:val="000000"/>
          <w:lang w:eastAsia="x-none"/>
        </w:rPr>
        <w:t xml:space="preserve">(Dominguez </w:t>
      </w:r>
      <w:r w:rsidR="009262D5">
        <w:rPr>
          <w:color w:val="000000"/>
          <w:lang w:eastAsia="x-none"/>
        </w:rPr>
        <w:t>&amp;</w:t>
      </w:r>
      <w:r w:rsidR="0059070B" w:rsidRPr="0059070B">
        <w:rPr>
          <w:color w:val="000000"/>
          <w:lang w:eastAsia="x-none"/>
        </w:rPr>
        <w:t xml:space="preserve"> Mayrhofer, 2017; Vissak </w:t>
      </w:r>
      <w:r w:rsidR="009262D5">
        <w:rPr>
          <w:color w:val="000000"/>
          <w:lang w:eastAsia="x-none"/>
        </w:rPr>
        <w:t>&amp;</w:t>
      </w:r>
      <w:r w:rsidR="0059070B" w:rsidRPr="0059070B">
        <w:rPr>
          <w:color w:val="000000"/>
          <w:lang w:eastAsia="x-none"/>
        </w:rPr>
        <w:t xml:space="preserve"> Francioni 2013; Vissak et al., 2020).</w:t>
      </w:r>
      <w:r w:rsidR="00DD614D">
        <w:rPr>
          <w:color w:val="000000"/>
          <w:lang w:eastAsia="x-none"/>
        </w:rPr>
        <w:t xml:space="preserve"> </w:t>
      </w:r>
    </w:p>
    <w:p w14:paraId="73AB8604" w14:textId="50EEBB7A" w:rsidR="00986044" w:rsidRDefault="00C7332F" w:rsidP="008A4FE9">
      <w:pPr>
        <w:tabs>
          <w:tab w:val="left" w:pos="284"/>
        </w:tabs>
        <w:spacing w:line="480" w:lineRule="auto"/>
        <w:rPr>
          <w:color w:val="000000"/>
          <w:lang w:eastAsia="x-none"/>
        </w:rPr>
      </w:pPr>
      <w:r>
        <w:rPr>
          <w:color w:val="000000"/>
          <w:lang w:eastAsia="x-none"/>
        </w:rPr>
        <w:tab/>
      </w:r>
      <w:r w:rsidR="00DD614D" w:rsidRPr="00DD614D">
        <w:rPr>
          <w:color w:val="000000"/>
          <w:lang w:eastAsia="x-none"/>
        </w:rPr>
        <w:t xml:space="preserve">Finally, the internal knowledge that firms possess and use for decision making can be derived not only from experience from </w:t>
      </w:r>
      <w:r w:rsidR="001E112D">
        <w:rPr>
          <w:color w:val="000000"/>
          <w:lang w:eastAsia="x-none"/>
        </w:rPr>
        <w:t>their activities</w:t>
      </w:r>
      <w:r w:rsidR="00DD614D" w:rsidRPr="00DD614D">
        <w:rPr>
          <w:color w:val="000000"/>
          <w:lang w:eastAsia="x-none"/>
        </w:rPr>
        <w:t xml:space="preserve"> but also from the knowledge and skills that managers had prior to joining the firm; or otherwise</w:t>
      </w:r>
      <w:r w:rsidR="00363B04" w:rsidRPr="00DD614D">
        <w:rPr>
          <w:color w:val="000000"/>
          <w:lang w:eastAsia="x-none"/>
        </w:rPr>
        <w:t>,</w:t>
      </w:r>
      <w:r w:rsidR="00DD614D" w:rsidRPr="00DD614D">
        <w:rPr>
          <w:color w:val="000000"/>
          <w:lang w:eastAsia="x-none"/>
        </w:rPr>
        <w:t xml:space="preserve"> congenital learning (Huber, 1991). For example, the type and level of experience that managers possessed can determine not only their perception </w:t>
      </w:r>
      <w:r w:rsidR="007D4E27">
        <w:rPr>
          <w:color w:val="000000"/>
          <w:lang w:eastAsia="x-none"/>
        </w:rPr>
        <w:t>of</w:t>
      </w:r>
      <w:r w:rsidR="00DD614D" w:rsidRPr="00DD614D">
        <w:rPr>
          <w:color w:val="000000"/>
          <w:lang w:eastAsia="x-none"/>
        </w:rPr>
        <w:t xml:space="preserve"> internationalization but also that </w:t>
      </w:r>
      <w:r w:rsidR="007D4E27">
        <w:rPr>
          <w:color w:val="000000"/>
          <w:lang w:eastAsia="x-none"/>
        </w:rPr>
        <w:t>of</w:t>
      </w:r>
      <w:r w:rsidR="00DD614D" w:rsidRPr="00DD614D">
        <w:rPr>
          <w:color w:val="000000"/>
          <w:lang w:eastAsia="x-none"/>
        </w:rPr>
        <w:t xml:space="preserve"> failure, and consequently whether firms will be able to learn faster and more effectively from such an event (Madsen </w:t>
      </w:r>
      <w:r w:rsidR="009262D5">
        <w:rPr>
          <w:color w:val="000000"/>
          <w:lang w:eastAsia="x-none"/>
        </w:rPr>
        <w:t>&amp;</w:t>
      </w:r>
      <w:r w:rsidR="00DD614D" w:rsidRPr="00DD614D">
        <w:rPr>
          <w:color w:val="000000"/>
          <w:lang w:eastAsia="x-none"/>
        </w:rPr>
        <w:t xml:space="preserve"> Desai, 2010). Moreover, beyond formal collaborations, firms can also access external knowledge through vicarious learning (Huber, 1991; Surdu et al., 2021); learning that occurs by observing the actions of other firms. Future work can </w:t>
      </w:r>
      <w:r w:rsidR="008F6494">
        <w:rPr>
          <w:color w:val="000000"/>
          <w:lang w:eastAsia="x-none"/>
        </w:rPr>
        <w:t>extend</w:t>
      </w:r>
      <w:r w:rsidR="008F6494" w:rsidRPr="00DD614D">
        <w:rPr>
          <w:color w:val="000000"/>
          <w:lang w:eastAsia="x-none"/>
        </w:rPr>
        <w:t xml:space="preserve"> </w:t>
      </w:r>
      <w:r w:rsidR="008F6494">
        <w:rPr>
          <w:color w:val="000000"/>
          <w:lang w:eastAsia="x-none"/>
        </w:rPr>
        <w:t>this</w:t>
      </w:r>
      <w:r w:rsidR="008F6494" w:rsidRPr="00DD614D">
        <w:rPr>
          <w:color w:val="000000"/>
          <w:lang w:eastAsia="x-none"/>
        </w:rPr>
        <w:t xml:space="preserve"> </w:t>
      </w:r>
      <w:r w:rsidR="00DD614D" w:rsidRPr="00DD614D">
        <w:rPr>
          <w:color w:val="000000"/>
          <w:lang w:eastAsia="x-none"/>
        </w:rPr>
        <w:t xml:space="preserve">study by investigating the role of managerial knowledge and skills and that of learning from more informal external sources on the ability of firms to react and learn from failure, reduce the rate of unlearning useful knowledge, assimilate new knowledge during the time-out period, and ultimately in re-entering and performing well in foreign markets. </w:t>
      </w:r>
      <w:r w:rsidR="00ED1F42">
        <w:rPr>
          <w:color w:val="000000"/>
          <w:lang w:eastAsia="x-none"/>
        </w:rPr>
        <w:t xml:space="preserve"> </w:t>
      </w:r>
    </w:p>
    <w:p w14:paraId="7604E96B" w14:textId="6140BE7B" w:rsidR="00003430" w:rsidRPr="009B5983" w:rsidRDefault="0025397B" w:rsidP="00B1305A">
      <w:pPr>
        <w:spacing w:after="160" w:line="259" w:lineRule="auto"/>
        <w:rPr>
          <w:b/>
          <w:bCs/>
          <w:sz w:val="22"/>
          <w:szCs w:val="22"/>
        </w:rPr>
      </w:pPr>
      <w:r>
        <w:rPr>
          <w:color w:val="000000"/>
          <w:lang w:eastAsia="x-none"/>
        </w:rPr>
        <w:br w:type="page"/>
      </w:r>
      <w:r w:rsidR="000E74C1" w:rsidRPr="009B5983">
        <w:rPr>
          <w:b/>
          <w:bCs/>
          <w:sz w:val="22"/>
          <w:szCs w:val="22"/>
        </w:rPr>
        <w:lastRenderedPageBreak/>
        <w:t>References</w:t>
      </w:r>
    </w:p>
    <w:p w14:paraId="5B9CD0B7" w14:textId="5E5DBD67" w:rsidR="005167CB" w:rsidRDefault="00EF0E02" w:rsidP="00C50ABB">
      <w:pPr>
        <w:spacing w:line="360" w:lineRule="auto"/>
        <w:ind w:firstLine="284"/>
        <w:rPr>
          <w:sz w:val="22"/>
          <w:szCs w:val="22"/>
        </w:rPr>
      </w:pPr>
      <w:r w:rsidRPr="00EF0E02">
        <w:rPr>
          <w:sz w:val="22"/>
          <w:szCs w:val="22"/>
        </w:rPr>
        <w:t xml:space="preserve">Aguzzoli, R., Lengler, J., Sousa, C. M., &amp; Benito, G. R. (2021). Here we go again: </w:t>
      </w:r>
      <w:r w:rsidR="0025397B">
        <w:rPr>
          <w:sz w:val="22"/>
          <w:szCs w:val="22"/>
        </w:rPr>
        <w:t>A</w:t>
      </w:r>
      <w:r w:rsidRPr="00EF0E02">
        <w:rPr>
          <w:sz w:val="22"/>
          <w:szCs w:val="22"/>
        </w:rPr>
        <w:t xml:space="preserve"> case study on </w:t>
      </w:r>
      <w:r w:rsidR="0025397B">
        <w:rPr>
          <w:sz w:val="22"/>
          <w:szCs w:val="22"/>
        </w:rPr>
        <w:t>r</w:t>
      </w:r>
      <w:r w:rsidRPr="00EF0E02">
        <w:rPr>
          <w:sz w:val="22"/>
          <w:szCs w:val="22"/>
        </w:rPr>
        <w:t>e‐entering a foreign market. </w:t>
      </w:r>
      <w:r w:rsidRPr="00EF0E02">
        <w:rPr>
          <w:i/>
          <w:iCs/>
          <w:sz w:val="22"/>
          <w:szCs w:val="22"/>
        </w:rPr>
        <w:t>British Journal of Management</w:t>
      </w:r>
      <w:r w:rsidRPr="00EF0E02">
        <w:rPr>
          <w:sz w:val="22"/>
          <w:szCs w:val="22"/>
        </w:rPr>
        <w:t>, </w:t>
      </w:r>
      <w:r w:rsidRPr="00EF0E02">
        <w:rPr>
          <w:i/>
          <w:iCs/>
          <w:sz w:val="22"/>
          <w:szCs w:val="22"/>
        </w:rPr>
        <w:t>32</w:t>
      </w:r>
      <w:r w:rsidRPr="00EF0E02">
        <w:rPr>
          <w:sz w:val="22"/>
          <w:szCs w:val="22"/>
        </w:rPr>
        <w:t>(2), 416-434.</w:t>
      </w:r>
    </w:p>
    <w:p w14:paraId="50E49C3F" w14:textId="6CB7CEDF" w:rsidR="005576A3" w:rsidRDefault="005576A3" w:rsidP="00C50ABB">
      <w:pPr>
        <w:spacing w:line="360" w:lineRule="auto"/>
        <w:ind w:firstLine="284"/>
        <w:rPr>
          <w:sz w:val="22"/>
          <w:szCs w:val="22"/>
        </w:rPr>
      </w:pPr>
      <w:r w:rsidRPr="009B5983">
        <w:rPr>
          <w:sz w:val="22"/>
          <w:szCs w:val="22"/>
        </w:rPr>
        <w:t>Argote, L., &amp; Miron-Spektor, E. (2011). Organizational learning: From experience to knowledge. </w:t>
      </w:r>
      <w:r w:rsidRPr="009B5983">
        <w:rPr>
          <w:i/>
          <w:iCs/>
          <w:sz w:val="22"/>
          <w:szCs w:val="22"/>
        </w:rPr>
        <w:t xml:space="preserve">Organization </w:t>
      </w:r>
      <w:r w:rsidR="00965E04">
        <w:rPr>
          <w:i/>
          <w:iCs/>
          <w:sz w:val="22"/>
          <w:szCs w:val="22"/>
        </w:rPr>
        <w:t>Science</w:t>
      </w:r>
      <w:r w:rsidRPr="009B5983">
        <w:rPr>
          <w:sz w:val="22"/>
          <w:szCs w:val="22"/>
        </w:rPr>
        <w:t>, </w:t>
      </w:r>
      <w:r w:rsidRPr="009B5983">
        <w:rPr>
          <w:i/>
          <w:iCs/>
          <w:sz w:val="22"/>
          <w:szCs w:val="22"/>
        </w:rPr>
        <w:t>22</w:t>
      </w:r>
      <w:r w:rsidRPr="009B5983">
        <w:rPr>
          <w:sz w:val="22"/>
          <w:szCs w:val="22"/>
        </w:rPr>
        <w:t>(5), 1123-1137.</w:t>
      </w:r>
    </w:p>
    <w:p w14:paraId="0952EBB3" w14:textId="0321ADA8" w:rsidR="009B5983" w:rsidRPr="009B5983" w:rsidRDefault="009B5983" w:rsidP="009B5983">
      <w:pPr>
        <w:spacing w:line="360" w:lineRule="auto"/>
        <w:ind w:firstLine="284"/>
        <w:rPr>
          <w:sz w:val="22"/>
          <w:szCs w:val="22"/>
        </w:rPr>
      </w:pPr>
      <w:r w:rsidRPr="009B5983">
        <w:rPr>
          <w:sz w:val="22"/>
          <w:szCs w:val="22"/>
        </w:rPr>
        <w:t>Barkema, H. G., Shenkar, O., Vermeulen, F., &amp; Bell, J. H. (1997). Working abroad, working with others: How firms learn to operate international joint ventures. </w:t>
      </w:r>
      <w:r w:rsidRPr="009B5983">
        <w:rPr>
          <w:i/>
          <w:iCs/>
          <w:sz w:val="22"/>
          <w:szCs w:val="22"/>
        </w:rPr>
        <w:t xml:space="preserve">Academy of Management </w:t>
      </w:r>
      <w:r w:rsidR="007D4E27">
        <w:rPr>
          <w:i/>
          <w:iCs/>
          <w:sz w:val="22"/>
          <w:szCs w:val="22"/>
        </w:rPr>
        <w:t>Journal</w:t>
      </w:r>
      <w:r w:rsidRPr="009B5983">
        <w:rPr>
          <w:sz w:val="22"/>
          <w:szCs w:val="22"/>
        </w:rPr>
        <w:t>, </w:t>
      </w:r>
      <w:r w:rsidRPr="009B5983">
        <w:rPr>
          <w:i/>
          <w:iCs/>
          <w:sz w:val="22"/>
          <w:szCs w:val="22"/>
        </w:rPr>
        <w:t>40</w:t>
      </w:r>
      <w:r w:rsidRPr="009B5983">
        <w:rPr>
          <w:sz w:val="22"/>
          <w:szCs w:val="22"/>
        </w:rPr>
        <w:t>(2), 426-442.</w:t>
      </w:r>
    </w:p>
    <w:p w14:paraId="16E4E624" w14:textId="36F43010" w:rsidR="00C50ABB" w:rsidRPr="009B5983" w:rsidRDefault="00C50ABB" w:rsidP="00C50ABB">
      <w:pPr>
        <w:spacing w:line="360" w:lineRule="auto"/>
        <w:ind w:firstLine="284"/>
        <w:rPr>
          <w:sz w:val="22"/>
          <w:szCs w:val="22"/>
        </w:rPr>
      </w:pPr>
      <w:r w:rsidRPr="009B5983">
        <w:rPr>
          <w:sz w:val="22"/>
          <w:szCs w:val="22"/>
        </w:rPr>
        <w:t>Bernini, M., Du, J., &amp; Love, J.H. (2016). Explaining intermittent exporting: Exit and conditional re-entry in export markets. </w:t>
      </w:r>
      <w:r w:rsidRPr="009B5983">
        <w:rPr>
          <w:i/>
          <w:iCs/>
          <w:sz w:val="22"/>
          <w:szCs w:val="22"/>
        </w:rPr>
        <w:t>Journal of International Business Studies</w:t>
      </w:r>
      <w:r w:rsidRPr="009B5983">
        <w:rPr>
          <w:sz w:val="22"/>
          <w:szCs w:val="22"/>
        </w:rPr>
        <w:t>, </w:t>
      </w:r>
      <w:r w:rsidRPr="009B5983">
        <w:rPr>
          <w:i/>
          <w:iCs/>
          <w:sz w:val="22"/>
          <w:szCs w:val="22"/>
        </w:rPr>
        <w:t>47</w:t>
      </w:r>
      <w:r w:rsidRPr="009B5983">
        <w:rPr>
          <w:sz w:val="22"/>
          <w:szCs w:val="22"/>
        </w:rPr>
        <w:t>(9), 1058-1076.</w:t>
      </w:r>
    </w:p>
    <w:p w14:paraId="3E363D81" w14:textId="02038439" w:rsidR="005576A3" w:rsidRPr="009B5983" w:rsidRDefault="005576A3" w:rsidP="00C50ABB">
      <w:pPr>
        <w:spacing w:line="360" w:lineRule="auto"/>
        <w:ind w:firstLine="284"/>
        <w:rPr>
          <w:sz w:val="22"/>
          <w:szCs w:val="22"/>
        </w:rPr>
      </w:pPr>
      <w:r w:rsidRPr="009B5983">
        <w:rPr>
          <w:sz w:val="22"/>
          <w:szCs w:val="22"/>
        </w:rPr>
        <w:t>Bettis, R. A., &amp; Prahalad, C. K. (1995). The dominant logic: Retrospective and extension. </w:t>
      </w:r>
      <w:r w:rsidRPr="009B5983">
        <w:rPr>
          <w:i/>
          <w:iCs/>
          <w:sz w:val="22"/>
          <w:szCs w:val="22"/>
        </w:rPr>
        <w:t xml:space="preserve">Strategic </w:t>
      </w:r>
      <w:r w:rsidR="00965E04">
        <w:rPr>
          <w:i/>
          <w:iCs/>
          <w:sz w:val="22"/>
          <w:szCs w:val="22"/>
        </w:rPr>
        <w:t>M</w:t>
      </w:r>
      <w:r w:rsidRPr="009B5983">
        <w:rPr>
          <w:i/>
          <w:iCs/>
          <w:sz w:val="22"/>
          <w:szCs w:val="22"/>
        </w:rPr>
        <w:t xml:space="preserve">anagement </w:t>
      </w:r>
      <w:r w:rsidR="00965E04">
        <w:rPr>
          <w:i/>
          <w:iCs/>
          <w:sz w:val="22"/>
          <w:szCs w:val="22"/>
        </w:rPr>
        <w:t>J</w:t>
      </w:r>
      <w:r w:rsidRPr="009B5983">
        <w:rPr>
          <w:i/>
          <w:iCs/>
          <w:sz w:val="22"/>
          <w:szCs w:val="22"/>
        </w:rPr>
        <w:t>ournal</w:t>
      </w:r>
      <w:r w:rsidRPr="009B5983">
        <w:rPr>
          <w:sz w:val="22"/>
          <w:szCs w:val="22"/>
        </w:rPr>
        <w:t>, </w:t>
      </w:r>
      <w:r w:rsidRPr="009B5983">
        <w:rPr>
          <w:i/>
          <w:iCs/>
          <w:sz w:val="22"/>
          <w:szCs w:val="22"/>
        </w:rPr>
        <w:t>16</w:t>
      </w:r>
      <w:r w:rsidRPr="009B5983">
        <w:rPr>
          <w:sz w:val="22"/>
          <w:szCs w:val="22"/>
        </w:rPr>
        <w:t>(1), 5-14.</w:t>
      </w:r>
    </w:p>
    <w:p w14:paraId="433D82BB" w14:textId="24950452" w:rsidR="0026371C" w:rsidRPr="009B5983" w:rsidRDefault="0026371C" w:rsidP="00C50ABB">
      <w:pPr>
        <w:spacing w:line="360" w:lineRule="auto"/>
        <w:ind w:firstLine="284"/>
        <w:rPr>
          <w:sz w:val="22"/>
          <w:szCs w:val="22"/>
        </w:rPr>
      </w:pPr>
      <w:r w:rsidRPr="009B5983">
        <w:rPr>
          <w:sz w:val="22"/>
          <w:szCs w:val="22"/>
        </w:rPr>
        <w:t xml:space="preserve">Bohlmann, J. D., Spanjol, J., Qualls, W. J., &amp; Rosa, J. A. (2013). The interplay of customer and product innovation dynamics: </w:t>
      </w:r>
      <w:r w:rsidR="00965E04">
        <w:rPr>
          <w:sz w:val="22"/>
          <w:szCs w:val="22"/>
        </w:rPr>
        <w:t>A</w:t>
      </w:r>
      <w:r w:rsidRPr="009B5983">
        <w:rPr>
          <w:sz w:val="22"/>
          <w:szCs w:val="22"/>
        </w:rPr>
        <w:t>n exploratory study. </w:t>
      </w:r>
      <w:r w:rsidRPr="009B5983">
        <w:rPr>
          <w:i/>
          <w:iCs/>
          <w:sz w:val="22"/>
          <w:szCs w:val="22"/>
        </w:rPr>
        <w:t>Journal of Product Innovation Management</w:t>
      </w:r>
      <w:r w:rsidRPr="009B5983">
        <w:rPr>
          <w:sz w:val="22"/>
          <w:szCs w:val="22"/>
        </w:rPr>
        <w:t>, </w:t>
      </w:r>
      <w:r w:rsidRPr="009B5983">
        <w:rPr>
          <w:i/>
          <w:iCs/>
          <w:sz w:val="22"/>
          <w:szCs w:val="22"/>
        </w:rPr>
        <w:t>30</w:t>
      </w:r>
      <w:r w:rsidRPr="009B5983">
        <w:rPr>
          <w:sz w:val="22"/>
          <w:szCs w:val="22"/>
        </w:rPr>
        <w:t>(2), 228-244.</w:t>
      </w:r>
    </w:p>
    <w:p w14:paraId="51120439" w14:textId="45FCEF05" w:rsidR="00A82932" w:rsidRDefault="00A82932" w:rsidP="00A82932">
      <w:pPr>
        <w:spacing w:line="360" w:lineRule="auto"/>
        <w:ind w:firstLine="284"/>
        <w:rPr>
          <w:sz w:val="22"/>
          <w:szCs w:val="22"/>
        </w:rPr>
      </w:pPr>
      <w:r w:rsidRPr="009B5983">
        <w:rPr>
          <w:sz w:val="22"/>
          <w:szCs w:val="22"/>
        </w:rPr>
        <w:t>Casillas, J. C., Moreno, A. M., Acedo, F. J., Gallego, M. A., &amp; Ramos, E. (2009). An integrative model of the role of knowledge in the internationalization process. </w:t>
      </w:r>
      <w:r w:rsidRPr="009B5983">
        <w:rPr>
          <w:i/>
          <w:iCs/>
          <w:sz w:val="22"/>
          <w:szCs w:val="22"/>
        </w:rPr>
        <w:t>Journal of World Business</w:t>
      </w:r>
      <w:r w:rsidRPr="009B5983">
        <w:rPr>
          <w:sz w:val="22"/>
          <w:szCs w:val="22"/>
        </w:rPr>
        <w:t>, </w:t>
      </w:r>
      <w:r w:rsidRPr="009B5983">
        <w:rPr>
          <w:i/>
          <w:iCs/>
          <w:sz w:val="22"/>
          <w:szCs w:val="22"/>
        </w:rPr>
        <w:t>44</w:t>
      </w:r>
      <w:r w:rsidRPr="009B5983">
        <w:rPr>
          <w:sz w:val="22"/>
          <w:szCs w:val="22"/>
        </w:rPr>
        <w:t>(3), 311-322.</w:t>
      </w:r>
    </w:p>
    <w:p w14:paraId="72DB3722" w14:textId="77777777" w:rsidR="009A27E7" w:rsidRPr="009A27E7" w:rsidRDefault="009A27E7" w:rsidP="009A27E7">
      <w:pPr>
        <w:spacing w:line="360" w:lineRule="auto"/>
        <w:ind w:firstLine="284"/>
        <w:rPr>
          <w:sz w:val="22"/>
          <w:szCs w:val="22"/>
        </w:rPr>
      </w:pPr>
      <w:r w:rsidRPr="009A27E7">
        <w:rPr>
          <w:sz w:val="22"/>
          <w:szCs w:val="22"/>
        </w:rPr>
        <w:t>Casillas, J. C., &amp; Moreno-Menéndez, A. M. (2014). Speed of the internationalization process: The role of diversity and depth in experiential learning. </w:t>
      </w:r>
      <w:r w:rsidRPr="009A27E7">
        <w:rPr>
          <w:i/>
          <w:iCs/>
          <w:sz w:val="22"/>
          <w:szCs w:val="22"/>
        </w:rPr>
        <w:t>Journal of International Business Studies</w:t>
      </w:r>
      <w:r w:rsidRPr="009A27E7">
        <w:rPr>
          <w:sz w:val="22"/>
          <w:szCs w:val="22"/>
        </w:rPr>
        <w:t>, </w:t>
      </w:r>
      <w:r w:rsidRPr="009A27E7">
        <w:rPr>
          <w:i/>
          <w:iCs/>
          <w:sz w:val="22"/>
          <w:szCs w:val="22"/>
        </w:rPr>
        <w:t>45</w:t>
      </w:r>
      <w:r w:rsidRPr="009A27E7">
        <w:rPr>
          <w:sz w:val="22"/>
          <w:szCs w:val="22"/>
        </w:rPr>
        <w:t>(1), 85-101.</w:t>
      </w:r>
    </w:p>
    <w:p w14:paraId="665DB457" w14:textId="155AA253" w:rsidR="00C50ABB" w:rsidRDefault="00C50ABB" w:rsidP="00A82932">
      <w:pPr>
        <w:spacing w:line="360" w:lineRule="auto"/>
        <w:ind w:firstLine="284"/>
        <w:rPr>
          <w:sz w:val="22"/>
          <w:szCs w:val="22"/>
        </w:rPr>
      </w:pPr>
      <w:r w:rsidRPr="009B5983">
        <w:rPr>
          <w:sz w:val="22"/>
          <w:szCs w:val="22"/>
        </w:rPr>
        <w:t>Chen, J., Sousa, C.M., &amp; He, X. (2019). Export market re-entry: Time-out period and price/quality dynamisms. </w:t>
      </w:r>
      <w:r w:rsidRPr="009B5983">
        <w:rPr>
          <w:i/>
          <w:iCs/>
          <w:sz w:val="22"/>
          <w:szCs w:val="22"/>
        </w:rPr>
        <w:t>Journal of World Business</w:t>
      </w:r>
      <w:r w:rsidRPr="009B5983">
        <w:rPr>
          <w:sz w:val="22"/>
          <w:szCs w:val="22"/>
        </w:rPr>
        <w:t>, </w:t>
      </w:r>
      <w:r w:rsidRPr="009B5983">
        <w:rPr>
          <w:i/>
          <w:iCs/>
          <w:sz w:val="22"/>
          <w:szCs w:val="22"/>
        </w:rPr>
        <w:t>54</w:t>
      </w:r>
      <w:r w:rsidRPr="009B5983">
        <w:rPr>
          <w:sz w:val="22"/>
          <w:szCs w:val="22"/>
        </w:rPr>
        <w:t>(2), 154-168.</w:t>
      </w:r>
    </w:p>
    <w:p w14:paraId="4FEDAA37" w14:textId="77777777" w:rsidR="00E4061B" w:rsidRPr="00E4061B" w:rsidRDefault="00E4061B" w:rsidP="00E4061B">
      <w:pPr>
        <w:spacing w:line="360" w:lineRule="auto"/>
        <w:ind w:firstLine="284"/>
        <w:rPr>
          <w:sz w:val="22"/>
          <w:szCs w:val="22"/>
        </w:rPr>
      </w:pPr>
      <w:r w:rsidRPr="00E4061B">
        <w:rPr>
          <w:sz w:val="22"/>
          <w:szCs w:val="22"/>
        </w:rPr>
        <w:t>Costa, E., Soares, A. L., &amp; De Sousa, J. P. (2016). Information, knowledge and collaboration management in the internationalisation of SMEs: A systematic literature review. </w:t>
      </w:r>
      <w:r w:rsidRPr="00E4061B">
        <w:rPr>
          <w:i/>
          <w:iCs/>
          <w:sz w:val="22"/>
          <w:szCs w:val="22"/>
        </w:rPr>
        <w:t>International Journal of Information Management</w:t>
      </w:r>
      <w:r w:rsidRPr="00E4061B">
        <w:rPr>
          <w:sz w:val="22"/>
          <w:szCs w:val="22"/>
        </w:rPr>
        <w:t>, </w:t>
      </w:r>
      <w:r w:rsidRPr="00E4061B">
        <w:rPr>
          <w:i/>
          <w:iCs/>
          <w:sz w:val="22"/>
          <w:szCs w:val="22"/>
        </w:rPr>
        <w:t>36</w:t>
      </w:r>
      <w:r w:rsidRPr="00E4061B">
        <w:rPr>
          <w:sz w:val="22"/>
          <w:szCs w:val="22"/>
        </w:rPr>
        <w:t>(4), 557-569.</w:t>
      </w:r>
    </w:p>
    <w:p w14:paraId="33DC4F76" w14:textId="6288AA94" w:rsidR="00C50ABB" w:rsidRPr="009B5983" w:rsidRDefault="00C50ABB" w:rsidP="00C50ABB">
      <w:pPr>
        <w:spacing w:line="360" w:lineRule="auto"/>
        <w:ind w:firstLine="284"/>
        <w:rPr>
          <w:sz w:val="22"/>
          <w:szCs w:val="22"/>
        </w:rPr>
      </w:pPr>
      <w:r w:rsidRPr="009B5983">
        <w:rPr>
          <w:sz w:val="22"/>
          <w:szCs w:val="22"/>
        </w:rPr>
        <w:t>D’Angelo, A., Ganotakis, P., &amp; Love, J.H. (2020). Learning by exporting under fast, short-term changes: The moderating role of absorptive capacity and foreign collaborative agreements. </w:t>
      </w:r>
      <w:r w:rsidRPr="009B5983">
        <w:rPr>
          <w:i/>
          <w:iCs/>
          <w:sz w:val="22"/>
          <w:szCs w:val="22"/>
        </w:rPr>
        <w:t>International Business Review</w:t>
      </w:r>
      <w:r w:rsidRPr="009B5983">
        <w:rPr>
          <w:sz w:val="22"/>
          <w:szCs w:val="22"/>
        </w:rPr>
        <w:t>, 101687.</w:t>
      </w:r>
    </w:p>
    <w:p w14:paraId="6830E344" w14:textId="77777777" w:rsidR="005167CB" w:rsidRDefault="00C50ABB" w:rsidP="00C50ABB">
      <w:pPr>
        <w:spacing w:line="360" w:lineRule="auto"/>
        <w:ind w:firstLine="284"/>
        <w:rPr>
          <w:sz w:val="22"/>
          <w:szCs w:val="22"/>
        </w:rPr>
      </w:pPr>
      <w:r w:rsidRPr="009B5983">
        <w:rPr>
          <w:sz w:val="22"/>
          <w:szCs w:val="22"/>
        </w:rPr>
        <w:t>Dachs, B., Kinkel, S., &amp; Jäger, A. (2019). Bringing it all back home? Backshoring of manufacturing activities and the adoption of Industry 4.0 technologies. </w:t>
      </w:r>
      <w:r w:rsidRPr="009B5983">
        <w:rPr>
          <w:i/>
          <w:iCs/>
          <w:sz w:val="22"/>
          <w:szCs w:val="22"/>
        </w:rPr>
        <w:t>Journal of World Business</w:t>
      </w:r>
      <w:r w:rsidRPr="009B5983">
        <w:rPr>
          <w:sz w:val="22"/>
          <w:szCs w:val="22"/>
        </w:rPr>
        <w:t>, </w:t>
      </w:r>
      <w:r w:rsidRPr="009B5983">
        <w:rPr>
          <w:i/>
          <w:iCs/>
          <w:sz w:val="22"/>
          <w:szCs w:val="22"/>
        </w:rPr>
        <w:t>54</w:t>
      </w:r>
      <w:r w:rsidRPr="009B5983">
        <w:rPr>
          <w:sz w:val="22"/>
          <w:szCs w:val="22"/>
        </w:rPr>
        <w:t>(6), 101017.</w:t>
      </w:r>
    </w:p>
    <w:p w14:paraId="58EECB54" w14:textId="4493765F" w:rsidR="00187CC2" w:rsidRDefault="00187CC2" w:rsidP="00C50ABB">
      <w:pPr>
        <w:spacing w:line="360" w:lineRule="auto"/>
        <w:ind w:firstLine="284"/>
        <w:rPr>
          <w:sz w:val="22"/>
          <w:szCs w:val="22"/>
        </w:rPr>
      </w:pPr>
      <w:r w:rsidRPr="009B5983">
        <w:rPr>
          <w:sz w:val="22"/>
          <w:szCs w:val="22"/>
        </w:rPr>
        <w:t>Dau, L. A. (2018). Contextualizing international learning: The moderating effects of mode of entry &amp; subsidiary networks on the relationship between reforms &amp; profitability. </w:t>
      </w:r>
      <w:r w:rsidRPr="009B5983">
        <w:rPr>
          <w:i/>
          <w:iCs/>
          <w:sz w:val="22"/>
          <w:szCs w:val="22"/>
        </w:rPr>
        <w:t>Journal of World Business</w:t>
      </w:r>
      <w:r w:rsidRPr="009B5983">
        <w:rPr>
          <w:sz w:val="22"/>
          <w:szCs w:val="22"/>
        </w:rPr>
        <w:t>, </w:t>
      </w:r>
      <w:r w:rsidRPr="009B5983">
        <w:rPr>
          <w:i/>
          <w:iCs/>
          <w:sz w:val="22"/>
          <w:szCs w:val="22"/>
        </w:rPr>
        <w:t>53</w:t>
      </w:r>
      <w:r w:rsidRPr="009B5983">
        <w:rPr>
          <w:sz w:val="22"/>
          <w:szCs w:val="22"/>
        </w:rPr>
        <w:t>(3), 403-414.</w:t>
      </w:r>
    </w:p>
    <w:p w14:paraId="2FB4B0DF" w14:textId="58DD0F9F" w:rsidR="008479CD" w:rsidRPr="008479CD" w:rsidRDefault="008479CD" w:rsidP="008479CD">
      <w:pPr>
        <w:spacing w:line="360" w:lineRule="auto"/>
        <w:ind w:firstLine="284"/>
        <w:rPr>
          <w:sz w:val="22"/>
          <w:szCs w:val="22"/>
        </w:rPr>
      </w:pPr>
      <w:r w:rsidRPr="008479CD">
        <w:rPr>
          <w:sz w:val="22"/>
          <w:szCs w:val="22"/>
        </w:rPr>
        <w:t>De Marchi, V. (2012). Environmental innovation and R&amp;D cooperation: Empirical evidence from Spanish manufacturing firms. </w:t>
      </w:r>
      <w:r w:rsidRPr="008479CD">
        <w:rPr>
          <w:i/>
          <w:iCs/>
          <w:sz w:val="22"/>
          <w:szCs w:val="22"/>
        </w:rPr>
        <w:t xml:space="preserve">Research </w:t>
      </w:r>
      <w:r w:rsidR="00965E04">
        <w:rPr>
          <w:i/>
          <w:iCs/>
          <w:sz w:val="22"/>
          <w:szCs w:val="22"/>
        </w:rPr>
        <w:t>Policy</w:t>
      </w:r>
      <w:r w:rsidRPr="008479CD">
        <w:rPr>
          <w:sz w:val="22"/>
          <w:szCs w:val="22"/>
        </w:rPr>
        <w:t>, </w:t>
      </w:r>
      <w:r w:rsidRPr="008479CD">
        <w:rPr>
          <w:i/>
          <w:iCs/>
          <w:sz w:val="22"/>
          <w:szCs w:val="22"/>
        </w:rPr>
        <w:t>41</w:t>
      </w:r>
      <w:r w:rsidRPr="008479CD">
        <w:rPr>
          <w:sz w:val="22"/>
          <w:szCs w:val="22"/>
        </w:rPr>
        <w:t>(3), 614-623.</w:t>
      </w:r>
    </w:p>
    <w:p w14:paraId="6A2EA3C8" w14:textId="04608CBF" w:rsidR="00D16D1F" w:rsidRPr="009B5983" w:rsidRDefault="00D16D1F" w:rsidP="00C50ABB">
      <w:pPr>
        <w:spacing w:line="360" w:lineRule="auto"/>
        <w:ind w:firstLine="284"/>
        <w:rPr>
          <w:sz w:val="22"/>
          <w:szCs w:val="22"/>
        </w:rPr>
      </w:pPr>
      <w:r w:rsidRPr="009B5983">
        <w:rPr>
          <w:sz w:val="22"/>
          <w:szCs w:val="22"/>
        </w:rPr>
        <w:lastRenderedPageBreak/>
        <w:t xml:space="preserve">Dodgson, M. (1993). Organizational learning: </w:t>
      </w:r>
      <w:r w:rsidR="00965E04">
        <w:rPr>
          <w:sz w:val="22"/>
          <w:szCs w:val="22"/>
        </w:rPr>
        <w:t>A</w:t>
      </w:r>
      <w:r w:rsidRPr="009B5983">
        <w:rPr>
          <w:sz w:val="22"/>
          <w:szCs w:val="22"/>
        </w:rPr>
        <w:t xml:space="preserve"> review of some literatures. </w:t>
      </w:r>
      <w:r w:rsidRPr="009B5983">
        <w:rPr>
          <w:i/>
          <w:iCs/>
          <w:sz w:val="22"/>
          <w:szCs w:val="22"/>
        </w:rPr>
        <w:t xml:space="preserve">Organization </w:t>
      </w:r>
      <w:r w:rsidR="00965E04">
        <w:rPr>
          <w:i/>
          <w:iCs/>
          <w:sz w:val="22"/>
          <w:szCs w:val="22"/>
        </w:rPr>
        <w:t>S</w:t>
      </w:r>
      <w:r w:rsidRPr="009B5983">
        <w:rPr>
          <w:i/>
          <w:iCs/>
          <w:sz w:val="22"/>
          <w:szCs w:val="22"/>
        </w:rPr>
        <w:t>tudies</w:t>
      </w:r>
      <w:r w:rsidRPr="009B5983">
        <w:rPr>
          <w:sz w:val="22"/>
          <w:szCs w:val="22"/>
        </w:rPr>
        <w:t>, </w:t>
      </w:r>
      <w:r w:rsidRPr="009B5983">
        <w:rPr>
          <w:i/>
          <w:iCs/>
          <w:sz w:val="22"/>
          <w:szCs w:val="22"/>
        </w:rPr>
        <w:t>14</w:t>
      </w:r>
      <w:r w:rsidRPr="009B5983">
        <w:rPr>
          <w:sz w:val="22"/>
          <w:szCs w:val="22"/>
        </w:rPr>
        <w:t>(3), 375-394.</w:t>
      </w:r>
    </w:p>
    <w:p w14:paraId="633E6788" w14:textId="1D23A168" w:rsidR="00A82932" w:rsidRPr="009B5983" w:rsidRDefault="00A82932" w:rsidP="00C50ABB">
      <w:pPr>
        <w:spacing w:line="360" w:lineRule="auto"/>
        <w:ind w:firstLine="284"/>
        <w:rPr>
          <w:sz w:val="22"/>
          <w:szCs w:val="22"/>
        </w:rPr>
      </w:pPr>
      <w:r w:rsidRPr="009B5983">
        <w:rPr>
          <w:sz w:val="22"/>
          <w:szCs w:val="22"/>
        </w:rPr>
        <w:t>Dominguez, N., &amp; Mayrhofer, U. (2017). Internationalization stages of traditional SMEs: Increasing, decreasing and re-increasing commitment to foreign markets. </w:t>
      </w:r>
      <w:r w:rsidRPr="009B5983">
        <w:rPr>
          <w:i/>
          <w:iCs/>
          <w:sz w:val="22"/>
          <w:szCs w:val="22"/>
        </w:rPr>
        <w:t>International Business Review</w:t>
      </w:r>
      <w:r w:rsidRPr="009B5983">
        <w:rPr>
          <w:sz w:val="22"/>
          <w:szCs w:val="22"/>
        </w:rPr>
        <w:t>, </w:t>
      </w:r>
      <w:r w:rsidRPr="009B5983">
        <w:rPr>
          <w:i/>
          <w:iCs/>
          <w:sz w:val="22"/>
          <w:szCs w:val="22"/>
        </w:rPr>
        <w:t>26</w:t>
      </w:r>
      <w:r w:rsidRPr="009B5983">
        <w:rPr>
          <w:sz w:val="22"/>
          <w:szCs w:val="22"/>
        </w:rPr>
        <w:t>(6), 1051-1063.</w:t>
      </w:r>
    </w:p>
    <w:p w14:paraId="30D600E5" w14:textId="55DC521B" w:rsidR="00C37EFE" w:rsidRDefault="00C37EFE" w:rsidP="00C37EFE">
      <w:pPr>
        <w:spacing w:line="360" w:lineRule="auto"/>
        <w:ind w:firstLine="284"/>
        <w:rPr>
          <w:sz w:val="22"/>
          <w:szCs w:val="22"/>
        </w:rPr>
      </w:pPr>
      <w:r w:rsidRPr="009B5983">
        <w:rPr>
          <w:sz w:val="22"/>
          <w:szCs w:val="22"/>
        </w:rPr>
        <w:t xml:space="preserve">Eriksson, K., Johanson, J., Majkgård, A., &amp; Sharma, D. (1997). Experiential knowledge and cost in the internationalization process. </w:t>
      </w:r>
      <w:r w:rsidRPr="009B5983">
        <w:rPr>
          <w:i/>
          <w:iCs/>
          <w:sz w:val="22"/>
          <w:szCs w:val="22"/>
        </w:rPr>
        <w:t>Journal of International Business Studies</w:t>
      </w:r>
      <w:r w:rsidR="00094E02" w:rsidRPr="009B5983">
        <w:rPr>
          <w:i/>
          <w:iCs/>
          <w:sz w:val="22"/>
          <w:szCs w:val="22"/>
        </w:rPr>
        <w:t>,</w:t>
      </w:r>
      <w:r w:rsidRPr="009B5983">
        <w:rPr>
          <w:sz w:val="22"/>
          <w:szCs w:val="22"/>
        </w:rPr>
        <w:t xml:space="preserve"> </w:t>
      </w:r>
      <w:r w:rsidRPr="009B5983">
        <w:rPr>
          <w:i/>
          <w:iCs/>
          <w:sz w:val="22"/>
          <w:szCs w:val="22"/>
        </w:rPr>
        <w:t>28</w:t>
      </w:r>
      <w:r w:rsidRPr="009B5983">
        <w:rPr>
          <w:sz w:val="22"/>
          <w:szCs w:val="22"/>
        </w:rPr>
        <w:t>(2)</w:t>
      </w:r>
      <w:r w:rsidR="00094E02" w:rsidRPr="009B5983">
        <w:rPr>
          <w:sz w:val="22"/>
          <w:szCs w:val="22"/>
        </w:rPr>
        <w:t>,</w:t>
      </w:r>
      <w:r w:rsidRPr="009B5983">
        <w:rPr>
          <w:sz w:val="22"/>
          <w:szCs w:val="22"/>
        </w:rPr>
        <w:t xml:space="preserve"> 337–360.</w:t>
      </w:r>
    </w:p>
    <w:p w14:paraId="15D95826" w14:textId="08C2677E" w:rsidR="00B16928" w:rsidRDefault="00B16928" w:rsidP="00C37EFE">
      <w:pPr>
        <w:spacing w:line="360" w:lineRule="auto"/>
        <w:ind w:firstLine="284"/>
        <w:rPr>
          <w:sz w:val="22"/>
          <w:szCs w:val="22"/>
        </w:rPr>
      </w:pPr>
      <w:r w:rsidRPr="00B16928">
        <w:rPr>
          <w:sz w:val="22"/>
          <w:szCs w:val="22"/>
        </w:rPr>
        <w:t>Figueira-de-Lemos, F., &amp; Hadjikhani, A. (2014). Internationalization processes in stable and unstable market conditions: Towards a model of commitment decisions in dynamic environments. </w:t>
      </w:r>
      <w:r w:rsidRPr="00B16928">
        <w:rPr>
          <w:i/>
          <w:iCs/>
          <w:sz w:val="22"/>
          <w:szCs w:val="22"/>
        </w:rPr>
        <w:t>Journal of World Business</w:t>
      </w:r>
      <w:r w:rsidRPr="00B16928">
        <w:rPr>
          <w:sz w:val="22"/>
          <w:szCs w:val="22"/>
        </w:rPr>
        <w:t>, </w:t>
      </w:r>
      <w:r w:rsidRPr="00B16928">
        <w:rPr>
          <w:i/>
          <w:iCs/>
          <w:sz w:val="22"/>
          <w:szCs w:val="22"/>
        </w:rPr>
        <w:t>49</w:t>
      </w:r>
      <w:r w:rsidRPr="00B16928">
        <w:rPr>
          <w:sz w:val="22"/>
          <w:szCs w:val="22"/>
        </w:rPr>
        <w:t>(3), 332-349.</w:t>
      </w:r>
    </w:p>
    <w:p w14:paraId="14F4621E" w14:textId="77777777" w:rsidR="007D67D8" w:rsidRPr="007D67D8" w:rsidRDefault="007D67D8" w:rsidP="007D67D8">
      <w:pPr>
        <w:spacing w:line="360" w:lineRule="auto"/>
        <w:ind w:firstLine="284"/>
        <w:rPr>
          <w:sz w:val="22"/>
          <w:szCs w:val="22"/>
        </w:rPr>
      </w:pPr>
      <w:r w:rsidRPr="007D67D8">
        <w:rPr>
          <w:sz w:val="22"/>
          <w:szCs w:val="22"/>
        </w:rPr>
        <w:t>Freixanet, J., &amp; Renart, G. (2020). A capabilities perspective on the joint effects of internationalization time, speed, geographic scope and managers’ competencies on SME survival. Journal of World Business, 55(6), 101110.</w:t>
      </w:r>
    </w:p>
    <w:p w14:paraId="0046B8B8" w14:textId="3983A799" w:rsidR="00A1591A" w:rsidRPr="009B5983" w:rsidRDefault="00A1591A" w:rsidP="00C37EFE">
      <w:pPr>
        <w:spacing w:line="360" w:lineRule="auto"/>
        <w:ind w:firstLine="284"/>
        <w:rPr>
          <w:sz w:val="22"/>
          <w:szCs w:val="22"/>
        </w:rPr>
      </w:pPr>
      <w:r w:rsidRPr="009B5983">
        <w:rPr>
          <w:sz w:val="22"/>
          <w:szCs w:val="22"/>
        </w:rPr>
        <w:t>Fuad, M., &amp; Gaur, A. S. (2019). Merger waves, entry-timing, and cross-border acquisition completion: A frictional lens perspective. </w:t>
      </w:r>
      <w:r w:rsidRPr="009B5983">
        <w:rPr>
          <w:i/>
          <w:iCs/>
          <w:sz w:val="22"/>
          <w:szCs w:val="22"/>
        </w:rPr>
        <w:t>Journal of World Business</w:t>
      </w:r>
      <w:r w:rsidRPr="009B5983">
        <w:rPr>
          <w:sz w:val="22"/>
          <w:szCs w:val="22"/>
        </w:rPr>
        <w:t>, </w:t>
      </w:r>
      <w:r w:rsidRPr="009B5983">
        <w:rPr>
          <w:i/>
          <w:iCs/>
          <w:sz w:val="22"/>
          <w:szCs w:val="22"/>
        </w:rPr>
        <w:t>54</w:t>
      </w:r>
      <w:r w:rsidRPr="009B5983">
        <w:rPr>
          <w:sz w:val="22"/>
          <w:szCs w:val="22"/>
        </w:rPr>
        <w:t>(2), 107-118.</w:t>
      </w:r>
    </w:p>
    <w:p w14:paraId="0E796844" w14:textId="3A7C4585" w:rsidR="005D547E" w:rsidRPr="009B5983" w:rsidRDefault="005D547E" w:rsidP="00C37EFE">
      <w:pPr>
        <w:spacing w:line="360" w:lineRule="auto"/>
        <w:ind w:firstLine="284"/>
        <w:rPr>
          <w:sz w:val="22"/>
          <w:szCs w:val="22"/>
        </w:rPr>
      </w:pPr>
      <w:r w:rsidRPr="009B5983">
        <w:rPr>
          <w:sz w:val="22"/>
          <w:szCs w:val="22"/>
        </w:rPr>
        <w:t>Ganotakis, P., &amp; Love, J. H. (2011). R&amp;D, product innovation, and exporting: evidence from UK new technology based firms. </w:t>
      </w:r>
      <w:r w:rsidRPr="009B5983">
        <w:rPr>
          <w:i/>
          <w:iCs/>
          <w:sz w:val="22"/>
          <w:szCs w:val="22"/>
        </w:rPr>
        <w:t>Oxford Economic Papers</w:t>
      </w:r>
      <w:r w:rsidRPr="009B5983">
        <w:rPr>
          <w:sz w:val="22"/>
          <w:szCs w:val="22"/>
        </w:rPr>
        <w:t>, </w:t>
      </w:r>
      <w:r w:rsidRPr="009B5983">
        <w:rPr>
          <w:i/>
          <w:iCs/>
          <w:sz w:val="22"/>
          <w:szCs w:val="22"/>
        </w:rPr>
        <w:t>63</w:t>
      </w:r>
      <w:r w:rsidRPr="009B5983">
        <w:rPr>
          <w:sz w:val="22"/>
          <w:szCs w:val="22"/>
        </w:rPr>
        <w:t>(2), 279-306.</w:t>
      </w:r>
    </w:p>
    <w:p w14:paraId="4C83E1C6" w14:textId="04CF03D9" w:rsidR="005D547E" w:rsidRPr="009B5983" w:rsidRDefault="005D547E" w:rsidP="00C37EFE">
      <w:pPr>
        <w:spacing w:line="360" w:lineRule="auto"/>
        <w:ind w:firstLine="284"/>
        <w:rPr>
          <w:sz w:val="22"/>
          <w:szCs w:val="22"/>
        </w:rPr>
      </w:pPr>
      <w:r w:rsidRPr="009B5983">
        <w:rPr>
          <w:sz w:val="22"/>
          <w:szCs w:val="22"/>
        </w:rPr>
        <w:t>Ganotakis, P., &amp; Love, J. H. (2012). Export propensity, export intensity and firm performance: The role of the entrepreneurial founding team. </w:t>
      </w:r>
      <w:r w:rsidRPr="009B5983">
        <w:rPr>
          <w:i/>
          <w:iCs/>
          <w:sz w:val="22"/>
          <w:szCs w:val="22"/>
        </w:rPr>
        <w:t>Journal of International Business Studies</w:t>
      </w:r>
      <w:r w:rsidRPr="009B5983">
        <w:rPr>
          <w:sz w:val="22"/>
          <w:szCs w:val="22"/>
        </w:rPr>
        <w:t>, </w:t>
      </w:r>
      <w:r w:rsidRPr="009B5983">
        <w:rPr>
          <w:i/>
          <w:iCs/>
          <w:sz w:val="22"/>
          <w:szCs w:val="22"/>
        </w:rPr>
        <w:t>43</w:t>
      </w:r>
      <w:r w:rsidRPr="009B5983">
        <w:rPr>
          <w:sz w:val="22"/>
          <w:szCs w:val="22"/>
        </w:rPr>
        <w:t>(8), 693-718.</w:t>
      </w:r>
    </w:p>
    <w:p w14:paraId="25E14440" w14:textId="7DB16F16" w:rsidR="00C50ABB" w:rsidRPr="009B5983" w:rsidRDefault="00C50ABB" w:rsidP="00C50ABB">
      <w:pPr>
        <w:spacing w:line="360" w:lineRule="auto"/>
        <w:ind w:firstLine="284"/>
        <w:rPr>
          <w:color w:val="222222"/>
          <w:sz w:val="22"/>
          <w:szCs w:val="22"/>
          <w:shd w:val="clear" w:color="auto" w:fill="FFFFFF"/>
        </w:rPr>
      </w:pPr>
      <w:r w:rsidRPr="009B5983">
        <w:rPr>
          <w:color w:val="222222"/>
          <w:sz w:val="22"/>
          <w:szCs w:val="22"/>
          <w:shd w:val="clear" w:color="auto" w:fill="FFFFFF"/>
        </w:rPr>
        <w:t>Gaur, A.S., Pattnaik, C., Singh, D., &amp; Lee, J.Y. (2019). Internalization advantage and subsidiary performance: The role of business group affiliation and host country characteristics. </w:t>
      </w:r>
      <w:r w:rsidRPr="009B5983">
        <w:rPr>
          <w:i/>
          <w:iCs/>
          <w:color w:val="222222"/>
          <w:sz w:val="22"/>
          <w:szCs w:val="22"/>
          <w:shd w:val="clear" w:color="auto" w:fill="FFFFFF"/>
        </w:rPr>
        <w:t>Journal of International Business Studies</w:t>
      </w:r>
      <w:r w:rsidRPr="009B5983">
        <w:rPr>
          <w:color w:val="222222"/>
          <w:sz w:val="22"/>
          <w:szCs w:val="22"/>
          <w:shd w:val="clear" w:color="auto" w:fill="FFFFFF"/>
        </w:rPr>
        <w:t>, </w:t>
      </w:r>
      <w:r w:rsidRPr="009B5983">
        <w:rPr>
          <w:i/>
          <w:iCs/>
          <w:color w:val="222222"/>
          <w:sz w:val="22"/>
          <w:szCs w:val="22"/>
          <w:shd w:val="clear" w:color="auto" w:fill="FFFFFF"/>
        </w:rPr>
        <w:t>50</w:t>
      </w:r>
      <w:r w:rsidRPr="009B5983">
        <w:rPr>
          <w:color w:val="222222"/>
          <w:sz w:val="22"/>
          <w:szCs w:val="22"/>
          <w:shd w:val="clear" w:color="auto" w:fill="FFFFFF"/>
        </w:rPr>
        <w:t>(8), 1253-1282.</w:t>
      </w:r>
    </w:p>
    <w:p w14:paraId="1AFF972E" w14:textId="5B3D837C" w:rsidR="00A30B87" w:rsidRPr="009B5983" w:rsidRDefault="00A30B87" w:rsidP="00C50ABB">
      <w:pPr>
        <w:spacing w:line="360" w:lineRule="auto"/>
        <w:ind w:firstLine="284"/>
        <w:rPr>
          <w:color w:val="222222"/>
          <w:sz w:val="22"/>
          <w:szCs w:val="22"/>
          <w:shd w:val="clear" w:color="auto" w:fill="FFFFFF"/>
        </w:rPr>
      </w:pPr>
      <w:r w:rsidRPr="009B5983">
        <w:rPr>
          <w:color w:val="222222"/>
          <w:sz w:val="22"/>
          <w:szCs w:val="22"/>
          <w:shd w:val="clear" w:color="auto" w:fill="FFFFFF"/>
        </w:rPr>
        <w:t>Haans, R. F., Pieters, C., &amp; He, Z. L. (2016). Thinking about U: Theorizing and testing U‐and inverted U‐shaped relationships in strategy research. </w:t>
      </w:r>
      <w:r w:rsidRPr="009B5983">
        <w:rPr>
          <w:i/>
          <w:iCs/>
          <w:color w:val="222222"/>
          <w:sz w:val="22"/>
          <w:szCs w:val="22"/>
          <w:shd w:val="clear" w:color="auto" w:fill="FFFFFF"/>
        </w:rPr>
        <w:t>Strategic Management Journal</w:t>
      </w:r>
      <w:r w:rsidRPr="009B5983">
        <w:rPr>
          <w:color w:val="222222"/>
          <w:sz w:val="22"/>
          <w:szCs w:val="22"/>
          <w:shd w:val="clear" w:color="auto" w:fill="FFFFFF"/>
        </w:rPr>
        <w:t>, </w:t>
      </w:r>
      <w:r w:rsidRPr="009B5983">
        <w:rPr>
          <w:i/>
          <w:iCs/>
          <w:color w:val="222222"/>
          <w:sz w:val="22"/>
          <w:szCs w:val="22"/>
          <w:shd w:val="clear" w:color="auto" w:fill="FFFFFF"/>
        </w:rPr>
        <w:t>37</w:t>
      </w:r>
      <w:r w:rsidRPr="009B5983">
        <w:rPr>
          <w:color w:val="222222"/>
          <w:sz w:val="22"/>
          <w:szCs w:val="22"/>
          <w:shd w:val="clear" w:color="auto" w:fill="FFFFFF"/>
        </w:rPr>
        <w:t>(7), 1177-1195.</w:t>
      </w:r>
    </w:p>
    <w:p w14:paraId="61EA23C8" w14:textId="28BC890C" w:rsidR="00D5518C" w:rsidRDefault="00D5518C" w:rsidP="00C50ABB">
      <w:pPr>
        <w:spacing w:line="360" w:lineRule="auto"/>
        <w:ind w:firstLine="284"/>
        <w:rPr>
          <w:color w:val="222222"/>
          <w:sz w:val="22"/>
          <w:szCs w:val="22"/>
          <w:shd w:val="clear" w:color="auto" w:fill="FFFFFF"/>
        </w:rPr>
      </w:pPr>
      <w:r w:rsidRPr="009B5983">
        <w:rPr>
          <w:color w:val="222222"/>
          <w:sz w:val="22"/>
          <w:szCs w:val="22"/>
          <w:shd w:val="clear" w:color="auto" w:fill="FFFFFF"/>
        </w:rPr>
        <w:t>Harhoff, D., Mueller, E., &amp; Van Reenen, J. (2014). What are the channels for technology sourcing? Panel data evidence from German companies. </w:t>
      </w:r>
      <w:r w:rsidRPr="009B5983">
        <w:rPr>
          <w:i/>
          <w:iCs/>
          <w:color w:val="222222"/>
          <w:sz w:val="22"/>
          <w:szCs w:val="22"/>
          <w:shd w:val="clear" w:color="auto" w:fill="FFFFFF"/>
        </w:rPr>
        <w:t>Journal of Economics &amp; Management Strategy</w:t>
      </w:r>
      <w:r w:rsidRPr="009B5983">
        <w:rPr>
          <w:color w:val="222222"/>
          <w:sz w:val="22"/>
          <w:szCs w:val="22"/>
          <w:shd w:val="clear" w:color="auto" w:fill="FFFFFF"/>
        </w:rPr>
        <w:t>, </w:t>
      </w:r>
      <w:r w:rsidRPr="009B5983">
        <w:rPr>
          <w:i/>
          <w:iCs/>
          <w:color w:val="222222"/>
          <w:sz w:val="22"/>
          <w:szCs w:val="22"/>
          <w:shd w:val="clear" w:color="auto" w:fill="FFFFFF"/>
        </w:rPr>
        <w:t>23</w:t>
      </w:r>
      <w:r w:rsidRPr="009B5983">
        <w:rPr>
          <w:color w:val="222222"/>
          <w:sz w:val="22"/>
          <w:szCs w:val="22"/>
          <w:shd w:val="clear" w:color="auto" w:fill="FFFFFF"/>
        </w:rPr>
        <w:t>(1), 204-224.</w:t>
      </w:r>
    </w:p>
    <w:p w14:paraId="62501A0B" w14:textId="77777777" w:rsidR="008E6390" w:rsidRDefault="006D1B08" w:rsidP="00D5518C">
      <w:pPr>
        <w:spacing w:line="360" w:lineRule="auto"/>
        <w:ind w:firstLine="284"/>
        <w:rPr>
          <w:color w:val="222222"/>
          <w:sz w:val="22"/>
          <w:szCs w:val="22"/>
          <w:shd w:val="clear" w:color="auto" w:fill="FFFFFF"/>
        </w:rPr>
      </w:pPr>
      <w:r w:rsidRPr="006D1B08">
        <w:rPr>
          <w:color w:val="222222"/>
          <w:sz w:val="22"/>
          <w:szCs w:val="22"/>
          <w:shd w:val="clear" w:color="auto" w:fill="FFFFFF"/>
        </w:rPr>
        <w:t>Hashai, N., Kafouros, M., &amp; Buckley, P. J. (2018). The performance implications of speed, regularity, and duration in alliance portfolio expansion. </w:t>
      </w:r>
      <w:r w:rsidRPr="006D1B08">
        <w:rPr>
          <w:i/>
          <w:iCs/>
          <w:color w:val="222222"/>
          <w:sz w:val="22"/>
          <w:szCs w:val="22"/>
          <w:shd w:val="clear" w:color="auto" w:fill="FFFFFF"/>
        </w:rPr>
        <w:t>Journal of Management</w:t>
      </w:r>
      <w:r w:rsidRPr="006D1B08">
        <w:rPr>
          <w:color w:val="222222"/>
          <w:sz w:val="22"/>
          <w:szCs w:val="22"/>
          <w:shd w:val="clear" w:color="auto" w:fill="FFFFFF"/>
        </w:rPr>
        <w:t>, </w:t>
      </w:r>
      <w:r w:rsidRPr="006D1B08">
        <w:rPr>
          <w:i/>
          <w:iCs/>
          <w:color w:val="222222"/>
          <w:sz w:val="22"/>
          <w:szCs w:val="22"/>
          <w:shd w:val="clear" w:color="auto" w:fill="FFFFFF"/>
        </w:rPr>
        <w:t>44</w:t>
      </w:r>
      <w:r w:rsidRPr="006D1B08">
        <w:rPr>
          <w:color w:val="222222"/>
          <w:sz w:val="22"/>
          <w:szCs w:val="22"/>
          <w:shd w:val="clear" w:color="auto" w:fill="FFFFFF"/>
        </w:rPr>
        <w:t>(2), 707-731.</w:t>
      </w:r>
    </w:p>
    <w:p w14:paraId="14A651A6" w14:textId="4414E0F3" w:rsidR="001E1EE8" w:rsidRPr="009B5983" w:rsidRDefault="008A70E2" w:rsidP="00D5518C">
      <w:pPr>
        <w:spacing w:line="360" w:lineRule="auto"/>
        <w:ind w:firstLine="284"/>
        <w:rPr>
          <w:color w:val="222222"/>
          <w:sz w:val="22"/>
          <w:szCs w:val="22"/>
          <w:shd w:val="clear" w:color="auto" w:fill="FFFFFF"/>
        </w:rPr>
      </w:pPr>
      <w:r w:rsidRPr="009B5983">
        <w:rPr>
          <w:color w:val="222222"/>
          <w:sz w:val="22"/>
          <w:szCs w:val="22"/>
          <w:shd w:val="clear" w:color="auto" w:fill="FFFFFF"/>
        </w:rPr>
        <w:t xml:space="preserve">Havila, V., &amp; Wilkinson, I. F. (2002). The principle of the conservation of business relationship energy: </w:t>
      </w:r>
      <w:r w:rsidR="005A0212">
        <w:rPr>
          <w:color w:val="222222"/>
          <w:sz w:val="22"/>
          <w:szCs w:val="22"/>
          <w:shd w:val="clear" w:color="auto" w:fill="FFFFFF"/>
        </w:rPr>
        <w:t>O</w:t>
      </w:r>
      <w:r w:rsidRPr="009B5983">
        <w:rPr>
          <w:color w:val="222222"/>
          <w:sz w:val="22"/>
          <w:szCs w:val="22"/>
          <w:shd w:val="clear" w:color="auto" w:fill="FFFFFF"/>
        </w:rPr>
        <w:t>r many kinds of new beginnings. </w:t>
      </w:r>
      <w:r w:rsidRPr="009B5983">
        <w:rPr>
          <w:i/>
          <w:iCs/>
          <w:color w:val="222222"/>
          <w:sz w:val="22"/>
          <w:szCs w:val="22"/>
          <w:shd w:val="clear" w:color="auto" w:fill="FFFFFF"/>
        </w:rPr>
        <w:t xml:space="preserve">Industrial </w:t>
      </w:r>
      <w:r w:rsidR="0001099B">
        <w:rPr>
          <w:i/>
          <w:iCs/>
          <w:color w:val="222222"/>
          <w:sz w:val="22"/>
          <w:szCs w:val="22"/>
          <w:shd w:val="clear" w:color="auto" w:fill="FFFFFF"/>
        </w:rPr>
        <w:t>M</w:t>
      </w:r>
      <w:r w:rsidRPr="009B5983">
        <w:rPr>
          <w:i/>
          <w:iCs/>
          <w:color w:val="222222"/>
          <w:sz w:val="22"/>
          <w:szCs w:val="22"/>
          <w:shd w:val="clear" w:color="auto" w:fill="FFFFFF"/>
        </w:rPr>
        <w:t xml:space="preserve">arketing </w:t>
      </w:r>
      <w:r w:rsidR="0001099B">
        <w:rPr>
          <w:i/>
          <w:iCs/>
          <w:color w:val="222222"/>
          <w:sz w:val="22"/>
          <w:szCs w:val="22"/>
          <w:shd w:val="clear" w:color="auto" w:fill="FFFFFF"/>
        </w:rPr>
        <w:t>M</w:t>
      </w:r>
      <w:r w:rsidRPr="009B5983">
        <w:rPr>
          <w:i/>
          <w:iCs/>
          <w:color w:val="222222"/>
          <w:sz w:val="22"/>
          <w:szCs w:val="22"/>
          <w:shd w:val="clear" w:color="auto" w:fill="FFFFFF"/>
        </w:rPr>
        <w:t>anagement</w:t>
      </w:r>
      <w:r w:rsidRPr="009B5983">
        <w:rPr>
          <w:color w:val="222222"/>
          <w:sz w:val="22"/>
          <w:szCs w:val="22"/>
          <w:shd w:val="clear" w:color="auto" w:fill="FFFFFF"/>
        </w:rPr>
        <w:t>, </w:t>
      </w:r>
      <w:r w:rsidRPr="009B5983">
        <w:rPr>
          <w:i/>
          <w:iCs/>
          <w:color w:val="222222"/>
          <w:sz w:val="22"/>
          <w:szCs w:val="22"/>
          <w:shd w:val="clear" w:color="auto" w:fill="FFFFFF"/>
        </w:rPr>
        <w:t>31</w:t>
      </w:r>
      <w:r w:rsidRPr="009B5983">
        <w:rPr>
          <w:color w:val="222222"/>
          <w:sz w:val="22"/>
          <w:szCs w:val="22"/>
          <w:shd w:val="clear" w:color="auto" w:fill="FFFFFF"/>
        </w:rPr>
        <w:t>(3), 191-203.</w:t>
      </w:r>
    </w:p>
    <w:p w14:paraId="6EC51437" w14:textId="02955E63" w:rsidR="00C050DB" w:rsidRPr="009B5983" w:rsidRDefault="00C050DB" w:rsidP="00C50ABB">
      <w:pPr>
        <w:spacing w:line="360" w:lineRule="auto"/>
        <w:ind w:firstLine="284"/>
        <w:rPr>
          <w:color w:val="222222"/>
          <w:sz w:val="22"/>
          <w:szCs w:val="22"/>
          <w:shd w:val="clear" w:color="auto" w:fill="FFFFFF"/>
        </w:rPr>
      </w:pPr>
      <w:r w:rsidRPr="009B5983">
        <w:rPr>
          <w:color w:val="222222"/>
          <w:sz w:val="22"/>
          <w:szCs w:val="22"/>
          <w:shd w:val="clear" w:color="auto" w:fill="FFFFFF"/>
        </w:rPr>
        <w:t>Hedberg, B. (1981). How organizations learn and unlearn? In P. C. Nystrom &amp; W. H. Starbuck (Eds</w:t>
      </w:r>
      <w:r w:rsidR="005A0212">
        <w:rPr>
          <w:color w:val="222222"/>
          <w:sz w:val="22"/>
          <w:szCs w:val="22"/>
          <w:shd w:val="clear" w:color="auto" w:fill="FFFFFF"/>
        </w:rPr>
        <w:t>.</w:t>
      </w:r>
      <w:r w:rsidRPr="009B5983">
        <w:rPr>
          <w:color w:val="222222"/>
          <w:sz w:val="22"/>
          <w:szCs w:val="22"/>
          <w:shd w:val="clear" w:color="auto" w:fill="FFFFFF"/>
        </w:rPr>
        <w:t>), </w:t>
      </w:r>
      <w:r w:rsidRPr="009B5983">
        <w:rPr>
          <w:i/>
          <w:iCs/>
          <w:color w:val="222222"/>
          <w:sz w:val="22"/>
          <w:szCs w:val="22"/>
          <w:shd w:val="clear" w:color="auto" w:fill="FFFFFF"/>
        </w:rPr>
        <w:t>Handbook of organizational design</w:t>
      </w:r>
      <w:r w:rsidR="005A0212">
        <w:rPr>
          <w:color w:val="222222"/>
          <w:sz w:val="22"/>
          <w:szCs w:val="22"/>
          <w:shd w:val="clear" w:color="auto" w:fill="FFFFFF"/>
        </w:rPr>
        <w:t xml:space="preserve"> (pp.</w:t>
      </w:r>
      <w:r w:rsidRPr="009B5983">
        <w:rPr>
          <w:color w:val="222222"/>
          <w:sz w:val="22"/>
          <w:szCs w:val="22"/>
          <w:shd w:val="clear" w:color="auto" w:fill="FFFFFF"/>
        </w:rPr>
        <w:t xml:space="preserve"> 3–27</w:t>
      </w:r>
      <w:r w:rsidR="005A0212">
        <w:rPr>
          <w:color w:val="222222"/>
          <w:sz w:val="22"/>
          <w:szCs w:val="22"/>
          <w:shd w:val="clear" w:color="auto" w:fill="FFFFFF"/>
        </w:rPr>
        <w:t>)</w:t>
      </w:r>
      <w:r w:rsidRPr="009B5983">
        <w:rPr>
          <w:color w:val="222222"/>
          <w:sz w:val="22"/>
          <w:szCs w:val="22"/>
          <w:shd w:val="clear" w:color="auto" w:fill="FFFFFF"/>
        </w:rPr>
        <w:t>. London: Oxford University Press.</w:t>
      </w:r>
    </w:p>
    <w:p w14:paraId="7DE64CCE" w14:textId="0B13C920" w:rsidR="005D547E" w:rsidRPr="009B5983" w:rsidRDefault="005D547E" w:rsidP="00C50ABB">
      <w:pPr>
        <w:spacing w:line="360" w:lineRule="auto"/>
        <w:ind w:firstLine="284"/>
        <w:rPr>
          <w:color w:val="222222"/>
          <w:sz w:val="22"/>
          <w:szCs w:val="22"/>
          <w:shd w:val="clear" w:color="auto" w:fill="FFFFFF"/>
        </w:rPr>
      </w:pPr>
      <w:r w:rsidRPr="009B5983">
        <w:rPr>
          <w:color w:val="222222"/>
          <w:sz w:val="22"/>
          <w:szCs w:val="22"/>
          <w:shd w:val="clear" w:color="auto" w:fill="FFFFFF"/>
        </w:rPr>
        <w:t>Henisz, W. J., &amp; Delios, A. (2004). Information or influence? The benefits of experience for managing political uncertainty. </w:t>
      </w:r>
      <w:r w:rsidRPr="009B5983">
        <w:rPr>
          <w:i/>
          <w:iCs/>
          <w:color w:val="222222"/>
          <w:sz w:val="22"/>
          <w:szCs w:val="22"/>
          <w:shd w:val="clear" w:color="auto" w:fill="FFFFFF"/>
        </w:rPr>
        <w:t>Strategic Organization</w:t>
      </w:r>
      <w:r w:rsidRPr="009B5983">
        <w:rPr>
          <w:color w:val="222222"/>
          <w:sz w:val="22"/>
          <w:szCs w:val="22"/>
          <w:shd w:val="clear" w:color="auto" w:fill="FFFFFF"/>
        </w:rPr>
        <w:t>, </w:t>
      </w:r>
      <w:r w:rsidRPr="009B5983">
        <w:rPr>
          <w:i/>
          <w:iCs/>
          <w:color w:val="222222"/>
          <w:sz w:val="22"/>
          <w:szCs w:val="22"/>
          <w:shd w:val="clear" w:color="auto" w:fill="FFFFFF"/>
        </w:rPr>
        <w:t>2</w:t>
      </w:r>
      <w:r w:rsidRPr="009B5983">
        <w:rPr>
          <w:color w:val="222222"/>
          <w:sz w:val="22"/>
          <w:szCs w:val="22"/>
          <w:shd w:val="clear" w:color="auto" w:fill="FFFFFF"/>
        </w:rPr>
        <w:t>(4), 389-421.</w:t>
      </w:r>
    </w:p>
    <w:p w14:paraId="68E30FDC" w14:textId="67FE537C" w:rsidR="004C10FA" w:rsidRPr="009B5983" w:rsidRDefault="004C10FA" w:rsidP="00C50ABB">
      <w:pPr>
        <w:spacing w:line="360" w:lineRule="auto"/>
        <w:ind w:firstLine="284"/>
        <w:rPr>
          <w:color w:val="222222"/>
          <w:sz w:val="22"/>
          <w:szCs w:val="22"/>
          <w:shd w:val="clear" w:color="auto" w:fill="FFFFFF"/>
        </w:rPr>
      </w:pPr>
      <w:r w:rsidRPr="009B5983">
        <w:rPr>
          <w:color w:val="222222"/>
          <w:sz w:val="22"/>
          <w:szCs w:val="22"/>
          <w:shd w:val="clear" w:color="auto" w:fill="FFFFFF"/>
        </w:rPr>
        <w:lastRenderedPageBreak/>
        <w:t>Hsieh, W. L., Ganotakis, P., Kafouros, M., &amp; Wang, C. (2018). Foreign and domestic collaboration, product innovation novelty, and firm growth. </w:t>
      </w:r>
      <w:r w:rsidRPr="009B5983">
        <w:rPr>
          <w:i/>
          <w:iCs/>
          <w:color w:val="222222"/>
          <w:sz w:val="22"/>
          <w:szCs w:val="22"/>
          <w:shd w:val="clear" w:color="auto" w:fill="FFFFFF"/>
        </w:rPr>
        <w:t>Journal of Product Innovation Management</w:t>
      </w:r>
      <w:r w:rsidRPr="009B5983">
        <w:rPr>
          <w:color w:val="222222"/>
          <w:sz w:val="22"/>
          <w:szCs w:val="22"/>
          <w:shd w:val="clear" w:color="auto" w:fill="FFFFFF"/>
        </w:rPr>
        <w:t>, </w:t>
      </w:r>
      <w:r w:rsidRPr="009B5983">
        <w:rPr>
          <w:i/>
          <w:iCs/>
          <w:color w:val="222222"/>
          <w:sz w:val="22"/>
          <w:szCs w:val="22"/>
          <w:shd w:val="clear" w:color="auto" w:fill="FFFFFF"/>
        </w:rPr>
        <w:t>35</w:t>
      </w:r>
      <w:r w:rsidRPr="009B5983">
        <w:rPr>
          <w:color w:val="222222"/>
          <w:sz w:val="22"/>
          <w:szCs w:val="22"/>
          <w:shd w:val="clear" w:color="auto" w:fill="FFFFFF"/>
        </w:rPr>
        <w:t>(4), 652-672.</w:t>
      </w:r>
    </w:p>
    <w:p w14:paraId="2A34E457" w14:textId="2EB0C708" w:rsidR="005167CB" w:rsidRDefault="00D16D1F" w:rsidP="00C50ABB">
      <w:pPr>
        <w:spacing w:line="360" w:lineRule="auto"/>
        <w:ind w:firstLine="284"/>
        <w:rPr>
          <w:sz w:val="22"/>
          <w:szCs w:val="22"/>
        </w:rPr>
      </w:pPr>
      <w:r w:rsidRPr="009B5983">
        <w:rPr>
          <w:sz w:val="22"/>
          <w:szCs w:val="22"/>
        </w:rPr>
        <w:t>Huber, G. P. (1991). Organizational learning: The contributing processes and the literatures. </w:t>
      </w:r>
      <w:r w:rsidRPr="009B5983">
        <w:rPr>
          <w:i/>
          <w:iCs/>
          <w:sz w:val="22"/>
          <w:szCs w:val="22"/>
        </w:rPr>
        <w:t xml:space="preserve">Organization </w:t>
      </w:r>
      <w:r w:rsidR="0001099B">
        <w:rPr>
          <w:i/>
          <w:iCs/>
          <w:sz w:val="22"/>
          <w:szCs w:val="22"/>
        </w:rPr>
        <w:t>Science</w:t>
      </w:r>
      <w:r w:rsidRPr="009B5983">
        <w:rPr>
          <w:sz w:val="22"/>
          <w:szCs w:val="22"/>
        </w:rPr>
        <w:t>, </w:t>
      </w:r>
      <w:r w:rsidRPr="009B5983">
        <w:rPr>
          <w:i/>
          <w:iCs/>
          <w:sz w:val="22"/>
          <w:szCs w:val="22"/>
        </w:rPr>
        <w:t>2</w:t>
      </w:r>
      <w:r w:rsidRPr="009B5983">
        <w:rPr>
          <w:sz w:val="22"/>
          <w:szCs w:val="22"/>
        </w:rPr>
        <w:t>(1), 88-115.</w:t>
      </w:r>
    </w:p>
    <w:p w14:paraId="4E0411AF" w14:textId="48BA329F" w:rsidR="00C50ABB" w:rsidRDefault="00C50ABB" w:rsidP="00C50ABB">
      <w:pPr>
        <w:spacing w:line="360" w:lineRule="auto"/>
        <w:ind w:firstLine="284"/>
        <w:rPr>
          <w:sz w:val="22"/>
          <w:szCs w:val="22"/>
        </w:rPr>
      </w:pPr>
      <w:r w:rsidRPr="009B5983">
        <w:rPr>
          <w:sz w:val="22"/>
          <w:szCs w:val="22"/>
        </w:rPr>
        <w:t>Javalgi, R.R.G., Deligonul, S., Dixit, A., &amp; Cavusgil, S.T. (2011). International market reentry: A review and research framework. </w:t>
      </w:r>
      <w:r w:rsidRPr="009B5983">
        <w:rPr>
          <w:i/>
          <w:iCs/>
          <w:sz w:val="22"/>
          <w:szCs w:val="22"/>
        </w:rPr>
        <w:t>International Business Review</w:t>
      </w:r>
      <w:r w:rsidRPr="009B5983">
        <w:rPr>
          <w:sz w:val="22"/>
          <w:szCs w:val="22"/>
        </w:rPr>
        <w:t>, </w:t>
      </w:r>
      <w:r w:rsidRPr="009B5983">
        <w:rPr>
          <w:i/>
          <w:iCs/>
          <w:sz w:val="22"/>
          <w:szCs w:val="22"/>
        </w:rPr>
        <w:t>20</w:t>
      </w:r>
      <w:r w:rsidRPr="009B5983">
        <w:rPr>
          <w:sz w:val="22"/>
          <w:szCs w:val="22"/>
        </w:rPr>
        <w:t>(4), 377-393.</w:t>
      </w:r>
    </w:p>
    <w:p w14:paraId="72F8157F" w14:textId="77777777" w:rsidR="00203091" w:rsidRPr="00F37D2B" w:rsidRDefault="00203091" w:rsidP="00203091">
      <w:pPr>
        <w:spacing w:line="360" w:lineRule="auto"/>
        <w:ind w:firstLine="284"/>
        <w:rPr>
          <w:sz w:val="22"/>
          <w:szCs w:val="22"/>
        </w:rPr>
      </w:pPr>
      <w:bookmarkStart w:id="25" w:name="_Hlk92717891"/>
      <w:r w:rsidRPr="00203091">
        <w:rPr>
          <w:sz w:val="22"/>
          <w:szCs w:val="22"/>
        </w:rPr>
        <w:t>Johanson, J., &amp; Vahlne, J. E. (1977</w:t>
      </w:r>
      <w:bookmarkEnd w:id="25"/>
      <w:r w:rsidRPr="00203091">
        <w:rPr>
          <w:sz w:val="22"/>
          <w:szCs w:val="22"/>
        </w:rPr>
        <w:t xml:space="preserve">). The internationalization process of the firm—A model of </w:t>
      </w:r>
      <w:r w:rsidRPr="00F37D2B">
        <w:rPr>
          <w:sz w:val="22"/>
          <w:szCs w:val="22"/>
        </w:rPr>
        <w:t xml:space="preserve">knowledge development and increasing foreign market commitments. </w:t>
      </w:r>
      <w:r w:rsidRPr="00850264">
        <w:rPr>
          <w:i/>
          <w:sz w:val="22"/>
        </w:rPr>
        <w:t>Journal of International Business Studies,</w:t>
      </w:r>
      <w:r w:rsidRPr="00F37D2B">
        <w:rPr>
          <w:sz w:val="22"/>
          <w:szCs w:val="22"/>
        </w:rPr>
        <w:t xml:space="preserve"> </w:t>
      </w:r>
      <w:r w:rsidRPr="00850264">
        <w:rPr>
          <w:i/>
          <w:sz w:val="22"/>
        </w:rPr>
        <w:t>8</w:t>
      </w:r>
      <w:r w:rsidRPr="00F37D2B">
        <w:rPr>
          <w:sz w:val="22"/>
          <w:szCs w:val="22"/>
        </w:rPr>
        <w:t xml:space="preserve">(1), 23–32. </w:t>
      </w:r>
    </w:p>
    <w:p w14:paraId="60E543D7" w14:textId="77777777" w:rsidR="00F37D2B" w:rsidRDefault="00203091" w:rsidP="00F37D2B">
      <w:pPr>
        <w:spacing w:line="360" w:lineRule="auto"/>
        <w:ind w:firstLine="284"/>
        <w:rPr>
          <w:sz w:val="22"/>
          <w:szCs w:val="22"/>
        </w:rPr>
      </w:pPr>
      <w:r w:rsidRPr="00F37D2B">
        <w:rPr>
          <w:sz w:val="22"/>
          <w:szCs w:val="22"/>
        </w:rPr>
        <w:t xml:space="preserve">Johanson, J., &amp; Vahlne, J. E. (2009). The Uppsala internationalization process model revisited: From liability of foreignness to liability of outsidership. </w:t>
      </w:r>
      <w:r w:rsidRPr="00850264">
        <w:rPr>
          <w:i/>
          <w:sz w:val="22"/>
        </w:rPr>
        <w:t>Journal of International Business Studies, 40</w:t>
      </w:r>
      <w:r w:rsidRPr="00F37D2B">
        <w:rPr>
          <w:sz w:val="22"/>
          <w:szCs w:val="22"/>
        </w:rPr>
        <w:t>(9), 1411–1431.</w:t>
      </w:r>
      <w:r w:rsidR="00F37D2B">
        <w:rPr>
          <w:sz w:val="22"/>
          <w:szCs w:val="22"/>
        </w:rPr>
        <w:t xml:space="preserve"> </w:t>
      </w:r>
    </w:p>
    <w:p w14:paraId="4E34D9EE" w14:textId="7F7905ED" w:rsidR="00F37D2B" w:rsidRPr="00F37D2B" w:rsidRDefault="00F37D2B" w:rsidP="00F37D2B">
      <w:pPr>
        <w:spacing w:line="360" w:lineRule="auto"/>
        <w:ind w:firstLine="284"/>
        <w:rPr>
          <w:sz w:val="22"/>
          <w:szCs w:val="22"/>
        </w:rPr>
      </w:pPr>
      <w:r w:rsidRPr="00F37D2B">
        <w:rPr>
          <w:color w:val="222222"/>
          <w:sz w:val="22"/>
          <w:szCs w:val="22"/>
          <w:shd w:val="clear" w:color="auto" w:fill="FFFFFF"/>
        </w:rPr>
        <w:t>Kafouros, M., Wang, C., Mavroudi, E., Hong, J., &amp; Katsikeas, C. S. (2018). Geographic dispersion and co-location in global R&amp;D portfolios: Consequences for firm performance. </w:t>
      </w:r>
      <w:r w:rsidRPr="00F37D2B">
        <w:rPr>
          <w:i/>
          <w:iCs/>
          <w:color w:val="222222"/>
          <w:sz w:val="22"/>
          <w:szCs w:val="22"/>
        </w:rPr>
        <w:t>Research Policy</w:t>
      </w:r>
      <w:r w:rsidRPr="00F37D2B">
        <w:rPr>
          <w:color w:val="222222"/>
          <w:sz w:val="22"/>
          <w:szCs w:val="22"/>
          <w:shd w:val="clear" w:color="auto" w:fill="FFFFFF"/>
        </w:rPr>
        <w:t>, </w:t>
      </w:r>
      <w:r w:rsidRPr="00F37D2B">
        <w:rPr>
          <w:i/>
          <w:iCs/>
          <w:color w:val="222222"/>
          <w:sz w:val="22"/>
          <w:szCs w:val="22"/>
        </w:rPr>
        <w:t>47</w:t>
      </w:r>
      <w:r w:rsidRPr="00F37D2B">
        <w:rPr>
          <w:color w:val="222222"/>
          <w:sz w:val="22"/>
          <w:szCs w:val="22"/>
          <w:shd w:val="clear" w:color="auto" w:fill="FFFFFF"/>
        </w:rPr>
        <w:t>(7), 1243-1255.</w:t>
      </w:r>
    </w:p>
    <w:p w14:paraId="2BDAE2A4" w14:textId="77777777" w:rsidR="00F37D2B" w:rsidRDefault="00C54047" w:rsidP="00F37D2B">
      <w:pPr>
        <w:spacing w:line="360" w:lineRule="auto"/>
        <w:ind w:firstLine="284"/>
        <w:rPr>
          <w:sz w:val="22"/>
          <w:szCs w:val="22"/>
        </w:rPr>
      </w:pPr>
      <w:r w:rsidRPr="00F37D2B">
        <w:rPr>
          <w:sz w:val="22"/>
          <w:szCs w:val="22"/>
        </w:rPr>
        <w:t>Kafouros, M., Love, J. H., Ganotakis, P., &amp; Konara, P. (2020). Experience in R&amp;D collaborations, innovative performance and the moderating effect of different dimensions of absorptive capacity. </w:t>
      </w:r>
      <w:r w:rsidRPr="00F37D2B">
        <w:rPr>
          <w:i/>
          <w:iCs/>
          <w:sz w:val="22"/>
          <w:szCs w:val="22"/>
        </w:rPr>
        <w:t>Technological Forecasting and Social Change</w:t>
      </w:r>
      <w:r w:rsidRPr="00F37D2B">
        <w:rPr>
          <w:sz w:val="22"/>
          <w:szCs w:val="22"/>
        </w:rPr>
        <w:t>, </w:t>
      </w:r>
      <w:r w:rsidRPr="00F37D2B">
        <w:rPr>
          <w:i/>
          <w:iCs/>
          <w:sz w:val="22"/>
          <w:szCs w:val="22"/>
        </w:rPr>
        <w:t>150</w:t>
      </w:r>
      <w:r w:rsidRPr="00F37D2B">
        <w:rPr>
          <w:sz w:val="22"/>
          <w:szCs w:val="22"/>
        </w:rPr>
        <w:t>, 119757.</w:t>
      </w:r>
    </w:p>
    <w:p w14:paraId="72D9AFED" w14:textId="73776919" w:rsidR="005B4AFC" w:rsidRDefault="003305F2" w:rsidP="00C50ABB">
      <w:pPr>
        <w:spacing w:line="360" w:lineRule="auto"/>
        <w:ind w:firstLine="284"/>
        <w:rPr>
          <w:color w:val="222222"/>
          <w:sz w:val="22"/>
          <w:szCs w:val="22"/>
          <w:shd w:val="clear" w:color="auto" w:fill="FFFFFF"/>
        </w:rPr>
      </w:pPr>
      <w:r w:rsidRPr="00F37D2B">
        <w:rPr>
          <w:color w:val="222222"/>
          <w:sz w:val="22"/>
          <w:szCs w:val="22"/>
          <w:shd w:val="clear" w:color="auto" w:fill="FFFFFF"/>
        </w:rPr>
        <w:t>Kafouros, M., Cavusgil, S. T., Devinney, T. M., Ganotakis, P., &amp; Fainshmidt, S. (2022</w:t>
      </w:r>
      <w:r w:rsidR="00250966">
        <w:rPr>
          <w:color w:val="222222"/>
          <w:sz w:val="22"/>
          <w:szCs w:val="22"/>
          <w:shd w:val="clear" w:color="auto" w:fill="FFFFFF"/>
        </w:rPr>
        <w:t>a</w:t>
      </w:r>
      <w:r w:rsidRPr="00F37D2B">
        <w:rPr>
          <w:color w:val="222222"/>
          <w:sz w:val="22"/>
          <w:szCs w:val="22"/>
          <w:shd w:val="clear" w:color="auto" w:fill="FFFFFF"/>
        </w:rPr>
        <w:t>). Cycles of</w:t>
      </w:r>
      <w:r w:rsidRPr="009B5983">
        <w:rPr>
          <w:color w:val="222222"/>
          <w:sz w:val="22"/>
          <w:szCs w:val="22"/>
          <w:shd w:val="clear" w:color="auto" w:fill="FFFFFF"/>
        </w:rPr>
        <w:t xml:space="preserve"> de-internationalization and re-internationalization: Towards an integrative framework.</w:t>
      </w:r>
      <w:r w:rsidRPr="009B5983">
        <w:rPr>
          <w:rStyle w:val="apple-converted-space"/>
          <w:color w:val="222222"/>
          <w:sz w:val="22"/>
          <w:szCs w:val="22"/>
          <w:shd w:val="clear" w:color="auto" w:fill="FFFFFF"/>
        </w:rPr>
        <w:t> </w:t>
      </w:r>
      <w:r w:rsidRPr="009B5983">
        <w:rPr>
          <w:i/>
          <w:iCs/>
          <w:color w:val="222222"/>
          <w:sz w:val="22"/>
          <w:szCs w:val="22"/>
        </w:rPr>
        <w:t>Journal of World Business</w:t>
      </w:r>
      <w:r w:rsidRPr="009B5983">
        <w:rPr>
          <w:color w:val="222222"/>
          <w:sz w:val="22"/>
          <w:szCs w:val="22"/>
          <w:shd w:val="clear" w:color="auto" w:fill="FFFFFF"/>
        </w:rPr>
        <w:t>,</w:t>
      </w:r>
      <w:r w:rsidRPr="009B5983">
        <w:rPr>
          <w:rStyle w:val="apple-converted-space"/>
          <w:color w:val="222222"/>
          <w:sz w:val="22"/>
          <w:szCs w:val="22"/>
          <w:shd w:val="clear" w:color="auto" w:fill="FFFFFF"/>
        </w:rPr>
        <w:t> </w:t>
      </w:r>
      <w:r w:rsidRPr="009B5983">
        <w:rPr>
          <w:i/>
          <w:iCs/>
          <w:color w:val="222222"/>
          <w:sz w:val="22"/>
          <w:szCs w:val="22"/>
        </w:rPr>
        <w:t>57</w:t>
      </w:r>
      <w:r w:rsidRPr="009B5983">
        <w:rPr>
          <w:color w:val="222222"/>
          <w:sz w:val="22"/>
          <w:szCs w:val="22"/>
          <w:shd w:val="clear" w:color="auto" w:fill="FFFFFF"/>
        </w:rPr>
        <w:t>(1), 101257.</w:t>
      </w:r>
    </w:p>
    <w:p w14:paraId="0CB58069" w14:textId="6CD2F113" w:rsidR="00F37D2B" w:rsidRPr="00F37D2B" w:rsidRDefault="00F37D2B" w:rsidP="00F37D2B">
      <w:pPr>
        <w:spacing w:line="360" w:lineRule="auto"/>
        <w:ind w:firstLine="284"/>
        <w:rPr>
          <w:sz w:val="22"/>
          <w:szCs w:val="22"/>
        </w:rPr>
      </w:pPr>
      <w:r w:rsidRPr="00F37D2B">
        <w:rPr>
          <w:color w:val="222222"/>
          <w:sz w:val="22"/>
          <w:szCs w:val="22"/>
          <w:shd w:val="clear" w:color="auto" w:fill="FFFFFF"/>
        </w:rPr>
        <w:t>Kafouros, M., Hashai, N., Tardios, J. A., &amp; Wang, E. Y. (2022</w:t>
      </w:r>
      <w:r w:rsidR="00250966">
        <w:rPr>
          <w:color w:val="222222"/>
          <w:sz w:val="22"/>
          <w:szCs w:val="22"/>
          <w:shd w:val="clear" w:color="auto" w:fill="FFFFFF"/>
        </w:rPr>
        <w:t>b</w:t>
      </w:r>
      <w:r w:rsidRPr="00F37D2B">
        <w:rPr>
          <w:color w:val="222222"/>
          <w:sz w:val="22"/>
          <w:szCs w:val="22"/>
          <w:shd w:val="clear" w:color="auto" w:fill="FFFFFF"/>
        </w:rPr>
        <w:t>). How do MNEs invent? An invention-based perspective of MNE profitability. </w:t>
      </w:r>
      <w:r w:rsidRPr="00F37D2B">
        <w:rPr>
          <w:i/>
          <w:iCs/>
          <w:color w:val="222222"/>
          <w:sz w:val="22"/>
          <w:szCs w:val="22"/>
        </w:rPr>
        <w:t>Journal of International Business Studies</w:t>
      </w:r>
      <w:r w:rsidRPr="00F37D2B">
        <w:rPr>
          <w:color w:val="222222"/>
          <w:sz w:val="22"/>
          <w:szCs w:val="22"/>
          <w:shd w:val="clear" w:color="auto" w:fill="FFFFFF"/>
        </w:rPr>
        <w:t>, 1-29</w:t>
      </w:r>
      <w:r>
        <w:rPr>
          <w:color w:val="222222"/>
          <w:sz w:val="22"/>
          <w:szCs w:val="22"/>
          <w:shd w:val="clear" w:color="auto" w:fill="FFFFFF"/>
        </w:rPr>
        <w:t>.</w:t>
      </w:r>
    </w:p>
    <w:p w14:paraId="1509F808" w14:textId="3F5BD644" w:rsidR="00E41979" w:rsidRPr="00850264" w:rsidRDefault="00E41979" w:rsidP="00850264">
      <w:pPr>
        <w:spacing w:line="360" w:lineRule="auto"/>
        <w:ind w:firstLine="284"/>
      </w:pPr>
      <w:r w:rsidRPr="009B5983">
        <w:rPr>
          <w:sz w:val="22"/>
          <w:szCs w:val="22"/>
        </w:rPr>
        <w:t xml:space="preserve">Konara, P., Stone, Z., &amp; Mohr, A. (2020). </w:t>
      </w:r>
      <w:r w:rsidRPr="00850264">
        <w:rPr>
          <w:color w:val="222222"/>
          <w:sz w:val="22"/>
          <w:shd w:val="clear" w:color="auto" w:fill="FFFFFF"/>
        </w:rPr>
        <w:t>Explaining alternative termination modes of international joint ventures. </w:t>
      </w:r>
      <w:r w:rsidRPr="00850264">
        <w:rPr>
          <w:i/>
          <w:color w:val="222222"/>
          <w:sz w:val="22"/>
        </w:rPr>
        <w:t>International Marketing Review</w:t>
      </w:r>
      <w:r w:rsidR="00172DF9">
        <w:rPr>
          <w:sz w:val="22"/>
          <w:szCs w:val="22"/>
        </w:rPr>
        <w:t xml:space="preserve">, </w:t>
      </w:r>
      <w:r w:rsidR="00172DF9" w:rsidRPr="000F0C70">
        <w:rPr>
          <w:i/>
          <w:iCs/>
          <w:color w:val="222222"/>
          <w:sz w:val="22"/>
          <w:szCs w:val="22"/>
        </w:rPr>
        <w:t>37</w:t>
      </w:r>
      <w:r w:rsidR="00172DF9" w:rsidRPr="000F0C70">
        <w:rPr>
          <w:color w:val="222222"/>
          <w:sz w:val="22"/>
          <w:szCs w:val="22"/>
          <w:shd w:val="clear" w:color="auto" w:fill="FFFFFF"/>
        </w:rPr>
        <w:t>(6), 1121-1153</w:t>
      </w:r>
      <w:r w:rsidRPr="00850264">
        <w:rPr>
          <w:color w:val="222222"/>
          <w:sz w:val="22"/>
          <w:shd w:val="clear" w:color="auto" w:fill="FFFFFF"/>
        </w:rPr>
        <w:t>.</w:t>
      </w:r>
    </w:p>
    <w:p w14:paraId="36E3C13E" w14:textId="7D045368" w:rsidR="00190391" w:rsidRPr="009B5983" w:rsidRDefault="00190391" w:rsidP="00C50ABB">
      <w:pPr>
        <w:spacing w:line="360" w:lineRule="auto"/>
        <w:ind w:firstLine="284"/>
        <w:rPr>
          <w:sz w:val="22"/>
          <w:szCs w:val="22"/>
        </w:rPr>
      </w:pPr>
      <w:r w:rsidRPr="009B5983">
        <w:rPr>
          <w:sz w:val="22"/>
          <w:szCs w:val="22"/>
        </w:rPr>
        <w:t>Kriz, A., &amp; Welch, C. (2018). Innovation and internationalisation processes of firms with new-to-the-world technologies. </w:t>
      </w:r>
      <w:r w:rsidRPr="009B5983">
        <w:rPr>
          <w:i/>
          <w:iCs/>
          <w:sz w:val="22"/>
          <w:szCs w:val="22"/>
        </w:rPr>
        <w:t>Journal of International Business Studies</w:t>
      </w:r>
      <w:r w:rsidRPr="009B5983">
        <w:rPr>
          <w:sz w:val="22"/>
          <w:szCs w:val="22"/>
        </w:rPr>
        <w:t>, </w:t>
      </w:r>
      <w:r w:rsidRPr="009B5983">
        <w:rPr>
          <w:i/>
          <w:iCs/>
          <w:sz w:val="22"/>
          <w:szCs w:val="22"/>
        </w:rPr>
        <w:t>49</w:t>
      </w:r>
      <w:r w:rsidRPr="009B5983">
        <w:rPr>
          <w:sz w:val="22"/>
          <w:szCs w:val="22"/>
        </w:rPr>
        <w:t>(4), 496-522.</w:t>
      </w:r>
    </w:p>
    <w:p w14:paraId="2A8FEC12" w14:textId="00EFB2C2" w:rsidR="002B2530" w:rsidRDefault="00675A78" w:rsidP="002B2530">
      <w:pPr>
        <w:spacing w:line="360" w:lineRule="auto"/>
        <w:ind w:firstLine="284"/>
        <w:rPr>
          <w:sz w:val="22"/>
          <w:szCs w:val="22"/>
        </w:rPr>
      </w:pPr>
      <w:r w:rsidRPr="009B5983">
        <w:rPr>
          <w:sz w:val="22"/>
          <w:szCs w:val="22"/>
        </w:rPr>
        <w:t>Lane, P. J., &amp; Lubatkin, M. (1998). Relative absorptive capacity and interorganizational learning. </w:t>
      </w:r>
      <w:r w:rsidRPr="00FC56CA">
        <w:rPr>
          <w:i/>
          <w:iCs/>
          <w:sz w:val="22"/>
          <w:szCs w:val="22"/>
        </w:rPr>
        <w:t xml:space="preserve">Strategic </w:t>
      </w:r>
      <w:r w:rsidR="00172DF9">
        <w:rPr>
          <w:i/>
          <w:iCs/>
          <w:sz w:val="22"/>
          <w:szCs w:val="22"/>
        </w:rPr>
        <w:t>M</w:t>
      </w:r>
      <w:r w:rsidRPr="00FC56CA">
        <w:rPr>
          <w:i/>
          <w:iCs/>
          <w:sz w:val="22"/>
          <w:szCs w:val="22"/>
        </w:rPr>
        <w:t xml:space="preserve">anagement </w:t>
      </w:r>
      <w:r w:rsidR="00172DF9">
        <w:rPr>
          <w:i/>
          <w:iCs/>
          <w:sz w:val="22"/>
          <w:szCs w:val="22"/>
        </w:rPr>
        <w:t>J</w:t>
      </w:r>
      <w:r w:rsidRPr="00FC56CA">
        <w:rPr>
          <w:i/>
          <w:iCs/>
          <w:sz w:val="22"/>
          <w:szCs w:val="22"/>
        </w:rPr>
        <w:t>ournal</w:t>
      </w:r>
      <w:r w:rsidRPr="002B2530">
        <w:rPr>
          <w:sz w:val="22"/>
          <w:szCs w:val="22"/>
        </w:rPr>
        <w:t>, </w:t>
      </w:r>
      <w:r w:rsidRPr="002B2530">
        <w:rPr>
          <w:i/>
          <w:iCs/>
          <w:sz w:val="22"/>
          <w:szCs w:val="22"/>
        </w:rPr>
        <w:t>19</w:t>
      </w:r>
      <w:r w:rsidRPr="002B2530">
        <w:rPr>
          <w:sz w:val="22"/>
          <w:szCs w:val="22"/>
        </w:rPr>
        <w:t>(5), 461-477.</w:t>
      </w:r>
      <w:r w:rsidR="002B2530">
        <w:rPr>
          <w:sz w:val="22"/>
          <w:szCs w:val="22"/>
        </w:rPr>
        <w:t xml:space="preserve"> </w:t>
      </w:r>
    </w:p>
    <w:p w14:paraId="602C017E" w14:textId="6E603D96" w:rsidR="002B2530" w:rsidRPr="00FC56CA" w:rsidRDefault="002B2530" w:rsidP="00FC56CA">
      <w:pPr>
        <w:spacing w:line="360" w:lineRule="auto"/>
        <w:ind w:firstLine="284"/>
        <w:rPr>
          <w:sz w:val="22"/>
          <w:szCs w:val="22"/>
        </w:rPr>
      </w:pPr>
      <w:r w:rsidRPr="002004F4">
        <w:rPr>
          <w:color w:val="222222"/>
          <w:sz w:val="22"/>
          <w:szCs w:val="22"/>
          <w:shd w:val="clear" w:color="auto" w:fill="FFFFFF"/>
        </w:rPr>
        <w:t>Laufs, K., &amp; Schwens, C. (2014). Foreign market entry mode choice of small and medium-sized enterprises: A systematic review and future research agenda.</w:t>
      </w:r>
      <w:r w:rsidRPr="002004F4">
        <w:rPr>
          <w:rStyle w:val="apple-converted-space"/>
          <w:color w:val="222222"/>
          <w:sz w:val="22"/>
          <w:szCs w:val="22"/>
          <w:shd w:val="clear" w:color="auto" w:fill="FFFFFF"/>
        </w:rPr>
        <w:t> </w:t>
      </w:r>
      <w:r w:rsidRPr="002004F4">
        <w:rPr>
          <w:i/>
          <w:iCs/>
          <w:color w:val="222222"/>
          <w:sz w:val="22"/>
          <w:szCs w:val="22"/>
        </w:rPr>
        <w:t>International Business Review</w:t>
      </w:r>
      <w:r w:rsidRPr="002004F4">
        <w:rPr>
          <w:color w:val="222222"/>
          <w:sz w:val="22"/>
          <w:szCs w:val="22"/>
          <w:shd w:val="clear" w:color="auto" w:fill="FFFFFF"/>
        </w:rPr>
        <w:t>,</w:t>
      </w:r>
      <w:r w:rsidRPr="002004F4">
        <w:rPr>
          <w:rStyle w:val="apple-converted-space"/>
          <w:color w:val="222222"/>
          <w:sz w:val="22"/>
          <w:szCs w:val="22"/>
          <w:shd w:val="clear" w:color="auto" w:fill="FFFFFF"/>
        </w:rPr>
        <w:t> </w:t>
      </w:r>
      <w:r w:rsidRPr="002004F4">
        <w:rPr>
          <w:i/>
          <w:iCs/>
          <w:color w:val="222222"/>
          <w:sz w:val="22"/>
          <w:szCs w:val="22"/>
        </w:rPr>
        <w:t>23</w:t>
      </w:r>
      <w:r w:rsidRPr="002004F4">
        <w:rPr>
          <w:color w:val="222222"/>
          <w:sz w:val="22"/>
          <w:szCs w:val="22"/>
          <w:shd w:val="clear" w:color="auto" w:fill="FFFFFF"/>
        </w:rPr>
        <w:t>(6), 1109-1126.</w:t>
      </w:r>
    </w:p>
    <w:p w14:paraId="39334DC8" w14:textId="6A27142D" w:rsidR="00994F27" w:rsidRPr="009B5983" w:rsidRDefault="00994F27" w:rsidP="00675A78">
      <w:pPr>
        <w:spacing w:line="360" w:lineRule="auto"/>
        <w:ind w:firstLine="284"/>
        <w:rPr>
          <w:sz w:val="22"/>
          <w:szCs w:val="22"/>
        </w:rPr>
      </w:pPr>
      <w:r w:rsidRPr="009B5983">
        <w:rPr>
          <w:sz w:val="22"/>
          <w:szCs w:val="22"/>
        </w:rPr>
        <w:t>Laursen, K., Masciarelli, F., &amp; Prencipe, A. (2012). Regions matter: How localized social capital affects innovation and external knowledge acquisition. </w:t>
      </w:r>
      <w:r w:rsidRPr="009B5983">
        <w:rPr>
          <w:i/>
          <w:iCs/>
          <w:sz w:val="22"/>
          <w:szCs w:val="22"/>
        </w:rPr>
        <w:t xml:space="preserve">Organization </w:t>
      </w:r>
      <w:r w:rsidR="00172DF9">
        <w:rPr>
          <w:i/>
          <w:iCs/>
          <w:sz w:val="22"/>
          <w:szCs w:val="22"/>
        </w:rPr>
        <w:t>Science</w:t>
      </w:r>
      <w:r w:rsidRPr="009B5983">
        <w:rPr>
          <w:sz w:val="22"/>
          <w:szCs w:val="22"/>
        </w:rPr>
        <w:t>, </w:t>
      </w:r>
      <w:r w:rsidRPr="009B5983">
        <w:rPr>
          <w:i/>
          <w:iCs/>
          <w:sz w:val="22"/>
          <w:szCs w:val="22"/>
        </w:rPr>
        <w:t>23</w:t>
      </w:r>
      <w:r w:rsidRPr="009B5983">
        <w:rPr>
          <w:sz w:val="22"/>
          <w:szCs w:val="22"/>
        </w:rPr>
        <w:t>(1), 177-193.</w:t>
      </w:r>
    </w:p>
    <w:p w14:paraId="18086B7D" w14:textId="28496B55" w:rsidR="008A70E2" w:rsidRPr="009B5983" w:rsidRDefault="008A70E2" w:rsidP="00C50ABB">
      <w:pPr>
        <w:spacing w:line="360" w:lineRule="auto"/>
        <w:ind w:firstLine="284"/>
        <w:rPr>
          <w:sz w:val="22"/>
          <w:szCs w:val="22"/>
        </w:rPr>
      </w:pPr>
      <w:r w:rsidRPr="009B5983">
        <w:rPr>
          <w:sz w:val="22"/>
          <w:szCs w:val="22"/>
        </w:rPr>
        <w:lastRenderedPageBreak/>
        <w:t xml:space="preserve">Lawson, B., Krause, D., &amp; Potter, A. (2015). Improving supplier new product development performance: </w:t>
      </w:r>
      <w:r w:rsidR="00172DF9">
        <w:rPr>
          <w:sz w:val="22"/>
          <w:szCs w:val="22"/>
        </w:rPr>
        <w:t>T</w:t>
      </w:r>
      <w:r w:rsidRPr="009B5983">
        <w:rPr>
          <w:sz w:val="22"/>
          <w:szCs w:val="22"/>
        </w:rPr>
        <w:t>he role of supplier development. </w:t>
      </w:r>
      <w:r w:rsidRPr="009B5983">
        <w:rPr>
          <w:i/>
          <w:iCs/>
          <w:sz w:val="22"/>
          <w:szCs w:val="22"/>
        </w:rPr>
        <w:t>Journal of Product Innovation Management</w:t>
      </w:r>
      <w:r w:rsidRPr="009B5983">
        <w:rPr>
          <w:sz w:val="22"/>
          <w:szCs w:val="22"/>
        </w:rPr>
        <w:t>, </w:t>
      </w:r>
      <w:r w:rsidRPr="009B5983">
        <w:rPr>
          <w:i/>
          <w:iCs/>
          <w:sz w:val="22"/>
          <w:szCs w:val="22"/>
        </w:rPr>
        <w:t>32</w:t>
      </w:r>
      <w:r w:rsidRPr="009B5983">
        <w:rPr>
          <w:sz w:val="22"/>
          <w:szCs w:val="22"/>
        </w:rPr>
        <w:t>(5), 777-792.</w:t>
      </w:r>
    </w:p>
    <w:p w14:paraId="4324CF4D" w14:textId="131658CD" w:rsidR="003A6D10" w:rsidRPr="009B5983" w:rsidRDefault="003A6D10" w:rsidP="00C50ABB">
      <w:pPr>
        <w:spacing w:line="360" w:lineRule="auto"/>
        <w:ind w:firstLine="284"/>
        <w:rPr>
          <w:sz w:val="22"/>
          <w:szCs w:val="22"/>
        </w:rPr>
      </w:pPr>
      <w:r w:rsidRPr="009B5983">
        <w:rPr>
          <w:sz w:val="22"/>
          <w:szCs w:val="22"/>
        </w:rPr>
        <w:t>Levitt, B., &amp; March, J. G. (1988). Organizational learning. </w:t>
      </w:r>
      <w:r w:rsidRPr="009B5983">
        <w:rPr>
          <w:i/>
          <w:iCs/>
          <w:sz w:val="22"/>
          <w:szCs w:val="22"/>
        </w:rPr>
        <w:t xml:space="preserve">Annual </w:t>
      </w:r>
      <w:r w:rsidR="00172DF9">
        <w:rPr>
          <w:i/>
          <w:iCs/>
          <w:sz w:val="22"/>
          <w:szCs w:val="22"/>
        </w:rPr>
        <w:t>R</w:t>
      </w:r>
      <w:r w:rsidRPr="009B5983">
        <w:rPr>
          <w:i/>
          <w:iCs/>
          <w:sz w:val="22"/>
          <w:szCs w:val="22"/>
        </w:rPr>
        <w:t xml:space="preserve">eview of </w:t>
      </w:r>
      <w:r w:rsidR="00172DF9">
        <w:rPr>
          <w:i/>
          <w:iCs/>
          <w:sz w:val="22"/>
          <w:szCs w:val="22"/>
        </w:rPr>
        <w:t>S</w:t>
      </w:r>
      <w:r w:rsidRPr="009B5983">
        <w:rPr>
          <w:i/>
          <w:iCs/>
          <w:sz w:val="22"/>
          <w:szCs w:val="22"/>
        </w:rPr>
        <w:t>ociology</w:t>
      </w:r>
      <w:r w:rsidRPr="009B5983">
        <w:rPr>
          <w:sz w:val="22"/>
          <w:szCs w:val="22"/>
        </w:rPr>
        <w:t>, </w:t>
      </w:r>
      <w:r w:rsidRPr="009B5983">
        <w:rPr>
          <w:i/>
          <w:iCs/>
          <w:sz w:val="22"/>
          <w:szCs w:val="22"/>
        </w:rPr>
        <w:t>14</w:t>
      </w:r>
      <w:r w:rsidRPr="009B5983">
        <w:rPr>
          <w:sz w:val="22"/>
          <w:szCs w:val="22"/>
        </w:rPr>
        <w:t>(1), 319-338.</w:t>
      </w:r>
    </w:p>
    <w:p w14:paraId="5BE40FD7" w14:textId="1C3E0A00" w:rsidR="00A1591A" w:rsidRPr="009B5983" w:rsidRDefault="00A1591A" w:rsidP="00C50ABB">
      <w:pPr>
        <w:spacing w:line="360" w:lineRule="auto"/>
        <w:ind w:firstLine="284"/>
        <w:rPr>
          <w:sz w:val="22"/>
          <w:szCs w:val="22"/>
        </w:rPr>
      </w:pPr>
      <w:r w:rsidRPr="009B5983">
        <w:rPr>
          <w:sz w:val="22"/>
          <w:szCs w:val="22"/>
        </w:rPr>
        <w:t>Lee, H., Chung, C. C., &amp; Beamish, P. W. (2019). Configurational characteristics of mandate portfolios and their impact on foreign subsidiary survival. </w:t>
      </w:r>
      <w:r w:rsidRPr="009B5983">
        <w:rPr>
          <w:i/>
          <w:iCs/>
          <w:sz w:val="22"/>
          <w:szCs w:val="22"/>
        </w:rPr>
        <w:t>Journal of World Business</w:t>
      </w:r>
      <w:r w:rsidRPr="009B5983">
        <w:rPr>
          <w:sz w:val="22"/>
          <w:szCs w:val="22"/>
        </w:rPr>
        <w:t>, </w:t>
      </w:r>
      <w:r w:rsidRPr="009B5983">
        <w:rPr>
          <w:i/>
          <w:iCs/>
          <w:sz w:val="22"/>
          <w:szCs w:val="22"/>
        </w:rPr>
        <w:t>54</w:t>
      </w:r>
      <w:r w:rsidRPr="009B5983">
        <w:rPr>
          <w:sz w:val="22"/>
          <w:szCs w:val="22"/>
        </w:rPr>
        <w:t>(5), 100999.</w:t>
      </w:r>
    </w:p>
    <w:p w14:paraId="46BD91C5" w14:textId="797740A3" w:rsidR="00C54047" w:rsidRDefault="00C54047" w:rsidP="00C50ABB">
      <w:pPr>
        <w:spacing w:line="360" w:lineRule="auto"/>
        <w:ind w:firstLine="284"/>
        <w:rPr>
          <w:sz w:val="22"/>
          <w:szCs w:val="22"/>
        </w:rPr>
      </w:pPr>
      <w:r w:rsidRPr="009B5983">
        <w:rPr>
          <w:sz w:val="22"/>
          <w:szCs w:val="22"/>
        </w:rPr>
        <w:t>Li, J. J., Poppo, L., &amp; Zhou, K. Z. (2008). Do managerial ties in China always produce value? Competition, uncertainty, and domestic vs. foreign firms. </w:t>
      </w:r>
      <w:r w:rsidRPr="009B5983">
        <w:rPr>
          <w:i/>
          <w:iCs/>
          <w:sz w:val="22"/>
          <w:szCs w:val="22"/>
        </w:rPr>
        <w:t>Strategic Management Journal</w:t>
      </w:r>
      <w:r w:rsidRPr="009B5983">
        <w:rPr>
          <w:sz w:val="22"/>
          <w:szCs w:val="22"/>
        </w:rPr>
        <w:t>, </w:t>
      </w:r>
      <w:r w:rsidRPr="009B5983">
        <w:rPr>
          <w:i/>
          <w:iCs/>
          <w:sz w:val="22"/>
          <w:szCs w:val="22"/>
        </w:rPr>
        <w:t>29</w:t>
      </w:r>
      <w:r w:rsidRPr="009B5983">
        <w:rPr>
          <w:sz w:val="22"/>
          <w:szCs w:val="22"/>
        </w:rPr>
        <w:t>(4), 383-400.</w:t>
      </w:r>
    </w:p>
    <w:p w14:paraId="04CF9EEC" w14:textId="0737D4EB" w:rsidR="00C129C8" w:rsidRPr="009B5983" w:rsidRDefault="00C129C8" w:rsidP="00C50ABB">
      <w:pPr>
        <w:spacing w:line="360" w:lineRule="auto"/>
        <w:ind w:firstLine="284"/>
        <w:rPr>
          <w:sz w:val="22"/>
          <w:szCs w:val="22"/>
        </w:rPr>
      </w:pPr>
      <w:r w:rsidRPr="00C129C8">
        <w:rPr>
          <w:sz w:val="22"/>
          <w:szCs w:val="22"/>
        </w:rPr>
        <w:t>Lind, J. T., &amp; Mehlum, H. (2010). With or without U? The appropriate test for a U‐shaped relationship. </w:t>
      </w:r>
      <w:r w:rsidRPr="00C129C8">
        <w:rPr>
          <w:i/>
          <w:iCs/>
          <w:sz w:val="22"/>
          <w:szCs w:val="22"/>
        </w:rPr>
        <w:t>Oxford bulletin of economics and statistics</w:t>
      </w:r>
      <w:r w:rsidRPr="00C129C8">
        <w:rPr>
          <w:sz w:val="22"/>
          <w:szCs w:val="22"/>
        </w:rPr>
        <w:t>, </w:t>
      </w:r>
      <w:r w:rsidRPr="00C129C8">
        <w:rPr>
          <w:i/>
          <w:iCs/>
          <w:sz w:val="22"/>
          <w:szCs w:val="22"/>
        </w:rPr>
        <w:t>72</w:t>
      </w:r>
      <w:r w:rsidRPr="00C129C8">
        <w:rPr>
          <w:sz w:val="22"/>
          <w:szCs w:val="22"/>
        </w:rPr>
        <w:t>(1), 109-118.</w:t>
      </w:r>
    </w:p>
    <w:p w14:paraId="2871C82C" w14:textId="1782806D" w:rsidR="00373917" w:rsidRPr="009B5983" w:rsidRDefault="004D3793" w:rsidP="00373917">
      <w:pPr>
        <w:spacing w:line="360" w:lineRule="auto"/>
        <w:ind w:firstLine="284"/>
        <w:rPr>
          <w:sz w:val="22"/>
          <w:szCs w:val="22"/>
        </w:rPr>
      </w:pPr>
      <w:r w:rsidRPr="009B5983">
        <w:rPr>
          <w:sz w:val="22"/>
          <w:szCs w:val="22"/>
        </w:rPr>
        <w:t>Love, J. H., Roper, S., &amp; Vahter, P. (2014). Learning from openness: The dynamics of breadth in external innovation linkages. </w:t>
      </w:r>
      <w:r w:rsidRPr="009B5983">
        <w:rPr>
          <w:i/>
          <w:iCs/>
          <w:sz w:val="22"/>
          <w:szCs w:val="22"/>
        </w:rPr>
        <w:t xml:space="preserve">Strategic </w:t>
      </w:r>
      <w:r w:rsidR="00172DF9">
        <w:rPr>
          <w:i/>
          <w:iCs/>
          <w:sz w:val="22"/>
          <w:szCs w:val="22"/>
        </w:rPr>
        <w:t>M</w:t>
      </w:r>
      <w:r w:rsidRPr="009B5983">
        <w:rPr>
          <w:i/>
          <w:iCs/>
          <w:sz w:val="22"/>
          <w:szCs w:val="22"/>
        </w:rPr>
        <w:t xml:space="preserve">anagement </w:t>
      </w:r>
      <w:r w:rsidR="00172DF9">
        <w:rPr>
          <w:i/>
          <w:iCs/>
          <w:sz w:val="22"/>
          <w:szCs w:val="22"/>
        </w:rPr>
        <w:t>J</w:t>
      </w:r>
      <w:r w:rsidRPr="009B5983">
        <w:rPr>
          <w:i/>
          <w:iCs/>
          <w:sz w:val="22"/>
          <w:szCs w:val="22"/>
        </w:rPr>
        <w:t>ournal</w:t>
      </w:r>
      <w:r w:rsidRPr="009B5983">
        <w:rPr>
          <w:sz w:val="22"/>
          <w:szCs w:val="22"/>
        </w:rPr>
        <w:t>, </w:t>
      </w:r>
      <w:r w:rsidRPr="009B5983">
        <w:rPr>
          <w:i/>
          <w:iCs/>
          <w:sz w:val="22"/>
          <w:szCs w:val="22"/>
        </w:rPr>
        <w:t>35</w:t>
      </w:r>
      <w:r w:rsidRPr="009B5983">
        <w:rPr>
          <w:sz w:val="22"/>
          <w:szCs w:val="22"/>
        </w:rPr>
        <w:t>(11), 1703-1716.</w:t>
      </w:r>
    </w:p>
    <w:p w14:paraId="2D2D2E6D" w14:textId="35990632" w:rsidR="00373917" w:rsidRDefault="00373917" w:rsidP="009739D8">
      <w:pPr>
        <w:spacing w:line="360" w:lineRule="auto"/>
        <w:ind w:firstLine="284"/>
        <w:rPr>
          <w:sz w:val="22"/>
          <w:szCs w:val="22"/>
        </w:rPr>
      </w:pPr>
      <w:r w:rsidRPr="009B5983">
        <w:rPr>
          <w:sz w:val="22"/>
          <w:szCs w:val="22"/>
        </w:rPr>
        <w:t>Love J</w:t>
      </w:r>
      <w:r w:rsidR="00FF4046" w:rsidRPr="009B5983">
        <w:rPr>
          <w:sz w:val="22"/>
          <w:szCs w:val="22"/>
        </w:rPr>
        <w:t>.</w:t>
      </w:r>
      <w:r w:rsidRPr="009B5983">
        <w:rPr>
          <w:sz w:val="22"/>
          <w:szCs w:val="22"/>
        </w:rPr>
        <w:t xml:space="preserve"> H</w:t>
      </w:r>
      <w:r w:rsidR="00FF4046" w:rsidRPr="009B5983">
        <w:rPr>
          <w:sz w:val="22"/>
          <w:szCs w:val="22"/>
        </w:rPr>
        <w:t>.</w:t>
      </w:r>
      <w:r w:rsidRPr="009B5983">
        <w:rPr>
          <w:sz w:val="22"/>
          <w:szCs w:val="22"/>
        </w:rPr>
        <w:t xml:space="preserve"> and Máñez J</w:t>
      </w:r>
      <w:r w:rsidR="00FF4046" w:rsidRPr="009B5983">
        <w:rPr>
          <w:sz w:val="22"/>
          <w:szCs w:val="22"/>
        </w:rPr>
        <w:t>.</w:t>
      </w:r>
      <w:r w:rsidRPr="009B5983">
        <w:rPr>
          <w:sz w:val="22"/>
          <w:szCs w:val="22"/>
        </w:rPr>
        <w:t xml:space="preserve"> A</w:t>
      </w:r>
      <w:r w:rsidR="00FF4046" w:rsidRPr="009B5983">
        <w:rPr>
          <w:sz w:val="22"/>
          <w:szCs w:val="22"/>
        </w:rPr>
        <w:t>.</w:t>
      </w:r>
      <w:r w:rsidRPr="009B5983">
        <w:rPr>
          <w:sz w:val="22"/>
          <w:szCs w:val="22"/>
        </w:rPr>
        <w:t xml:space="preserve"> (2019) Persistence in exporting: cumulative and punctuated learning effects, </w:t>
      </w:r>
      <w:r w:rsidRPr="009B5983">
        <w:rPr>
          <w:i/>
          <w:sz w:val="22"/>
          <w:szCs w:val="22"/>
        </w:rPr>
        <w:t>International Business Review</w:t>
      </w:r>
      <w:r w:rsidRPr="009B5983">
        <w:rPr>
          <w:sz w:val="22"/>
          <w:szCs w:val="22"/>
        </w:rPr>
        <w:t>, 28, 74-89</w:t>
      </w:r>
      <w:r w:rsidR="00FF4046" w:rsidRPr="009B5983">
        <w:rPr>
          <w:sz w:val="22"/>
          <w:szCs w:val="22"/>
        </w:rPr>
        <w:t>.</w:t>
      </w:r>
    </w:p>
    <w:p w14:paraId="36A41213" w14:textId="3BA9410B" w:rsidR="00592F00" w:rsidRPr="00592F00" w:rsidRDefault="00592F00" w:rsidP="00592F00">
      <w:pPr>
        <w:spacing w:line="360" w:lineRule="auto"/>
        <w:ind w:firstLine="284"/>
        <w:rPr>
          <w:sz w:val="22"/>
          <w:szCs w:val="22"/>
        </w:rPr>
      </w:pPr>
      <w:r w:rsidRPr="00592F00">
        <w:rPr>
          <w:sz w:val="22"/>
          <w:szCs w:val="22"/>
        </w:rPr>
        <w:t xml:space="preserve">Luo, Y., &amp; Peng, M. W. (1999). Learning to compete in a transition economy: Experience, environment, and performance. </w:t>
      </w:r>
      <w:r w:rsidRPr="00E24F1D">
        <w:rPr>
          <w:i/>
          <w:sz w:val="22"/>
        </w:rPr>
        <w:t xml:space="preserve">Journal of </w:t>
      </w:r>
      <w:r w:rsidR="0001099B">
        <w:rPr>
          <w:i/>
          <w:sz w:val="22"/>
          <w:szCs w:val="22"/>
        </w:rPr>
        <w:t>I</w:t>
      </w:r>
      <w:r w:rsidRPr="000F0C70">
        <w:rPr>
          <w:i/>
          <w:sz w:val="22"/>
          <w:szCs w:val="22"/>
        </w:rPr>
        <w:t xml:space="preserve">nternational </w:t>
      </w:r>
      <w:r w:rsidR="0001099B">
        <w:rPr>
          <w:i/>
          <w:sz w:val="22"/>
          <w:szCs w:val="22"/>
        </w:rPr>
        <w:t>B</w:t>
      </w:r>
      <w:r w:rsidRPr="000F0C70">
        <w:rPr>
          <w:i/>
          <w:sz w:val="22"/>
          <w:szCs w:val="22"/>
        </w:rPr>
        <w:t xml:space="preserve">usiness </w:t>
      </w:r>
      <w:r w:rsidR="0001099B">
        <w:rPr>
          <w:i/>
          <w:sz w:val="22"/>
          <w:szCs w:val="22"/>
        </w:rPr>
        <w:t>S</w:t>
      </w:r>
      <w:r w:rsidRPr="000F0C70">
        <w:rPr>
          <w:i/>
          <w:sz w:val="22"/>
          <w:szCs w:val="22"/>
        </w:rPr>
        <w:t>tudies</w:t>
      </w:r>
      <w:r w:rsidRPr="00592F00">
        <w:rPr>
          <w:sz w:val="22"/>
          <w:szCs w:val="22"/>
        </w:rPr>
        <w:t xml:space="preserve">, </w:t>
      </w:r>
      <w:r w:rsidRPr="00E24F1D">
        <w:rPr>
          <w:i/>
          <w:sz w:val="22"/>
        </w:rPr>
        <w:t>30</w:t>
      </w:r>
      <w:r w:rsidRPr="00592F00">
        <w:rPr>
          <w:sz w:val="22"/>
          <w:szCs w:val="22"/>
        </w:rPr>
        <w:t>(2), 269-295.</w:t>
      </w:r>
    </w:p>
    <w:p w14:paraId="2CE0521D" w14:textId="4729A11F" w:rsidR="001C1E94" w:rsidRPr="009B5983" w:rsidRDefault="001C1E94" w:rsidP="001C1E94">
      <w:pPr>
        <w:spacing w:line="360" w:lineRule="auto"/>
        <w:ind w:firstLine="284"/>
        <w:rPr>
          <w:sz w:val="22"/>
          <w:szCs w:val="22"/>
        </w:rPr>
      </w:pPr>
      <w:r w:rsidRPr="009B5983">
        <w:rPr>
          <w:sz w:val="22"/>
          <w:szCs w:val="22"/>
        </w:rPr>
        <w:t xml:space="preserve">Madsen P M and Desai V (2010) ‘Failing to learn? The effects of failure and success on organizational learning in the global orbital launch vehicle industry’, </w:t>
      </w:r>
      <w:r w:rsidRPr="009B5983">
        <w:rPr>
          <w:i/>
          <w:sz w:val="22"/>
          <w:szCs w:val="22"/>
        </w:rPr>
        <w:t>Academy of Management Journal</w:t>
      </w:r>
      <w:r w:rsidRPr="009B5983">
        <w:rPr>
          <w:sz w:val="22"/>
          <w:szCs w:val="22"/>
        </w:rPr>
        <w:t>, 53</w:t>
      </w:r>
      <w:r w:rsidR="0001099B">
        <w:rPr>
          <w:sz w:val="22"/>
          <w:szCs w:val="22"/>
        </w:rPr>
        <w:t>,</w:t>
      </w:r>
      <w:r w:rsidRPr="009B5983">
        <w:rPr>
          <w:sz w:val="22"/>
          <w:szCs w:val="22"/>
        </w:rPr>
        <w:t xml:space="preserve"> 451-476.</w:t>
      </w:r>
    </w:p>
    <w:p w14:paraId="088C4F3B" w14:textId="6E017ADE" w:rsidR="00BC02F6" w:rsidRDefault="00BC02F6" w:rsidP="00C50ABB">
      <w:pPr>
        <w:spacing w:line="360" w:lineRule="auto"/>
        <w:ind w:firstLine="284"/>
        <w:rPr>
          <w:sz w:val="22"/>
          <w:szCs w:val="22"/>
        </w:rPr>
      </w:pPr>
      <w:r w:rsidRPr="009B5983">
        <w:rPr>
          <w:sz w:val="22"/>
          <w:szCs w:val="22"/>
        </w:rPr>
        <w:t>Majocchi, A., D’Angelo, A., Forlani, E., &amp; Buck, T. (2018). Bifurcation bias and exporting: Can foreign work experience be an answer? Insight from European family SMEs. </w:t>
      </w:r>
      <w:r w:rsidRPr="009B5983">
        <w:rPr>
          <w:i/>
          <w:iCs/>
          <w:sz w:val="22"/>
          <w:szCs w:val="22"/>
        </w:rPr>
        <w:t>Journal of World Business</w:t>
      </w:r>
      <w:r w:rsidRPr="009B5983">
        <w:rPr>
          <w:sz w:val="22"/>
          <w:szCs w:val="22"/>
        </w:rPr>
        <w:t>, </w:t>
      </w:r>
      <w:r w:rsidRPr="009B5983">
        <w:rPr>
          <w:i/>
          <w:iCs/>
          <w:sz w:val="22"/>
          <w:szCs w:val="22"/>
        </w:rPr>
        <w:t>53</w:t>
      </w:r>
      <w:r w:rsidRPr="009B5983">
        <w:rPr>
          <w:sz w:val="22"/>
          <w:szCs w:val="22"/>
        </w:rPr>
        <w:t>(2), 237-247.</w:t>
      </w:r>
    </w:p>
    <w:p w14:paraId="7631E3FF" w14:textId="441D249D" w:rsidR="00CF70D3" w:rsidRPr="009B5983" w:rsidRDefault="00CF70D3" w:rsidP="00C50ABB">
      <w:pPr>
        <w:spacing w:line="360" w:lineRule="auto"/>
        <w:ind w:firstLine="284"/>
        <w:rPr>
          <w:sz w:val="22"/>
          <w:szCs w:val="22"/>
        </w:rPr>
      </w:pPr>
      <w:r w:rsidRPr="00CF70D3">
        <w:rPr>
          <w:sz w:val="22"/>
          <w:szCs w:val="22"/>
        </w:rPr>
        <w:t>March, J. G. (1991). Exploration and exploitation in organizational learning. </w:t>
      </w:r>
      <w:r w:rsidRPr="00CF70D3">
        <w:rPr>
          <w:i/>
          <w:iCs/>
          <w:sz w:val="22"/>
          <w:szCs w:val="22"/>
        </w:rPr>
        <w:t>Organization science</w:t>
      </w:r>
      <w:r w:rsidRPr="00CF70D3">
        <w:rPr>
          <w:sz w:val="22"/>
          <w:szCs w:val="22"/>
        </w:rPr>
        <w:t>, </w:t>
      </w:r>
      <w:r w:rsidRPr="00CF70D3">
        <w:rPr>
          <w:i/>
          <w:iCs/>
          <w:sz w:val="22"/>
          <w:szCs w:val="22"/>
        </w:rPr>
        <w:t>2</w:t>
      </w:r>
      <w:r w:rsidRPr="00CF70D3">
        <w:rPr>
          <w:sz w:val="22"/>
          <w:szCs w:val="22"/>
        </w:rPr>
        <w:t>(1), 71-87.</w:t>
      </w:r>
    </w:p>
    <w:p w14:paraId="49D379B4" w14:textId="0907BB94" w:rsidR="0017633B" w:rsidRDefault="0017633B" w:rsidP="00C50ABB">
      <w:pPr>
        <w:spacing w:line="360" w:lineRule="auto"/>
        <w:ind w:firstLine="284"/>
        <w:rPr>
          <w:sz w:val="22"/>
          <w:szCs w:val="22"/>
        </w:rPr>
      </w:pPr>
      <w:r w:rsidRPr="009B5983">
        <w:rPr>
          <w:sz w:val="22"/>
          <w:szCs w:val="22"/>
        </w:rPr>
        <w:t>Menguc, B., Auh, S., &amp; Yannopoulos, P. (2014). Customer and supplier involvement in design: The moderating role of incremental and radical innovation capability. </w:t>
      </w:r>
      <w:r w:rsidRPr="009B5983">
        <w:rPr>
          <w:i/>
          <w:iCs/>
          <w:sz w:val="22"/>
          <w:szCs w:val="22"/>
        </w:rPr>
        <w:t>Journal of Product Innovation Management</w:t>
      </w:r>
      <w:r w:rsidRPr="009B5983">
        <w:rPr>
          <w:sz w:val="22"/>
          <w:szCs w:val="22"/>
        </w:rPr>
        <w:t>, </w:t>
      </w:r>
      <w:r w:rsidRPr="009B5983">
        <w:rPr>
          <w:i/>
          <w:iCs/>
          <w:sz w:val="22"/>
          <w:szCs w:val="22"/>
        </w:rPr>
        <w:t>31</w:t>
      </w:r>
      <w:r w:rsidRPr="009B5983">
        <w:rPr>
          <w:sz w:val="22"/>
          <w:szCs w:val="22"/>
        </w:rPr>
        <w:t xml:space="preserve">(2), 313-328. </w:t>
      </w:r>
    </w:p>
    <w:p w14:paraId="48E4943A" w14:textId="68C058E3" w:rsidR="007702DE" w:rsidRDefault="007702DE" w:rsidP="00C50ABB">
      <w:pPr>
        <w:spacing w:line="360" w:lineRule="auto"/>
        <w:ind w:firstLine="284"/>
        <w:rPr>
          <w:sz w:val="22"/>
          <w:szCs w:val="22"/>
        </w:rPr>
      </w:pPr>
      <w:r w:rsidRPr="007702DE">
        <w:rPr>
          <w:sz w:val="22"/>
          <w:szCs w:val="22"/>
        </w:rPr>
        <w:t>Musteen, M., Francis, J., &amp; Datta, D. K. (2010). The influence of international networks on internationalization speed and performance: A study of Czech SMEs. </w:t>
      </w:r>
      <w:r w:rsidRPr="007702DE">
        <w:rPr>
          <w:i/>
          <w:iCs/>
          <w:sz w:val="22"/>
          <w:szCs w:val="22"/>
        </w:rPr>
        <w:t xml:space="preserve">Journal of </w:t>
      </w:r>
      <w:r w:rsidR="0001099B">
        <w:rPr>
          <w:i/>
          <w:iCs/>
          <w:sz w:val="22"/>
          <w:szCs w:val="22"/>
        </w:rPr>
        <w:t>W</w:t>
      </w:r>
      <w:r w:rsidRPr="007702DE">
        <w:rPr>
          <w:i/>
          <w:iCs/>
          <w:sz w:val="22"/>
          <w:szCs w:val="22"/>
        </w:rPr>
        <w:t xml:space="preserve">orld </w:t>
      </w:r>
      <w:r w:rsidR="0001099B">
        <w:rPr>
          <w:i/>
          <w:iCs/>
          <w:sz w:val="22"/>
          <w:szCs w:val="22"/>
        </w:rPr>
        <w:t>B</w:t>
      </w:r>
      <w:r w:rsidRPr="007702DE">
        <w:rPr>
          <w:i/>
          <w:iCs/>
          <w:sz w:val="22"/>
          <w:szCs w:val="22"/>
        </w:rPr>
        <w:t>usiness</w:t>
      </w:r>
      <w:r w:rsidRPr="007702DE">
        <w:rPr>
          <w:sz w:val="22"/>
          <w:szCs w:val="22"/>
        </w:rPr>
        <w:t>, </w:t>
      </w:r>
      <w:r w:rsidRPr="007702DE">
        <w:rPr>
          <w:i/>
          <w:iCs/>
          <w:sz w:val="22"/>
          <w:szCs w:val="22"/>
        </w:rPr>
        <w:t>45</w:t>
      </w:r>
      <w:r w:rsidRPr="007702DE">
        <w:rPr>
          <w:sz w:val="22"/>
          <w:szCs w:val="22"/>
        </w:rPr>
        <w:t>(3), 197-205.</w:t>
      </w:r>
    </w:p>
    <w:p w14:paraId="7F596AA6" w14:textId="3BE12F69" w:rsidR="00B05E39" w:rsidRPr="009B5983" w:rsidRDefault="00B05E39" w:rsidP="00C50ABB">
      <w:pPr>
        <w:spacing w:line="360" w:lineRule="auto"/>
        <w:ind w:firstLine="284"/>
        <w:rPr>
          <w:sz w:val="22"/>
          <w:szCs w:val="22"/>
        </w:rPr>
      </w:pPr>
      <w:r w:rsidRPr="009B5983">
        <w:rPr>
          <w:sz w:val="22"/>
          <w:szCs w:val="22"/>
        </w:rPr>
        <w:t>Nijssen, E. J., Hillebrand, B., de Jong, J. P., &amp; Kemp, R. G. (2012). Strategic value assessment and explorative learning opportunities with customers. </w:t>
      </w:r>
      <w:r w:rsidRPr="009B5983">
        <w:rPr>
          <w:i/>
          <w:iCs/>
          <w:sz w:val="22"/>
          <w:szCs w:val="22"/>
        </w:rPr>
        <w:t>Journal of Product Innovation Management</w:t>
      </w:r>
      <w:r w:rsidRPr="009B5983">
        <w:rPr>
          <w:sz w:val="22"/>
          <w:szCs w:val="22"/>
        </w:rPr>
        <w:t>, </w:t>
      </w:r>
      <w:r w:rsidRPr="009B5983">
        <w:rPr>
          <w:i/>
          <w:iCs/>
          <w:sz w:val="22"/>
          <w:szCs w:val="22"/>
        </w:rPr>
        <w:t>29</w:t>
      </w:r>
      <w:r w:rsidRPr="009B5983">
        <w:rPr>
          <w:sz w:val="22"/>
          <w:szCs w:val="22"/>
        </w:rPr>
        <w:t>, 91-102.</w:t>
      </w:r>
    </w:p>
    <w:p w14:paraId="35DB4936" w14:textId="72C1CFA6" w:rsidR="00C050DB" w:rsidRPr="009B5983" w:rsidRDefault="00C050DB" w:rsidP="00C50ABB">
      <w:pPr>
        <w:spacing w:line="360" w:lineRule="auto"/>
        <w:ind w:firstLine="284"/>
        <w:rPr>
          <w:sz w:val="22"/>
          <w:szCs w:val="22"/>
        </w:rPr>
      </w:pPr>
      <w:r w:rsidRPr="009B5983">
        <w:rPr>
          <w:sz w:val="22"/>
          <w:szCs w:val="22"/>
        </w:rPr>
        <w:t>Nonaka, I., &amp; Takeuchi, H. (1995). </w:t>
      </w:r>
      <w:r w:rsidRPr="009B5983">
        <w:rPr>
          <w:i/>
          <w:iCs/>
          <w:sz w:val="22"/>
          <w:szCs w:val="22"/>
        </w:rPr>
        <w:t>The knowledge-creating company: How Japanese companies create the dynamics of innovation</w:t>
      </w:r>
      <w:r w:rsidRPr="009B5983">
        <w:rPr>
          <w:sz w:val="22"/>
          <w:szCs w:val="22"/>
        </w:rPr>
        <w:t>. Oxford university press.</w:t>
      </w:r>
    </w:p>
    <w:p w14:paraId="337EDF53" w14:textId="77777777" w:rsidR="00C710FC" w:rsidRPr="009B5983" w:rsidRDefault="00A82932" w:rsidP="00C710FC">
      <w:pPr>
        <w:spacing w:line="360" w:lineRule="auto"/>
        <w:ind w:firstLine="284"/>
        <w:rPr>
          <w:sz w:val="22"/>
          <w:szCs w:val="22"/>
        </w:rPr>
      </w:pPr>
      <w:r w:rsidRPr="009B5983">
        <w:rPr>
          <w:sz w:val="22"/>
          <w:szCs w:val="22"/>
        </w:rPr>
        <w:lastRenderedPageBreak/>
        <w:t>Nummela, N., Saarenketo, S., &amp; Loane, S. (2016). The dynamics of failure in international new ventures: A case study of Finnish and Irish software companies. </w:t>
      </w:r>
      <w:r w:rsidRPr="009B5983">
        <w:rPr>
          <w:i/>
          <w:iCs/>
          <w:sz w:val="22"/>
          <w:szCs w:val="22"/>
        </w:rPr>
        <w:t>International Small Business Journal</w:t>
      </w:r>
      <w:r w:rsidRPr="009B5983">
        <w:rPr>
          <w:sz w:val="22"/>
          <w:szCs w:val="22"/>
        </w:rPr>
        <w:t>, </w:t>
      </w:r>
      <w:r w:rsidRPr="009B5983">
        <w:rPr>
          <w:i/>
          <w:iCs/>
          <w:sz w:val="22"/>
          <w:szCs w:val="22"/>
        </w:rPr>
        <w:t>34</w:t>
      </w:r>
      <w:r w:rsidRPr="009B5983">
        <w:rPr>
          <w:sz w:val="22"/>
          <w:szCs w:val="22"/>
        </w:rPr>
        <w:t>(1), 51-69.</w:t>
      </w:r>
    </w:p>
    <w:p w14:paraId="1DCDB48F" w14:textId="254A5130" w:rsidR="00C710FC" w:rsidRPr="009B5983" w:rsidRDefault="00C710FC" w:rsidP="009739D8">
      <w:pPr>
        <w:spacing w:line="360" w:lineRule="auto"/>
        <w:ind w:firstLine="284"/>
        <w:rPr>
          <w:sz w:val="22"/>
          <w:szCs w:val="22"/>
        </w:rPr>
      </w:pPr>
      <w:r w:rsidRPr="009B5983">
        <w:rPr>
          <w:color w:val="222222"/>
          <w:sz w:val="22"/>
          <w:szCs w:val="22"/>
          <w:shd w:val="clear" w:color="auto" w:fill="FFFFFF"/>
        </w:rPr>
        <w:t>Ozkan, K. S. (2020). International market exit by firms: Misalignment of strategy with the foreign market risk environment. </w:t>
      </w:r>
      <w:r w:rsidRPr="009B5983">
        <w:rPr>
          <w:i/>
          <w:iCs/>
          <w:color w:val="222222"/>
          <w:sz w:val="22"/>
          <w:szCs w:val="22"/>
        </w:rPr>
        <w:t>International Business Review</w:t>
      </w:r>
      <w:r w:rsidRPr="009B5983">
        <w:rPr>
          <w:color w:val="222222"/>
          <w:sz w:val="22"/>
          <w:szCs w:val="22"/>
          <w:shd w:val="clear" w:color="auto" w:fill="FFFFFF"/>
        </w:rPr>
        <w:t>, </w:t>
      </w:r>
      <w:r w:rsidRPr="009B5983">
        <w:rPr>
          <w:i/>
          <w:iCs/>
          <w:color w:val="222222"/>
          <w:sz w:val="22"/>
          <w:szCs w:val="22"/>
        </w:rPr>
        <w:t>29</w:t>
      </w:r>
      <w:r w:rsidRPr="009B5983">
        <w:rPr>
          <w:color w:val="222222"/>
          <w:sz w:val="22"/>
          <w:szCs w:val="22"/>
          <w:shd w:val="clear" w:color="auto" w:fill="FFFFFF"/>
        </w:rPr>
        <w:t>(6), 101741.</w:t>
      </w:r>
    </w:p>
    <w:p w14:paraId="7FFE0E59" w14:textId="08C7A345" w:rsidR="00BC02F6" w:rsidRPr="009B5983" w:rsidRDefault="00BC02F6" w:rsidP="00C50ABB">
      <w:pPr>
        <w:spacing w:line="360" w:lineRule="auto"/>
        <w:ind w:firstLine="284"/>
        <w:rPr>
          <w:sz w:val="22"/>
          <w:szCs w:val="22"/>
        </w:rPr>
      </w:pPr>
      <w:r w:rsidRPr="009B5983">
        <w:rPr>
          <w:sz w:val="22"/>
          <w:szCs w:val="22"/>
        </w:rPr>
        <w:t>Park, S., &amp; LiPuma, J. A. (2020). New venture internationalization: The role of venture capital types and reputation. </w:t>
      </w:r>
      <w:r w:rsidRPr="009B5983">
        <w:rPr>
          <w:i/>
          <w:iCs/>
          <w:sz w:val="22"/>
          <w:szCs w:val="22"/>
        </w:rPr>
        <w:t>Journal of World Business</w:t>
      </w:r>
      <w:r w:rsidRPr="009B5983">
        <w:rPr>
          <w:sz w:val="22"/>
          <w:szCs w:val="22"/>
        </w:rPr>
        <w:t>, </w:t>
      </w:r>
      <w:r w:rsidRPr="009B5983">
        <w:rPr>
          <w:i/>
          <w:iCs/>
          <w:sz w:val="22"/>
          <w:szCs w:val="22"/>
        </w:rPr>
        <w:t>55</w:t>
      </w:r>
      <w:r w:rsidRPr="009B5983">
        <w:rPr>
          <w:sz w:val="22"/>
          <w:szCs w:val="22"/>
        </w:rPr>
        <w:t>(1), 101025.</w:t>
      </w:r>
    </w:p>
    <w:p w14:paraId="3BAD8E9E" w14:textId="4BFEC64F" w:rsidR="00C50ABB" w:rsidRPr="009B5983" w:rsidRDefault="00C50ABB" w:rsidP="00C50ABB">
      <w:pPr>
        <w:spacing w:line="360" w:lineRule="auto"/>
        <w:ind w:firstLine="284"/>
        <w:rPr>
          <w:sz w:val="22"/>
          <w:szCs w:val="22"/>
        </w:rPr>
      </w:pPr>
      <w:r w:rsidRPr="009B5983">
        <w:rPr>
          <w:sz w:val="22"/>
          <w:szCs w:val="22"/>
        </w:rPr>
        <w:t>Rodrigues, S.B., &amp; Dieleman, M. (2018). The internationalization paradox: Untangling dependence in multinational state hybrids. </w:t>
      </w:r>
      <w:r w:rsidRPr="009B5983">
        <w:rPr>
          <w:i/>
          <w:iCs/>
          <w:sz w:val="22"/>
          <w:szCs w:val="22"/>
        </w:rPr>
        <w:t>Journal of World Business</w:t>
      </w:r>
      <w:r w:rsidRPr="009B5983">
        <w:rPr>
          <w:sz w:val="22"/>
          <w:szCs w:val="22"/>
        </w:rPr>
        <w:t>, </w:t>
      </w:r>
      <w:r w:rsidRPr="009B5983">
        <w:rPr>
          <w:i/>
          <w:iCs/>
          <w:sz w:val="22"/>
          <w:szCs w:val="22"/>
        </w:rPr>
        <w:t>53</w:t>
      </w:r>
      <w:r w:rsidRPr="009B5983">
        <w:rPr>
          <w:sz w:val="22"/>
          <w:szCs w:val="22"/>
        </w:rPr>
        <w:t>(1), 39-51.</w:t>
      </w:r>
    </w:p>
    <w:p w14:paraId="080AB0AD" w14:textId="4875284D" w:rsidR="008F24A3" w:rsidRPr="009B5983" w:rsidRDefault="008F24A3" w:rsidP="00C50ABB">
      <w:pPr>
        <w:spacing w:line="360" w:lineRule="auto"/>
        <w:ind w:firstLine="284"/>
        <w:rPr>
          <w:sz w:val="22"/>
          <w:szCs w:val="22"/>
        </w:rPr>
      </w:pPr>
      <w:r w:rsidRPr="009B5983">
        <w:rPr>
          <w:sz w:val="22"/>
          <w:szCs w:val="22"/>
        </w:rPr>
        <w:t>Sousa, C. M. (2004). Export performance measurement: an evaluation of the empirical research in the literature. </w:t>
      </w:r>
      <w:r w:rsidRPr="009B5983">
        <w:rPr>
          <w:i/>
          <w:iCs/>
          <w:sz w:val="22"/>
          <w:szCs w:val="22"/>
        </w:rPr>
        <w:t xml:space="preserve">Academy of </w:t>
      </w:r>
      <w:r w:rsidR="0001099B">
        <w:rPr>
          <w:i/>
          <w:iCs/>
          <w:sz w:val="22"/>
          <w:szCs w:val="22"/>
        </w:rPr>
        <w:t>M</w:t>
      </w:r>
      <w:r w:rsidRPr="009B5983">
        <w:rPr>
          <w:i/>
          <w:iCs/>
          <w:sz w:val="22"/>
          <w:szCs w:val="22"/>
        </w:rPr>
        <w:t xml:space="preserve">arketing </w:t>
      </w:r>
      <w:r w:rsidR="0001099B">
        <w:rPr>
          <w:i/>
          <w:iCs/>
          <w:sz w:val="22"/>
          <w:szCs w:val="22"/>
        </w:rPr>
        <w:t>S</w:t>
      </w:r>
      <w:r w:rsidRPr="009B5983">
        <w:rPr>
          <w:i/>
          <w:iCs/>
          <w:sz w:val="22"/>
          <w:szCs w:val="22"/>
        </w:rPr>
        <w:t xml:space="preserve">cience </w:t>
      </w:r>
      <w:r w:rsidR="0001099B">
        <w:rPr>
          <w:i/>
          <w:iCs/>
          <w:sz w:val="22"/>
          <w:szCs w:val="22"/>
        </w:rPr>
        <w:t>R</w:t>
      </w:r>
      <w:r w:rsidRPr="009B5983">
        <w:rPr>
          <w:i/>
          <w:iCs/>
          <w:sz w:val="22"/>
          <w:szCs w:val="22"/>
        </w:rPr>
        <w:t>eview</w:t>
      </w:r>
      <w:r w:rsidRPr="009B5983">
        <w:rPr>
          <w:sz w:val="22"/>
          <w:szCs w:val="22"/>
        </w:rPr>
        <w:t>, </w:t>
      </w:r>
      <w:r w:rsidRPr="009B5983">
        <w:rPr>
          <w:i/>
          <w:iCs/>
          <w:sz w:val="22"/>
          <w:szCs w:val="22"/>
        </w:rPr>
        <w:t>2004</w:t>
      </w:r>
      <w:r w:rsidRPr="009B5983">
        <w:rPr>
          <w:sz w:val="22"/>
          <w:szCs w:val="22"/>
        </w:rPr>
        <w:t>, 1.</w:t>
      </w:r>
    </w:p>
    <w:p w14:paraId="36023AC6" w14:textId="3D046109" w:rsidR="000E45DF" w:rsidRDefault="000E45DF" w:rsidP="00C50ABB">
      <w:pPr>
        <w:spacing w:line="360" w:lineRule="auto"/>
        <w:ind w:firstLine="284"/>
        <w:rPr>
          <w:sz w:val="22"/>
          <w:szCs w:val="22"/>
        </w:rPr>
      </w:pPr>
      <w:r w:rsidRPr="009B5983">
        <w:rPr>
          <w:sz w:val="22"/>
          <w:szCs w:val="22"/>
        </w:rPr>
        <w:t>Sousa, C. M., &amp; Tan, Q. (2015). Exit from a foreign market: Do poor performance, strategic fit, cultural distance, and international experience matter? </w:t>
      </w:r>
      <w:r w:rsidRPr="009B5983">
        <w:rPr>
          <w:i/>
          <w:iCs/>
          <w:sz w:val="22"/>
          <w:szCs w:val="22"/>
        </w:rPr>
        <w:t>Journal of International Marketing</w:t>
      </w:r>
      <w:r w:rsidRPr="009B5983">
        <w:rPr>
          <w:sz w:val="22"/>
          <w:szCs w:val="22"/>
        </w:rPr>
        <w:t>, </w:t>
      </w:r>
      <w:r w:rsidRPr="009B5983">
        <w:rPr>
          <w:i/>
          <w:iCs/>
          <w:sz w:val="22"/>
          <w:szCs w:val="22"/>
        </w:rPr>
        <w:t>23</w:t>
      </w:r>
      <w:r w:rsidRPr="009B5983">
        <w:rPr>
          <w:sz w:val="22"/>
          <w:szCs w:val="22"/>
        </w:rPr>
        <w:t>(4), 84-104.</w:t>
      </w:r>
    </w:p>
    <w:p w14:paraId="019BDB57" w14:textId="53B12CA1" w:rsidR="00717B44" w:rsidRPr="009B5983" w:rsidRDefault="00717B44" w:rsidP="00C50ABB">
      <w:pPr>
        <w:spacing w:line="360" w:lineRule="auto"/>
        <w:ind w:firstLine="284"/>
        <w:rPr>
          <w:sz w:val="22"/>
          <w:szCs w:val="22"/>
        </w:rPr>
      </w:pPr>
      <w:r w:rsidRPr="00717B44">
        <w:rPr>
          <w:sz w:val="22"/>
          <w:szCs w:val="22"/>
        </w:rPr>
        <w:t>Surdu, I., Greve, H. R., &amp; Benito, G. R. (202</w:t>
      </w:r>
      <w:r w:rsidR="007A07C1">
        <w:rPr>
          <w:sz w:val="22"/>
          <w:szCs w:val="22"/>
        </w:rPr>
        <w:t>1</w:t>
      </w:r>
      <w:r w:rsidRPr="00717B44">
        <w:rPr>
          <w:sz w:val="22"/>
          <w:szCs w:val="22"/>
        </w:rPr>
        <w:t>). Back to basics: Behavioral theory and internationalization. </w:t>
      </w:r>
      <w:r w:rsidRPr="00717B44">
        <w:rPr>
          <w:i/>
          <w:iCs/>
          <w:sz w:val="22"/>
          <w:szCs w:val="22"/>
        </w:rPr>
        <w:t>Journal of International Business Studies</w:t>
      </w:r>
      <w:r w:rsidRPr="00717B44">
        <w:rPr>
          <w:sz w:val="22"/>
          <w:szCs w:val="22"/>
        </w:rPr>
        <w:t>, 1-22.</w:t>
      </w:r>
    </w:p>
    <w:p w14:paraId="69499215" w14:textId="347475A9" w:rsidR="00BC02F6" w:rsidRPr="009B5983" w:rsidRDefault="00BC02F6" w:rsidP="00C50ABB">
      <w:pPr>
        <w:spacing w:line="360" w:lineRule="auto"/>
        <w:ind w:firstLine="284"/>
        <w:rPr>
          <w:sz w:val="22"/>
          <w:szCs w:val="22"/>
        </w:rPr>
      </w:pPr>
      <w:r w:rsidRPr="009B5983">
        <w:rPr>
          <w:sz w:val="22"/>
          <w:szCs w:val="22"/>
        </w:rPr>
        <w:t>Surdu, I., &amp; Narula, R. (202</w:t>
      </w:r>
      <w:r w:rsidR="00F32749">
        <w:rPr>
          <w:sz w:val="22"/>
          <w:szCs w:val="22"/>
        </w:rPr>
        <w:t>1</w:t>
      </w:r>
      <w:r w:rsidRPr="009B5983">
        <w:rPr>
          <w:sz w:val="22"/>
          <w:szCs w:val="22"/>
        </w:rPr>
        <w:t>). Organizational learning, unlearning and re-internationalization timing: Differences between emerging-versus developed-market MNEs. </w:t>
      </w:r>
      <w:r w:rsidRPr="009B5983">
        <w:rPr>
          <w:i/>
          <w:iCs/>
          <w:sz w:val="22"/>
          <w:szCs w:val="22"/>
        </w:rPr>
        <w:t>Journal of International Management</w:t>
      </w:r>
      <w:r w:rsidRPr="009B5983">
        <w:rPr>
          <w:sz w:val="22"/>
          <w:szCs w:val="22"/>
        </w:rPr>
        <w:t>, 100784.</w:t>
      </w:r>
    </w:p>
    <w:p w14:paraId="1E48F2E8" w14:textId="77777777" w:rsidR="00C50ABB" w:rsidRPr="009B5983" w:rsidRDefault="00C50ABB" w:rsidP="00C50ABB">
      <w:pPr>
        <w:spacing w:line="360" w:lineRule="auto"/>
        <w:ind w:firstLine="284"/>
        <w:rPr>
          <w:sz w:val="22"/>
          <w:szCs w:val="22"/>
        </w:rPr>
      </w:pPr>
      <w:r w:rsidRPr="009B5983">
        <w:rPr>
          <w:sz w:val="22"/>
          <w:szCs w:val="22"/>
        </w:rPr>
        <w:t>Surdu, I., Mellahi, K., Glaister, K.W., &amp; Nardella, G. (2018). Why wait? Organizational learning, institutional quality and the speed of foreign market re-entry after initial entry and exit. </w:t>
      </w:r>
      <w:r w:rsidRPr="009B5983">
        <w:rPr>
          <w:i/>
          <w:iCs/>
          <w:sz w:val="22"/>
          <w:szCs w:val="22"/>
        </w:rPr>
        <w:t>Journal of World Business</w:t>
      </w:r>
      <w:r w:rsidRPr="009B5983">
        <w:rPr>
          <w:sz w:val="22"/>
          <w:szCs w:val="22"/>
        </w:rPr>
        <w:t>, </w:t>
      </w:r>
      <w:r w:rsidRPr="009B5983">
        <w:rPr>
          <w:i/>
          <w:iCs/>
          <w:sz w:val="22"/>
          <w:szCs w:val="22"/>
        </w:rPr>
        <w:t>53</w:t>
      </w:r>
      <w:r w:rsidRPr="009B5983">
        <w:rPr>
          <w:sz w:val="22"/>
          <w:szCs w:val="22"/>
        </w:rPr>
        <w:t>(6), 911-929.</w:t>
      </w:r>
    </w:p>
    <w:p w14:paraId="3B51EF7D" w14:textId="28B28E8D" w:rsidR="00C50ABB" w:rsidRPr="009B5983" w:rsidRDefault="00C50ABB" w:rsidP="00C50ABB">
      <w:pPr>
        <w:spacing w:line="360" w:lineRule="auto"/>
        <w:ind w:firstLine="284"/>
        <w:rPr>
          <w:sz w:val="22"/>
          <w:szCs w:val="22"/>
        </w:rPr>
      </w:pPr>
      <w:r w:rsidRPr="009B5983">
        <w:rPr>
          <w:sz w:val="22"/>
          <w:szCs w:val="22"/>
        </w:rPr>
        <w:t xml:space="preserve">Surdu, I., Mellahi, K., &amp; Glaister, K.W. </w:t>
      </w:r>
      <w:r w:rsidR="00BC02F6" w:rsidRPr="009B5983">
        <w:rPr>
          <w:sz w:val="22"/>
          <w:szCs w:val="22"/>
        </w:rPr>
        <w:t>(</w:t>
      </w:r>
      <w:r w:rsidRPr="009B5983">
        <w:rPr>
          <w:sz w:val="22"/>
          <w:szCs w:val="22"/>
        </w:rPr>
        <w:t>2019</w:t>
      </w:r>
      <w:r w:rsidR="00BC02F6" w:rsidRPr="009B5983">
        <w:rPr>
          <w:sz w:val="22"/>
          <w:szCs w:val="22"/>
        </w:rPr>
        <w:t>)</w:t>
      </w:r>
      <w:r w:rsidRPr="009B5983">
        <w:rPr>
          <w:sz w:val="22"/>
          <w:szCs w:val="22"/>
        </w:rPr>
        <w:t>. Once bitten, not necessarily shy? Determinants of foreign market re-entry commitment strategies. </w:t>
      </w:r>
      <w:r w:rsidRPr="009B5983">
        <w:rPr>
          <w:i/>
          <w:iCs/>
          <w:sz w:val="22"/>
          <w:szCs w:val="22"/>
        </w:rPr>
        <w:t>Journal of International Business Studies</w:t>
      </w:r>
      <w:r w:rsidRPr="009B5983">
        <w:rPr>
          <w:sz w:val="22"/>
          <w:szCs w:val="22"/>
        </w:rPr>
        <w:t>, </w:t>
      </w:r>
      <w:r w:rsidRPr="009B5983">
        <w:rPr>
          <w:i/>
          <w:iCs/>
          <w:sz w:val="22"/>
          <w:szCs w:val="22"/>
        </w:rPr>
        <w:t>50</w:t>
      </w:r>
      <w:r w:rsidRPr="009B5983">
        <w:rPr>
          <w:sz w:val="22"/>
          <w:szCs w:val="22"/>
        </w:rPr>
        <w:t>(3), 393-422.</w:t>
      </w:r>
    </w:p>
    <w:p w14:paraId="51DA790B" w14:textId="77777777" w:rsidR="00C62C50" w:rsidRPr="009B5983" w:rsidRDefault="00C62C50" w:rsidP="00C62C50">
      <w:pPr>
        <w:spacing w:line="360" w:lineRule="auto"/>
        <w:ind w:firstLine="284"/>
        <w:rPr>
          <w:sz w:val="22"/>
          <w:szCs w:val="22"/>
        </w:rPr>
      </w:pPr>
      <w:r w:rsidRPr="009B5983">
        <w:rPr>
          <w:sz w:val="22"/>
          <w:szCs w:val="22"/>
        </w:rPr>
        <w:t>Tan, Q., &amp; Sousa, C. M. (2019). Why poor performance is not enough for a foreign exit: The importance of innovation capability and international experience. </w:t>
      </w:r>
      <w:r w:rsidRPr="009B5983">
        <w:rPr>
          <w:i/>
          <w:iCs/>
          <w:sz w:val="22"/>
          <w:szCs w:val="22"/>
        </w:rPr>
        <w:t>Management International Review</w:t>
      </w:r>
      <w:r w:rsidRPr="009B5983">
        <w:rPr>
          <w:sz w:val="22"/>
          <w:szCs w:val="22"/>
        </w:rPr>
        <w:t>, </w:t>
      </w:r>
      <w:r w:rsidRPr="009B5983">
        <w:rPr>
          <w:i/>
          <w:iCs/>
          <w:sz w:val="22"/>
          <w:szCs w:val="22"/>
        </w:rPr>
        <w:t>59</w:t>
      </w:r>
      <w:r w:rsidRPr="009B5983">
        <w:rPr>
          <w:sz w:val="22"/>
          <w:szCs w:val="22"/>
        </w:rPr>
        <w:t>(3), 465-498.</w:t>
      </w:r>
    </w:p>
    <w:p w14:paraId="06FC5648" w14:textId="348F5BFF" w:rsidR="009A4C18" w:rsidRPr="009B5983" w:rsidRDefault="009A4C18" w:rsidP="00C50ABB">
      <w:pPr>
        <w:spacing w:line="360" w:lineRule="auto"/>
        <w:ind w:firstLine="284"/>
        <w:rPr>
          <w:sz w:val="22"/>
          <w:szCs w:val="22"/>
        </w:rPr>
      </w:pPr>
      <w:r w:rsidRPr="009B5983">
        <w:rPr>
          <w:sz w:val="22"/>
          <w:szCs w:val="22"/>
        </w:rPr>
        <w:t>Un, C. A., &amp; Asakawa, K. (2015). Types of R&amp;D collaborations and process innovation: The benefit of collaborating upstream in the knowledge chain. </w:t>
      </w:r>
      <w:r w:rsidRPr="009B5983">
        <w:rPr>
          <w:i/>
          <w:iCs/>
          <w:sz w:val="22"/>
          <w:szCs w:val="22"/>
        </w:rPr>
        <w:t>Journal of Product Innovation Management</w:t>
      </w:r>
      <w:r w:rsidRPr="009B5983">
        <w:rPr>
          <w:sz w:val="22"/>
          <w:szCs w:val="22"/>
        </w:rPr>
        <w:t>, </w:t>
      </w:r>
      <w:r w:rsidRPr="009B5983">
        <w:rPr>
          <w:i/>
          <w:iCs/>
          <w:sz w:val="22"/>
          <w:szCs w:val="22"/>
        </w:rPr>
        <w:t>32</w:t>
      </w:r>
      <w:r w:rsidRPr="009B5983">
        <w:rPr>
          <w:sz w:val="22"/>
          <w:szCs w:val="22"/>
        </w:rPr>
        <w:t>(1), 138-153.</w:t>
      </w:r>
    </w:p>
    <w:p w14:paraId="7177151E" w14:textId="52FD7E23" w:rsidR="008A70E2" w:rsidRPr="009B5983" w:rsidRDefault="008A70E2" w:rsidP="00C50ABB">
      <w:pPr>
        <w:spacing w:line="360" w:lineRule="auto"/>
        <w:ind w:firstLine="284"/>
        <w:rPr>
          <w:sz w:val="22"/>
          <w:szCs w:val="22"/>
        </w:rPr>
      </w:pPr>
      <w:r w:rsidRPr="009B5983">
        <w:rPr>
          <w:sz w:val="22"/>
          <w:szCs w:val="22"/>
        </w:rPr>
        <w:t>Van Beers, C., &amp; Zand, F. (2014). R&amp;D cooperation, partner diversity, and innovation performance: an empirical analysis. </w:t>
      </w:r>
      <w:r w:rsidRPr="009B5983">
        <w:rPr>
          <w:i/>
          <w:iCs/>
          <w:sz w:val="22"/>
          <w:szCs w:val="22"/>
        </w:rPr>
        <w:t>Journal of Product Innovation Management</w:t>
      </w:r>
      <w:r w:rsidRPr="009B5983">
        <w:rPr>
          <w:sz w:val="22"/>
          <w:szCs w:val="22"/>
        </w:rPr>
        <w:t>, </w:t>
      </w:r>
      <w:r w:rsidRPr="009B5983">
        <w:rPr>
          <w:i/>
          <w:iCs/>
          <w:sz w:val="22"/>
          <w:szCs w:val="22"/>
        </w:rPr>
        <w:t>31</w:t>
      </w:r>
      <w:r w:rsidRPr="009B5983">
        <w:rPr>
          <w:sz w:val="22"/>
          <w:szCs w:val="22"/>
        </w:rPr>
        <w:t>(2), 292-312.</w:t>
      </w:r>
    </w:p>
    <w:p w14:paraId="515D5E5C" w14:textId="106E853E" w:rsidR="00C50ABB" w:rsidRPr="009B5983" w:rsidRDefault="00C50ABB" w:rsidP="00C50ABB">
      <w:pPr>
        <w:spacing w:line="360" w:lineRule="auto"/>
        <w:ind w:firstLine="284"/>
        <w:rPr>
          <w:sz w:val="22"/>
          <w:szCs w:val="22"/>
        </w:rPr>
      </w:pPr>
      <w:r w:rsidRPr="009B5983">
        <w:rPr>
          <w:sz w:val="22"/>
          <w:szCs w:val="22"/>
        </w:rPr>
        <w:t>Vissak, T., &amp; Francioni, B. (2013). Serial nonlinear internationalization in practice: A case study. </w:t>
      </w:r>
      <w:r w:rsidRPr="009B5983">
        <w:rPr>
          <w:i/>
          <w:iCs/>
          <w:sz w:val="22"/>
          <w:szCs w:val="22"/>
        </w:rPr>
        <w:t>International Business Review</w:t>
      </w:r>
      <w:r w:rsidRPr="009B5983">
        <w:rPr>
          <w:sz w:val="22"/>
          <w:szCs w:val="22"/>
        </w:rPr>
        <w:t>, </w:t>
      </w:r>
      <w:r w:rsidRPr="009B5983">
        <w:rPr>
          <w:i/>
          <w:iCs/>
          <w:sz w:val="22"/>
          <w:szCs w:val="22"/>
        </w:rPr>
        <w:t>22</w:t>
      </w:r>
      <w:r w:rsidRPr="009B5983">
        <w:rPr>
          <w:sz w:val="22"/>
          <w:szCs w:val="22"/>
        </w:rPr>
        <w:t>(6), 951-962.</w:t>
      </w:r>
    </w:p>
    <w:p w14:paraId="7AFA51B1" w14:textId="19E020A2" w:rsidR="00D16D1F" w:rsidRPr="009B5983" w:rsidRDefault="00D16D1F" w:rsidP="00C50ABB">
      <w:pPr>
        <w:spacing w:line="360" w:lineRule="auto"/>
        <w:ind w:firstLine="284"/>
        <w:rPr>
          <w:sz w:val="22"/>
          <w:szCs w:val="22"/>
        </w:rPr>
      </w:pPr>
      <w:r w:rsidRPr="009B5983">
        <w:rPr>
          <w:sz w:val="22"/>
          <w:szCs w:val="22"/>
        </w:rPr>
        <w:lastRenderedPageBreak/>
        <w:t>Vissak, T., Francioni, B., &amp; Freeman, S. (2020). Foreign market entries, exits and re-entries: The role of knowledge, network relationships and decision-making logic. </w:t>
      </w:r>
      <w:r w:rsidRPr="009B5983">
        <w:rPr>
          <w:i/>
          <w:iCs/>
          <w:sz w:val="22"/>
          <w:szCs w:val="22"/>
        </w:rPr>
        <w:t>International Business Review</w:t>
      </w:r>
      <w:r w:rsidRPr="009B5983">
        <w:rPr>
          <w:sz w:val="22"/>
          <w:szCs w:val="22"/>
        </w:rPr>
        <w:t>, </w:t>
      </w:r>
      <w:r w:rsidRPr="009B5983">
        <w:rPr>
          <w:i/>
          <w:iCs/>
          <w:sz w:val="22"/>
          <w:szCs w:val="22"/>
        </w:rPr>
        <w:t>29</w:t>
      </w:r>
      <w:r w:rsidRPr="009B5983">
        <w:rPr>
          <w:sz w:val="22"/>
          <w:szCs w:val="22"/>
        </w:rPr>
        <w:t>(1), 101592.</w:t>
      </w:r>
    </w:p>
    <w:p w14:paraId="05F9C1FF" w14:textId="4D8182DB" w:rsidR="00C50ABB" w:rsidRPr="009B5983" w:rsidRDefault="00C50ABB" w:rsidP="00C50ABB">
      <w:pPr>
        <w:spacing w:line="360" w:lineRule="auto"/>
        <w:ind w:firstLine="284"/>
        <w:rPr>
          <w:sz w:val="22"/>
          <w:szCs w:val="22"/>
        </w:rPr>
      </w:pPr>
      <w:r w:rsidRPr="009B5983">
        <w:rPr>
          <w:sz w:val="22"/>
          <w:szCs w:val="22"/>
        </w:rPr>
        <w:t>Welch, C.L., &amp; Welch, L.S. (2009). Re-internationalisation: Exploration and conceptualisation. </w:t>
      </w:r>
      <w:r w:rsidRPr="009B5983">
        <w:rPr>
          <w:i/>
          <w:iCs/>
          <w:sz w:val="22"/>
          <w:szCs w:val="22"/>
        </w:rPr>
        <w:t>International Business Review</w:t>
      </w:r>
      <w:r w:rsidRPr="009B5983">
        <w:rPr>
          <w:sz w:val="22"/>
          <w:szCs w:val="22"/>
        </w:rPr>
        <w:t>, </w:t>
      </w:r>
      <w:r w:rsidRPr="009B5983">
        <w:rPr>
          <w:i/>
          <w:iCs/>
          <w:sz w:val="22"/>
          <w:szCs w:val="22"/>
        </w:rPr>
        <w:t>18</w:t>
      </w:r>
      <w:r w:rsidRPr="009B5983">
        <w:rPr>
          <w:sz w:val="22"/>
          <w:szCs w:val="22"/>
        </w:rPr>
        <w:t>(6), 567-577.</w:t>
      </w:r>
    </w:p>
    <w:p w14:paraId="7C85DC8D" w14:textId="6DFBFF8D" w:rsidR="00683589" w:rsidRPr="009B5983" w:rsidRDefault="00683589" w:rsidP="00C50ABB">
      <w:pPr>
        <w:spacing w:line="360" w:lineRule="auto"/>
        <w:ind w:firstLine="284"/>
        <w:rPr>
          <w:sz w:val="22"/>
          <w:szCs w:val="22"/>
        </w:rPr>
      </w:pPr>
      <w:r w:rsidRPr="009B5983">
        <w:rPr>
          <w:sz w:val="22"/>
          <w:szCs w:val="22"/>
        </w:rPr>
        <w:t>Yayla, S., Yeniyurt, S., Uslay, C., &amp; Cavusgil, E. (2018). The role of market orientation, relational capital, and internationalization speed in foreign market exit and re-entry decisions under turbulent conditions. </w:t>
      </w:r>
      <w:r w:rsidRPr="009B5983">
        <w:rPr>
          <w:i/>
          <w:iCs/>
          <w:sz w:val="22"/>
          <w:szCs w:val="22"/>
        </w:rPr>
        <w:t>International Business Review</w:t>
      </w:r>
      <w:r w:rsidRPr="009B5983">
        <w:rPr>
          <w:sz w:val="22"/>
          <w:szCs w:val="22"/>
        </w:rPr>
        <w:t>, </w:t>
      </w:r>
      <w:r w:rsidRPr="009B5983">
        <w:rPr>
          <w:i/>
          <w:iCs/>
          <w:sz w:val="22"/>
          <w:szCs w:val="22"/>
        </w:rPr>
        <w:t>27</w:t>
      </w:r>
      <w:r w:rsidRPr="009B5983">
        <w:rPr>
          <w:sz w:val="22"/>
          <w:szCs w:val="22"/>
        </w:rPr>
        <w:t>(6), 1105-1115.</w:t>
      </w:r>
    </w:p>
    <w:p w14:paraId="4018C8F2" w14:textId="67B0685B" w:rsidR="00C115D5" w:rsidRPr="009B5983" w:rsidRDefault="00C115D5" w:rsidP="00C50ABB">
      <w:pPr>
        <w:spacing w:line="360" w:lineRule="auto"/>
        <w:ind w:firstLine="284"/>
        <w:rPr>
          <w:sz w:val="22"/>
          <w:szCs w:val="22"/>
        </w:rPr>
      </w:pPr>
      <w:r w:rsidRPr="009B5983">
        <w:rPr>
          <w:sz w:val="22"/>
          <w:szCs w:val="22"/>
        </w:rPr>
        <w:t>Zhou, L., Wu, W. P., &amp; Luo, X. (2007). Internationalization and the performance of born-global SMEs: the mediating role of social networks. </w:t>
      </w:r>
      <w:r w:rsidRPr="009B5983">
        <w:rPr>
          <w:i/>
          <w:iCs/>
          <w:sz w:val="22"/>
          <w:szCs w:val="22"/>
        </w:rPr>
        <w:t xml:space="preserve">Journal of </w:t>
      </w:r>
      <w:r w:rsidR="0001099B">
        <w:rPr>
          <w:i/>
          <w:iCs/>
          <w:sz w:val="22"/>
          <w:szCs w:val="22"/>
        </w:rPr>
        <w:t>I</w:t>
      </w:r>
      <w:r w:rsidRPr="009B5983">
        <w:rPr>
          <w:i/>
          <w:iCs/>
          <w:sz w:val="22"/>
          <w:szCs w:val="22"/>
        </w:rPr>
        <w:t xml:space="preserve">nternational </w:t>
      </w:r>
      <w:r w:rsidR="0001099B">
        <w:rPr>
          <w:i/>
          <w:iCs/>
          <w:sz w:val="22"/>
          <w:szCs w:val="22"/>
        </w:rPr>
        <w:t>B</w:t>
      </w:r>
      <w:r w:rsidRPr="009B5983">
        <w:rPr>
          <w:i/>
          <w:iCs/>
          <w:sz w:val="22"/>
          <w:szCs w:val="22"/>
        </w:rPr>
        <w:t xml:space="preserve">usiness </w:t>
      </w:r>
      <w:r w:rsidR="0001099B">
        <w:rPr>
          <w:i/>
          <w:iCs/>
          <w:sz w:val="22"/>
          <w:szCs w:val="22"/>
        </w:rPr>
        <w:t>S</w:t>
      </w:r>
      <w:r w:rsidRPr="009B5983">
        <w:rPr>
          <w:i/>
          <w:iCs/>
          <w:sz w:val="22"/>
          <w:szCs w:val="22"/>
        </w:rPr>
        <w:t>tudies</w:t>
      </w:r>
      <w:r w:rsidRPr="009B5983">
        <w:rPr>
          <w:sz w:val="22"/>
          <w:szCs w:val="22"/>
        </w:rPr>
        <w:t>, </w:t>
      </w:r>
      <w:r w:rsidRPr="009B5983">
        <w:rPr>
          <w:i/>
          <w:iCs/>
          <w:sz w:val="22"/>
          <w:szCs w:val="22"/>
        </w:rPr>
        <w:t>38</w:t>
      </w:r>
      <w:r w:rsidRPr="009B5983">
        <w:rPr>
          <w:sz w:val="22"/>
          <w:szCs w:val="22"/>
        </w:rPr>
        <w:t>(4), 673-690.</w:t>
      </w:r>
    </w:p>
    <w:p w14:paraId="125F9EF7" w14:textId="790C272F" w:rsidR="006D2DE7" w:rsidRDefault="00BE2A5E" w:rsidP="00E74CC2">
      <w:pPr>
        <w:tabs>
          <w:tab w:val="left" w:pos="426"/>
        </w:tabs>
        <w:spacing w:line="480" w:lineRule="auto"/>
        <w:rPr>
          <w:color w:val="000000"/>
          <w:lang w:eastAsia="x-none"/>
        </w:rPr>
      </w:pPr>
      <w:r>
        <w:rPr>
          <w:color w:val="000000"/>
          <w:lang w:eastAsia="x-none"/>
        </w:rPr>
        <w:tab/>
      </w:r>
      <w:r w:rsidR="001F6F71">
        <w:rPr>
          <w:color w:val="000000"/>
          <w:lang w:eastAsia="x-none"/>
        </w:rPr>
        <w:t xml:space="preserve"> </w:t>
      </w:r>
    </w:p>
    <w:p w14:paraId="1BD2BD32" w14:textId="77777777" w:rsidR="006D2DE7" w:rsidRDefault="006D2DE7" w:rsidP="00B5770A">
      <w:pPr>
        <w:spacing w:after="160" w:line="259" w:lineRule="auto"/>
        <w:rPr>
          <w:color w:val="000000"/>
          <w:lang w:eastAsia="x-none"/>
        </w:rPr>
        <w:sectPr w:rsidR="006D2DE7" w:rsidSect="00806AA5">
          <w:headerReference w:type="default" r:id="rId8"/>
          <w:footerReference w:type="default" r:id="rId9"/>
          <w:pgSz w:w="11906" w:h="16838"/>
          <w:pgMar w:top="1361" w:right="1361" w:bottom="1361" w:left="1361" w:header="709" w:footer="709" w:gutter="0"/>
          <w:cols w:space="708"/>
          <w:docGrid w:linePitch="360"/>
        </w:sectPr>
      </w:pPr>
      <w:bookmarkStart w:id="26" w:name="_Hlk48478401"/>
    </w:p>
    <w:p w14:paraId="1B14126B" w14:textId="56EBBB88" w:rsidR="00837407" w:rsidRDefault="00837407" w:rsidP="0046435D">
      <w:pPr>
        <w:spacing w:line="360" w:lineRule="auto"/>
        <w:rPr>
          <w:color w:val="000000"/>
          <w:lang w:eastAsia="x-none"/>
        </w:rPr>
      </w:pPr>
      <w:bookmarkStart w:id="27" w:name="_Hlk75805792"/>
      <w:r>
        <w:rPr>
          <w:color w:val="000000"/>
          <w:lang w:eastAsia="x-none"/>
        </w:rPr>
        <w:lastRenderedPageBreak/>
        <w:t>Tables and figures</w:t>
      </w:r>
    </w:p>
    <w:p w14:paraId="739AC814" w14:textId="768E335C" w:rsidR="00454C45" w:rsidRPr="005079C6" w:rsidRDefault="003F0AC6" w:rsidP="0046435D">
      <w:pPr>
        <w:spacing w:line="360" w:lineRule="auto"/>
        <w:rPr>
          <w:b/>
          <w:bCs/>
          <w:color w:val="000000"/>
          <w:lang w:eastAsia="x-none"/>
        </w:rPr>
      </w:pPr>
      <w:r w:rsidRPr="005079C6">
        <w:rPr>
          <w:b/>
          <w:bCs/>
          <w:color w:val="000000"/>
          <w:lang w:eastAsia="x-none"/>
        </w:rPr>
        <w:t xml:space="preserve">Table 1: </w:t>
      </w:r>
      <w:r w:rsidRPr="005079C6">
        <w:rPr>
          <w:b/>
          <w:bCs/>
        </w:rPr>
        <w:t>Descriptive statistics and correlation matrix</w:t>
      </w:r>
      <w:r w:rsidRPr="005079C6">
        <w:rPr>
          <w:b/>
          <w:bCs/>
          <w:color w:val="000000"/>
          <w:lang w:eastAsia="x-none"/>
        </w:rPr>
        <w:t xml:space="preserve"> </w:t>
      </w:r>
    </w:p>
    <w:tbl>
      <w:tblPr>
        <w:tblW w:w="4975" w:type="pct"/>
        <w:tblLook w:val="04A0" w:firstRow="1" w:lastRow="0" w:firstColumn="1" w:lastColumn="0" w:noHBand="0" w:noVBand="1"/>
      </w:tblPr>
      <w:tblGrid>
        <w:gridCol w:w="431"/>
        <w:gridCol w:w="2663"/>
        <w:gridCol w:w="603"/>
        <w:gridCol w:w="623"/>
        <w:gridCol w:w="600"/>
        <w:gridCol w:w="827"/>
        <w:gridCol w:w="603"/>
        <w:gridCol w:w="603"/>
        <w:gridCol w:w="603"/>
        <w:gridCol w:w="603"/>
        <w:gridCol w:w="603"/>
        <w:gridCol w:w="603"/>
        <w:gridCol w:w="603"/>
        <w:gridCol w:w="603"/>
        <w:gridCol w:w="603"/>
        <w:gridCol w:w="606"/>
        <w:gridCol w:w="606"/>
        <w:gridCol w:w="606"/>
        <w:gridCol w:w="606"/>
        <w:gridCol w:w="561"/>
      </w:tblGrid>
      <w:tr w:rsidR="00A94550" w:rsidRPr="00E95955" w14:paraId="203F4EBE" w14:textId="77777777" w:rsidTr="00A94550">
        <w:trPr>
          <w:trHeight w:val="271"/>
        </w:trPr>
        <w:tc>
          <w:tcPr>
            <w:tcW w:w="1092" w:type="pct"/>
            <w:gridSpan w:val="2"/>
            <w:tcBorders>
              <w:top w:val="single" w:sz="4" w:space="0" w:color="auto"/>
            </w:tcBorders>
            <w:shd w:val="clear" w:color="auto" w:fill="auto"/>
            <w:noWrap/>
            <w:tcMar>
              <w:left w:w="28" w:type="dxa"/>
              <w:right w:w="28" w:type="dxa"/>
            </w:tcMar>
            <w:vAlign w:val="center"/>
          </w:tcPr>
          <w:p w14:paraId="7F07589E" w14:textId="0C676B5B" w:rsidR="00A94550" w:rsidRPr="005079C6" w:rsidRDefault="00A94550" w:rsidP="00A94550">
            <w:pPr>
              <w:rPr>
                <w:b/>
                <w:bCs/>
                <w:sz w:val="20"/>
                <w:szCs w:val="20"/>
                <w:u w:val="single"/>
              </w:rPr>
            </w:pPr>
            <w:r w:rsidRPr="005079C6">
              <w:rPr>
                <w:b/>
                <w:bCs/>
                <w:u w:val="single"/>
              </w:rPr>
              <w:t>Stage 1</w:t>
            </w:r>
          </w:p>
        </w:tc>
        <w:tc>
          <w:tcPr>
            <w:tcW w:w="213" w:type="pct"/>
            <w:tcBorders>
              <w:top w:val="single" w:sz="4" w:space="0" w:color="auto"/>
            </w:tcBorders>
            <w:shd w:val="clear" w:color="auto" w:fill="auto"/>
            <w:noWrap/>
            <w:tcMar>
              <w:left w:w="28" w:type="dxa"/>
              <w:right w:w="28" w:type="dxa"/>
            </w:tcMar>
            <w:vAlign w:val="center"/>
          </w:tcPr>
          <w:p w14:paraId="57DFB45C" w14:textId="77777777" w:rsidR="00A94550" w:rsidRPr="00E95955" w:rsidRDefault="00A94550" w:rsidP="009737C3">
            <w:pPr>
              <w:rPr>
                <w:color w:val="000000"/>
                <w:sz w:val="20"/>
                <w:szCs w:val="20"/>
              </w:rPr>
            </w:pPr>
          </w:p>
        </w:tc>
        <w:tc>
          <w:tcPr>
            <w:tcW w:w="220" w:type="pct"/>
            <w:tcBorders>
              <w:top w:val="single" w:sz="4" w:space="0" w:color="auto"/>
            </w:tcBorders>
            <w:shd w:val="clear" w:color="auto" w:fill="auto"/>
            <w:noWrap/>
            <w:tcMar>
              <w:left w:w="28" w:type="dxa"/>
              <w:right w:w="28" w:type="dxa"/>
            </w:tcMar>
            <w:vAlign w:val="center"/>
          </w:tcPr>
          <w:p w14:paraId="3C171D24" w14:textId="77777777" w:rsidR="00A94550" w:rsidRPr="00E95955" w:rsidRDefault="00A94550" w:rsidP="009737C3">
            <w:pPr>
              <w:rPr>
                <w:color w:val="000000"/>
                <w:sz w:val="20"/>
                <w:szCs w:val="20"/>
              </w:rPr>
            </w:pPr>
          </w:p>
        </w:tc>
        <w:tc>
          <w:tcPr>
            <w:tcW w:w="212" w:type="pct"/>
            <w:tcBorders>
              <w:top w:val="single" w:sz="4" w:space="0" w:color="auto"/>
            </w:tcBorders>
            <w:shd w:val="clear" w:color="auto" w:fill="auto"/>
            <w:noWrap/>
            <w:tcMar>
              <w:left w:w="28" w:type="dxa"/>
              <w:right w:w="28" w:type="dxa"/>
            </w:tcMar>
            <w:vAlign w:val="center"/>
          </w:tcPr>
          <w:p w14:paraId="5DC5C13F" w14:textId="77777777" w:rsidR="00A94550" w:rsidRPr="00E95955" w:rsidRDefault="00A94550" w:rsidP="009737C3">
            <w:pPr>
              <w:rPr>
                <w:color w:val="000000"/>
                <w:sz w:val="20"/>
                <w:szCs w:val="20"/>
              </w:rPr>
            </w:pPr>
          </w:p>
        </w:tc>
        <w:tc>
          <w:tcPr>
            <w:tcW w:w="292" w:type="pct"/>
            <w:tcBorders>
              <w:top w:val="single" w:sz="4" w:space="0" w:color="auto"/>
            </w:tcBorders>
            <w:shd w:val="clear" w:color="auto" w:fill="auto"/>
            <w:noWrap/>
            <w:tcMar>
              <w:left w:w="28" w:type="dxa"/>
              <w:right w:w="28" w:type="dxa"/>
            </w:tcMar>
            <w:vAlign w:val="center"/>
          </w:tcPr>
          <w:p w14:paraId="06937F8F" w14:textId="77777777" w:rsidR="00A94550" w:rsidRPr="00E95955" w:rsidRDefault="00A94550" w:rsidP="009737C3">
            <w:pPr>
              <w:rPr>
                <w:color w:val="000000"/>
                <w:sz w:val="20"/>
                <w:szCs w:val="20"/>
              </w:rPr>
            </w:pPr>
          </w:p>
        </w:tc>
        <w:tc>
          <w:tcPr>
            <w:tcW w:w="2972" w:type="pct"/>
            <w:gridSpan w:val="14"/>
            <w:tcBorders>
              <w:top w:val="single" w:sz="4" w:space="0" w:color="auto"/>
              <w:bottom w:val="single" w:sz="4" w:space="0" w:color="auto"/>
            </w:tcBorders>
            <w:shd w:val="clear" w:color="auto" w:fill="auto"/>
            <w:noWrap/>
            <w:tcMar>
              <w:left w:w="28" w:type="dxa"/>
              <w:right w:w="28" w:type="dxa"/>
            </w:tcMar>
            <w:vAlign w:val="center"/>
          </w:tcPr>
          <w:p w14:paraId="5D805B66" w14:textId="2CB6F314" w:rsidR="00A94550" w:rsidRPr="00E95955" w:rsidRDefault="00A94550" w:rsidP="009737C3">
            <w:pPr>
              <w:jc w:val="center"/>
              <w:rPr>
                <w:color w:val="000000"/>
                <w:sz w:val="20"/>
                <w:szCs w:val="20"/>
              </w:rPr>
            </w:pPr>
            <w:r w:rsidRPr="00E95955">
              <w:rPr>
                <w:color w:val="000000"/>
                <w:sz w:val="20"/>
                <w:szCs w:val="20"/>
              </w:rPr>
              <w:t>Correlation coefficients</w:t>
            </w:r>
          </w:p>
        </w:tc>
      </w:tr>
      <w:tr w:rsidR="00A94550" w:rsidRPr="00E95955" w14:paraId="70204134" w14:textId="77777777" w:rsidTr="00A94550">
        <w:trPr>
          <w:trHeight w:val="271"/>
        </w:trPr>
        <w:tc>
          <w:tcPr>
            <w:tcW w:w="1092" w:type="pct"/>
            <w:gridSpan w:val="2"/>
            <w:tcBorders>
              <w:bottom w:val="single" w:sz="4" w:space="0" w:color="auto"/>
            </w:tcBorders>
            <w:shd w:val="clear" w:color="auto" w:fill="auto"/>
            <w:noWrap/>
            <w:tcMar>
              <w:left w:w="28" w:type="dxa"/>
              <w:right w:w="28" w:type="dxa"/>
            </w:tcMar>
            <w:vAlign w:val="center"/>
            <w:hideMark/>
          </w:tcPr>
          <w:p w14:paraId="13B5E874" w14:textId="6556CB57" w:rsidR="009737C3" w:rsidRPr="009737C3" w:rsidRDefault="009737C3" w:rsidP="009737C3">
            <w:pPr>
              <w:rPr>
                <w:sz w:val="20"/>
                <w:szCs w:val="20"/>
              </w:rPr>
            </w:pPr>
            <w:r w:rsidRPr="00E95955">
              <w:rPr>
                <w:sz w:val="20"/>
                <w:szCs w:val="20"/>
              </w:rPr>
              <w:t>Variable</w:t>
            </w:r>
          </w:p>
        </w:tc>
        <w:tc>
          <w:tcPr>
            <w:tcW w:w="213" w:type="pct"/>
            <w:tcBorders>
              <w:bottom w:val="single" w:sz="4" w:space="0" w:color="auto"/>
            </w:tcBorders>
            <w:shd w:val="clear" w:color="auto" w:fill="auto"/>
            <w:noWrap/>
            <w:tcMar>
              <w:left w:w="28" w:type="dxa"/>
              <w:right w:w="28" w:type="dxa"/>
            </w:tcMar>
            <w:vAlign w:val="center"/>
            <w:hideMark/>
          </w:tcPr>
          <w:p w14:paraId="44A3785E" w14:textId="77777777" w:rsidR="009737C3" w:rsidRPr="009737C3" w:rsidRDefault="009737C3" w:rsidP="009737C3">
            <w:pPr>
              <w:rPr>
                <w:color w:val="000000"/>
                <w:sz w:val="20"/>
                <w:szCs w:val="20"/>
              </w:rPr>
            </w:pPr>
            <w:r w:rsidRPr="009737C3">
              <w:rPr>
                <w:color w:val="000000"/>
                <w:sz w:val="20"/>
                <w:szCs w:val="20"/>
              </w:rPr>
              <w:t>Mean</w:t>
            </w:r>
          </w:p>
        </w:tc>
        <w:tc>
          <w:tcPr>
            <w:tcW w:w="220" w:type="pct"/>
            <w:tcBorders>
              <w:bottom w:val="single" w:sz="4" w:space="0" w:color="auto"/>
            </w:tcBorders>
            <w:shd w:val="clear" w:color="auto" w:fill="auto"/>
            <w:noWrap/>
            <w:tcMar>
              <w:left w:w="28" w:type="dxa"/>
              <w:right w:w="28" w:type="dxa"/>
            </w:tcMar>
            <w:vAlign w:val="center"/>
            <w:hideMark/>
          </w:tcPr>
          <w:p w14:paraId="4E4D79E7" w14:textId="77777777" w:rsidR="009737C3" w:rsidRPr="009737C3" w:rsidRDefault="009737C3" w:rsidP="009737C3">
            <w:pPr>
              <w:rPr>
                <w:color w:val="000000"/>
                <w:sz w:val="20"/>
                <w:szCs w:val="20"/>
              </w:rPr>
            </w:pPr>
            <w:r w:rsidRPr="009737C3">
              <w:rPr>
                <w:color w:val="000000"/>
                <w:sz w:val="20"/>
                <w:szCs w:val="20"/>
              </w:rPr>
              <w:t>S.D.</w:t>
            </w:r>
          </w:p>
        </w:tc>
        <w:tc>
          <w:tcPr>
            <w:tcW w:w="212" w:type="pct"/>
            <w:tcBorders>
              <w:bottom w:val="single" w:sz="4" w:space="0" w:color="auto"/>
            </w:tcBorders>
            <w:shd w:val="clear" w:color="auto" w:fill="auto"/>
            <w:noWrap/>
            <w:tcMar>
              <w:left w:w="28" w:type="dxa"/>
              <w:right w:w="28" w:type="dxa"/>
            </w:tcMar>
            <w:vAlign w:val="center"/>
            <w:hideMark/>
          </w:tcPr>
          <w:p w14:paraId="0D4A5EE6" w14:textId="77777777" w:rsidR="009737C3" w:rsidRPr="009737C3" w:rsidRDefault="009737C3" w:rsidP="009737C3">
            <w:pPr>
              <w:rPr>
                <w:color w:val="000000"/>
                <w:sz w:val="20"/>
                <w:szCs w:val="20"/>
              </w:rPr>
            </w:pPr>
            <w:r w:rsidRPr="009737C3">
              <w:rPr>
                <w:color w:val="000000"/>
                <w:sz w:val="20"/>
                <w:szCs w:val="20"/>
              </w:rPr>
              <w:t>Min</w:t>
            </w:r>
          </w:p>
        </w:tc>
        <w:tc>
          <w:tcPr>
            <w:tcW w:w="292" w:type="pct"/>
            <w:tcBorders>
              <w:bottom w:val="single" w:sz="4" w:space="0" w:color="auto"/>
            </w:tcBorders>
            <w:shd w:val="clear" w:color="auto" w:fill="auto"/>
            <w:noWrap/>
            <w:tcMar>
              <w:left w:w="28" w:type="dxa"/>
              <w:right w:w="28" w:type="dxa"/>
            </w:tcMar>
            <w:vAlign w:val="center"/>
            <w:hideMark/>
          </w:tcPr>
          <w:p w14:paraId="79275812" w14:textId="77777777" w:rsidR="009737C3" w:rsidRPr="009737C3" w:rsidRDefault="009737C3" w:rsidP="009737C3">
            <w:pPr>
              <w:rPr>
                <w:color w:val="000000"/>
                <w:sz w:val="20"/>
                <w:szCs w:val="20"/>
              </w:rPr>
            </w:pPr>
            <w:r w:rsidRPr="009737C3">
              <w:rPr>
                <w:color w:val="000000"/>
                <w:sz w:val="20"/>
                <w:szCs w:val="20"/>
              </w:rPr>
              <w:t>Max</w:t>
            </w:r>
          </w:p>
        </w:tc>
        <w:tc>
          <w:tcPr>
            <w:tcW w:w="213" w:type="pct"/>
            <w:tcBorders>
              <w:top w:val="single" w:sz="4" w:space="0" w:color="auto"/>
              <w:bottom w:val="single" w:sz="4" w:space="0" w:color="auto"/>
            </w:tcBorders>
            <w:shd w:val="clear" w:color="auto" w:fill="auto"/>
            <w:noWrap/>
            <w:tcMar>
              <w:left w:w="28" w:type="dxa"/>
              <w:right w:w="28" w:type="dxa"/>
            </w:tcMar>
            <w:vAlign w:val="center"/>
            <w:hideMark/>
          </w:tcPr>
          <w:p w14:paraId="756AA56B" w14:textId="77777777" w:rsidR="009737C3" w:rsidRPr="009737C3" w:rsidRDefault="009737C3" w:rsidP="009737C3">
            <w:pPr>
              <w:jc w:val="right"/>
              <w:rPr>
                <w:color w:val="000000"/>
                <w:sz w:val="20"/>
                <w:szCs w:val="20"/>
              </w:rPr>
            </w:pPr>
            <w:r w:rsidRPr="009737C3">
              <w:rPr>
                <w:color w:val="000000"/>
                <w:sz w:val="20"/>
                <w:szCs w:val="20"/>
              </w:rPr>
              <w:t>1</w:t>
            </w:r>
          </w:p>
        </w:tc>
        <w:tc>
          <w:tcPr>
            <w:tcW w:w="213" w:type="pct"/>
            <w:tcBorders>
              <w:top w:val="single" w:sz="4" w:space="0" w:color="auto"/>
              <w:bottom w:val="single" w:sz="4" w:space="0" w:color="auto"/>
            </w:tcBorders>
            <w:shd w:val="clear" w:color="auto" w:fill="auto"/>
            <w:noWrap/>
            <w:tcMar>
              <w:left w:w="28" w:type="dxa"/>
              <w:right w:w="28" w:type="dxa"/>
            </w:tcMar>
            <w:vAlign w:val="center"/>
            <w:hideMark/>
          </w:tcPr>
          <w:p w14:paraId="1758F5E1" w14:textId="77777777" w:rsidR="009737C3" w:rsidRPr="009737C3" w:rsidRDefault="009737C3" w:rsidP="009737C3">
            <w:pPr>
              <w:jc w:val="right"/>
              <w:rPr>
                <w:color w:val="000000"/>
                <w:sz w:val="20"/>
                <w:szCs w:val="20"/>
              </w:rPr>
            </w:pPr>
            <w:r w:rsidRPr="009737C3">
              <w:rPr>
                <w:color w:val="000000"/>
                <w:sz w:val="20"/>
                <w:szCs w:val="20"/>
              </w:rPr>
              <w:t>2</w:t>
            </w:r>
          </w:p>
        </w:tc>
        <w:tc>
          <w:tcPr>
            <w:tcW w:w="213" w:type="pct"/>
            <w:tcBorders>
              <w:top w:val="single" w:sz="4" w:space="0" w:color="auto"/>
              <w:bottom w:val="single" w:sz="4" w:space="0" w:color="auto"/>
            </w:tcBorders>
            <w:shd w:val="clear" w:color="auto" w:fill="auto"/>
            <w:noWrap/>
            <w:tcMar>
              <w:left w:w="28" w:type="dxa"/>
              <w:right w:w="28" w:type="dxa"/>
            </w:tcMar>
            <w:vAlign w:val="center"/>
            <w:hideMark/>
          </w:tcPr>
          <w:p w14:paraId="4ADD83E4" w14:textId="77777777" w:rsidR="009737C3" w:rsidRPr="009737C3" w:rsidRDefault="009737C3" w:rsidP="009737C3">
            <w:pPr>
              <w:jc w:val="right"/>
              <w:rPr>
                <w:color w:val="000000"/>
                <w:sz w:val="20"/>
                <w:szCs w:val="20"/>
              </w:rPr>
            </w:pPr>
            <w:r w:rsidRPr="009737C3">
              <w:rPr>
                <w:color w:val="000000"/>
                <w:sz w:val="20"/>
                <w:szCs w:val="20"/>
              </w:rPr>
              <w:t>3</w:t>
            </w:r>
          </w:p>
        </w:tc>
        <w:tc>
          <w:tcPr>
            <w:tcW w:w="213" w:type="pct"/>
            <w:tcBorders>
              <w:top w:val="single" w:sz="4" w:space="0" w:color="auto"/>
              <w:bottom w:val="single" w:sz="4" w:space="0" w:color="auto"/>
            </w:tcBorders>
            <w:shd w:val="clear" w:color="auto" w:fill="auto"/>
            <w:noWrap/>
            <w:tcMar>
              <w:left w:w="28" w:type="dxa"/>
              <w:right w:w="28" w:type="dxa"/>
            </w:tcMar>
            <w:vAlign w:val="center"/>
            <w:hideMark/>
          </w:tcPr>
          <w:p w14:paraId="2F19A2C9" w14:textId="77777777" w:rsidR="009737C3" w:rsidRPr="009737C3" w:rsidRDefault="009737C3" w:rsidP="009737C3">
            <w:pPr>
              <w:jc w:val="right"/>
              <w:rPr>
                <w:color w:val="000000"/>
                <w:sz w:val="20"/>
                <w:szCs w:val="20"/>
              </w:rPr>
            </w:pPr>
            <w:r w:rsidRPr="009737C3">
              <w:rPr>
                <w:color w:val="000000"/>
                <w:sz w:val="20"/>
                <w:szCs w:val="20"/>
              </w:rPr>
              <w:t>4</w:t>
            </w:r>
          </w:p>
        </w:tc>
        <w:tc>
          <w:tcPr>
            <w:tcW w:w="213" w:type="pct"/>
            <w:tcBorders>
              <w:top w:val="single" w:sz="4" w:space="0" w:color="auto"/>
              <w:bottom w:val="single" w:sz="4" w:space="0" w:color="auto"/>
            </w:tcBorders>
            <w:shd w:val="clear" w:color="auto" w:fill="auto"/>
            <w:noWrap/>
            <w:tcMar>
              <w:left w:w="28" w:type="dxa"/>
              <w:right w:w="28" w:type="dxa"/>
            </w:tcMar>
            <w:vAlign w:val="center"/>
            <w:hideMark/>
          </w:tcPr>
          <w:p w14:paraId="0586D483" w14:textId="77777777" w:rsidR="009737C3" w:rsidRPr="009737C3" w:rsidRDefault="009737C3" w:rsidP="009737C3">
            <w:pPr>
              <w:jc w:val="right"/>
              <w:rPr>
                <w:color w:val="000000"/>
                <w:sz w:val="20"/>
                <w:szCs w:val="20"/>
              </w:rPr>
            </w:pPr>
            <w:r w:rsidRPr="009737C3">
              <w:rPr>
                <w:color w:val="000000"/>
                <w:sz w:val="20"/>
                <w:szCs w:val="20"/>
              </w:rPr>
              <w:t>5</w:t>
            </w:r>
          </w:p>
        </w:tc>
        <w:tc>
          <w:tcPr>
            <w:tcW w:w="213" w:type="pct"/>
            <w:tcBorders>
              <w:top w:val="single" w:sz="4" w:space="0" w:color="auto"/>
              <w:bottom w:val="single" w:sz="4" w:space="0" w:color="auto"/>
            </w:tcBorders>
            <w:shd w:val="clear" w:color="auto" w:fill="auto"/>
            <w:noWrap/>
            <w:tcMar>
              <w:left w:w="28" w:type="dxa"/>
              <w:right w:w="28" w:type="dxa"/>
            </w:tcMar>
            <w:vAlign w:val="center"/>
            <w:hideMark/>
          </w:tcPr>
          <w:p w14:paraId="209350C0" w14:textId="77777777" w:rsidR="009737C3" w:rsidRPr="009737C3" w:rsidRDefault="009737C3" w:rsidP="009737C3">
            <w:pPr>
              <w:jc w:val="right"/>
              <w:rPr>
                <w:color w:val="000000"/>
                <w:sz w:val="20"/>
                <w:szCs w:val="20"/>
              </w:rPr>
            </w:pPr>
            <w:r w:rsidRPr="009737C3">
              <w:rPr>
                <w:color w:val="000000"/>
                <w:sz w:val="20"/>
                <w:szCs w:val="20"/>
              </w:rPr>
              <w:t>6</w:t>
            </w:r>
          </w:p>
        </w:tc>
        <w:tc>
          <w:tcPr>
            <w:tcW w:w="213" w:type="pct"/>
            <w:tcBorders>
              <w:top w:val="single" w:sz="4" w:space="0" w:color="auto"/>
              <w:bottom w:val="single" w:sz="4" w:space="0" w:color="auto"/>
            </w:tcBorders>
            <w:shd w:val="clear" w:color="auto" w:fill="auto"/>
            <w:noWrap/>
            <w:tcMar>
              <w:left w:w="28" w:type="dxa"/>
              <w:right w:w="28" w:type="dxa"/>
            </w:tcMar>
            <w:vAlign w:val="center"/>
            <w:hideMark/>
          </w:tcPr>
          <w:p w14:paraId="4E8DA134" w14:textId="77777777" w:rsidR="009737C3" w:rsidRPr="009737C3" w:rsidRDefault="009737C3" w:rsidP="009737C3">
            <w:pPr>
              <w:jc w:val="right"/>
              <w:rPr>
                <w:color w:val="000000"/>
                <w:sz w:val="20"/>
                <w:szCs w:val="20"/>
              </w:rPr>
            </w:pPr>
            <w:r w:rsidRPr="009737C3">
              <w:rPr>
                <w:color w:val="000000"/>
                <w:sz w:val="20"/>
                <w:szCs w:val="20"/>
              </w:rPr>
              <w:t>7</w:t>
            </w:r>
          </w:p>
        </w:tc>
        <w:tc>
          <w:tcPr>
            <w:tcW w:w="213" w:type="pct"/>
            <w:tcBorders>
              <w:top w:val="single" w:sz="4" w:space="0" w:color="auto"/>
              <w:bottom w:val="single" w:sz="4" w:space="0" w:color="auto"/>
            </w:tcBorders>
            <w:shd w:val="clear" w:color="auto" w:fill="auto"/>
            <w:noWrap/>
            <w:tcMar>
              <w:left w:w="28" w:type="dxa"/>
              <w:right w:w="28" w:type="dxa"/>
            </w:tcMar>
            <w:vAlign w:val="center"/>
            <w:hideMark/>
          </w:tcPr>
          <w:p w14:paraId="2A6E1E5C" w14:textId="77777777" w:rsidR="009737C3" w:rsidRPr="009737C3" w:rsidRDefault="009737C3" w:rsidP="009737C3">
            <w:pPr>
              <w:jc w:val="right"/>
              <w:rPr>
                <w:color w:val="000000"/>
                <w:sz w:val="20"/>
                <w:szCs w:val="20"/>
              </w:rPr>
            </w:pPr>
            <w:r w:rsidRPr="009737C3">
              <w:rPr>
                <w:color w:val="000000"/>
                <w:sz w:val="20"/>
                <w:szCs w:val="20"/>
              </w:rPr>
              <w:t>8</w:t>
            </w:r>
          </w:p>
        </w:tc>
        <w:tc>
          <w:tcPr>
            <w:tcW w:w="213" w:type="pct"/>
            <w:tcBorders>
              <w:top w:val="single" w:sz="4" w:space="0" w:color="auto"/>
              <w:bottom w:val="single" w:sz="4" w:space="0" w:color="auto"/>
            </w:tcBorders>
            <w:shd w:val="clear" w:color="auto" w:fill="auto"/>
            <w:noWrap/>
            <w:tcMar>
              <w:left w:w="28" w:type="dxa"/>
              <w:right w:w="28" w:type="dxa"/>
            </w:tcMar>
            <w:vAlign w:val="center"/>
            <w:hideMark/>
          </w:tcPr>
          <w:p w14:paraId="5D8F7A6C" w14:textId="77777777" w:rsidR="009737C3" w:rsidRPr="009737C3" w:rsidRDefault="009737C3" w:rsidP="009737C3">
            <w:pPr>
              <w:jc w:val="right"/>
              <w:rPr>
                <w:color w:val="000000"/>
                <w:sz w:val="20"/>
                <w:szCs w:val="20"/>
              </w:rPr>
            </w:pPr>
            <w:r w:rsidRPr="009737C3">
              <w:rPr>
                <w:color w:val="000000"/>
                <w:sz w:val="20"/>
                <w:szCs w:val="20"/>
              </w:rPr>
              <w:t>9</w:t>
            </w:r>
          </w:p>
        </w:tc>
        <w:tc>
          <w:tcPr>
            <w:tcW w:w="214" w:type="pct"/>
            <w:tcBorders>
              <w:top w:val="single" w:sz="4" w:space="0" w:color="auto"/>
              <w:bottom w:val="single" w:sz="4" w:space="0" w:color="auto"/>
            </w:tcBorders>
            <w:shd w:val="clear" w:color="auto" w:fill="auto"/>
            <w:noWrap/>
            <w:tcMar>
              <w:left w:w="28" w:type="dxa"/>
              <w:right w:w="28" w:type="dxa"/>
            </w:tcMar>
            <w:vAlign w:val="center"/>
            <w:hideMark/>
          </w:tcPr>
          <w:p w14:paraId="64587A9E" w14:textId="77777777" w:rsidR="009737C3" w:rsidRPr="009737C3" w:rsidRDefault="009737C3" w:rsidP="009737C3">
            <w:pPr>
              <w:jc w:val="right"/>
              <w:rPr>
                <w:color w:val="000000"/>
                <w:sz w:val="20"/>
                <w:szCs w:val="20"/>
              </w:rPr>
            </w:pPr>
            <w:r w:rsidRPr="009737C3">
              <w:rPr>
                <w:color w:val="000000"/>
                <w:sz w:val="20"/>
                <w:szCs w:val="20"/>
              </w:rPr>
              <w:t>10</w:t>
            </w:r>
          </w:p>
        </w:tc>
        <w:tc>
          <w:tcPr>
            <w:tcW w:w="214" w:type="pct"/>
            <w:tcBorders>
              <w:top w:val="single" w:sz="4" w:space="0" w:color="auto"/>
              <w:bottom w:val="single" w:sz="4" w:space="0" w:color="auto"/>
            </w:tcBorders>
            <w:shd w:val="clear" w:color="auto" w:fill="auto"/>
            <w:noWrap/>
            <w:tcMar>
              <w:left w:w="28" w:type="dxa"/>
              <w:right w:w="28" w:type="dxa"/>
            </w:tcMar>
            <w:vAlign w:val="center"/>
            <w:hideMark/>
          </w:tcPr>
          <w:p w14:paraId="3164E321" w14:textId="77777777" w:rsidR="009737C3" w:rsidRPr="009737C3" w:rsidRDefault="009737C3" w:rsidP="009737C3">
            <w:pPr>
              <w:jc w:val="right"/>
              <w:rPr>
                <w:color w:val="000000"/>
                <w:sz w:val="20"/>
                <w:szCs w:val="20"/>
              </w:rPr>
            </w:pPr>
            <w:r w:rsidRPr="009737C3">
              <w:rPr>
                <w:color w:val="000000"/>
                <w:sz w:val="20"/>
                <w:szCs w:val="20"/>
              </w:rPr>
              <w:t>11</w:t>
            </w:r>
          </w:p>
        </w:tc>
        <w:tc>
          <w:tcPr>
            <w:tcW w:w="214" w:type="pct"/>
            <w:tcBorders>
              <w:top w:val="single" w:sz="4" w:space="0" w:color="auto"/>
              <w:bottom w:val="single" w:sz="4" w:space="0" w:color="auto"/>
            </w:tcBorders>
            <w:shd w:val="clear" w:color="auto" w:fill="auto"/>
            <w:noWrap/>
            <w:tcMar>
              <w:left w:w="28" w:type="dxa"/>
              <w:right w:w="28" w:type="dxa"/>
            </w:tcMar>
            <w:vAlign w:val="center"/>
            <w:hideMark/>
          </w:tcPr>
          <w:p w14:paraId="066A39C4" w14:textId="77777777" w:rsidR="009737C3" w:rsidRPr="009737C3" w:rsidRDefault="009737C3" w:rsidP="009737C3">
            <w:pPr>
              <w:jc w:val="right"/>
              <w:rPr>
                <w:color w:val="000000"/>
                <w:sz w:val="20"/>
                <w:szCs w:val="20"/>
              </w:rPr>
            </w:pPr>
            <w:r w:rsidRPr="009737C3">
              <w:rPr>
                <w:color w:val="000000"/>
                <w:sz w:val="20"/>
                <w:szCs w:val="20"/>
              </w:rPr>
              <w:t>12</w:t>
            </w:r>
          </w:p>
        </w:tc>
        <w:tc>
          <w:tcPr>
            <w:tcW w:w="214" w:type="pct"/>
            <w:tcBorders>
              <w:top w:val="single" w:sz="4" w:space="0" w:color="auto"/>
              <w:bottom w:val="single" w:sz="4" w:space="0" w:color="auto"/>
            </w:tcBorders>
            <w:shd w:val="clear" w:color="auto" w:fill="auto"/>
            <w:noWrap/>
            <w:tcMar>
              <w:left w:w="28" w:type="dxa"/>
              <w:right w:w="28" w:type="dxa"/>
            </w:tcMar>
            <w:vAlign w:val="center"/>
            <w:hideMark/>
          </w:tcPr>
          <w:p w14:paraId="3436C056" w14:textId="77777777" w:rsidR="009737C3" w:rsidRPr="009737C3" w:rsidRDefault="009737C3" w:rsidP="009737C3">
            <w:pPr>
              <w:jc w:val="right"/>
              <w:rPr>
                <w:color w:val="000000"/>
                <w:sz w:val="20"/>
                <w:szCs w:val="20"/>
              </w:rPr>
            </w:pPr>
            <w:r w:rsidRPr="009737C3">
              <w:rPr>
                <w:color w:val="000000"/>
                <w:sz w:val="20"/>
                <w:szCs w:val="20"/>
              </w:rPr>
              <w:t>13</w:t>
            </w:r>
          </w:p>
        </w:tc>
        <w:tc>
          <w:tcPr>
            <w:tcW w:w="199" w:type="pct"/>
            <w:tcBorders>
              <w:top w:val="single" w:sz="4" w:space="0" w:color="auto"/>
              <w:bottom w:val="single" w:sz="4" w:space="0" w:color="auto"/>
            </w:tcBorders>
            <w:shd w:val="clear" w:color="auto" w:fill="auto"/>
            <w:noWrap/>
            <w:tcMar>
              <w:left w:w="28" w:type="dxa"/>
              <w:right w:w="28" w:type="dxa"/>
            </w:tcMar>
            <w:vAlign w:val="center"/>
            <w:hideMark/>
          </w:tcPr>
          <w:p w14:paraId="337D7C8F" w14:textId="77777777" w:rsidR="009737C3" w:rsidRPr="009737C3" w:rsidRDefault="009737C3" w:rsidP="009737C3">
            <w:pPr>
              <w:jc w:val="right"/>
              <w:rPr>
                <w:color w:val="000000"/>
                <w:sz w:val="20"/>
                <w:szCs w:val="20"/>
              </w:rPr>
            </w:pPr>
            <w:r w:rsidRPr="009737C3">
              <w:rPr>
                <w:color w:val="000000"/>
                <w:sz w:val="20"/>
                <w:szCs w:val="20"/>
              </w:rPr>
              <w:t>14</w:t>
            </w:r>
          </w:p>
        </w:tc>
      </w:tr>
      <w:tr w:rsidR="00A94550" w:rsidRPr="00E95955" w14:paraId="7EC38C4F" w14:textId="77777777" w:rsidTr="00A94550">
        <w:trPr>
          <w:trHeight w:val="260"/>
        </w:trPr>
        <w:tc>
          <w:tcPr>
            <w:tcW w:w="152" w:type="pct"/>
            <w:tcBorders>
              <w:top w:val="single" w:sz="4" w:space="0" w:color="auto"/>
            </w:tcBorders>
            <w:shd w:val="clear" w:color="auto" w:fill="auto"/>
            <w:noWrap/>
            <w:tcMar>
              <w:left w:w="28" w:type="dxa"/>
              <w:right w:w="28" w:type="dxa"/>
            </w:tcMar>
            <w:vAlign w:val="center"/>
            <w:hideMark/>
          </w:tcPr>
          <w:p w14:paraId="20725E21" w14:textId="77777777" w:rsidR="009737C3" w:rsidRPr="009737C3" w:rsidRDefault="009737C3" w:rsidP="009737C3">
            <w:pPr>
              <w:jc w:val="right"/>
              <w:rPr>
                <w:color w:val="000000"/>
                <w:sz w:val="20"/>
                <w:szCs w:val="20"/>
              </w:rPr>
            </w:pPr>
            <w:r w:rsidRPr="009737C3">
              <w:rPr>
                <w:color w:val="000000"/>
                <w:sz w:val="20"/>
                <w:szCs w:val="20"/>
              </w:rPr>
              <w:t>1</w:t>
            </w:r>
          </w:p>
        </w:tc>
        <w:tc>
          <w:tcPr>
            <w:tcW w:w="940" w:type="pct"/>
            <w:tcBorders>
              <w:top w:val="single" w:sz="4" w:space="0" w:color="auto"/>
            </w:tcBorders>
            <w:shd w:val="clear" w:color="auto" w:fill="auto"/>
            <w:noWrap/>
            <w:tcMar>
              <w:left w:w="28" w:type="dxa"/>
              <w:right w:w="28" w:type="dxa"/>
            </w:tcMar>
            <w:vAlign w:val="center"/>
            <w:hideMark/>
          </w:tcPr>
          <w:p w14:paraId="5E91E3BD" w14:textId="77777777" w:rsidR="009737C3" w:rsidRPr="009737C3" w:rsidRDefault="009737C3" w:rsidP="009737C3">
            <w:pPr>
              <w:rPr>
                <w:color w:val="000000"/>
                <w:sz w:val="20"/>
                <w:szCs w:val="20"/>
              </w:rPr>
            </w:pPr>
            <w:r w:rsidRPr="009737C3">
              <w:rPr>
                <w:color w:val="000000"/>
                <w:sz w:val="20"/>
                <w:szCs w:val="20"/>
              </w:rPr>
              <w:t>Reentry</w:t>
            </w:r>
          </w:p>
        </w:tc>
        <w:tc>
          <w:tcPr>
            <w:tcW w:w="213" w:type="pct"/>
            <w:tcBorders>
              <w:top w:val="single" w:sz="4" w:space="0" w:color="auto"/>
            </w:tcBorders>
            <w:shd w:val="clear" w:color="auto" w:fill="auto"/>
            <w:noWrap/>
            <w:tcMar>
              <w:left w:w="28" w:type="dxa"/>
              <w:right w:w="28" w:type="dxa"/>
            </w:tcMar>
            <w:vAlign w:val="center"/>
            <w:hideMark/>
          </w:tcPr>
          <w:p w14:paraId="1DDABC01" w14:textId="77777777" w:rsidR="009737C3" w:rsidRPr="009737C3" w:rsidRDefault="009737C3" w:rsidP="009737C3">
            <w:pPr>
              <w:jc w:val="right"/>
              <w:rPr>
                <w:color w:val="000000"/>
                <w:sz w:val="20"/>
                <w:szCs w:val="20"/>
              </w:rPr>
            </w:pPr>
            <w:r w:rsidRPr="009737C3">
              <w:rPr>
                <w:color w:val="000000"/>
                <w:sz w:val="20"/>
                <w:szCs w:val="20"/>
              </w:rPr>
              <w:t>0.18</w:t>
            </w:r>
          </w:p>
        </w:tc>
        <w:tc>
          <w:tcPr>
            <w:tcW w:w="220" w:type="pct"/>
            <w:tcBorders>
              <w:top w:val="single" w:sz="4" w:space="0" w:color="auto"/>
            </w:tcBorders>
            <w:shd w:val="clear" w:color="auto" w:fill="auto"/>
            <w:noWrap/>
            <w:tcMar>
              <w:left w:w="28" w:type="dxa"/>
              <w:right w:w="28" w:type="dxa"/>
            </w:tcMar>
            <w:vAlign w:val="center"/>
            <w:hideMark/>
          </w:tcPr>
          <w:p w14:paraId="6B6B2CE1" w14:textId="77777777" w:rsidR="009737C3" w:rsidRPr="009737C3" w:rsidRDefault="009737C3" w:rsidP="009737C3">
            <w:pPr>
              <w:jc w:val="right"/>
              <w:rPr>
                <w:color w:val="000000"/>
                <w:sz w:val="20"/>
                <w:szCs w:val="20"/>
              </w:rPr>
            </w:pPr>
            <w:r w:rsidRPr="009737C3">
              <w:rPr>
                <w:color w:val="000000"/>
                <w:sz w:val="20"/>
                <w:szCs w:val="20"/>
              </w:rPr>
              <w:t>0.39</w:t>
            </w:r>
          </w:p>
        </w:tc>
        <w:tc>
          <w:tcPr>
            <w:tcW w:w="212" w:type="pct"/>
            <w:tcBorders>
              <w:top w:val="single" w:sz="4" w:space="0" w:color="auto"/>
            </w:tcBorders>
            <w:shd w:val="clear" w:color="auto" w:fill="auto"/>
            <w:noWrap/>
            <w:tcMar>
              <w:left w:w="28" w:type="dxa"/>
              <w:right w:w="28" w:type="dxa"/>
            </w:tcMar>
            <w:vAlign w:val="center"/>
            <w:hideMark/>
          </w:tcPr>
          <w:p w14:paraId="09A5AEA0" w14:textId="77777777" w:rsidR="009737C3" w:rsidRPr="009737C3" w:rsidRDefault="009737C3" w:rsidP="009737C3">
            <w:pPr>
              <w:jc w:val="right"/>
              <w:rPr>
                <w:color w:val="000000"/>
                <w:sz w:val="20"/>
                <w:szCs w:val="20"/>
              </w:rPr>
            </w:pPr>
            <w:r w:rsidRPr="009737C3">
              <w:rPr>
                <w:color w:val="000000"/>
                <w:sz w:val="20"/>
                <w:szCs w:val="20"/>
              </w:rPr>
              <w:t>0</w:t>
            </w:r>
          </w:p>
        </w:tc>
        <w:tc>
          <w:tcPr>
            <w:tcW w:w="292" w:type="pct"/>
            <w:tcBorders>
              <w:top w:val="single" w:sz="4" w:space="0" w:color="auto"/>
            </w:tcBorders>
            <w:shd w:val="clear" w:color="auto" w:fill="auto"/>
            <w:noWrap/>
            <w:tcMar>
              <w:left w:w="28" w:type="dxa"/>
              <w:right w:w="28" w:type="dxa"/>
            </w:tcMar>
            <w:vAlign w:val="center"/>
            <w:hideMark/>
          </w:tcPr>
          <w:p w14:paraId="3428DF68" w14:textId="77777777" w:rsidR="009737C3" w:rsidRPr="009737C3" w:rsidRDefault="009737C3" w:rsidP="009737C3">
            <w:pPr>
              <w:jc w:val="right"/>
              <w:rPr>
                <w:color w:val="000000"/>
                <w:sz w:val="20"/>
                <w:szCs w:val="20"/>
              </w:rPr>
            </w:pPr>
            <w:r w:rsidRPr="009737C3">
              <w:rPr>
                <w:color w:val="000000"/>
                <w:sz w:val="20"/>
                <w:szCs w:val="20"/>
              </w:rPr>
              <w:t>1</w:t>
            </w:r>
          </w:p>
        </w:tc>
        <w:tc>
          <w:tcPr>
            <w:tcW w:w="213" w:type="pct"/>
            <w:tcBorders>
              <w:top w:val="single" w:sz="4" w:space="0" w:color="auto"/>
            </w:tcBorders>
            <w:shd w:val="clear" w:color="auto" w:fill="auto"/>
            <w:noWrap/>
            <w:tcMar>
              <w:left w:w="28" w:type="dxa"/>
              <w:right w:w="28" w:type="dxa"/>
            </w:tcMar>
            <w:vAlign w:val="center"/>
            <w:hideMark/>
          </w:tcPr>
          <w:p w14:paraId="1F0F63DD" w14:textId="77777777" w:rsidR="009737C3" w:rsidRPr="009737C3" w:rsidRDefault="009737C3" w:rsidP="009737C3">
            <w:pPr>
              <w:jc w:val="right"/>
              <w:rPr>
                <w:color w:val="000000"/>
                <w:sz w:val="20"/>
                <w:szCs w:val="20"/>
              </w:rPr>
            </w:pPr>
          </w:p>
        </w:tc>
        <w:tc>
          <w:tcPr>
            <w:tcW w:w="213" w:type="pct"/>
            <w:tcBorders>
              <w:top w:val="single" w:sz="4" w:space="0" w:color="auto"/>
            </w:tcBorders>
            <w:shd w:val="clear" w:color="auto" w:fill="auto"/>
            <w:noWrap/>
            <w:tcMar>
              <w:left w:w="28" w:type="dxa"/>
              <w:right w:w="28" w:type="dxa"/>
            </w:tcMar>
            <w:vAlign w:val="center"/>
            <w:hideMark/>
          </w:tcPr>
          <w:p w14:paraId="2C76C8EA" w14:textId="77777777" w:rsidR="009737C3" w:rsidRPr="009737C3" w:rsidRDefault="009737C3" w:rsidP="009737C3">
            <w:pPr>
              <w:rPr>
                <w:sz w:val="20"/>
                <w:szCs w:val="20"/>
              </w:rPr>
            </w:pPr>
          </w:p>
        </w:tc>
        <w:tc>
          <w:tcPr>
            <w:tcW w:w="213" w:type="pct"/>
            <w:tcBorders>
              <w:top w:val="single" w:sz="4" w:space="0" w:color="auto"/>
            </w:tcBorders>
            <w:shd w:val="clear" w:color="auto" w:fill="auto"/>
            <w:noWrap/>
            <w:tcMar>
              <w:left w:w="28" w:type="dxa"/>
              <w:right w:w="28" w:type="dxa"/>
            </w:tcMar>
            <w:vAlign w:val="center"/>
            <w:hideMark/>
          </w:tcPr>
          <w:p w14:paraId="64067240" w14:textId="77777777" w:rsidR="009737C3" w:rsidRPr="009737C3" w:rsidRDefault="009737C3" w:rsidP="009737C3">
            <w:pPr>
              <w:rPr>
                <w:sz w:val="20"/>
                <w:szCs w:val="20"/>
              </w:rPr>
            </w:pPr>
          </w:p>
        </w:tc>
        <w:tc>
          <w:tcPr>
            <w:tcW w:w="213" w:type="pct"/>
            <w:tcBorders>
              <w:top w:val="single" w:sz="4" w:space="0" w:color="auto"/>
            </w:tcBorders>
            <w:shd w:val="clear" w:color="auto" w:fill="auto"/>
            <w:noWrap/>
            <w:tcMar>
              <w:left w:w="28" w:type="dxa"/>
              <w:right w:w="28" w:type="dxa"/>
            </w:tcMar>
            <w:vAlign w:val="center"/>
            <w:hideMark/>
          </w:tcPr>
          <w:p w14:paraId="6659F8C2" w14:textId="77777777" w:rsidR="009737C3" w:rsidRPr="009737C3" w:rsidRDefault="009737C3" w:rsidP="009737C3">
            <w:pPr>
              <w:rPr>
                <w:sz w:val="20"/>
                <w:szCs w:val="20"/>
              </w:rPr>
            </w:pPr>
          </w:p>
        </w:tc>
        <w:tc>
          <w:tcPr>
            <w:tcW w:w="213" w:type="pct"/>
            <w:tcBorders>
              <w:top w:val="single" w:sz="4" w:space="0" w:color="auto"/>
            </w:tcBorders>
            <w:shd w:val="clear" w:color="auto" w:fill="auto"/>
            <w:noWrap/>
            <w:tcMar>
              <w:left w:w="28" w:type="dxa"/>
              <w:right w:w="28" w:type="dxa"/>
            </w:tcMar>
            <w:vAlign w:val="center"/>
            <w:hideMark/>
          </w:tcPr>
          <w:p w14:paraId="24A91FD1" w14:textId="77777777" w:rsidR="009737C3" w:rsidRPr="009737C3" w:rsidRDefault="009737C3" w:rsidP="009737C3">
            <w:pPr>
              <w:rPr>
                <w:sz w:val="20"/>
                <w:szCs w:val="20"/>
              </w:rPr>
            </w:pPr>
          </w:p>
        </w:tc>
        <w:tc>
          <w:tcPr>
            <w:tcW w:w="213" w:type="pct"/>
            <w:tcBorders>
              <w:top w:val="single" w:sz="4" w:space="0" w:color="auto"/>
            </w:tcBorders>
            <w:shd w:val="clear" w:color="auto" w:fill="auto"/>
            <w:noWrap/>
            <w:tcMar>
              <w:left w:w="28" w:type="dxa"/>
              <w:right w:w="28" w:type="dxa"/>
            </w:tcMar>
            <w:vAlign w:val="center"/>
            <w:hideMark/>
          </w:tcPr>
          <w:p w14:paraId="073659A4" w14:textId="77777777" w:rsidR="009737C3" w:rsidRPr="009737C3" w:rsidRDefault="009737C3" w:rsidP="009737C3">
            <w:pPr>
              <w:rPr>
                <w:sz w:val="20"/>
                <w:szCs w:val="20"/>
              </w:rPr>
            </w:pPr>
          </w:p>
        </w:tc>
        <w:tc>
          <w:tcPr>
            <w:tcW w:w="213" w:type="pct"/>
            <w:tcBorders>
              <w:top w:val="single" w:sz="4" w:space="0" w:color="auto"/>
            </w:tcBorders>
            <w:shd w:val="clear" w:color="auto" w:fill="auto"/>
            <w:noWrap/>
            <w:tcMar>
              <w:left w:w="28" w:type="dxa"/>
              <w:right w:w="28" w:type="dxa"/>
            </w:tcMar>
            <w:vAlign w:val="center"/>
            <w:hideMark/>
          </w:tcPr>
          <w:p w14:paraId="4B198B58" w14:textId="77777777" w:rsidR="009737C3" w:rsidRPr="009737C3" w:rsidRDefault="009737C3" w:rsidP="009737C3">
            <w:pPr>
              <w:rPr>
                <w:sz w:val="20"/>
                <w:szCs w:val="20"/>
              </w:rPr>
            </w:pPr>
          </w:p>
        </w:tc>
        <w:tc>
          <w:tcPr>
            <w:tcW w:w="213" w:type="pct"/>
            <w:tcBorders>
              <w:top w:val="single" w:sz="4" w:space="0" w:color="auto"/>
            </w:tcBorders>
            <w:shd w:val="clear" w:color="auto" w:fill="auto"/>
            <w:noWrap/>
            <w:tcMar>
              <w:left w:w="28" w:type="dxa"/>
              <w:right w:w="28" w:type="dxa"/>
            </w:tcMar>
            <w:vAlign w:val="center"/>
            <w:hideMark/>
          </w:tcPr>
          <w:p w14:paraId="2E039399" w14:textId="77777777" w:rsidR="009737C3" w:rsidRPr="009737C3" w:rsidRDefault="009737C3" w:rsidP="009737C3">
            <w:pPr>
              <w:rPr>
                <w:sz w:val="20"/>
                <w:szCs w:val="20"/>
              </w:rPr>
            </w:pPr>
          </w:p>
        </w:tc>
        <w:tc>
          <w:tcPr>
            <w:tcW w:w="213" w:type="pct"/>
            <w:tcBorders>
              <w:top w:val="single" w:sz="4" w:space="0" w:color="auto"/>
            </w:tcBorders>
            <w:shd w:val="clear" w:color="auto" w:fill="auto"/>
            <w:noWrap/>
            <w:tcMar>
              <w:left w:w="28" w:type="dxa"/>
              <w:right w:w="28" w:type="dxa"/>
            </w:tcMar>
            <w:vAlign w:val="center"/>
            <w:hideMark/>
          </w:tcPr>
          <w:p w14:paraId="5A422C3F" w14:textId="77777777" w:rsidR="009737C3" w:rsidRPr="009737C3" w:rsidRDefault="009737C3" w:rsidP="009737C3">
            <w:pPr>
              <w:rPr>
                <w:sz w:val="20"/>
                <w:szCs w:val="20"/>
              </w:rPr>
            </w:pPr>
          </w:p>
        </w:tc>
        <w:tc>
          <w:tcPr>
            <w:tcW w:w="214" w:type="pct"/>
            <w:tcBorders>
              <w:top w:val="single" w:sz="4" w:space="0" w:color="auto"/>
            </w:tcBorders>
            <w:shd w:val="clear" w:color="auto" w:fill="auto"/>
            <w:noWrap/>
            <w:tcMar>
              <w:left w:w="28" w:type="dxa"/>
              <w:right w:w="28" w:type="dxa"/>
            </w:tcMar>
            <w:vAlign w:val="center"/>
            <w:hideMark/>
          </w:tcPr>
          <w:p w14:paraId="37A85AA8" w14:textId="77777777" w:rsidR="009737C3" w:rsidRPr="009737C3" w:rsidRDefault="009737C3" w:rsidP="009737C3">
            <w:pPr>
              <w:rPr>
                <w:sz w:val="20"/>
                <w:szCs w:val="20"/>
              </w:rPr>
            </w:pPr>
          </w:p>
        </w:tc>
        <w:tc>
          <w:tcPr>
            <w:tcW w:w="214" w:type="pct"/>
            <w:tcBorders>
              <w:top w:val="single" w:sz="4" w:space="0" w:color="auto"/>
            </w:tcBorders>
            <w:shd w:val="clear" w:color="auto" w:fill="auto"/>
            <w:noWrap/>
            <w:tcMar>
              <w:left w:w="28" w:type="dxa"/>
              <w:right w:w="28" w:type="dxa"/>
            </w:tcMar>
            <w:vAlign w:val="center"/>
            <w:hideMark/>
          </w:tcPr>
          <w:p w14:paraId="50AABCD7" w14:textId="77777777" w:rsidR="009737C3" w:rsidRPr="009737C3" w:rsidRDefault="009737C3" w:rsidP="009737C3">
            <w:pPr>
              <w:rPr>
                <w:sz w:val="20"/>
                <w:szCs w:val="20"/>
              </w:rPr>
            </w:pPr>
          </w:p>
        </w:tc>
        <w:tc>
          <w:tcPr>
            <w:tcW w:w="214" w:type="pct"/>
            <w:tcBorders>
              <w:top w:val="single" w:sz="4" w:space="0" w:color="auto"/>
            </w:tcBorders>
            <w:shd w:val="clear" w:color="auto" w:fill="auto"/>
            <w:noWrap/>
            <w:tcMar>
              <w:left w:w="28" w:type="dxa"/>
              <w:right w:w="28" w:type="dxa"/>
            </w:tcMar>
            <w:vAlign w:val="center"/>
            <w:hideMark/>
          </w:tcPr>
          <w:p w14:paraId="411B6DD4" w14:textId="77777777" w:rsidR="009737C3" w:rsidRPr="009737C3" w:rsidRDefault="009737C3" w:rsidP="009737C3">
            <w:pPr>
              <w:rPr>
                <w:sz w:val="20"/>
                <w:szCs w:val="20"/>
              </w:rPr>
            </w:pPr>
          </w:p>
        </w:tc>
        <w:tc>
          <w:tcPr>
            <w:tcW w:w="214" w:type="pct"/>
            <w:tcBorders>
              <w:top w:val="single" w:sz="4" w:space="0" w:color="auto"/>
            </w:tcBorders>
            <w:shd w:val="clear" w:color="auto" w:fill="auto"/>
            <w:noWrap/>
            <w:tcMar>
              <w:left w:w="28" w:type="dxa"/>
              <w:right w:w="28" w:type="dxa"/>
            </w:tcMar>
            <w:vAlign w:val="center"/>
            <w:hideMark/>
          </w:tcPr>
          <w:p w14:paraId="5451432B" w14:textId="77777777" w:rsidR="009737C3" w:rsidRPr="009737C3" w:rsidRDefault="009737C3" w:rsidP="009737C3">
            <w:pPr>
              <w:rPr>
                <w:sz w:val="20"/>
                <w:szCs w:val="20"/>
              </w:rPr>
            </w:pPr>
          </w:p>
        </w:tc>
        <w:tc>
          <w:tcPr>
            <w:tcW w:w="199" w:type="pct"/>
            <w:tcBorders>
              <w:top w:val="single" w:sz="4" w:space="0" w:color="auto"/>
            </w:tcBorders>
            <w:shd w:val="clear" w:color="auto" w:fill="auto"/>
            <w:noWrap/>
            <w:tcMar>
              <w:left w:w="28" w:type="dxa"/>
              <w:right w:w="28" w:type="dxa"/>
            </w:tcMar>
            <w:vAlign w:val="center"/>
            <w:hideMark/>
          </w:tcPr>
          <w:p w14:paraId="4C8AAAB4" w14:textId="77777777" w:rsidR="009737C3" w:rsidRPr="009737C3" w:rsidRDefault="009737C3" w:rsidP="009737C3">
            <w:pPr>
              <w:rPr>
                <w:sz w:val="20"/>
                <w:szCs w:val="20"/>
              </w:rPr>
            </w:pPr>
          </w:p>
        </w:tc>
      </w:tr>
      <w:tr w:rsidR="00A94550" w:rsidRPr="00E95955" w14:paraId="6662339D" w14:textId="77777777" w:rsidTr="00A94550">
        <w:trPr>
          <w:trHeight w:val="260"/>
        </w:trPr>
        <w:tc>
          <w:tcPr>
            <w:tcW w:w="152" w:type="pct"/>
            <w:shd w:val="clear" w:color="auto" w:fill="auto"/>
            <w:noWrap/>
            <w:tcMar>
              <w:left w:w="28" w:type="dxa"/>
              <w:right w:w="28" w:type="dxa"/>
            </w:tcMar>
            <w:vAlign w:val="center"/>
            <w:hideMark/>
          </w:tcPr>
          <w:p w14:paraId="2EEAB97F" w14:textId="77777777" w:rsidR="009737C3" w:rsidRPr="009737C3" w:rsidRDefault="009737C3" w:rsidP="009737C3">
            <w:pPr>
              <w:jc w:val="right"/>
              <w:rPr>
                <w:color w:val="000000"/>
                <w:sz w:val="20"/>
                <w:szCs w:val="20"/>
              </w:rPr>
            </w:pPr>
            <w:r w:rsidRPr="009737C3">
              <w:rPr>
                <w:color w:val="000000"/>
                <w:sz w:val="20"/>
                <w:szCs w:val="20"/>
              </w:rPr>
              <w:t>2</w:t>
            </w:r>
          </w:p>
        </w:tc>
        <w:tc>
          <w:tcPr>
            <w:tcW w:w="940" w:type="pct"/>
            <w:shd w:val="clear" w:color="auto" w:fill="auto"/>
            <w:noWrap/>
            <w:tcMar>
              <w:left w:w="28" w:type="dxa"/>
              <w:right w:w="28" w:type="dxa"/>
            </w:tcMar>
            <w:vAlign w:val="center"/>
            <w:hideMark/>
          </w:tcPr>
          <w:p w14:paraId="7DDB0E48" w14:textId="77777777" w:rsidR="009737C3" w:rsidRPr="009737C3" w:rsidRDefault="009737C3" w:rsidP="009737C3">
            <w:pPr>
              <w:rPr>
                <w:color w:val="000000"/>
                <w:sz w:val="20"/>
                <w:szCs w:val="20"/>
              </w:rPr>
            </w:pPr>
            <w:r w:rsidRPr="009737C3">
              <w:rPr>
                <w:color w:val="000000"/>
                <w:sz w:val="20"/>
                <w:szCs w:val="20"/>
              </w:rPr>
              <w:t>Time-out</w:t>
            </w:r>
          </w:p>
        </w:tc>
        <w:tc>
          <w:tcPr>
            <w:tcW w:w="213" w:type="pct"/>
            <w:shd w:val="clear" w:color="auto" w:fill="auto"/>
            <w:noWrap/>
            <w:tcMar>
              <w:left w:w="28" w:type="dxa"/>
              <w:right w:w="28" w:type="dxa"/>
            </w:tcMar>
            <w:vAlign w:val="center"/>
            <w:hideMark/>
          </w:tcPr>
          <w:p w14:paraId="57BFD57E" w14:textId="77777777" w:rsidR="009737C3" w:rsidRPr="009737C3" w:rsidRDefault="009737C3" w:rsidP="009737C3">
            <w:pPr>
              <w:jc w:val="right"/>
              <w:rPr>
                <w:color w:val="000000"/>
                <w:sz w:val="20"/>
                <w:szCs w:val="20"/>
              </w:rPr>
            </w:pPr>
            <w:r w:rsidRPr="009737C3">
              <w:rPr>
                <w:color w:val="000000"/>
                <w:sz w:val="20"/>
                <w:szCs w:val="20"/>
              </w:rPr>
              <w:t>1.39</w:t>
            </w:r>
          </w:p>
        </w:tc>
        <w:tc>
          <w:tcPr>
            <w:tcW w:w="220" w:type="pct"/>
            <w:shd w:val="clear" w:color="auto" w:fill="auto"/>
            <w:noWrap/>
            <w:tcMar>
              <w:left w:w="28" w:type="dxa"/>
              <w:right w:w="28" w:type="dxa"/>
            </w:tcMar>
            <w:vAlign w:val="center"/>
            <w:hideMark/>
          </w:tcPr>
          <w:p w14:paraId="756E2DFE" w14:textId="77777777" w:rsidR="009737C3" w:rsidRPr="009737C3" w:rsidRDefault="009737C3" w:rsidP="009737C3">
            <w:pPr>
              <w:jc w:val="right"/>
              <w:rPr>
                <w:color w:val="000000"/>
                <w:sz w:val="20"/>
                <w:szCs w:val="20"/>
              </w:rPr>
            </w:pPr>
            <w:r w:rsidRPr="009737C3">
              <w:rPr>
                <w:color w:val="000000"/>
                <w:sz w:val="20"/>
                <w:szCs w:val="20"/>
              </w:rPr>
              <w:t>1.5</w:t>
            </w:r>
          </w:p>
        </w:tc>
        <w:tc>
          <w:tcPr>
            <w:tcW w:w="212" w:type="pct"/>
            <w:shd w:val="clear" w:color="auto" w:fill="auto"/>
            <w:noWrap/>
            <w:tcMar>
              <w:left w:w="28" w:type="dxa"/>
              <w:right w:w="28" w:type="dxa"/>
            </w:tcMar>
            <w:vAlign w:val="center"/>
            <w:hideMark/>
          </w:tcPr>
          <w:p w14:paraId="1EE766B5" w14:textId="77777777" w:rsidR="009737C3" w:rsidRPr="009737C3" w:rsidRDefault="009737C3" w:rsidP="009737C3">
            <w:pPr>
              <w:jc w:val="right"/>
              <w:rPr>
                <w:color w:val="000000"/>
                <w:sz w:val="20"/>
                <w:szCs w:val="20"/>
              </w:rPr>
            </w:pPr>
            <w:r w:rsidRPr="009737C3">
              <w:rPr>
                <w:color w:val="000000"/>
                <w:sz w:val="20"/>
                <w:szCs w:val="20"/>
              </w:rPr>
              <w:t>0</w:t>
            </w:r>
          </w:p>
        </w:tc>
        <w:tc>
          <w:tcPr>
            <w:tcW w:w="292" w:type="pct"/>
            <w:shd w:val="clear" w:color="auto" w:fill="auto"/>
            <w:noWrap/>
            <w:tcMar>
              <w:left w:w="28" w:type="dxa"/>
              <w:right w:w="28" w:type="dxa"/>
            </w:tcMar>
            <w:vAlign w:val="center"/>
            <w:hideMark/>
          </w:tcPr>
          <w:p w14:paraId="2E5BE3EE" w14:textId="77777777" w:rsidR="009737C3" w:rsidRPr="009737C3" w:rsidRDefault="009737C3" w:rsidP="009737C3">
            <w:pPr>
              <w:jc w:val="right"/>
              <w:rPr>
                <w:color w:val="000000"/>
                <w:sz w:val="20"/>
                <w:szCs w:val="20"/>
              </w:rPr>
            </w:pPr>
            <w:r w:rsidRPr="009737C3">
              <w:rPr>
                <w:color w:val="000000"/>
                <w:sz w:val="20"/>
                <w:szCs w:val="20"/>
              </w:rPr>
              <w:t>6</w:t>
            </w:r>
          </w:p>
        </w:tc>
        <w:tc>
          <w:tcPr>
            <w:tcW w:w="213" w:type="pct"/>
            <w:shd w:val="clear" w:color="auto" w:fill="auto"/>
            <w:noWrap/>
            <w:tcMar>
              <w:left w:w="28" w:type="dxa"/>
              <w:right w:w="28" w:type="dxa"/>
            </w:tcMar>
            <w:vAlign w:val="center"/>
            <w:hideMark/>
          </w:tcPr>
          <w:p w14:paraId="1643E174" w14:textId="77777777" w:rsidR="009737C3" w:rsidRPr="009737C3" w:rsidRDefault="009737C3" w:rsidP="009737C3">
            <w:pPr>
              <w:jc w:val="right"/>
              <w:rPr>
                <w:color w:val="000000"/>
                <w:sz w:val="20"/>
                <w:szCs w:val="20"/>
              </w:rPr>
            </w:pPr>
            <w:r w:rsidRPr="009737C3">
              <w:rPr>
                <w:color w:val="000000"/>
                <w:sz w:val="20"/>
                <w:szCs w:val="20"/>
              </w:rPr>
              <w:t>0.06</w:t>
            </w:r>
          </w:p>
        </w:tc>
        <w:tc>
          <w:tcPr>
            <w:tcW w:w="213" w:type="pct"/>
            <w:shd w:val="clear" w:color="auto" w:fill="auto"/>
            <w:noWrap/>
            <w:tcMar>
              <w:left w:w="28" w:type="dxa"/>
              <w:right w:w="28" w:type="dxa"/>
            </w:tcMar>
            <w:vAlign w:val="center"/>
            <w:hideMark/>
          </w:tcPr>
          <w:p w14:paraId="452CD743" w14:textId="77777777" w:rsidR="009737C3" w:rsidRPr="009737C3" w:rsidRDefault="009737C3" w:rsidP="009737C3">
            <w:pPr>
              <w:jc w:val="right"/>
              <w:rPr>
                <w:color w:val="000000"/>
                <w:sz w:val="20"/>
                <w:szCs w:val="20"/>
              </w:rPr>
            </w:pPr>
          </w:p>
        </w:tc>
        <w:tc>
          <w:tcPr>
            <w:tcW w:w="213" w:type="pct"/>
            <w:shd w:val="clear" w:color="auto" w:fill="auto"/>
            <w:noWrap/>
            <w:tcMar>
              <w:left w:w="28" w:type="dxa"/>
              <w:right w:w="28" w:type="dxa"/>
            </w:tcMar>
            <w:vAlign w:val="center"/>
            <w:hideMark/>
          </w:tcPr>
          <w:p w14:paraId="644B010D" w14:textId="77777777" w:rsidR="009737C3" w:rsidRPr="009737C3" w:rsidRDefault="009737C3" w:rsidP="009737C3">
            <w:pPr>
              <w:rPr>
                <w:sz w:val="20"/>
                <w:szCs w:val="20"/>
              </w:rPr>
            </w:pPr>
          </w:p>
        </w:tc>
        <w:tc>
          <w:tcPr>
            <w:tcW w:w="213" w:type="pct"/>
            <w:shd w:val="clear" w:color="auto" w:fill="auto"/>
            <w:noWrap/>
            <w:tcMar>
              <w:left w:w="28" w:type="dxa"/>
              <w:right w:w="28" w:type="dxa"/>
            </w:tcMar>
            <w:vAlign w:val="center"/>
            <w:hideMark/>
          </w:tcPr>
          <w:p w14:paraId="2C743627" w14:textId="77777777" w:rsidR="009737C3" w:rsidRPr="009737C3" w:rsidRDefault="009737C3" w:rsidP="009737C3">
            <w:pPr>
              <w:rPr>
                <w:sz w:val="20"/>
                <w:szCs w:val="20"/>
              </w:rPr>
            </w:pPr>
          </w:p>
        </w:tc>
        <w:tc>
          <w:tcPr>
            <w:tcW w:w="213" w:type="pct"/>
            <w:shd w:val="clear" w:color="auto" w:fill="auto"/>
            <w:noWrap/>
            <w:tcMar>
              <w:left w:w="28" w:type="dxa"/>
              <w:right w:w="28" w:type="dxa"/>
            </w:tcMar>
            <w:vAlign w:val="center"/>
            <w:hideMark/>
          </w:tcPr>
          <w:p w14:paraId="014E3543" w14:textId="77777777" w:rsidR="009737C3" w:rsidRPr="009737C3" w:rsidRDefault="009737C3" w:rsidP="009737C3">
            <w:pPr>
              <w:rPr>
                <w:sz w:val="20"/>
                <w:szCs w:val="20"/>
              </w:rPr>
            </w:pPr>
          </w:p>
        </w:tc>
        <w:tc>
          <w:tcPr>
            <w:tcW w:w="213" w:type="pct"/>
            <w:shd w:val="clear" w:color="auto" w:fill="auto"/>
            <w:noWrap/>
            <w:tcMar>
              <w:left w:w="28" w:type="dxa"/>
              <w:right w:w="28" w:type="dxa"/>
            </w:tcMar>
            <w:vAlign w:val="center"/>
            <w:hideMark/>
          </w:tcPr>
          <w:p w14:paraId="305DFC92" w14:textId="77777777" w:rsidR="009737C3" w:rsidRPr="009737C3" w:rsidRDefault="009737C3" w:rsidP="009737C3">
            <w:pPr>
              <w:rPr>
                <w:sz w:val="20"/>
                <w:szCs w:val="20"/>
              </w:rPr>
            </w:pPr>
          </w:p>
        </w:tc>
        <w:tc>
          <w:tcPr>
            <w:tcW w:w="213" w:type="pct"/>
            <w:shd w:val="clear" w:color="auto" w:fill="auto"/>
            <w:noWrap/>
            <w:tcMar>
              <w:left w:w="28" w:type="dxa"/>
              <w:right w:w="28" w:type="dxa"/>
            </w:tcMar>
            <w:vAlign w:val="center"/>
            <w:hideMark/>
          </w:tcPr>
          <w:p w14:paraId="20AF2D7B" w14:textId="77777777" w:rsidR="009737C3" w:rsidRPr="009737C3" w:rsidRDefault="009737C3" w:rsidP="009737C3">
            <w:pPr>
              <w:rPr>
                <w:sz w:val="20"/>
                <w:szCs w:val="20"/>
              </w:rPr>
            </w:pPr>
          </w:p>
        </w:tc>
        <w:tc>
          <w:tcPr>
            <w:tcW w:w="213" w:type="pct"/>
            <w:shd w:val="clear" w:color="auto" w:fill="auto"/>
            <w:noWrap/>
            <w:tcMar>
              <w:left w:w="28" w:type="dxa"/>
              <w:right w:w="28" w:type="dxa"/>
            </w:tcMar>
            <w:vAlign w:val="center"/>
            <w:hideMark/>
          </w:tcPr>
          <w:p w14:paraId="7B708EC0" w14:textId="77777777" w:rsidR="009737C3" w:rsidRPr="009737C3" w:rsidRDefault="009737C3" w:rsidP="009737C3">
            <w:pPr>
              <w:rPr>
                <w:sz w:val="20"/>
                <w:szCs w:val="20"/>
              </w:rPr>
            </w:pPr>
          </w:p>
        </w:tc>
        <w:tc>
          <w:tcPr>
            <w:tcW w:w="213" w:type="pct"/>
            <w:shd w:val="clear" w:color="auto" w:fill="auto"/>
            <w:noWrap/>
            <w:tcMar>
              <w:left w:w="28" w:type="dxa"/>
              <w:right w:w="28" w:type="dxa"/>
            </w:tcMar>
            <w:vAlign w:val="center"/>
            <w:hideMark/>
          </w:tcPr>
          <w:p w14:paraId="282153C0"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2196AF83"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2CD8085C"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76C58E1B"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13E9961A" w14:textId="77777777" w:rsidR="009737C3" w:rsidRPr="009737C3" w:rsidRDefault="009737C3" w:rsidP="009737C3">
            <w:pPr>
              <w:rPr>
                <w:sz w:val="20"/>
                <w:szCs w:val="20"/>
              </w:rPr>
            </w:pPr>
          </w:p>
        </w:tc>
        <w:tc>
          <w:tcPr>
            <w:tcW w:w="199" w:type="pct"/>
            <w:shd w:val="clear" w:color="auto" w:fill="auto"/>
            <w:noWrap/>
            <w:tcMar>
              <w:left w:w="28" w:type="dxa"/>
              <w:right w:w="28" w:type="dxa"/>
            </w:tcMar>
            <w:vAlign w:val="center"/>
            <w:hideMark/>
          </w:tcPr>
          <w:p w14:paraId="03301354" w14:textId="77777777" w:rsidR="009737C3" w:rsidRPr="009737C3" w:rsidRDefault="009737C3" w:rsidP="009737C3">
            <w:pPr>
              <w:rPr>
                <w:sz w:val="20"/>
                <w:szCs w:val="20"/>
              </w:rPr>
            </w:pPr>
          </w:p>
        </w:tc>
      </w:tr>
      <w:tr w:rsidR="00A94550" w:rsidRPr="00E95955" w14:paraId="00415AB9" w14:textId="77777777" w:rsidTr="00A94550">
        <w:trPr>
          <w:trHeight w:val="260"/>
        </w:trPr>
        <w:tc>
          <w:tcPr>
            <w:tcW w:w="152" w:type="pct"/>
            <w:shd w:val="clear" w:color="auto" w:fill="auto"/>
            <w:noWrap/>
            <w:tcMar>
              <w:left w:w="28" w:type="dxa"/>
              <w:right w:w="28" w:type="dxa"/>
            </w:tcMar>
            <w:vAlign w:val="center"/>
            <w:hideMark/>
          </w:tcPr>
          <w:p w14:paraId="6062ED6B" w14:textId="77777777" w:rsidR="009737C3" w:rsidRPr="009737C3" w:rsidRDefault="009737C3" w:rsidP="009737C3">
            <w:pPr>
              <w:jc w:val="right"/>
              <w:rPr>
                <w:color w:val="000000"/>
                <w:sz w:val="20"/>
                <w:szCs w:val="20"/>
              </w:rPr>
            </w:pPr>
            <w:r w:rsidRPr="009737C3">
              <w:rPr>
                <w:color w:val="000000"/>
                <w:sz w:val="20"/>
                <w:szCs w:val="20"/>
              </w:rPr>
              <w:t>3</w:t>
            </w:r>
          </w:p>
        </w:tc>
        <w:tc>
          <w:tcPr>
            <w:tcW w:w="940" w:type="pct"/>
            <w:shd w:val="clear" w:color="auto" w:fill="auto"/>
            <w:noWrap/>
            <w:tcMar>
              <w:left w:w="28" w:type="dxa"/>
              <w:right w:w="28" w:type="dxa"/>
            </w:tcMar>
            <w:vAlign w:val="center"/>
            <w:hideMark/>
          </w:tcPr>
          <w:p w14:paraId="4E3B1B7B" w14:textId="77777777" w:rsidR="009737C3" w:rsidRPr="009737C3" w:rsidRDefault="009737C3" w:rsidP="009737C3">
            <w:pPr>
              <w:rPr>
                <w:color w:val="000000"/>
                <w:sz w:val="20"/>
                <w:szCs w:val="20"/>
              </w:rPr>
            </w:pPr>
            <w:r w:rsidRPr="009737C3">
              <w:rPr>
                <w:color w:val="000000"/>
                <w:sz w:val="20"/>
                <w:szCs w:val="20"/>
              </w:rPr>
              <w:t>Export performance at exit</w:t>
            </w:r>
          </w:p>
        </w:tc>
        <w:tc>
          <w:tcPr>
            <w:tcW w:w="213" w:type="pct"/>
            <w:shd w:val="clear" w:color="auto" w:fill="auto"/>
            <w:noWrap/>
            <w:tcMar>
              <w:left w:w="28" w:type="dxa"/>
              <w:right w:w="28" w:type="dxa"/>
            </w:tcMar>
            <w:vAlign w:val="center"/>
            <w:hideMark/>
          </w:tcPr>
          <w:p w14:paraId="4C9A0FF4" w14:textId="77777777" w:rsidR="009737C3" w:rsidRPr="009737C3" w:rsidRDefault="009737C3" w:rsidP="009737C3">
            <w:pPr>
              <w:jc w:val="right"/>
              <w:rPr>
                <w:color w:val="000000"/>
                <w:sz w:val="20"/>
                <w:szCs w:val="20"/>
              </w:rPr>
            </w:pPr>
            <w:r w:rsidRPr="009737C3">
              <w:rPr>
                <w:color w:val="000000"/>
                <w:sz w:val="20"/>
                <w:szCs w:val="20"/>
              </w:rPr>
              <w:t>17.75</w:t>
            </w:r>
          </w:p>
        </w:tc>
        <w:tc>
          <w:tcPr>
            <w:tcW w:w="220" w:type="pct"/>
            <w:shd w:val="clear" w:color="auto" w:fill="auto"/>
            <w:noWrap/>
            <w:tcMar>
              <w:left w:w="28" w:type="dxa"/>
              <w:right w:w="28" w:type="dxa"/>
            </w:tcMar>
            <w:vAlign w:val="center"/>
            <w:hideMark/>
          </w:tcPr>
          <w:p w14:paraId="4D62EE6A" w14:textId="77777777" w:rsidR="009737C3" w:rsidRPr="009737C3" w:rsidRDefault="009737C3" w:rsidP="009737C3">
            <w:pPr>
              <w:jc w:val="right"/>
              <w:rPr>
                <w:color w:val="000000"/>
                <w:sz w:val="20"/>
                <w:szCs w:val="20"/>
              </w:rPr>
            </w:pPr>
            <w:r w:rsidRPr="009737C3">
              <w:rPr>
                <w:color w:val="000000"/>
                <w:sz w:val="20"/>
                <w:szCs w:val="20"/>
              </w:rPr>
              <w:t>3.11</w:t>
            </w:r>
          </w:p>
        </w:tc>
        <w:tc>
          <w:tcPr>
            <w:tcW w:w="212" w:type="pct"/>
            <w:shd w:val="clear" w:color="auto" w:fill="auto"/>
            <w:noWrap/>
            <w:tcMar>
              <w:left w:w="28" w:type="dxa"/>
              <w:right w:w="28" w:type="dxa"/>
            </w:tcMar>
            <w:vAlign w:val="center"/>
            <w:hideMark/>
          </w:tcPr>
          <w:p w14:paraId="67612C20" w14:textId="77777777" w:rsidR="009737C3" w:rsidRPr="009737C3" w:rsidRDefault="009737C3" w:rsidP="009737C3">
            <w:pPr>
              <w:jc w:val="right"/>
              <w:rPr>
                <w:color w:val="000000"/>
                <w:sz w:val="20"/>
                <w:szCs w:val="20"/>
              </w:rPr>
            </w:pPr>
            <w:r w:rsidRPr="009737C3">
              <w:rPr>
                <w:color w:val="000000"/>
                <w:sz w:val="20"/>
                <w:szCs w:val="20"/>
              </w:rPr>
              <w:t>9.74</w:t>
            </w:r>
          </w:p>
        </w:tc>
        <w:tc>
          <w:tcPr>
            <w:tcW w:w="292" w:type="pct"/>
            <w:shd w:val="clear" w:color="auto" w:fill="auto"/>
            <w:noWrap/>
            <w:tcMar>
              <w:left w:w="28" w:type="dxa"/>
              <w:right w:w="28" w:type="dxa"/>
            </w:tcMar>
            <w:vAlign w:val="center"/>
            <w:hideMark/>
          </w:tcPr>
          <w:p w14:paraId="15E6BCBE" w14:textId="77777777" w:rsidR="009737C3" w:rsidRPr="009737C3" w:rsidRDefault="009737C3" w:rsidP="009737C3">
            <w:pPr>
              <w:jc w:val="right"/>
              <w:rPr>
                <w:color w:val="000000"/>
                <w:sz w:val="20"/>
                <w:szCs w:val="20"/>
              </w:rPr>
            </w:pPr>
            <w:r w:rsidRPr="009737C3">
              <w:rPr>
                <w:color w:val="000000"/>
                <w:sz w:val="20"/>
                <w:szCs w:val="20"/>
              </w:rPr>
              <w:t>26.44</w:t>
            </w:r>
          </w:p>
        </w:tc>
        <w:tc>
          <w:tcPr>
            <w:tcW w:w="213" w:type="pct"/>
            <w:shd w:val="clear" w:color="auto" w:fill="auto"/>
            <w:noWrap/>
            <w:tcMar>
              <w:left w:w="28" w:type="dxa"/>
              <w:right w:w="28" w:type="dxa"/>
            </w:tcMar>
            <w:vAlign w:val="center"/>
            <w:hideMark/>
          </w:tcPr>
          <w:p w14:paraId="4FE374D4" w14:textId="77777777" w:rsidR="009737C3" w:rsidRPr="009737C3" w:rsidRDefault="009737C3" w:rsidP="009737C3">
            <w:pPr>
              <w:jc w:val="right"/>
              <w:rPr>
                <w:color w:val="000000"/>
                <w:sz w:val="20"/>
                <w:szCs w:val="20"/>
              </w:rPr>
            </w:pPr>
            <w:r w:rsidRPr="009737C3">
              <w:rPr>
                <w:color w:val="000000"/>
                <w:sz w:val="20"/>
                <w:szCs w:val="20"/>
              </w:rPr>
              <w:t>0.09</w:t>
            </w:r>
          </w:p>
        </w:tc>
        <w:tc>
          <w:tcPr>
            <w:tcW w:w="213" w:type="pct"/>
            <w:shd w:val="clear" w:color="auto" w:fill="auto"/>
            <w:noWrap/>
            <w:tcMar>
              <w:left w:w="28" w:type="dxa"/>
              <w:right w:w="28" w:type="dxa"/>
            </w:tcMar>
            <w:vAlign w:val="center"/>
            <w:hideMark/>
          </w:tcPr>
          <w:p w14:paraId="6405BE82" w14:textId="77777777" w:rsidR="009737C3" w:rsidRPr="009737C3" w:rsidRDefault="009737C3" w:rsidP="009737C3">
            <w:pPr>
              <w:jc w:val="right"/>
              <w:rPr>
                <w:color w:val="000000"/>
                <w:sz w:val="20"/>
                <w:szCs w:val="20"/>
              </w:rPr>
            </w:pPr>
            <w:r w:rsidRPr="009737C3">
              <w:rPr>
                <w:color w:val="000000"/>
                <w:sz w:val="20"/>
                <w:szCs w:val="20"/>
              </w:rPr>
              <w:t>-0.05</w:t>
            </w:r>
          </w:p>
        </w:tc>
        <w:tc>
          <w:tcPr>
            <w:tcW w:w="213" w:type="pct"/>
            <w:shd w:val="clear" w:color="auto" w:fill="auto"/>
            <w:noWrap/>
            <w:tcMar>
              <w:left w:w="28" w:type="dxa"/>
              <w:right w:w="28" w:type="dxa"/>
            </w:tcMar>
            <w:vAlign w:val="center"/>
            <w:hideMark/>
          </w:tcPr>
          <w:p w14:paraId="4B6A64BB" w14:textId="77777777" w:rsidR="009737C3" w:rsidRPr="009737C3" w:rsidRDefault="009737C3" w:rsidP="009737C3">
            <w:pPr>
              <w:jc w:val="right"/>
              <w:rPr>
                <w:color w:val="000000"/>
                <w:sz w:val="20"/>
                <w:szCs w:val="20"/>
              </w:rPr>
            </w:pPr>
          </w:p>
        </w:tc>
        <w:tc>
          <w:tcPr>
            <w:tcW w:w="213" w:type="pct"/>
            <w:shd w:val="clear" w:color="auto" w:fill="auto"/>
            <w:noWrap/>
            <w:tcMar>
              <w:left w:w="28" w:type="dxa"/>
              <w:right w:w="28" w:type="dxa"/>
            </w:tcMar>
            <w:vAlign w:val="center"/>
            <w:hideMark/>
          </w:tcPr>
          <w:p w14:paraId="4BA73C2A" w14:textId="77777777" w:rsidR="009737C3" w:rsidRPr="009737C3" w:rsidRDefault="009737C3" w:rsidP="009737C3">
            <w:pPr>
              <w:rPr>
                <w:sz w:val="20"/>
                <w:szCs w:val="20"/>
              </w:rPr>
            </w:pPr>
          </w:p>
        </w:tc>
        <w:tc>
          <w:tcPr>
            <w:tcW w:w="213" w:type="pct"/>
            <w:shd w:val="clear" w:color="auto" w:fill="auto"/>
            <w:noWrap/>
            <w:tcMar>
              <w:left w:w="28" w:type="dxa"/>
              <w:right w:w="28" w:type="dxa"/>
            </w:tcMar>
            <w:vAlign w:val="center"/>
            <w:hideMark/>
          </w:tcPr>
          <w:p w14:paraId="69BBF61D" w14:textId="77777777" w:rsidR="009737C3" w:rsidRPr="009737C3" w:rsidRDefault="009737C3" w:rsidP="009737C3">
            <w:pPr>
              <w:rPr>
                <w:sz w:val="20"/>
                <w:szCs w:val="20"/>
              </w:rPr>
            </w:pPr>
          </w:p>
        </w:tc>
        <w:tc>
          <w:tcPr>
            <w:tcW w:w="213" w:type="pct"/>
            <w:shd w:val="clear" w:color="auto" w:fill="auto"/>
            <w:noWrap/>
            <w:tcMar>
              <w:left w:w="28" w:type="dxa"/>
              <w:right w:w="28" w:type="dxa"/>
            </w:tcMar>
            <w:vAlign w:val="center"/>
            <w:hideMark/>
          </w:tcPr>
          <w:p w14:paraId="6ADDB516" w14:textId="77777777" w:rsidR="009737C3" w:rsidRPr="009737C3" w:rsidRDefault="009737C3" w:rsidP="009737C3">
            <w:pPr>
              <w:rPr>
                <w:sz w:val="20"/>
                <w:szCs w:val="20"/>
              </w:rPr>
            </w:pPr>
          </w:p>
        </w:tc>
        <w:tc>
          <w:tcPr>
            <w:tcW w:w="213" w:type="pct"/>
            <w:shd w:val="clear" w:color="auto" w:fill="auto"/>
            <w:noWrap/>
            <w:tcMar>
              <w:left w:w="28" w:type="dxa"/>
              <w:right w:w="28" w:type="dxa"/>
            </w:tcMar>
            <w:vAlign w:val="center"/>
            <w:hideMark/>
          </w:tcPr>
          <w:p w14:paraId="5679052D" w14:textId="77777777" w:rsidR="009737C3" w:rsidRPr="009737C3" w:rsidRDefault="009737C3" w:rsidP="009737C3">
            <w:pPr>
              <w:rPr>
                <w:sz w:val="20"/>
                <w:szCs w:val="20"/>
              </w:rPr>
            </w:pPr>
          </w:p>
        </w:tc>
        <w:tc>
          <w:tcPr>
            <w:tcW w:w="213" w:type="pct"/>
            <w:shd w:val="clear" w:color="auto" w:fill="auto"/>
            <w:noWrap/>
            <w:tcMar>
              <w:left w:w="28" w:type="dxa"/>
              <w:right w:w="28" w:type="dxa"/>
            </w:tcMar>
            <w:vAlign w:val="center"/>
            <w:hideMark/>
          </w:tcPr>
          <w:p w14:paraId="7BC876AC" w14:textId="77777777" w:rsidR="009737C3" w:rsidRPr="009737C3" w:rsidRDefault="009737C3" w:rsidP="009737C3">
            <w:pPr>
              <w:rPr>
                <w:sz w:val="20"/>
                <w:szCs w:val="20"/>
              </w:rPr>
            </w:pPr>
          </w:p>
        </w:tc>
        <w:tc>
          <w:tcPr>
            <w:tcW w:w="213" w:type="pct"/>
            <w:shd w:val="clear" w:color="auto" w:fill="auto"/>
            <w:noWrap/>
            <w:tcMar>
              <w:left w:w="28" w:type="dxa"/>
              <w:right w:w="28" w:type="dxa"/>
            </w:tcMar>
            <w:vAlign w:val="center"/>
            <w:hideMark/>
          </w:tcPr>
          <w:p w14:paraId="547D90D4"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702A0807"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1782EDC8"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14E8C13D"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404A01C0" w14:textId="77777777" w:rsidR="009737C3" w:rsidRPr="009737C3" w:rsidRDefault="009737C3" w:rsidP="009737C3">
            <w:pPr>
              <w:rPr>
                <w:sz w:val="20"/>
                <w:szCs w:val="20"/>
              </w:rPr>
            </w:pPr>
          </w:p>
        </w:tc>
        <w:tc>
          <w:tcPr>
            <w:tcW w:w="199" w:type="pct"/>
            <w:shd w:val="clear" w:color="auto" w:fill="auto"/>
            <w:noWrap/>
            <w:tcMar>
              <w:left w:w="28" w:type="dxa"/>
              <w:right w:w="28" w:type="dxa"/>
            </w:tcMar>
            <w:vAlign w:val="center"/>
            <w:hideMark/>
          </w:tcPr>
          <w:p w14:paraId="7231EC40" w14:textId="77777777" w:rsidR="009737C3" w:rsidRPr="009737C3" w:rsidRDefault="009737C3" w:rsidP="009737C3">
            <w:pPr>
              <w:rPr>
                <w:sz w:val="20"/>
                <w:szCs w:val="20"/>
              </w:rPr>
            </w:pPr>
          </w:p>
        </w:tc>
      </w:tr>
      <w:tr w:rsidR="00A94550" w:rsidRPr="00E95955" w14:paraId="17F8E255" w14:textId="77777777" w:rsidTr="00A94550">
        <w:trPr>
          <w:trHeight w:val="260"/>
        </w:trPr>
        <w:tc>
          <w:tcPr>
            <w:tcW w:w="152" w:type="pct"/>
            <w:shd w:val="clear" w:color="auto" w:fill="auto"/>
            <w:noWrap/>
            <w:tcMar>
              <w:left w:w="28" w:type="dxa"/>
              <w:right w:w="28" w:type="dxa"/>
            </w:tcMar>
            <w:vAlign w:val="center"/>
            <w:hideMark/>
          </w:tcPr>
          <w:p w14:paraId="66422E44" w14:textId="77777777" w:rsidR="009737C3" w:rsidRPr="009737C3" w:rsidRDefault="009737C3" w:rsidP="009737C3">
            <w:pPr>
              <w:jc w:val="right"/>
              <w:rPr>
                <w:color w:val="000000"/>
                <w:sz w:val="20"/>
                <w:szCs w:val="20"/>
              </w:rPr>
            </w:pPr>
            <w:r w:rsidRPr="009737C3">
              <w:rPr>
                <w:color w:val="000000"/>
                <w:sz w:val="20"/>
                <w:szCs w:val="20"/>
              </w:rPr>
              <w:t>4</w:t>
            </w:r>
          </w:p>
        </w:tc>
        <w:tc>
          <w:tcPr>
            <w:tcW w:w="940" w:type="pct"/>
            <w:shd w:val="clear" w:color="auto" w:fill="auto"/>
            <w:noWrap/>
            <w:tcMar>
              <w:left w:w="28" w:type="dxa"/>
              <w:right w:w="28" w:type="dxa"/>
            </w:tcMar>
            <w:vAlign w:val="center"/>
            <w:hideMark/>
          </w:tcPr>
          <w:p w14:paraId="13F5D65A" w14:textId="77777777" w:rsidR="009737C3" w:rsidRPr="009737C3" w:rsidRDefault="009737C3" w:rsidP="009737C3">
            <w:pPr>
              <w:rPr>
                <w:color w:val="000000"/>
                <w:sz w:val="20"/>
                <w:szCs w:val="20"/>
              </w:rPr>
            </w:pPr>
            <w:r w:rsidRPr="009737C3">
              <w:rPr>
                <w:color w:val="000000"/>
                <w:sz w:val="20"/>
                <w:szCs w:val="20"/>
              </w:rPr>
              <w:t>Productivity</w:t>
            </w:r>
          </w:p>
        </w:tc>
        <w:tc>
          <w:tcPr>
            <w:tcW w:w="213" w:type="pct"/>
            <w:shd w:val="clear" w:color="auto" w:fill="auto"/>
            <w:noWrap/>
            <w:tcMar>
              <w:left w:w="28" w:type="dxa"/>
              <w:right w:w="28" w:type="dxa"/>
            </w:tcMar>
            <w:vAlign w:val="center"/>
            <w:hideMark/>
          </w:tcPr>
          <w:p w14:paraId="592CEEEB" w14:textId="77777777" w:rsidR="009737C3" w:rsidRPr="009737C3" w:rsidRDefault="009737C3" w:rsidP="009737C3">
            <w:pPr>
              <w:jc w:val="right"/>
              <w:rPr>
                <w:color w:val="000000"/>
                <w:sz w:val="20"/>
                <w:szCs w:val="20"/>
              </w:rPr>
            </w:pPr>
            <w:r w:rsidRPr="009737C3">
              <w:rPr>
                <w:color w:val="000000"/>
                <w:sz w:val="20"/>
                <w:szCs w:val="20"/>
              </w:rPr>
              <w:t>0.45</w:t>
            </w:r>
          </w:p>
        </w:tc>
        <w:tc>
          <w:tcPr>
            <w:tcW w:w="220" w:type="pct"/>
            <w:shd w:val="clear" w:color="auto" w:fill="auto"/>
            <w:noWrap/>
            <w:tcMar>
              <w:left w:w="28" w:type="dxa"/>
              <w:right w:w="28" w:type="dxa"/>
            </w:tcMar>
            <w:vAlign w:val="center"/>
            <w:hideMark/>
          </w:tcPr>
          <w:p w14:paraId="2BD69E5D" w14:textId="77777777" w:rsidR="009737C3" w:rsidRPr="009737C3" w:rsidRDefault="009737C3" w:rsidP="009737C3">
            <w:pPr>
              <w:jc w:val="right"/>
              <w:rPr>
                <w:color w:val="000000"/>
                <w:sz w:val="20"/>
                <w:szCs w:val="20"/>
              </w:rPr>
            </w:pPr>
            <w:r w:rsidRPr="009737C3">
              <w:rPr>
                <w:color w:val="000000"/>
                <w:sz w:val="20"/>
                <w:szCs w:val="20"/>
              </w:rPr>
              <w:t>4.37</w:t>
            </w:r>
          </w:p>
        </w:tc>
        <w:tc>
          <w:tcPr>
            <w:tcW w:w="212" w:type="pct"/>
            <w:shd w:val="clear" w:color="auto" w:fill="auto"/>
            <w:noWrap/>
            <w:tcMar>
              <w:left w:w="28" w:type="dxa"/>
              <w:right w:w="28" w:type="dxa"/>
            </w:tcMar>
            <w:vAlign w:val="center"/>
            <w:hideMark/>
          </w:tcPr>
          <w:p w14:paraId="63862C53" w14:textId="77777777" w:rsidR="009737C3" w:rsidRPr="009737C3" w:rsidRDefault="009737C3" w:rsidP="009737C3">
            <w:pPr>
              <w:jc w:val="right"/>
              <w:rPr>
                <w:color w:val="000000"/>
                <w:sz w:val="20"/>
                <w:szCs w:val="20"/>
              </w:rPr>
            </w:pPr>
            <w:r w:rsidRPr="009737C3">
              <w:rPr>
                <w:color w:val="000000"/>
                <w:sz w:val="20"/>
                <w:szCs w:val="20"/>
              </w:rPr>
              <w:t>0</w:t>
            </w:r>
          </w:p>
        </w:tc>
        <w:tc>
          <w:tcPr>
            <w:tcW w:w="292" w:type="pct"/>
            <w:shd w:val="clear" w:color="auto" w:fill="auto"/>
            <w:noWrap/>
            <w:tcMar>
              <w:left w:w="28" w:type="dxa"/>
              <w:right w:w="28" w:type="dxa"/>
            </w:tcMar>
            <w:vAlign w:val="center"/>
            <w:hideMark/>
          </w:tcPr>
          <w:p w14:paraId="2D5F647D" w14:textId="77777777" w:rsidR="009737C3" w:rsidRPr="009737C3" w:rsidRDefault="009737C3" w:rsidP="009737C3">
            <w:pPr>
              <w:jc w:val="right"/>
              <w:rPr>
                <w:color w:val="000000"/>
                <w:sz w:val="20"/>
                <w:szCs w:val="20"/>
              </w:rPr>
            </w:pPr>
            <w:r w:rsidRPr="009737C3">
              <w:rPr>
                <w:color w:val="000000"/>
                <w:sz w:val="20"/>
                <w:szCs w:val="20"/>
              </w:rPr>
              <w:t>124.1</w:t>
            </w:r>
          </w:p>
        </w:tc>
        <w:tc>
          <w:tcPr>
            <w:tcW w:w="213" w:type="pct"/>
            <w:shd w:val="clear" w:color="auto" w:fill="auto"/>
            <w:noWrap/>
            <w:tcMar>
              <w:left w:w="28" w:type="dxa"/>
              <w:right w:w="28" w:type="dxa"/>
            </w:tcMar>
            <w:vAlign w:val="center"/>
            <w:hideMark/>
          </w:tcPr>
          <w:p w14:paraId="3F9EDE4F" w14:textId="77777777" w:rsidR="009737C3" w:rsidRPr="009737C3" w:rsidRDefault="009737C3" w:rsidP="009737C3">
            <w:pPr>
              <w:jc w:val="right"/>
              <w:rPr>
                <w:color w:val="000000"/>
                <w:sz w:val="20"/>
                <w:szCs w:val="20"/>
              </w:rPr>
            </w:pPr>
            <w:r w:rsidRPr="009737C3">
              <w:rPr>
                <w:color w:val="000000"/>
                <w:sz w:val="20"/>
                <w:szCs w:val="20"/>
              </w:rPr>
              <w:t>-0.02</w:t>
            </w:r>
          </w:p>
        </w:tc>
        <w:tc>
          <w:tcPr>
            <w:tcW w:w="213" w:type="pct"/>
            <w:shd w:val="clear" w:color="auto" w:fill="auto"/>
            <w:noWrap/>
            <w:tcMar>
              <w:left w:w="28" w:type="dxa"/>
              <w:right w:w="28" w:type="dxa"/>
            </w:tcMar>
            <w:vAlign w:val="center"/>
            <w:hideMark/>
          </w:tcPr>
          <w:p w14:paraId="4CC360CE" w14:textId="77777777" w:rsidR="009737C3" w:rsidRPr="009737C3" w:rsidRDefault="009737C3" w:rsidP="009737C3">
            <w:pPr>
              <w:jc w:val="right"/>
              <w:rPr>
                <w:color w:val="000000"/>
                <w:sz w:val="20"/>
                <w:szCs w:val="20"/>
              </w:rPr>
            </w:pPr>
            <w:r w:rsidRPr="009737C3">
              <w:rPr>
                <w:color w:val="000000"/>
                <w:sz w:val="20"/>
                <w:szCs w:val="20"/>
              </w:rPr>
              <w:t>0.05</w:t>
            </w:r>
          </w:p>
        </w:tc>
        <w:tc>
          <w:tcPr>
            <w:tcW w:w="213" w:type="pct"/>
            <w:shd w:val="clear" w:color="auto" w:fill="auto"/>
            <w:noWrap/>
            <w:tcMar>
              <w:left w:w="28" w:type="dxa"/>
              <w:right w:w="28" w:type="dxa"/>
            </w:tcMar>
            <w:vAlign w:val="center"/>
            <w:hideMark/>
          </w:tcPr>
          <w:p w14:paraId="7E658C15" w14:textId="77777777" w:rsidR="009737C3" w:rsidRPr="009737C3" w:rsidRDefault="009737C3" w:rsidP="009737C3">
            <w:pPr>
              <w:jc w:val="right"/>
              <w:rPr>
                <w:color w:val="000000"/>
                <w:sz w:val="20"/>
                <w:szCs w:val="20"/>
              </w:rPr>
            </w:pPr>
            <w:r w:rsidRPr="009737C3">
              <w:rPr>
                <w:color w:val="000000"/>
                <w:sz w:val="20"/>
                <w:szCs w:val="20"/>
              </w:rPr>
              <w:t>0.1</w:t>
            </w:r>
          </w:p>
        </w:tc>
        <w:tc>
          <w:tcPr>
            <w:tcW w:w="213" w:type="pct"/>
            <w:shd w:val="clear" w:color="auto" w:fill="auto"/>
            <w:noWrap/>
            <w:tcMar>
              <w:left w:w="28" w:type="dxa"/>
              <w:right w:w="28" w:type="dxa"/>
            </w:tcMar>
            <w:vAlign w:val="center"/>
            <w:hideMark/>
          </w:tcPr>
          <w:p w14:paraId="18BC0C40" w14:textId="77777777" w:rsidR="009737C3" w:rsidRPr="009737C3" w:rsidRDefault="009737C3" w:rsidP="009737C3">
            <w:pPr>
              <w:jc w:val="right"/>
              <w:rPr>
                <w:color w:val="000000"/>
                <w:sz w:val="20"/>
                <w:szCs w:val="20"/>
              </w:rPr>
            </w:pPr>
          </w:p>
        </w:tc>
        <w:tc>
          <w:tcPr>
            <w:tcW w:w="213" w:type="pct"/>
            <w:shd w:val="clear" w:color="auto" w:fill="auto"/>
            <w:noWrap/>
            <w:tcMar>
              <w:left w:w="28" w:type="dxa"/>
              <w:right w:w="28" w:type="dxa"/>
            </w:tcMar>
            <w:vAlign w:val="center"/>
            <w:hideMark/>
          </w:tcPr>
          <w:p w14:paraId="012EA83A" w14:textId="77777777" w:rsidR="009737C3" w:rsidRPr="009737C3" w:rsidRDefault="009737C3" w:rsidP="009737C3">
            <w:pPr>
              <w:rPr>
                <w:sz w:val="20"/>
                <w:szCs w:val="20"/>
              </w:rPr>
            </w:pPr>
          </w:p>
        </w:tc>
        <w:tc>
          <w:tcPr>
            <w:tcW w:w="213" w:type="pct"/>
            <w:shd w:val="clear" w:color="auto" w:fill="auto"/>
            <w:noWrap/>
            <w:tcMar>
              <w:left w:w="28" w:type="dxa"/>
              <w:right w:w="28" w:type="dxa"/>
            </w:tcMar>
            <w:vAlign w:val="center"/>
            <w:hideMark/>
          </w:tcPr>
          <w:p w14:paraId="75F87CA7" w14:textId="77777777" w:rsidR="009737C3" w:rsidRPr="009737C3" w:rsidRDefault="009737C3" w:rsidP="009737C3">
            <w:pPr>
              <w:rPr>
                <w:sz w:val="20"/>
                <w:szCs w:val="20"/>
              </w:rPr>
            </w:pPr>
          </w:p>
        </w:tc>
        <w:tc>
          <w:tcPr>
            <w:tcW w:w="213" w:type="pct"/>
            <w:shd w:val="clear" w:color="auto" w:fill="auto"/>
            <w:noWrap/>
            <w:tcMar>
              <w:left w:w="28" w:type="dxa"/>
              <w:right w:w="28" w:type="dxa"/>
            </w:tcMar>
            <w:vAlign w:val="center"/>
            <w:hideMark/>
          </w:tcPr>
          <w:p w14:paraId="58D30CBA" w14:textId="77777777" w:rsidR="009737C3" w:rsidRPr="009737C3" w:rsidRDefault="009737C3" w:rsidP="009737C3">
            <w:pPr>
              <w:rPr>
                <w:sz w:val="20"/>
                <w:szCs w:val="20"/>
              </w:rPr>
            </w:pPr>
          </w:p>
        </w:tc>
        <w:tc>
          <w:tcPr>
            <w:tcW w:w="213" w:type="pct"/>
            <w:shd w:val="clear" w:color="auto" w:fill="auto"/>
            <w:noWrap/>
            <w:tcMar>
              <w:left w:w="28" w:type="dxa"/>
              <w:right w:w="28" w:type="dxa"/>
            </w:tcMar>
            <w:vAlign w:val="center"/>
            <w:hideMark/>
          </w:tcPr>
          <w:p w14:paraId="339C1CE7" w14:textId="77777777" w:rsidR="009737C3" w:rsidRPr="009737C3" w:rsidRDefault="009737C3" w:rsidP="009737C3">
            <w:pPr>
              <w:rPr>
                <w:sz w:val="20"/>
                <w:szCs w:val="20"/>
              </w:rPr>
            </w:pPr>
          </w:p>
        </w:tc>
        <w:tc>
          <w:tcPr>
            <w:tcW w:w="213" w:type="pct"/>
            <w:shd w:val="clear" w:color="auto" w:fill="auto"/>
            <w:noWrap/>
            <w:tcMar>
              <w:left w:w="28" w:type="dxa"/>
              <w:right w:w="28" w:type="dxa"/>
            </w:tcMar>
            <w:vAlign w:val="center"/>
            <w:hideMark/>
          </w:tcPr>
          <w:p w14:paraId="070DA1E3"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31083E62"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244E02EE"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5FD32952"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42E505DB" w14:textId="77777777" w:rsidR="009737C3" w:rsidRPr="009737C3" w:rsidRDefault="009737C3" w:rsidP="009737C3">
            <w:pPr>
              <w:rPr>
                <w:sz w:val="20"/>
                <w:szCs w:val="20"/>
              </w:rPr>
            </w:pPr>
          </w:p>
        </w:tc>
        <w:tc>
          <w:tcPr>
            <w:tcW w:w="199" w:type="pct"/>
            <w:shd w:val="clear" w:color="auto" w:fill="auto"/>
            <w:noWrap/>
            <w:tcMar>
              <w:left w:w="28" w:type="dxa"/>
              <w:right w:w="28" w:type="dxa"/>
            </w:tcMar>
            <w:vAlign w:val="center"/>
            <w:hideMark/>
          </w:tcPr>
          <w:p w14:paraId="671E7EF1" w14:textId="77777777" w:rsidR="009737C3" w:rsidRPr="009737C3" w:rsidRDefault="009737C3" w:rsidP="009737C3">
            <w:pPr>
              <w:rPr>
                <w:sz w:val="20"/>
                <w:szCs w:val="20"/>
              </w:rPr>
            </w:pPr>
          </w:p>
        </w:tc>
      </w:tr>
      <w:tr w:rsidR="00A94550" w:rsidRPr="00E95955" w14:paraId="30B960C0" w14:textId="77777777" w:rsidTr="00A94550">
        <w:trPr>
          <w:trHeight w:val="260"/>
        </w:trPr>
        <w:tc>
          <w:tcPr>
            <w:tcW w:w="152" w:type="pct"/>
            <w:shd w:val="clear" w:color="auto" w:fill="auto"/>
            <w:noWrap/>
            <w:tcMar>
              <w:left w:w="28" w:type="dxa"/>
              <w:right w:w="28" w:type="dxa"/>
            </w:tcMar>
            <w:vAlign w:val="center"/>
            <w:hideMark/>
          </w:tcPr>
          <w:p w14:paraId="420F973E" w14:textId="77777777" w:rsidR="009737C3" w:rsidRPr="009737C3" w:rsidRDefault="009737C3" w:rsidP="009737C3">
            <w:pPr>
              <w:jc w:val="right"/>
              <w:rPr>
                <w:color w:val="000000"/>
                <w:sz w:val="20"/>
                <w:szCs w:val="20"/>
              </w:rPr>
            </w:pPr>
            <w:r w:rsidRPr="009737C3">
              <w:rPr>
                <w:color w:val="000000"/>
                <w:sz w:val="20"/>
                <w:szCs w:val="20"/>
              </w:rPr>
              <w:t>5</w:t>
            </w:r>
          </w:p>
        </w:tc>
        <w:tc>
          <w:tcPr>
            <w:tcW w:w="940" w:type="pct"/>
            <w:shd w:val="clear" w:color="auto" w:fill="auto"/>
            <w:noWrap/>
            <w:tcMar>
              <w:left w:w="28" w:type="dxa"/>
              <w:right w:w="28" w:type="dxa"/>
            </w:tcMar>
            <w:vAlign w:val="center"/>
            <w:hideMark/>
          </w:tcPr>
          <w:p w14:paraId="6B2A007C" w14:textId="77777777" w:rsidR="009737C3" w:rsidRPr="009737C3" w:rsidRDefault="009737C3" w:rsidP="009737C3">
            <w:pPr>
              <w:rPr>
                <w:color w:val="000000"/>
                <w:sz w:val="20"/>
                <w:szCs w:val="20"/>
              </w:rPr>
            </w:pPr>
            <w:r w:rsidRPr="009737C3">
              <w:rPr>
                <w:color w:val="000000"/>
                <w:sz w:val="20"/>
                <w:szCs w:val="20"/>
              </w:rPr>
              <w:t>Size</w:t>
            </w:r>
          </w:p>
        </w:tc>
        <w:tc>
          <w:tcPr>
            <w:tcW w:w="213" w:type="pct"/>
            <w:shd w:val="clear" w:color="auto" w:fill="auto"/>
            <w:noWrap/>
            <w:tcMar>
              <w:left w:w="28" w:type="dxa"/>
              <w:right w:w="28" w:type="dxa"/>
            </w:tcMar>
            <w:vAlign w:val="center"/>
            <w:hideMark/>
          </w:tcPr>
          <w:p w14:paraId="45618284" w14:textId="77777777" w:rsidR="009737C3" w:rsidRPr="009737C3" w:rsidRDefault="009737C3" w:rsidP="009737C3">
            <w:pPr>
              <w:jc w:val="right"/>
              <w:rPr>
                <w:color w:val="000000"/>
                <w:sz w:val="20"/>
                <w:szCs w:val="20"/>
              </w:rPr>
            </w:pPr>
            <w:r w:rsidRPr="009737C3">
              <w:rPr>
                <w:color w:val="000000"/>
                <w:sz w:val="20"/>
                <w:szCs w:val="20"/>
              </w:rPr>
              <w:t>15.65</w:t>
            </w:r>
          </w:p>
        </w:tc>
        <w:tc>
          <w:tcPr>
            <w:tcW w:w="220" w:type="pct"/>
            <w:shd w:val="clear" w:color="auto" w:fill="auto"/>
            <w:noWrap/>
            <w:tcMar>
              <w:left w:w="28" w:type="dxa"/>
              <w:right w:w="28" w:type="dxa"/>
            </w:tcMar>
            <w:vAlign w:val="center"/>
            <w:hideMark/>
          </w:tcPr>
          <w:p w14:paraId="48D8EA54" w14:textId="77777777" w:rsidR="009737C3" w:rsidRPr="009737C3" w:rsidRDefault="009737C3" w:rsidP="009737C3">
            <w:pPr>
              <w:jc w:val="right"/>
              <w:rPr>
                <w:color w:val="000000"/>
                <w:sz w:val="20"/>
                <w:szCs w:val="20"/>
              </w:rPr>
            </w:pPr>
            <w:r w:rsidRPr="009737C3">
              <w:rPr>
                <w:color w:val="000000"/>
                <w:sz w:val="20"/>
                <w:szCs w:val="20"/>
              </w:rPr>
              <w:t>2.29</w:t>
            </w:r>
          </w:p>
        </w:tc>
        <w:tc>
          <w:tcPr>
            <w:tcW w:w="212" w:type="pct"/>
            <w:shd w:val="clear" w:color="auto" w:fill="auto"/>
            <w:noWrap/>
            <w:tcMar>
              <w:left w:w="28" w:type="dxa"/>
              <w:right w:w="28" w:type="dxa"/>
            </w:tcMar>
            <w:vAlign w:val="center"/>
            <w:hideMark/>
          </w:tcPr>
          <w:p w14:paraId="44A27354" w14:textId="77777777" w:rsidR="009737C3" w:rsidRPr="009737C3" w:rsidRDefault="009737C3" w:rsidP="009737C3">
            <w:pPr>
              <w:jc w:val="right"/>
              <w:rPr>
                <w:color w:val="000000"/>
                <w:sz w:val="20"/>
                <w:szCs w:val="20"/>
              </w:rPr>
            </w:pPr>
            <w:r w:rsidRPr="009737C3">
              <w:rPr>
                <w:color w:val="000000"/>
                <w:sz w:val="20"/>
                <w:szCs w:val="20"/>
              </w:rPr>
              <w:t>6.85</w:t>
            </w:r>
          </w:p>
        </w:tc>
        <w:tc>
          <w:tcPr>
            <w:tcW w:w="292" w:type="pct"/>
            <w:shd w:val="clear" w:color="auto" w:fill="auto"/>
            <w:noWrap/>
            <w:tcMar>
              <w:left w:w="28" w:type="dxa"/>
              <w:right w:w="28" w:type="dxa"/>
            </w:tcMar>
            <w:vAlign w:val="center"/>
            <w:hideMark/>
          </w:tcPr>
          <w:p w14:paraId="272F3D0D" w14:textId="77777777" w:rsidR="009737C3" w:rsidRPr="009737C3" w:rsidRDefault="009737C3" w:rsidP="009737C3">
            <w:pPr>
              <w:jc w:val="right"/>
              <w:rPr>
                <w:color w:val="000000"/>
                <w:sz w:val="20"/>
                <w:szCs w:val="20"/>
              </w:rPr>
            </w:pPr>
            <w:r w:rsidRPr="009737C3">
              <w:rPr>
                <w:color w:val="000000"/>
                <w:sz w:val="20"/>
                <w:szCs w:val="20"/>
              </w:rPr>
              <w:t>23.03</w:t>
            </w:r>
          </w:p>
        </w:tc>
        <w:tc>
          <w:tcPr>
            <w:tcW w:w="213" w:type="pct"/>
            <w:shd w:val="clear" w:color="auto" w:fill="auto"/>
            <w:noWrap/>
            <w:tcMar>
              <w:left w:w="28" w:type="dxa"/>
              <w:right w:w="28" w:type="dxa"/>
            </w:tcMar>
            <w:vAlign w:val="center"/>
            <w:hideMark/>
          </w:tcPr>
          <w:p w14:paraId="5A45E5E6" w14:textId="77777777" w:rsidR="009737C3" w:rsidRPr="009737C3" w:rsidRDefault="009737C3" w:rsidP="009737C3">
            <w:pPr>
              <w:jc w:val="right"/>
              <w:rPr>
                <w:color w:val="000000"/>
                <w:sz w:val="20"/>
                <w:szCs w:val="20"/>
              </w:rPr>
            </w:pPr>
            <w:r w:rsidRPr="009737C3">
              <w:rPr>
                <w:color w:val="000000"/>
                <w:sz w:val="20"/>
                <w:szCs w:val="20"/>
              </w:rPr>
              <w:t>0.08</w:t>
            </w:r>
          </w:p>
        </w:tc>
        <w:tc>
          <w:tcPr>
            <w:tcW w:w="213" w:type="pct"/>
            <w:shd w:val="clear" w:color="auto" w:fill="auto"/>
            <w:noWrap/>
            <w:tcMar>
              <w:left w:w="28" w:type="dxa"/>
              <w:right w:w="28" w:type="dxa"/>
            </w:tcMar>
            <w:vAlign w:val="center"/>
            <w:hideMark/>
          </w:tcPr>
          <w:p w14:paraId="4691A203" w14:textId="77777777" w:rsidR="009737C3" w:rsidRPr="009737C3" w:rsidRDefault="009737C3" w:rsidP="009737C3">
            <w:pPr>
              <w:jc w:val="right"/>
              <w:rPr>
                <w:color w:val="000000"/>
                <w:sz w:val="20"/>
                <w:szCs w:val="20"/>
              </w:rPr>
            </w:pPr>
            <w:r w:rsidRPr="009737C3">
              <w:rPr>
                <w:color w:val="000000"/>
                <w:sz w:val="20"/>
                <w:szCs w:val="20"/>
              </w:rPr>
              <w:t>-0.08</w:t>
            </w:r>
          </w:p>
        </w:tc>
        <w:tc>
          <w:tcPr>
            <w:tcW w:w="213" w:type="pct"/>
            <w:shd w:val="clear" w:color="auto" w:fill="auto"/>
            <w:noWrap/>
            <w:tcMar>
              <w:left w:w="28" w:type="dxa"/>
              <w:right w:w="28" w:type="dxa"/>
            </w:tcMar>
            <w:vAlign w:val="center"/>
            <w:hideMark/>
          </w:tcPr>
          <w:p w14:paraId="5C0137C9" w14:textId="77777777" w:rsidR="009737C3" w:rsidRPr="009737C3" w:rsidRDefault="009737C3" w:rsidP="009737C3">
            <w:pPr>
              <w:jc w:val="right"/>
              <w:rPr>
                <w:color w:val="000000"/>
                <w:sz w:val="20"/>
                <w:szCs w:val="20"/>
              </w:rPr>
            </w:pPr>
            <w:r w:rsidRPr="009737C3">
              <w:rPr>
                <w:color w:val="000000"/>
                <w:sz w:val="20"/>
                <w:szCs w:val="20"/>
              </w:rPr>
              <w:t>0.68</w:t>
            </w:r>
          </w:p>
        </w:tc>
        <w:tc>
          <w:tcPr>
            <w:tcW w:w="213" w:type="pct"/>
            <w:shd w:val="clear" w:color="auto" w:fill="auto"/>
            <w:noWrap/>
            <w:tcMar>
              <w:left w:w="28" w:type="dxa"/>
              <w:right w:w="28" w:type="dxa"/>
            </w:tcMar>
            <w:vAlign w:val="center"/>
            <w:hideMark/>
          </w:tcPr>
          <w:p w14:paraId="35C60D09" w14:textId="77777777" w:rsidR="009737C3" w:rsidRPr="009737C3" w:rsidRDefault="009737C3" w:rsidP="009737C3">
            <w:pPr>
              <w:jc w:val="right"/>
              <w:rPr>
                <w:color w:val="000000"/>
                <w:sz w:val="20"/>
                <w:szCs w:val="20"/>
              </w:rPr>
            </w:pPr>
            <w:r w:rsidRPr="009737C3">
              <w:rPr>
                <w:color w:val="000000"/>
                <w:sz w:val="20"/>
                <w:szCs w:val="20"/>
              </w:rPr>
              <w:t>0.14</w:t>
            </w:r>
          </w:p>
        </w:tc>
        <w:tc>
          <w:tcPr>
            <w:tcW w:w="213" w:type="pct"/>
            <w:shd w:val="clear" w:color="auto" w:fill="auto"/>
            <w:noWrap/>
            <w:tcMar>
              <w:left w:w="28" w:type="dxa"/>
              <w:right w:w="28" w:type="dxa"/>
            </w:tcMar>
            <w:vAlign w:val="center"/>
            <w:hideMark/>
          </w:tcPr>
          <w:p w14:paraId="09EEE525" w14:textId="77777777" w:rsidR="009737C3" w:rsidRPr="009737C3" w:rsidRDefault="009737C3" w:rsidP="009737C3">
            <w:pPr>
              <w:jc w:val="right"/>
              <w:rPr>
                <w:color w:val="000000"/>
                <w:sz w:val="20"/>
                <w:szCs w:val="20"/>
              </w:rPr>
            </w:pPr>
          </w:p>
        </w:tc>
        <w:tc>
          <w:tcPr>
            <w:tcW w:w="213" w:type="pct"/>
            <w:shd w:val="clear" w:color="auto" w:fill="auto"/>
            <w:noWrap/>
            <w:tcMar>
              <w:left w:w="28" w:type="dxa"/>
              <w:right w:w="28" w:type="dxa"/>
            </w:tcMar>
            <w:vAlign w:val="center"/>
            <w:hideMark/>
          </w:tcPr>
          <w:p w14:paraId="2CD96BDF" w14:textId="77777777" w:rsidR="009737C3" w:rsidRPr="009737C3" w:rsidRDefault="009737C3" w:rsidP="009737C3">
            <w:pPr>
              <w:rPr>
                <w:sz w:val="20"/>
                <w:szCs w:val="20"/>
              </w:rPr>
            </w:pPr>
          </w:p>
        </w:tc>
        <w:tc>
          <w:tcPr>
            <w:tcW w:w="213" w:type="pct"/>
            <w:shd w:val="clear" w:color="auto" w:fill="auto"/>
            <w:noWrap/>
            <w:tcMar>
              <w:left w:w="28" w:type="dxa"/>
              <w:right w:w="28" w:type="dxa"/>
            </w:tcMar>
            <w:vAlign w:val="center"/>
            <w:hideMark/>
          </w:tcPr>
          <w:p w14:paraId="2C0C2307" w14:textId="77777777" w:rsidR="009737C3" w:rsidRPr="009737C3" w:rsidRDefault="009737C3" w:rsidP="009737C3">
            <w:pPr>
              <w:rPr>
                <w:sz w:val="20"/>
                <w:szCs w:val="20"/>
              </w:rPr>
            </w:pPr>
          </w:p>
        </w:tc>
        <w:tc>
          <w:tcPr>
            <w:tcW w:w="213" w:type="pct"/>
            <w:shd w:val="clear" w:color="auto" w:fill="auto"/>
            <w:noWrap/>
            <w:tcMar>
              <w:left w:w="28" w:type="dxa"/>
              <w:right w:w="28" w:type="dxa"/>
            </w:tcMar>
            <w:vAlign w:val="center"/>
            <w:hideMark/>
          </w:tcPr>
          <w:p w14:paraId="68A8954A" w14:textId="77777777" w:rsidR="009737C3" w:rsidRPr="009737C3" w:rsidRDefault="009737C3" w:rsidP="009737C3">
            <w:pPr>
              <w:rPr>
                <w:sz w:val="20"/>
                <w:szCs w:val="20"/>
              </w:rPr>
            </w:pPr>
          </w:p>
        </w:tc>
        <w:tc>
          <w:tcPr>
            <w:tcW w:w="213" w:type="pct"/>
            <w:shd w:val="clear" w:color="auto" w:fill="auto"/>
            <w:noWrap/>
            <w:tcMar>
              <w:left w:w="28" w:type="dxa"/>
              <w:right w:w="28" w:type="dxa"/>
            </w:tcMar>
            <w:vAlign w:val="center"/>
            <w:hideMark/>
          </w:tcPr>
          <w:p w14:paraId="2674183E"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4ED2CCA0"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0801089F"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2AB45DDB"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648166D5" w14:textId="77777777" w:rsidR="009737C3" w:rsidRPr="009737C3" w:rsidRDefault="009737C3" w:rsidP="009737C3">
            <w:pPr>
              <w:rPr>
                <w:sz w:val="20"/>
                <w:szCs w:val="20"/>
              </w:rPr>
            </w:pPr>
          </w:p>
        </w:tc>
        <w:tc>
          <w:tcPr>
            <w:tcW w:w="199" w:type="pct"/>
            <w:shd w:val="clear" w:color="auto" w:fill="auto"/>
            <w:noWrap/>
            <w:tcMar>
              <w:left w:w="28" w:type="dxa"/>
              <w:right w:w="28" w:type="dxa"/>
            </w:tcMar>
            <w:vAlign w:val="center"/>
            <w:hideMark/>
          </w:tcPr>
          <w:p w14:paraId="5352F622" w14:textId="77777777" w:rsidR="009737C3" w:rsidRPr="009737C3" w:rsidRDefault="009737C3" w:rsidP="009737C3">
            <w:pPr>
              <w:rPr>
                <w:sz w:val="20"/>
                <w:szCs w:val="20"/>
              </w:rPr>
            </w:pPr>
          </w:p>
        </w:tc>
      </w:tr>
      <w:tr w:rsidR="00A94550" w:rsidRPr="00E95955" w14:paraId="68A5D913" w14:textId="77777777" w:rsidTr="00A94550">
        <w:trPr>
          <w:trHeight w:val="260"/>
        </w:trPr>
        <w:tc>
          <w:tcPr>
            <w:tcW w:w="152" w:type="pct"/>
            <w:shd w:val="clear" w:color="auto" w:fill="auto"/>
            <w:noWrap/>
            <w:tcMar>
              <w:left w:w="28" w:type="dxa"/>
              <w:right w:w="28" w:type="dxa"/>
            </w:tcMar>
            <w:vAlign w:val="center"/>
            <w:hideMark/>
          </w:tcPr>
          <w:p w14:paraId="52C17CE4" w14:textId="77777777" w:rsidR="009737C3" w:rsidRPr="009737C3" w:rsidRDefault="009737C3" w:rsidP="009737C3">
            <w:pPr>
              <w:jc w:val="right"/>
              <w:rPr>
                <w:color w:val="000000"/>
                <w:sz w:val="20"/>
                <w:szCs w:val="20"/>
              </w:rPr>
            </w:pPr>
            <w:r w:rsidRPr="009737C3">
              <w:rPr>
                <w:color w:val="000000"/>
                <w:sz w:val="20"/>
                <w:szCs w:val="20"/>
              </w:rPr>
              <w:t>6</w:t>
            </w:r>
          </w:p>
        </w:tc>
        <w:tc>
          <w:tcPr>
            <w:tcW w:w="940" w:type="pct"/>
            <w:shd w:val="clear" w:color="auto" w:fill="auto"/>
            <w:noWrap/>
            <w:tcMar>
              <w:left w:w="28" w:type="dxa"/>
              <w:right w:w="28" w:type="dxa"/>
            </w:tcMar>
            <w:vAlign w:val="center"/>
            <w:hideMark/>
          </w:tcPr>
          <w:p w14:paraId="63E11A2E" w14:textId="77777777" w:rsidR="009737C3" w:rsidRPr="009737C3" w:rsidRDefault="009737C3" w:rsidP="009737C3">
            <w:pPr>
              <w:rPr>
                <w:color w:val="000000"/>
                <w:sz w:val="20"/>
                <w:szCs w:val="20"/>
              </w:rPr>
            </w:pPr>
            <w:r w:rsidRPr="009737C3">
              <w:rPr>
                <w:color w:val="000000"/>
                <w:sz w:val="20"/>
                <w:szCs w:val="20"/>
              </w:rPr>
              <w:t>Age</w:t>
            </w:r>
          </w:p>
        </w:tc>
        <w:tc>
          <w:tcPr>
            <w:tcW w:w="213" w:type="pct"/>
            <w:shd w:val="clear" w:color="auto" w:fill="auto"/>
            <w:noWrap/>
            <w:tcMar>
              <w:left w:w="28" w:type="dxa"/>
              <w:right w:w="28" w:type="dxa"/>
            </w:tcMar>
            <w:vAlign w:val="center"/>
            <w:hideMark/>
          </w:tcPr>
          <w:p w14:paraId="4DB6515E" w14:textId="77777777" w:rsidR="009737C3" w:rsidRPr="009737C3" w:rsidRDefault="009737C3" w:rsidP="009737C3">
            <w:pPr>
              <w:jc w:val="right"/>
              <w:rPr>
                <w:color w:val="000000"/>
                <w:sz w:val="20"/>
                <w:szCs w:val="20"/>
              </w:rPr>
            </w:pPr>
            <w:r w:rsidRPr="009737C3">
              <w:rPr>
                <w:color w:val="000000"/>
                <w:sz w:val="20"/>
                <w:szCs w:val="20"/>
              </w:rPr>
              <w:t>27.27</w:t>
            </w:r>
          </w:p>
        </w:tc>
        <w:tc>
          <w:tcPr>
            <w:tcW w:w="220" w:type="pct"/>
            <w:shd w:val="clear" w:color="auto" w:fill="auto"/>
            <w:noWrap/>
            <w:tcMar>
              <w:left w:w="28" w:type="dxa"/>
              <w:right w:w="28" w:type="dxa"/>
            </w:tcMar>
            <w:vAlign w:val="center"/>
            <w:hideMark/>
          </w:tcPr>
          <w:p w14:paraId="665C6A3F" w14:textId="77777777" w:rsidR="009737C3" w:rsidRPr="009737C3" w:rsidRDefault="009737C3" w:rsidP="009737C3">
            <w:pPr>
              <w:jc w:val="right"/>
              <w:rPr>
                <w:color w:val="000000"/>
                <w:sz w:val="20"/>
                <w:szCs w:val="20"/>
              </w:rPr>
            </w:pPr>
            <w:r w:rsidRPr="009737C3">
              <w:rPr>
                <w:color w:val="000000"/>
                <w:sz w:val="20"/>
                <w:szCs w:val="20"/>
              </w:rPr>
              <w:t>19.93</w:t>
            </w:r>
          </w:p>
        </w:tc>
        <w:tc>
          <w:tcPr>
            <w:tcW w:w="212" w:type="pct"/>
            <w:shd w:val="clear" w:color="auto" w:fill="auto"/>
            <w:noWrap/>
            <w:tcMar>
              <w:left w:w="28" w:type="dxa"/>
              <w:right w:w="28" w:type="dxa"/>
            </w:tcMar>
            <w:vAlign w:val="center"/>
            <w:hideMark/>
          </w:tcPr>
          <w:p w14:paraId="0264F0B2" w14:textId="77777777" w:rsidR="009737C3" w:rsidRPr="009737C3" w:rsidRDefault="009737C3" w:rsidP="009737C3">
            <w:pPr>
              <w:jc w:val="right"/>
              <w:rPr>
                <w:color w:val="000000"/>
                <w:sz w:val="20"/>
                <w:szCs w:val="20"/>
              </w:rPr>
            </w:pPr>
            <w:r w:rsidRPr="009737C3">
              <w:rPr>
                <w:color w:val="000000"/>
                <w:sz w:val="20"/>
                <w:szCs w:val="20"/>
              </w:rPr>
              <w:t>2</w:t>
            </w:r>
          </w:p>
        </w:tc>
        <w:tc>
          <w:tcPr>
            <w:tcW w:w="292" w:type="pct"/>
            <w:shd w:val="clear" w:color="auto" w:fill="auto"/>
            <w:noWrap/>
            <w:tcMar>
              <w:left w:w="28" w:type="dxa"/>
              <w:right w:w="28" w:type="dxa"/>
            </w:tcMar>
            <w:vAlign w:val="center"/>
            <w:hideMark/>
          </w:tcPr>
          <w:p w14:paraId="75728F2A" w14:textId="77777777" w:rsidR="009737C3" w:rsidRPr="009737C3" w:rsidRDefault="009737C3" w:rsidP="009737C3">
            <w:pPr>
              <w:jc w:val="right"/>
              <w:rPr>
                <w:color w:val="000000"/>
                <w:sz w:val="20"/>
                <w:szCs w:val="20"/>
              </w:rPr>
            </w:pPr>
            <w:r w:rsidRPr="009737C3">
              <w:rPr>
                <w:color w:val="000000"/>
                <w:sz w:val="20"/>
                <w:szCs w:val="20"/>
              </w:rPr>
              <w:t>180</w:t>
            </w:r>
          </w:p>
        </w:tc>
        <w:tc>
          <w:tcPr>
            <w:tcW w:w="213" w:type="pct"/>
            <w:shd w:val="clear" w:color="auto" w:fill="auto"/>
            <w:noWrap/>
            <w:tcMar>
              <w:left w:w="28" w:type="dxa"/>
              <w:right w:w="28" w:type="dxa"/>
            </w:tcMar>
            <w:vAlign w:val="center"/>
            <w:hideMark/>
          </w:tcPr>
          <w:p w14:paraId="46EB286F" w14:textId="77777777" w:rsidR="009737C3" w:rsidRPr="009737C3" w:rsidRDefault="009737C3" w:rsidP="009737C3">
            <w:pPr>
              <w:jc w:val="right"/>
              <w:rPr>
                <w:color w:val="000000"/>
                <w:sz w:val="20"/>
                <w:szCs w:val="20"/>
              </w:rPr>
            </w:pPr>
            <w:r w:rsidRPr="009737C3">
              <w:rPr>
                <w:color w:val="000000"/>
                <w:sz w:val="20"/>
                <w:szCs w:val="20"/>
              </w:rPr>
              <w:t>0.04</w:t>
            </w:r>
          </w:p>
        </w:tc>
        <w:tc>
          <w:tcPr>
            <w:tcW w:w="213" w:type="pct"/>
            <w:shd w:val="clear" w:color="auto" w:fill="auto"/>
            <w:noWrap/>
            <w:tcMar>
              <w:left w:w="28" w:type="dxa"/>
              <w:right w:w="28" w:type="dxa"/>
            </w:tcMar>
            <w:vAlign w:val="center"/>
            <w:hideMark/>
          </w:tcPr>
          <w:p w14:paraId="467B0390" w14:textId="77777777" w:rsidR="009737C3" w:rsidRPr="009737C3" w:rsidRDefault="009737C3" w:rsidP="009737C3">
            <w:pPr>
              <w:jc w:val="right"/>
              <w:rPr>
                <w:color w:val="000000"/>
                <w:sz w:val="20"/>
                <w:szCs w:val="20"/>
              </w:rPr>
            </w:pPr>
            <w:r w:rsidRPr="009737C3">
              <w:rPr>
                <w:color w:val="000000"/>
                <w:sz w:val="20"/>
                <w:szCs w:val="20"/>
              </w:rPr>
              <w:t>0.03</w:t>
            </w:r>
          </w:p>
        </w:tc>
        <w:tc>
          <w:tcPr>
            <w:tcW w:w="213" w:type="pct"/>
            <w:shd w:val="clear" w:color="auto" w:fill="auto"/>
            <w:noWrap/>
            <w:tcMar>
              <w:left w:w="28" w:type="dxa"/>
              <w:right w:w="28" w:type="dxa"/>
            </w:tcMar>
            <w:vAlign w:val="center"/>
            <w:hideMark/>
          </w:tcPr>
          <w:p w14:paraId="784491F6" w14:textId="77777777" w:rsidR="009737C3" w:rsidRPr="009737C3" w:rsidRDefault="009737C3" w:rsidP="009737C3">
            <w:pPr>
              <w:jc w:val="right"/>
              <w:rPr>
                <w:color w:val="000000"/>
                <w:sz w:val="20"/>
                <w:szCs w:val="20"/>
              </w:rPr>
            </w:pPr>
            <w:r w:rsidRPr="009737C3">
              <w:rPr>
                <w:color w:val="000000"/>
                <w:sz w:val="20"/>
                <w:szCs w:val="20"/>
              </w:rPr>
              <w:t>0.31</w:t>
            </w:r>
          </w:p>
        </w:tc>
        <w:tc>
          <w:tcPr>
            <w:tcW w:w="213" w:type="pct"/>
            <w:shd w:val="clear" w:color="auto" w:fill="auto"/>
            <w:noWrap/>
            <w:tcMar>
              <w:left w:w="28" w:type="dxa"/>
              <w:right w:w="28" w:type="dxa"/>
            </w:tcMar>
            <w:vAlign w:val="center"/>
            <w:hideMark/>
          </w:tcPr>
          <w:p w14:paraId="79A084B9" w14:textId="77777777" w:rsidR="009737C3" w:rsidRPr="009737C3" w:rsidRDefault="009737C3" w:rsidP="009737C3">
            <w:pPr>
              <w:jc w:val="right"/>
              <w:rPr>
                <w:color w:val="000000"/>
                <w:sz w:val="20"/>
                <w:szCs w:val="20"/>
              </w:rPr>
            </w:pPr>
            <w:r w:rsidRPr="009737C3">
              <w:rPr>
                <w:color w:val="000000"/>
                <w:sz w:val="20"/>
                <w:szCs w:val="20"/>
              </w:rPr>
              <w:t>0.02</w:t>
            </w:r>
          </w:p>
        </w:tc>
        <w:tc>
          <w:tcPr>
            <w:tcW w:w="213" w:type="pct"/>
            <w:shd w:val="clear" w:color="auto" w:fill="auto"/>
            <w:noWrap/>
            <w:tcMar>
              <w:left w:w="28" w:type="dxa"/>
              <w:right w:w="28" w:type="dxa"/>
            </w:tcMar>
            <w:vAlign w:val="center"/>
            <w:hideMark/>
          </w:tcPr>
          <w:p w14:paraId="1E109EE0" w14:textId="77777777" w:rsidR="009737C3" w:rsidRPr="009737C3" w:rsidRDefault="009737C3" w:rsidP="009737C3">
            <w:pPr>
              <w:jc w:val="right"/>
              <w:rPr>
                <w:color w:val="000000"/>
                <w:sz w:val="20"/>
                <w:szCs w:val="20"/>
              </w:rPr>
            </w:pPr>
            <w:r w:rsidRPr="009737C3">
              <w:rPr>
                <w:color w:val="000000"/>
                <w:sz w:val="20"/>
                <w:szCs w:val="20"/>
              </w:rPr>
              <w:t>0.39</w:t>
            </w:r>
          </w:p>
        </w:tc>
        <w:tc>
          <w:tcPr>
            <w:tcW w:w="213" w:type="pct"/>
            <w:shd w:val="clear" w:color="auto" w:fill="auto"/>
            <w:noWrap/>
            <w:tcMar>
              <w:left w:w="28" w:type="dxa"/>
              <w:right w:w="28" w:type="dxa"/>
            </w:tcMar>
            <w:vAlign w:val="center"/>
            <w:hideMark/>
          </w:tcPr>
          <w:p w14:paraId="7EABBFFA" w14:textId="77777777" w:rsidR="009737C3" w:rsidRPr="009737C3" w:rsidRDefault="009737C3" w:rsidP="009737C3">
            <w:pPr>
              <w:jc w:val="right"/>
              <w:rPr>
                <w:color w:val="000000"/>
                <w:sz w:val="20"/>
                <w:szCs w:val="20"/>
              </w:rPr>
            </w:pPr>
          </w:p>
        </w:tc>
        <w:tc>
          <w:tcPr>
            <w:tcW w:w="213" w:type="pct"/>
            <w:shd w:val="clear" w:color="auto" w:fill="auto"/>
            <w:noWrap/>
            <w:tcMar>
              <w:left w:w="28" w:type="dxa"/>
              <w:right w:w="28" w:type="dxa"/>
            </w:tcMar>
            <w:vAlign w:val="center"/>
            <w:hideMark/>
          </w:tcPr>
          <w:p w14:paraId="1DF0DA66" w14:textId="77777777" w:rsidR="009737C3" w:rsidRPr="009737C3" w:rsidRDefault="009737C3" w:rsidP="009737C3">
            <w:pPr>
              <w:rPr>
                <w:sz w:val="20"/>
                <w:szCs w:val="20"/>
              </w:rPr>
            </w:pPr>
          </w:p>
        </w:tc>
        <w:tc>
          <w:tcPr>
            <w:tcW w:w="213" w:type="pct"/>
            <w:shd w:val="clear" w:color="auto" w:fill="auto"/>
            <w:noWrap/>
            <w:tcMar>
              <w:left w:w="28" w:type="dxa"/>
              <w:right w:w="28" w:type="dxa"/>
            </w:tcMar>
            <w:vAlign w:val="center"/>
            <w:hideMark/>
          </w:tcPr>
          <w:p w14:paraId="3BF74935" w14:textId="77777777" w:rsidR="009737C3" w:rsidRPr="009737C3" w:rsidRDefault="009737C3" w:rsidP="009737C3">
            <w:pPr>
              <w:rPr>
                <w:sz w:val="20"/>
                <w:szCs w:val="20"/>
              </w:rPr>
            </w:pPr>
          </w:p>
        </w:tc>
        <w:tc>
          <w:tcPr>
            <w:tcW w:w="213" w:type="pct"/>
            <w:shd w:val="clear" w:color="auto" w:fill="auto"/>
            <w:noWrap/>
            <w:tcMar>
              <w:left w:w="28" w:type="dxa"/>
              <w:right w:w="28" w:type="dxa"/>
            </w:tcMar>
            <w:vAlign w:val="center"/>
            <w:hideMark/>
          </w:tcPr>
          <w:p w14:paraId="18C03B0A"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21A5BEBC"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6E92EC70"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15858318"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3E02F3AE" w14:textId="77777777" w:rsidR="009737C3" w:rsidRPr="009737C3" w:rsidRDefault="009737C3" w:rsidP="009737C3">
            <w:pPr>
              <w:rPr>
                <w:sz w:val="20"/>
                <w:szCs w:val="20"/>
              </w:rPr>
            </w:pPr>
          </w:p>
        </w:tc>
        <w:tc>
          <w:tcPr>
            <w:tcW w:w="199" w:type="pct"/>
            <w:shd w:val="clear" w:color="auto" w:fill="auto"/>
            <w:noWrap/>
            <w:tcMar>
              <w:left w:w="28" w:type="dxa"/>
              <w:right w:w="28" w:type="dxa"/>
            </w:tcMar>
            <w:vAlign w:val="center"/>
            <w:hideMark/>
          </w:tcPr>
          <w:p w14:paraId="124B2A63" w14:textId="77777777" w:rsidR="009737C3" w:rsidRPr="009737C3" w:rsidRDefault="009737C3" w:rsidP="009737C3">
            <w:pPr>
              <w:rPr>
                <w:sz w:val="20"/>
                <w:szCs w:val="20"/>
              </w:rPr>
            </w:pPr>
          </w:p>
        </w:tc>
      </w:tr>
      <w:tr w:rsidR="00A94550" w:rsidRPr="00E95955" w14:paraId="5A658954" w14:textId="77777777" w:rsidTr="00A94550">
        <w:trPr>
          <w:trHeight w:val="260"/>
        </w:trPr>
        <w:tc>
          <w:tcPr>
            <w:tcW w:w="152" w:type="pct"/>
            <w:shd w:val="clear" w:color="auto" w:fill="auto"/>
            <w:noWrap/>
            <w:tcMar>
              <w:left w:w="28" w:type="dxa"/>
              <w:right w:w="28" w:type="dxa"/>
            </w:tcMar>
            <w:vAlign w:val="center"/>
            <w:hideMark/>
          </w:tcPr>
          <w:p w14:paraId="3D85A830" w14:textId="77777777" w:rsidR="009737C3" w:rsidRPr="009737C3" w:rsidRDefault="009737C3" w:rsidP="009737C3">
            <w:pPr>
              <w:jc w:val="right"/>
              <w:rPr>
                <w:color w:val="000000"/>
                <w:sz w:val="20"/>
                <w:szCs w:val="20"/>
              </w:rPr>
            </w:pPr>
            <w:r w:rsidRPr="009737C3">
              <w:rPr>
                <w:color w:val="000000"/>
                <w:sz w:val="20"/>
                <w:szCs w:val="20"/>
              </w:rPr>
              <w:t>7</w:t>
            </w:r>
          </w:p>
        </w:tc>
        <w:tc>
          <w:tcPr>
            <w:tcW w:w="940" w:type="pct"/>
            <w:shd w:val="clear" w:color="auto" w:fill="auto"/>
            <w:noWrap/>
            <w:tcMar>
              <w:left w:w="28" w:type="dxa"/>
              <w:right w:w="28" w:type="dxa"/>
            </w:tcMar>
            <w:vAlign w:val="center"/>
            <w:hideMark/>
          </w:tcPr>
          <w:p w14:paraId="4B91FDB2" w14:textId="77777777" w:rsidR="009737C3" w:rsidRPr="009737C3" w:rsidRDefault="009737C3" w:rsidP="009737C3">
            <w:pPr>
              <w:rPr>
                <w:color w:val="000000"/>
                <w:sz w:val="20"/>
                <w:szCs w:val="20"/>
              </w:rPr>
            </w:pPr>
            <w:r w:rsidRPr="009737C3">
              <w:rPr>
                <w:color w:val="000000"/>
                <w:sz w:val="20"/>
                <w:szCs w:val="20"/>
              </w:rPr>
              <w:t>Human Capital</w:t>
            </w:r>
          </w:p>
        </w:tc>
        <w:tc>
          <w:tcPr>
            <w:tcW w:w="213" w:type="pct"/>
            <w:shd w:val="clear" w:color="auto" w:fill="auto"/>
            <w:noWrap/>
            <w:tcMar>
              <w:left w:w="28" w:type="dxa"/>
              <w:right w:w="28" w:type="dxa"/>
            </w:tcMar>
            <w:vAlign w:val="center"/>
            <w:hideMark/>
          </w:tcPr>
          <w:p w14:paraId="3ABE81B6" w14:textId="77777777" w:rsidR="009737C3" w:rsidRPr="009737C3" w:rsidRDefault="009737C3" w:rsidP="009737C3">
            <w:pPr>
              <w:jc w:val="right"/>
              <w:rPr>
                <w:color w:val="000000"/>
                <w:sz w:val="20"/>
                <w:szCs w:val="20"/>
              </w:rPr>
            </w:pPr>
            <w:r w:rsidRPr="009737C3">
              <w:rPr>
                <w:color w:val="000000"/>
                <w:sz w:val="20"/>
                <w:szCs w:val="20"/>
              </w:rPr>
              <w:t>33.66</w:t>
            </w:r>
          </w:p>
        </w:tc>
        <w:tc>
          <w:tcPr>
            <w:tcW w:w="220" w:type="pct"/>
            <w:shd w:val="clear" w:color="auto" w:fill="auto"/>
            <w:noWrap/>
            <w:tcMar>
              <w:left w:w="28" w:type="dxa"/>
              <w:right w:w="28" w:type="dxa"/>
            </w:tcMar>
            <w:vAlign w:val="center"/>
            <w:hideMark/>
          </w:tcPr>
          <w:p w14:paraId="3982FA1C" w14:textId="77777777" w:rsidR="009737C3" w:rsidRPr="009737C3" w:rsidRDefault="009737C3" w:rsidP="009737C3">
            <w:pPr>
              <w:jc w:val="right"/>
              <w:rPr>
                <w:color w:val="000000"/>
                <w:sz w:val="20"/>
                <w:szCs w:val="20"/>
              </w:rPr>
            </w:pPr>
            <w:r w:rsidRPr="009737C3">
              <w:rPr>
                <w:color w:val="000000"/>
                <w:sz w:val="20"/>
                <w:szCs w:val="20"/>
              </w:rPr>
              <w:t>32.4</w:t>
            </w:r>
          </w:p>
        </w:tc>
        <w:tc>
          <w:tcPr>
            <w:tcW w:w="212" w:type="pct"/>
            <w:shd w:val="clear" w:color="auto" w:fill="auto"/>
            <w:noWrap/>
            <w:tcMar>
              <w:left w:w="28" w:type="dxa"/>
              <w:right w:w="28" w:type="dxa"/>
            </w:tcMar>
            <w:vAlign w:val="center"/>
            <w:hideMark/>
          </w:tcPr>
          <w:p w14:paraId="70C1D996" w14:textId="77777777" w:rsidR="009737C3" w:rsidRPr="009737C3" w:rsidRDefault="009737C3" w:rsidP="009737C3">
            <w:pPr>
              <w:jc w:val="right"/>
              <w:rPr>
                <w:color w:val="000000"/>
                <w:sz w:val="20"/>
                <w:szCs w:val="20"/>
              </w:rPr>
            </w:pPr>
            <w:r w:rsidRPr="009737C3">
              <w:rPr>
                <w:color w:val="000000"/>
                <w:sz w:val="20"/>
                <w:szCs w:val="20"/>
              </w:rPr>
              <w:t>0</w:t>
            </w:r>
          </w:p>
        </w:tc>
        <w:tc>
          <w:tcPr>
            <w:tcW w:w="292" w:type="pct"/>
            <w:shd w:val="clear" w:color="auto" w:fill="auto"/>
            <w:noWrap/>
            <w:tcMar>
              <w:left w:w="28" w:type="dxa"/>
              <w:right w:w="28" w:type="dxa"/>
            </w:tcMar>
            <w:vAlign w:val="center"/>
            <w:hideMark/>
          </w:tcPr>
          <w:p w14:paraId="57C55264" w14:textId="77777777" w:rsidR="009737C3" w:rsidRPr="009737C3" w:rsidRDefault="009737C3" w:rsidP="009737C3">
            <w:pPr>
              <w:jc w:val="right"/>
              <w:rPr>
                <w:color w:val="000000"/>
                <w:sz w:val="20"/>
                <w:szCs w:val="20"/>
              </w:rPr>
            </w:pPr>
            <w:r w:rsidRPr="009737C3">
              <w:rPr>
                <w:color w:val="000000"/>
                <w:sz w:val="20"/>
                <w:szCs w:val="20"/>
              </w:rPr>
              <w:t>100</w:t>
            </w:r>
          </w:p>
        </w:tc>
        <w:tc>
          <w:tcPr>
            <w:tcW w:w="213" w:type="pct"/>
            <w:shd w:val="clear" w:color="auto" w:fill="auto"/>
            <w:noWrap/>
            <w:tcMar>
              <w:left w:w="28" w:type="dxa"/>
              <w:right w:w="28" w:type="dxa"/>
            </w:tcMar>
            <w:vAlign w:val="center"/>
            <w:hideMark/>
          </w:tcPr>
          <w:p w14:paraId="47F6ACC1" w14:textId="77777777" w:rsidR="009737C3" w:rsidRPr="009737C3" w:rsidRDefault="009737C3" w:rsidP="009737C3">
            <w:pPr>
              <w:jc w:val="right"/>
              <w:rPr>
                <w:color w:val="000000"/>
                <w:sz w:val="20"/>
                <w:szCs w:val="20"/>
              </w:rPr>
            </w:pPr>
            <w:r w:rsidRPr="009737C3">
              <w:rPr>
                <w:color w:val="000000"/>
                <w:sz w:val="20"/>
                <w:szCs w:val="20"/>
              </w:rPr>
              <w:t>-0.02</w:t>
            </w:r>
          </w:p>
        </w:tc>
        <w:tc>
          <w:tcPr>
            <w:tcW w:w="213" w:type="pct"/>
            <w:shd w:val="clear" w:color="auto" w:fill="auto"/>
            <w:noWrap/>
            <w:tcMar>
              <w:left w:w="28" w:type="dxa"/>
              <w:right w:w="28" w:type="dxa"/>
            </w:tcMar>
            <w:vAlign w:val="center"/>
            <w:hideMark/>
          </w:tcPr>
          <w:p w14:paraId="5D4E4D91" w14:textId="77777777" w:rsidR="009737C3" w:rsidRPr="009737C3" w:rsidRDefault="009737C3" w:rsidP="009737C3">
            <w:pPr>
              <w:jc w:val="right"/>
              <w:rPr>
                <w:color w:val="000000"/>
                <w:sz w:val="20"/>
                <w:szCs w:val="20"/>
              </w:rPr>
            </w:pPr>
            <w:r w:rsidRPr="009737C3">
              <w:rPr>
                <w:color w:val="000000"/>
                <w:sz w:val="20"/>
                <w:szCs w:val="20"/>
              </w:rPr>
              <w:t>0.1</w:t>
            </w:r>
          </w:p>
        </w:tc>
        <w:tc>
          <w:tcPr>
            <w:tcW w:w="213" w:type="pct"/>
            <w:shd w:val="clear" w:color="auto" w:fill="auto"/>
            <w:noWrap/>
            <w:tcMar>
              <w:left w:w="28" w:type="dxa"/>
              <w:right w:w="28" w:type="dxa"/>
            </w:tcMar>
            <w:vAlign w:val="center"/>
            <w:hideMark/>
          </w:tcPr>
          <w:p w14:paraId="20028B45" w14:textId="77777777" w:rsidR="009737C3" w:rsidRPr="009737C3" w:rsidRDefault="009737C3" w:rsidP="009737C3">
            <w:pPr>
              <w:jc w:val="right"/>
              <w:rPr>
                <w:color w:val="000000"/>
                <w:sz w:val="20"/>
                <w:szCs w:val="20"/>
              </w:rPr>
            </w:pPr>
            <w:r w:rsidRPr="009737C3">
              <w:rPr>
                <w:color w:val="000000"/>
                <w:sz w:val="20"/>
                <w:szCs w:val="20"/>
              </w:rPr>
              <w:t>-0.17</w:t>
            </w:r>
          </w:p>
        </w:tc>
        <w:tc>
          <w:tcPr>
            <w:tcW w:w="213" w:type="pct"/>
            <w:shd w:val="clear" w:color="auto" w:fill="auto"/>
            <w:noWrap/>
            <w:tcMar>
              <w:left w:w="28" w:type="dxa"/>
              <w:right w:w="28" w:type="dxa"/>
            </w:tcMar>
            <w:vAlign w:val="center"/>
            <w:hideMark/>
          </w:tcPr>
          <w:p w14:paraId="1CA59682" w14:textId="77777777" w:rsidR="009737C3" w:rsidRPr="009737C3" w:rsidRDefault="009737C3" w:rsidP="009737C3">
            <w:pPr>
              <w:jc w:val="right"/>
              <w:rPr>
                <w:color w:val="000000"/>
                <w:sz w:val="20"/>
                <w:szCs w:val="20"/>
              </w:rPr>
            </w:pPr>
            <w:r w:rsidRPr="009737C3">
              <w:rPr>
                <w:color w:val="000000"/>
                <w:sz w:val="20"/>
                <w:szCs w:val="20"/>
              </w:rPr>
              <w:t>0.02</w:t>
            </w:r>
          </w:p>
        </w:tc>
        <w:tc>
          <w:tcPr>
            <w:tcW w:w="213" w:type="pct"/>
            <w:shd w:val="clear" w:color="auto" w:fill="auto"/>
            <w:noWrap/>
            <w:tcMar>
              <w:left w:w="28" w:type="dxa"/>
              <w:right w:w="28" w:type="dxa"/>
            </w:tcMar>
            <w:vAlign w:val="center"/>
            <w:hideMark/>
          </w:tcPr>
          <w:p w14:paraId="178BB4CC" w14:textId="77777777" w:rsidR="009737C3" w:rsidRPr="009737C3" w:rsidRDefault="009737C3" w:rsidP="009737C3">
            <w:pPr>
              <w:jc w:val="right"/>
              <w:rPr>
                <w:color w:val="000000"/>
                <w:sz w:val="20"/>
                <w:szCs w:val="20"/>
              </w:rPr>
            </w:pPr>
            <w:r w:rsidRPr="009737C3">
              <w:rPr>
                <w:color w:val="000000"/>
                <w:sz w:val="20"/>
                <w:szCs w:val="20"/>
              </w:rPr>
              <w:t>-0.25</w:t>
            </w:r>
          </w:p>
        </w:tc>
        <w:tc>
          <w:tcPr>
            <w:tcW w:w="213" w:type="pct"/>
            <w:shd w:val="clear" w:color="auto" w:fill="auto"/>
            <w:noWrap/>
            <w:tcMar>
              <w:left w:w="28" w:type="dxa"/>
              <w:right w:w="28" w:type="dxa"/>
            </w:tcMar>
            <w:vAlign w:val="center"/>
            <w:hideMark/>
          </w:tcPr>
          <w:p w14:paraId="65A3B918" w14:textId="77777777" w:rsidR="009737C3" w:rsidRPr="009737C3" w:rsidRDefault="009737C3" w:rsidP="009737C3">
            <w:pPr>
              <w:jc w:val="right"/>
              <w:rPr>
                <w:color w:val="000000"/>
                <w:sz w:val="20"/>
                <w:szCs w:val="20"/>
              </w:rPr>
            </w:pPr>
            <w:r w:rsidRPr="009737C3">
              <w:rPr>
                <w:color w:val="000000"/>
                <w:sz w:val="20"/>
                <w:szCs w:val="20"/>
              </w:rPr>
              <w:t>-0.16</w:t>
            </w:r>
          </w:p>
        </w:tc>
        <w:tc>
          <w:tcPr>
            <w:tcW w:w="213" w:type="pct"/>
            <w:shd w:val="clear" w:color="auto" w:fill="auto"/>
            <w:noWrap/>
            <w:tcMar>
              <w:left w:w="28" w:type="dxa"/>
              <w:right w:w="28" w:type="dxa"/>
            </w:tcMar>
            <w:vAlign w:val="center"/>
            <w:hideMark/>
          </w:tcPr>
          <w:p w14:paraId="5500B665" w14:textId="77777777" w:rsidR="009737C3" w:rsidRPr="009737C3" w:rsidRDefault="009737C3" w:rsidP="009737C3">
            <w:pPr>
              <w:jc w:val="right"/>
              <w:rPr>
                <w:color w:val="000000"/>
                <w:sz w:val="20"/>
                <w:szCs w:val="20"/>
              </w:rPr>
            </w:pPr>
          </w:p>
        </w:tc>
        <w:tc>
          <w:tcPr>
            <w:tcW w:w="213" w:type="pct"/>
            <w:shd w:val="clear" w:color="auto" w:fill="auto"/>
            <w:noWrap/>
            <w:tcMar>
              <w:left w:w="28" w:type="dxa"/>
              <w:right w:w="28" w:type="dxa"/>
            </w:tcMar>
            <w:vAlign w:val="center"/>
            <w:hideMark/>
          </w:tcPr>
          <w:p w14:paraId="17621104" w14:textId="77777777" w:rsidR="009737C3" w:rsidRPr="009737C3" w:rsidRDefault="009737C3" w:rsidP="009737C3">
            <w:pPr>
              <w:rPr>
                <w:sz w:val="20"/>
                <w:szCs w:val="20"/>
              </w:rPr>
            </w:pPr>
          </w:p>
        </w:tc>
        <w:tc>
          <w:tcPr>
            <w:tcW w:w="213" w:type="pct"/>
            <w:shd w:val="clear" w:color="auto" w:fill="auto"/>
            <w:noWrap/>
            <w:tcMar>
              <w:left w:w="28" w:type="dxa"/>
              <w:right w:w="28" w:type="dxa"/>
            </w:tcMar>
            <w:vAlign w:val="center"/>
            <w:hideMark/>
          </w:tcPr>
          <w:p w14:paraId="28339581"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5DFB418A"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0B0E3682"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3B4DD7DE"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345F33CB" w14:textId="77777777" w:rsidR="009737C3" w:rsidRPr="009737C3" w:rsidRDefault="009737C3" w:rsidP="009737C3">
            <w:pPr>
              <w:rPr>
                <w:sz w:val="20"/>
                <w:szCs w:val="20"/>
              </w:rPr>
            </w:pPr>
          </w:p>
        </w:tc>
        <w:tc>
          <w:tcPr>
            <w:tcW w:w="199" w:type="pct"/>
            <w:shd w:val="clear" w:color="auto" w:fill="auto"/>
            <w:noWrap/>
            <w:tcMar>
              <w:left w:w="28" w:type="dxa"/>
              <w:right w:w="28" w:type="dxa"/>
            </w:tcMar>
            <w:vAlign w:val="center"/>
            <w:hideMark/>
          </w:tcPr>
          <w:p w14:paraId="4352CBE9" w14:textId="77777777" w:rsidR="009737C3" w:rsidRPr="009737C3" w:rsidRDefault="009737C3" w:rsidP="009737C3">
            <w:pPr>
              <w:rPr>
                <w:sz w:val="20"/>
                <w:szCs w:val="20"/>
              </w:rPr>
            </w:pPr>
          </w:p>
        </w:tc>
      </w:tr>
      <w:tr w:rsidR="00A94550" w:rsidRPr="00E95955" w14:paraId="22E7FAB3" w14:textId="77777777" w:rsidTr="00A94550">
        <w:trPr>
          <w:trHeight w:val="260"/>
        </w:trPr>
        <w:tc>
          <w:tcPr>
            <w:tcW w:w="152" w:type="pct"/>
            <w:shd w:val="clear" w:color="auto" w:fill="auto"/>
            <w:noWrap/>
            <w:tcMar>
              <w:left w:w="28" w:type="dxa"/>
              <w:right w:w="28" w:type="dxa"/>
            </w:tcMar>
            <w:vAlign w:val="center"/>
            <w:hideMark/>
          </w:tcPr>
          <w:p w14:paraId="045233A3" w14:textId="77777777" w:rsidR="009737C3" w:rsidRPr="009737C3" w:rsidRDefault="009737C3" w:rsidP="009737C3">
            <w:pPr>
              <w:jc w:val="right"/>
              <w:rPr>
                <w:color w:val="000000"/>
                <w:sz w:val="20"/>
                <w:szCs w:val="20"/>
              </w:rPr>
            </w:pPr>
            <w:r w:rsidRPr="009737C3">
              <w:rPr>
                <w:color w:val="000000"/>
                <w:sz w:val="20"/>
                <w:szCs w:val="20"/>
              </w:rPr>
              <w:t>8</w:t>
            </w:r>
          </w:p>
        </w:tc>
        <w:tc>
          <w:tcPr>
            <w:tcW w:w="940" w:type="pct"/>
            <w:shd w:val="clear" w:color="auto" w:fill="auto"/>
            <w:noWrap/>
            <w:tcMar>
              <w:left w:w="28" w:type="dxa"/>
              <w:right w:w="28" w:type="dxa"/>
            </w:tcMar>
            <w:vAlign w:val="center"/>
            <w:hideMark/>
          </w:tcPr>
          <w:p w14:paraId="609398B4" w14:textId="77777777" w:rsidR="009737C3" w:rsidRPr="009737C3" w:rsidRDefault="009737C3" w:rsidP="009737C3">
            <w:pPr>
              <w:rPr>
                <w:color w:val="000000"/>
                <w:sz w:val="20"/>
                <w:szCs w:val="20"/>
              </w:rPr>
            </w:pPr>
            <w:r w:rsidRPr="009737C3">
              <w:rPr>
                <w:color w:val="000000"/>
                <w:sz w:val="20"/>
                <w:szCs w:val="20"/>
              </w:rPr>
              <w:t>R&amp;D intensity</w:t>
            </w:r>
          </w:p>
        </w:tc>
        <w:tc>
          <w:tcPr>
            <w:tcW w:w="213" w:type="pct"/>
            <w:shd w:val="clear" w:color="auto" w:fill="auto"/>
            <w:noWrap/>
            <w:tcMar>
              <w:left w:w="28" w:type="dxa"/>
              <w:right w:w="28" w:type="dxa"/>
            </w:tcMar>
            <w:vAlign w:val="center"/>
            <w:hideMark/>
          </w:tcPr>
          <w:p w14:paraId="19561CD7" w14:textId="77777777" w:rsidR="009737C3" w:rsidRPr="009737C3" w:rsidRDefault="009737C3" w:rsidP="009737C3">
            <w:pPr>
              <w:jc w:val="right"/>
              <w:rPr>
                <w:color w:val="000000"/>
                <w:sz w:val="20"/>
                <w:szCs w:val="20"/>
              </w:rPr>
            </w:pPr>
            <w:r w:rsidRPr="009737C3">
              <w:rPr>
                <w:color w:val="000000"/>
                <w:sz w:val="20"/>
                <w:szCs w:val="20"/>
              </w:rPr>
              <w:t>0</w:t>
            </w:r>
          </w:p>
        </w:tc>
        <w:tc>
          <w:tcPr>
            <w:tcW w:w="220" w:type="pct"/>
            <w:shd w:val="clear" w:color="auto" w:fill="auto"/>
            <w:noWrap/>
            <w:tcMar>
              <w:left w:w="28" w:type="dxa"/>
              <w:right w:w="28" w:type="dxa"/>
            </w:tcMar>
            <w:vAlign w:val="center"/>
            <w:hideMark/>
          </w:tcPr>
          <w:p w14:paraId="179D29B7" w14:textId="77777777" w:rsidR="009737C3" w:rsidRPr="009737C3" w:rsidRDefault="009737C3" w:rsidP="009737C3">
            <w:pPr>
              <w:jc w:val="right"/>
              <w:rPr>
                <w:color w:val="000000"/>
                <w:sz w:val="20"/>
                <w:szCs w:val="20"/>
              </w:rPr>
            </w:pPr>
            <w:r w:rsidRPr="009737C3">
              <w:rPr>
                <w:color w:val="000000"/>
                <w:sz w:val="20"/>
                <w:szCs w:val="20"/>
              </w:rPr>
              <w:t>0.01</w:t>
            </w:r>
          </w:p>
        </w:tc>
        <w:tc>
          <w:tcPr>
            <w:tcW w:w="212" w:type="pct"/>
            <w:shd w:val="clear" w:color="auto" w:fill="auto"/>
            <w:noWrap/>
            <w:tcMar>
              <w:left w:w="28" w:type="dxa"/>
              <w:right w:w="28" w:type="dxa"/>
            </w:tcMar>
            <w:vAlign w:val="center"/>
            <w:hideMark/>
          </w:tcPr>
          <w:p w14:paraId="03562182" w14:textId="77777777" w:rsidR="009737C3" w:rsidRPr="009737C3" w:rsidRDefault="009737C3" w:rsidP="009737C3">
            <w:pPr>
              <w:jc w:val="right"/>
              <w:rPr>
                <w:color w:val="000000"/>
                <w:sz w:val="20"/>
                <w:szCs w:val="20"/>
              </w:rPr>
            </w:pPr>
            <w:r w:rsidRPr="009737C3">
              <w:rPr>
                <w:color w:val="000000"/>
                <w:sz w:val="20"/>
                <w:szCs w:val="20"/>
              </w:rPr>
              <w:t>0</w:t>
            </w:r>
          </w:p>
        </w:tc>
        <w:tc>
          <w:tcPr>
            <w:tcW w:w="292" w:type="pct"/>
            <w:shd w:val="clear" w:color="auto" w:fill="auto"/>
            <w:noWrap/>
            <w:tcMar>
              <w:left w:w="28" w:type="dxa"/>
              <w:right w:w="28" w:type="dxa"/>
            </w:tcMar>
            <w:vAlign w:val="center"/>
            <w:hideMark/>
          </w:tcPr>
          <w:p w14:paraId="1A502B68" w14:textId="77777777" w:rsidR="009737C3" w:rsidRPr="009737C3" w:rsidRDefault="009737C3" w:rsidP="009737C3">
            <w:pPr>
              <w:jc w:val="right"/>
              <w:rPr>
                <w:color w:val="000000"/>
                <w:sz w:val="20"/>
                <w:szCs w:val="20"/>
              </w:rPr>
            </w:pPr>
            <w:r w:rsidRPr="009737C3">
              <w:rPr>
                <w:color w:val="000000"/>
                <w:sz w:val="20"/>
                <w:szCs w:val="20"/>
              </w:rPr>
              <w:t>0.09</w:t>
            </w:r>
          </w:p>
        </w:tc>
        <w:tc>
          <w:tcPr>
            <w:tcW w:w="213" w:type="pct"/>
            <w:shd w:val="clear" w:color="auto" w:fill="auto"/>
            <w:noWrap/>
            <w:tcMar>
              <w:left w:w="28" w:type="dxa"/>
              <w:right w:w="28" w:type="dxa"/>
            </w:tcMar>
            <w:vAlign w:val="center"/>
            <w:hideMark/>
          </w:tcPr>
          <w:p w14:paraId="109DEA95" w14:textId="77777777" w:rsidR="009737C3" w:rsidRPr="009737C3" w:rsidRDefault="009737C3" w:rsidP="009737C3">
            <w:pPr>
              <w:jc w:val="right"/>
              <w:rPr>
                <w:color w:val="000000"/>
                <w:sz w:val="20"/>
                <w:szCs w:val="20"/>
              </w:rPr>
            </w:pPr>
            <w:r w:rsidRPr="009737C3">
              <w:rPr>
                <w:color w:val="000000"/>
                <w:sz w:val="20"/>
                <w:szCs w:val="20"/>
              </w:rPr>
              <w:t>-0.03</w:t>
            </w:r>
          </w:p>
        </w:tc>
        <w:tc>
          <w:tcPr>
            <w:tcW w:w="213" w:type="pct"/>
            <w:shd w:val="clear" w:color="auto" w:fill="auto"/>
            <w:noWrap/>
            <w:tcMar>
              <w:left w:w="28" w:type="dxa"/>
              <w:right w:w="28" w:type="dxa"/>
            </w:tcMar>
            <w:vAlign w:val="center"/>
            <w:hideMark/>
          </w:tcPr>
          <w:p w14:paraId="153D19A4" w14:textId="77777777" w:rsidR="009737C3" w:rsidRPr="009737C3" w:rsidRDefault="009737C3" w:rsidP="009737C3">
            <w:pPr>
              <w:jc w:val="right"/>
              <w:rPr>
                <w:color w:val="000000"/>
                <w:sz w:val="20"/>
                <w:szCs w:val="20"/>
              </w:rPr>
            </w:pPr>
            <w:r w:rsidRPr="009737C3">
              <w:rPr>
                <w:color w:val="000000"/>
                <w:sz w:val="20"/>
                <w:szCs w:val="20"/>
              </w:rPr>
              <w:t>0.01</w:t>
            </w:r>
          </w:p>
        </w:tc>
        <w:tc>
          <w:tcPr>
            <w:tcW w:w="213" w:type="pct"/>
            <w:shd w:val="clear" w:color="auto" w:fill="auto"/>
            <w:noWrap/>
            <w:tcMar>
              <w:left w:w="28" w:type="dxa"/>
              <w:right w:w="28" w:type="dxa"/>
            </w:tcMar>
            <w:vAlign w:val="center"/>
            <w:hideMark/>
          </w:tcPr>
          <w:p w14:paraId="640D754E" w14:textId="77777777" w:rsidR="009737C3" w:rsidRPr="009737C3" w:rsidRDefault="009737C3" w:rsidP="009737C3">
            <w:pPr>
              <w:jc w:val="right"/>
              <w:rPr>
                <w:color w:val="000000"/>
                <w:sz w:val="20"/>
                <w:szCs w:val="20"/>
              </w:rPr>
            </w:pPr>
            <w:r w:rsidRPr="009737C3">
              <w:rPr>
                <w:color w:val="000000"/>
                <w:sz w:val="20"/>
                <w:szCs w:val="20"/>
              </w:rPr>
              <w:t>-0.06</w:t>
            </w:r>
          </w:p>
        </w:tc>
        <w:tc>
          <w:tcPr>
            <w:tcW w:w="213" w:type="pct"/>
            <w:shd w:val="clear" w:color="auto" w:fill="auto"/>
            <w:noWrap/>
            <w:tcMar>
              <w:left w:w="28" w:type="dxa"/>
              <w:right w:w="28" w:type="dxa"/>
            </w:tcMar>
            <w:vAlign w:val="center"/>
            <w:hideMark/>
          </w:tcPr>
          <w:p w14:paraId="735A0B2C" w14:textId="77777777" w:rsidR="009737C3" w:rsidRPr="009737C3" w:rsidRDefault="009737C3" w:rsidP="009737C3">
            <w:pPr>
              <w:jc w:val="right"/>
              <w:rPr>
                <w:color w:val="000000"/>
                <w:sz w:val="20"/>
                <w:szCs w:val="20"/>
              </w:rPr>
            </w:pPr>
            <w:r w:rsidRPr="009737C3">
              <w:rPr>
                <w:color w:val="000000"/>
                <w:sz w:val="20"/>
                <w:szCs w:val="20"/>
              </w:rPr>
              <w:t>-0.02</w:t>
            </w:r>
          </w:p>
        </w:tc>
        <w:tc>
          <w:tcPr>
            <w:tcW w:w="213" w:type="pct"/>
            <w:shd w:val="clear" w:color="auto" w:fill="auto"/>
            <w:noWrap/>
            <w:tcMar>
              <w:left w:w="28" w:type="dxa"/>
              <w:right w:w="28" w:type="dxa"/>
            </w:tcMar>
            <w:vAlign w:val="center"/>
            <w:hideMark/>
          </w:tcPr>
          <w:p w14:paraId="606B8F05" w14:textId="77777777" w:rsidR="009737C3" w:rsidRPr="009737C3" w:rsidRDefault="009737C3" w:rsidP="009737C3">
            <w:pPr>
              <w:jc w:val="right"/>
              <w:rPr>
                <w:color w:val="000000"/>
                <w:sz w:val="20"/>
                <w:szCs w:val="20"/>
              </w:rPr>
            </w:pPr>
            <w:r w:rsidRPr="009737C3">
              <w:rPr>
                <w:color w:val="000000"/>
                <w:sz w:val="20"/>
                <w:szCs w:val="20"/>
              </w:rPr>
              <w:t>-0.16</w:t>
            </w:r>
          </w:p>
        </w:tc>
        <w:tc>
          <w:tcPr>
            <w:tcW w:w="213" w:type="pct"/>
            <w:shd w:val="clear" w:color="auto" w:fill="auto"/>
            <w:noWrap/>
            <w:tcMar>
              <w:left w:w="28" w:type="dxa"/>
              <w:right w:w="28" w:type="dxa"/>
            </w:tcMar>
            <w:vAlign w:val="center"/>
            <w:hideMark/>
          </w:tcPr>
          <w:p w14:paraId="195A8C5C" w14:textId="77777777" w:rsidR="009737C3" w:rsidRPr="009737C3" w:rsidRDefault="009737C3" w:rsidP="009737C3">
            <w:pPr>
              <w:jc w:val="right"/>
              <w:rPr>
                <w:color w:val="000000"/>
                <w:sz w:val="20"/>
                <w:szCs w:val="20"/>
              </w:rPr>
            </w:pPr>
            <w:r w:rsidRPr="009737C3">
              <w:rPr>
                <w:color w:val="000000"/>
                <w:sz w:val="20"/>
                <w:szCs w:val="20"/>
              </w:rPr>
              <w:t>-0.1</w:t>
            </w:r>
          </w:p>
        </w:tc>
        <w:tc>
          <w:tcPr>
            <w:tcW w:w="213" w:type="pct"/>
            <w:shd w:val="clear" w:color="auto" w:fill="auto"/>
            <w:noWrap/>
            <w:tcMar>
              <w:left w:w="28" w:type="dxa"/>
              <w:right w:w="28" w:type="dxa"/>
            </w:tcMar>
            <w:vAlign w:val="center"/>
            <w:hideMark/>
          </w:tcPr>
          <w:p w14:paraId="41C75B38" w14:textId="77777777" w:rsidR="009737C3" w:rsidRPr="009737C3" w:rsidRDefault="009737C3" w:rsidP="009737C3">
            <w:pPr>
              <w:jc w:val="right"/>
              <w:rPr>
                <w:color w:val="000000"/>
                <w:sz w:val="20"/>
                <w:szCs w:val="20"/>
              </w:rPr>
            </w:pPr>
            <w:r w:rsidRPr="009737C3">
              <w:rPr>
                <w:color w:val="000000"/>
                <w:sz w:val="20"/>
                <w:szCs w:val="20"/>
              </w:rPr>
              <w:t>0.28</w:t>
            </w:r>
          </w:p>
        </w:tc>
        <w:tc>
          <w:tcPr>
            <w:tcW w:w="213" w:type="pct"/>
            <w:shd w:val="clear" w:color="auto" w:fill="auto"/>
            <w:noWrap/>
            <w:tcMar>
              <w:left w:w="28" w:type="dxa"/>
              <w:right w:w="28" w:type="dxa"/>
            </w:tcMar>
            <w:vAlign w:val="center"/>
            <w:hideMark/>
          </w:tcPr>
          <w:p w14:paraId="18035D38" w14:textId="77777777" w:rsidR="009737C3" w:rsidRPr="009737C3" w:rsidRDefault="009737C3" w:rsidP="009737C3">
            <w:pPr>
              <w:jc w:val="right"/>
              <w:rPr>
                <w:color w:val="000000"/>
                <w:sz w:val="20"/>
                <w:szCs w:val="20"/>
              </w:rPr>
            </w:pPr>
          </w:p>
        </w:tc>
        <w:tc>
          <w:tcPr>
            <w:tcW w:w="213" w:type="pct"/>
            <w:shd w:val="clear" w:color="auto" w:fill="auto"/>
            <w:noWrap/>
            <w:tcMar>
              <w:left w:w="28" w:type="dxa"/>
              <w:right w:w="28" w:type="dxa"/>
            </w:tcMar>
            <w:vAlign w:val="center"/>
            <w:hideMark/>
          </w:tcPr>
          <w:p w14:paraId="541BFA12"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50555E61"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761280E8"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3EE84409"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6F86DB91" w14:textId="77777777" w:rsidR="009737C3" w:rsidRPr="009737C3" w:rsidRDefault="009737C3" w:rsidP="009737C3">
            <w:pPr>
              <w:rPr>
                <w:sz w:val="20"/>
                <w:szCs w:val="20"/>
              </w:rPr>
            </w:pPr>
          </w:p>
        </w:tc>
        <w:tc>
          <w:tcPr>
            <w:tcW w:w="199" w:type="pct"/>
            <w:shd w:val="clear" w:color="auto" w:fill="auto"/>
            <w:noWrap/>
            <w:tcMar>
              <w:left w:w="28" w:type="dxa"/>
              <w:right w:w="28" w:type="dxa"/>
            </w:tcMar>
            <w:vAlign w:val="center"/>
            <w:hideMark/>
          </w:tcPr>
          <w:p w14:paraId="23A242C3" w14:textId="77777777" w:rsidR="009737C3" w:rsidRPr="009737C3" w:rsidRDefault="009737C3" w:rsidP="009737C3">
            <w:pPr>
              <w:rPr>
                <w:sz w:val="20"/>
                <w:szCs w:val="20"/>
              </w:rPr>
            </w:pPr>
          </w:p>
        </w:tc>
      </w:tr>
      <w:tr w:rsidR="00A94550" w:rsidRPr="00E95955" w14:paraId="29F2DE37" w14:textId="77777777" w:rsidTr="00A94550">
        <w:trPr>
          <w:trHeight w:val="260"/>
        </w:trPr>
        <w:tc>
          <w:tcPr>
            <w:tcW w:w="152" w:type="pct"/>
            <w:shd w:val="clear" w:color="auto" w:fill="auto"/>
            <w:noWrap/>
            <w:tcMar>
              <w:left w:w="28" w:type="dxa"/>
              <w:right w:w="28" w:type="dxa"/>
            </w:tcMar>
            <w:vAlign w:val="center"/>
            <w:hideMark/>
          </w:tcPr>
          <w:p w14:paraId="38895FEC" w14:textId="77777777" w:rsidR="009737C3" w:rsidRPr="009737C3" w:rsidRDefault="009737C3" w:rsidP="009737C3">
            <w:pPr>
              <w:jc w:val="right"/>
              <w:rPr>
                <w:color w:val="000000"/>
                <w:sz w:val="20"/>
                <w:szCs w:val="20"/>
              </w:rPr>
            </w:pPr>
            <w:r w:rsidRPr="009737C3">
              <w:rPr>
                <w:color w:val="000000"/>
                <w:sz w:val="20"/>
                <w:szCs w:val="20"/>
              </w:rPr>
              <w:t>9</w:t>
            </w:r>
          </w:p>
        </w:tc>
        <w:tc>
          <w:tcPr>
            <w:tcW w:w="940" w:type="pct"/>
            <w:shd w:val="clear" w:color="auto" w:fill="auto"/>
            <w:noWrap/>
            <w:tcMar>
              <w:left w:w="28" w:type="dxa"/>
              <w:right w:w="28" w:type="dxa"/>
            </w:tcMar>
            <w:vAlign w:val="center"/>
            <w:hideMark/>
          </w:tcPr>
          <w:p w14:paraId="0931B1BC" w14:textId="77777777" w:rsidR="009737C3" w:rsidRPr="009737C3" w:rsidRDefault="009737C3" w:rsidP="009737C3">
            <w:pPr>
              <w:rPr>
                <w:color w:val="000000"/>
                <w:sz w:val="20"/>
                <w:szCs w:val="20"/>
              </w:rPr>
            </w:pPr>
            <w:r w:rsidRPr="009737C3">
              <w:rPr>
                <w:color w:val="000000"/>
                <w:sz w:val="20"/>
                <w:szCs w:val="20"/>
              </w:rPr>
              <w:t>Product Innovation</w:t>
            </w:r>
          </w:p>
        </w:tc>
        <w:tc>
          <w:tcPr>
            <w:tcW w:w="213" w:type="pct"/>
            <w:shd w:val="clear" w:color="auto" w:fill="auto"/>
            <w:noWrap/>
            <w:tcMar>
              <w:left w:w="28" w:type="dxa"/>
              <w:right w:w="28" w:type="dxa"/>
            </w:tcMar>
            <w:vAlign w:val="center"/>
            <w:hideMark/>
          </w:tcPr>
          <w:p w14:paraId="527C3A55" w14:textId="77777777" w:rsidR="009737C3" w:rsidRPr="009737C3" w:rsidRDefault="009737C3" w:rsidP="009737C3">
            <w:pPr>
              <w:jc w:val="right"/>
              <w:rPr>
                <w:color w:val="000000"/>
                <w:sz w:val="20"/>
                <w:szCs w:val="20"/>
              </w:rPr>
            </w:pPr>
            <w:r w:rsidRPr="009737C3">
              <w:rPr>
                <w:color w:val="000000"/>
                <w:sz w:val="20"/>
                <w:szCs w:val="20"/>
              </w:rPr>
              <w:t>0.57</w:t>
            </w:r>
          </w:p>
        </w:tc>
        <w:tc>
          <w:tcPr>
            <w:tcW w:w="220" w:type="pct"/>
            <w:shd w:val="clear" w:color="auto" w:fill="auto"/>
            <w:noWrap/>
            <w:tcMar>
              <w:left w:w="28" w:type="dxa"/>
              <w:right w:w="28" w:type="dxa"/>
            </w:tcMar>
            <w:vAlign w:val="center"/>
            <w:hideMark/>
          </w:tcPr>
          <w:p w14:paraId="02D6C233" w14:textId="77777777" w:rsidR="009737C3" w:rsidRPr="009737C3" w:rsidRDefault="009737C3" w:rsidP="009737C3">
            <w:pPr>
              <w:jc w:val="right"/>
              <w:rPr>
                <w:color w:val="000000"/>
                <w:sz w:val="20"/>
                <w:szCs w:val="20"/>
              </w:rPr>
            </w:pPr>
            <w:r w:rsidRPr="009737C3">
              <w:rPr>
                <w:color w:val="000000"/>
                <w:sz w:val="20"/>
                <w:szCs w:val="20"/>
              </w:rPr>
              <w:t>0.5</w:t>
            </w:r>
          </w:p>
        </w:tc>
        <w:tc>
          <w:tcPr>
            <w:tcW w:w="212" w:type="pct"/>
            <w:shd w:val="clear" w:color="auto" w:fill="auto"/>
            <w:noWrap/>
            <w:tcMar>
              <w:left w:w="28" w:type="dxa"/>
              <w:right w:w="28" w:type="dxa"/>
            </w:tcMar>
            <w:vAlign w:val="center"/>
            <w:hideMark/>
          </w:tcPr>
          <w:p w14:paraId="03E4C08C" w14:textId="77777777" w:rsidR="009737C3" w:rsidRPr="009737C3" w:rsidRDefault="009737C3" w:rsidP="009737C3">
            <w:pPr>
              <w:jc w:val="right"/>
              <w:rPr>
                <w:color w:val="000000"/>
                <w:sz w:val="20"/>
                <w:szCs w:val="20"/>
              </w:rPr>
            </w:pPr>
            <w:r w:rsidRPr="009737C3">
              <w:rPr>
                <w:color w:val="000000"/>
                <w:sz w:val="20"/>
                <w:szCs w:val="20"/>
              </w:rPr>
              <w:t>0</w:t>
            </w:r>
          </w:p>
        </w:tc>
        <w:tc>
          <w:tcPr>
            <w:tcW w:w="292" w:type="pct"/>
            <w:shd w:val="clear" w:color="auto" w:fill="auto"/>
            <w:noWrap/>
            <w:tcMar>
              <w:left w:w="28" w:type="dxa"/>
              <w:right w:w="28" w:type="dxa"/>
            </w:tcMar>
            <w:vAlign w:val="center"/>
            <w:hideMark/>
          </w:tcPr>
          <w:p w14:paraId="79BB802B" w14:textId="77777777" w:rsidR="009737C3" w:rsidRPr="009737C3" w:rsidRDefault="009737C3" w:rsidP="009737C3">
            <w:pPr>
              <w:jc w:val="right"/>
              <w:rPr>
                <w:color w:val="000000"/>
                <w:sz w:val="20"/>
                <w:szCs w:val="20"/>
              </w:rPr>
            </w:pPr>
            <w:r w:rsidRPr="009737C3">
              <w:rPr>
                <w:color w:val="000000"/>
                <w:sz w:val="20"/>
                <w:szCs w:val="20"/>
              </w:rPr>
              <w:t>1</w:t>
            </w:r>
          </w:p>
        </w:tc>
        <w:tc>
          <w:tcPr>
            <w:tcW w:w="213" w:type="pct"/>
            <w:shd w:val="clear" w:color="auto" w:fill="auto"/>
            <w:noWrap/>
            <w:tcMar>
              <w:left w:w="28" w:type="dxa"/>
              <w:right w:w="28" w:type="dxa"/>
            </w:tcMar>
            <w:vAlign w:val="center"/>
            <w:hideMark/>
          </w:tcPr>
          <w:p w14:paraId="2930E321" w14:textId="77777777" w:rsidR="009737C3" w:rsidRPr="009737C3" w:rsidRDefault="009737C3" w:rsidP="009737C3">
            <w:pPr>
              <w:jc w:val="right"/>
              <w:rPr>
                <w:color w:val="000000"/>
                <w:sz w:val="20"/>
                <w:szCs w:val="20"/>
              </w:rPr>
            </w:pPr>
            <w:r w:rsidRPr="009737C3">
              <w:rPr>
                <w:color w:val="000000"/>
                <w:sz w:val="20"/>
                <w:szCs w:val="20"/>
              </w:rPr>
              <w:t>0.05</w:t>
            </w:r>
          </w:p>
        </w:tc>
        <w:tc>
          <w:tcPr>
            <w:tcW w:w="213" w:type="pct"/>
            <w:shd w:val="clear" w:color="auto" w:fill="auto"/>
            <w:noWrap/>
            <w:tcMar>
              <w:left w:w="28" w:type="dxa"/>
              <w:right w:w="28" w:type="dxa"/>
            </w:tcMar>
            <w:vAlign w:val="center"/>
            <w:hideMark/>
          </w:tcPr>
          <w:p w14:paraId="53863ABC" w14:textId="77777777" w:rsidR="009737C3" w:rsidRPr="009737C3" w:rsidRDefault="009737C3" w:rsidP="009737C3">
            <w:pPr>
              <w:jc w:val="right"/>
              <w:rPr>
                <w:color w:val="000000"/>
                <w:sz w:val="20"/>
                <w:szCs w:val="20"/>
              </w:rPr>
            </w:pPr>
            <w:r w:rsidRPr="009737C3">
              <w:rPr>
                <w:color w:val="000000"/>
                <w:sz w:val="20"/>
                <w:szCs w:val="20"/>
              </w:rPr>
              <w:t>-0.21</w:t>
            </w:r>
          </w:p>
        </w:tc>
        <w:tc>
          <w:tcPr>
            <w:tcW w:w="213" w:type="pct"/>
            <w:shd w:val="clear" w:color="auto" w:fill="auto"/>
            <w:noWrap/>
            <w:tcMar>
              <w:left w:w="28" w:type="dxa"/>
              <w:right w:w="28" w:type="dxa"/>
            </w:tcMar>
            <w:vAlign w:val="center"/>
            <w:hideMark/>
          </w:tcPr>
          <w:p w14:paraId="5F881EA7" w14:textId="77777777" w:rsidR="009737C3" w:rsidRPr="009737C3" w:rsidRDefault="009737C3" w:rsidP="009737C3">
            <w:pPr>
              <w:jc w:val="right"/>
              <w:rPr>
                <w:color w:val="000000"/>
                <w:sz w:val="20"/>
                <w:szCs w:val="20"/>
              </w:rPr>
            </w:pPr>
            <w:r w:rsidRPr="009737C3">
              <w:rPr>
                <w:color w:val="000000"/>
                <w:sz w:val="20"/>
                <w:szCs w:val="20"/>
              </w:rPr>
              <w:t>0.03</w:t>
            </w:r>
          </w:p>
        </w:tc>
        <w:tc>
          <w:tcPr>
            <w:tcW w:w="213" w:type="pct"/>
            <w:shd w:val="clear" w:color="auto" w:fill="auto"/>
            <w:noWrap/>
            <w:tcMar>
              <w:left w:w="28" w:type="dxa"/>
              <w:right w:w="28" w:type="dxa"/>
            </w:tcMar>
            <w:vAlign w:val="center"/>
            <w:hideMark/>
          </w:tcPr>
          <w:p w14:paraId="040CDD24" w14:textId="77777777" w:rsidR="009737C3" w:rsidRPr="009737C3" w:rsidRDefault="009737C3" w:rsidP="009737C3">
            <w:pPr>
              <w:jc w:val="right"/>
              <w:rPr>
                <w:color w:val="000000"/>
                <w:sz w:val="20"/>
                <w:szCs w:val="20"/>
              </w:rPr>
            </w:pPr>
            <w:r w:rsidRPr="009737C3">
              <w:rPr>
                <w:color w:val="000000"/>
                <w:sz w:val="20"/>
                <w:szCs w:val="20"/>
              </w:rPr>
              <w:t>-0.03</w:t>
            </w:r>
          </w:p>
        </w:tc>
        <w:tc>
          <w:tcPr>
            <w:tcW w:w="213" w:type="pct"/>
            <w:shd w:val="clear" w:color="auto" w:fill="auto"/>
            <w:noWrap/>
            <w:tcMar>
              <w:left w:w="28" w:type="dxa"/>
              <w:right w:w="28" w:type="dxa"/>
            </w:tcMar>
            <w:vAlign w:val="center"/>
            <w:hideMark/>
          </w:tcPr>
          <w:p w14:paraId="7C8C53D7" w14:textId="77777777" w:rsidR="009737C3" w:rsidRPr="009737C3" w:rsidRDefault="009737C3" w:rsidP="009737C3">
            <w:pPr>
              <w:jc w:val="right"/>
              <w:rPr>
                <w:color w:val="000000"/>
                <w:sz w:val="20"/>
                <w:szCs w:val="20"/>
              </w:rPr>
            </w:pPr>
            <w:r w:rsidRPr="009737C3">
              <w:rPr>
                <w:color w:val="000000"/>
                <w:sz w:val="20"/>
                <w:szCs w:val="20"/>
              </w:rPr>
              <w:t>0.03</w:t>
            </w:r>
          </w:p>
        </w:tc>
        <w:tc>
          <w:tcPr>
            <w:tcW w:w="213" w:type="pct"/>
            <w:shd w:val="clear" w:color="auto" w:fill="auto"/>
            <w:noWrap/>
            <w:tcMar>
              <w:left w:w="28" w:type="dxa"/>
              <w:right w:w="28" w:type="dxa"/>
            </w:tcMar>
            <w:vAlign w:val="center"/>
            <w:hideMark/>
          </w:tcPr>
          <w:p w14:paraId="2E794DED" w14:textId="77777777" w:rsidR="009737C3" w:rsidRPr="009737C3" w:rsidRDefault="009737C3" w:rsidP="009737C3">
            <w:pPr>
              <w:jc w:val="right"/>
              <w:rPr>
                <w:color w:val="000000"/>
                <w:sz w:val="20"/>
                <w:szCs w:val="20"/>
              </w:rPr>
            </w:pPr>
            <w:r w:rsidRPr="009737C3">
              <w:rPr>
                <w:color w:val="000000"/>
                <w:sz w:val="20"/>
                <w:szCs w:val="20"/>
              </w:rPr>
              <w:t>-0.01</w:t>
            </w:r>
          </w:p>
        </w:tc>
        <w:tc>
          <w:tcPr>
            <w:tcW w:w="213" w:type="pct"/>
            <w:shd w:val="clear" w:color="auto" w:fill="auto"/>
            <w:noWrap/>
            <w:tcMar>
              <w:left w:w="28" w:type="dxa"/>
              <w:right w:w="28" w:type="dxa"/>
            </w:tcMar>
            <w:vAlign w:val="center"/>
            <w:hideMark/>
          </w:tcPr>
          <w:p w14:paraId="7EAF4972" w14:textId="77777777" w:rsidR="009737C3" w:rsidRPr="009737C3" w:rsidRDefault="009737C3" w:rsidP="009737C3">
            <w:pPr>
              <w:jc w:val="right"/>
              <w:rPr>
                <w:color w:val="000000"/>
                <w:sz w:val="20"/>
                <w:szCs w:val="20"/>
              </w:rPr>
            </w:pPr>
            <w:r w:rsidRPr="009737C3">
              <w:rPr>
                <w:color w:val="000000"/>
                <w:sz w:val="20"/>
                <w:szCs w:val="20"/>
              </w:rPr>
              <w:t>0.05</w:t>
            </w:r>
          </w:p>
        </w:tc>
        <w:tc>
          <w:tcPr>
            <w:tcW w:w="213" w:type="pct"/>
            <w:shd w:val="clear" w:color="auto" w:fill="auto"/>
            <w:noWrap/>
            <w:tcMar>
              <w:left w:w="28" w:type="dxa"/>
              <w:right w:w="28" w:type="dxa"/>
            </w:tcMar>
            <w:vAlign w:val="center"/>
            <w:hideMark/>
          </w:tcPr>
          <w:p w14:paraId="25A19E24" w14:textId="77777777" w:rsidR="009737C3" w:rsidRPr="009737C3" w:rsidRDefault="009737C3" w:rsidP="009737C3">
            <w:pPr>
              <w:jc w:val="right"/>
              <w:rPr>
                <w:color w:val="000000"/>
                <w:sz w:val="20"/>
                <w:szCs w:val="20"/>
              </w:rPr>
            </w:pPr>
            <w:r w:rsidRPr="009737C3">
              <w:rPr>
                <w:color w:val="000000"/>
                <w:sz w:val="20"/>
                <w:szCs w:val="20"/>
              </w:rPr>
              <w:t>0.08</w:t>
            </w:r>
          </w:p>
        </w:tc>
        <w:tc>
          <w:tcPr>
            <w:tcW w:w="213" w:type="pct"/>
            <w:shd w:val="clear" w:color="auto" w:fill="auto"/>
            <w:noWrap/>
            <w:tcMar>
              <w:left w:w="28" w:type="dxa"/>
              <w:right w:w="28" w:type="dxa"/>
            </w:tcMar>
            <w:vAlign w:val="center"/>
            <w:hideMark/>
          </w:tcPr>
          <w:p w14:paraId="443C8B24" w14:textId="77777777" w:rsidR="009737C3" w:rsidRPr="009737C3" w:rsidRDefault="009737C3" w:rsidP="009737C3">
            <w:pPr>
              <w:jc w:val="right"/>
              <w:rPr>
                <w:color w:val="000000"/>
                <w:sz w:val="20"/>
                <w:szCs w:val="20"/>
              </w:rPr>
            </w:pPr>
          </w:p>
        </w:tc>
        <w:tc>
          <w:tcPr>
            <w:tcW w:w="214" w:type="pct"/>
            <w:shd w:val="clear" w:color="auto" w:fill="auto"/>
            <w:noWrap/>
            <w:tcMar>
              <w:left w:w="28" w:type="dxa"/>
              <w:right w:w="28" w:type="dxa"/>
            </w:tcMar>
            <w:vAlign w:val="center"/>
            <w:hideMark/>
          </w:tcPr>
          <w:p w14:paraId="61B2C988"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22EA3E00"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0F594671"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6EF0189E" w14:textId="77777777" w:rsidR="009737C3" w:rsidRPr="009737C3" w:rsidRDefault="009737C3" w:rsidP="009737C3">
            <w:pPr>
              <w:rPr>
                <w:sz w:val="20"/>
                <w:szCs w:val="20"/>
              </w:rPr>
            </w:pPr>
          </w:p>
        </w:tc>
        <w:tc>
          <w:tcPr>
            <w:tcW w:w="199" w:type="pct"/>
            <w:shd w:val="clear" w:color="auto" w:fill="auto"/>
            <w:noWrap/>
            <w:tcMar>
              <w:left w:w="28" w:type="dxa"/>
              <w:right w:w="28" w:type="dxa"/>
            </w:tcMar>
            <w:vAlign w:val="center"/>
            <w:hideMark/>
          </w:tcPr>
          <w:p w14:paraId="0BED4EC0" w14:textId="77777777" w:rsidR="009737C3" w:rsidRPr="009737C3" w:rsidRDefault="009737C3" w:rsidP="009737C3">
            <w:pPr>
              <w:rPr>
                <w:sz w:val="20"/>
                <w:szCs w:val="20"/>
              </w:rPr>
            </w:pPr>
          </w:p>
        </w:tc>
      </w:tr>
      <w:tr w:rsidR="00A94550" w:rsidRPr="00E95955" w14:paraId="1B76807B" w14:textId="77777777" w:rsidTr="00A94550">
        <w:trPr>
          <w:trHeight w:val="260"/>
        </w:trPr>
        <w:tc>
          <w:tcPr>
            <w:tcW w:w="152" w:type="pct"/>
            <w:shd w:val="clear" w:color="auto" w:fill="auto"/>
            <w:noWrap/>
            <w:tcMar>
              <w:left w:w="28" w:type="dxa"/>
              <w:right w:w="28" w:type="dxa"/>
            </w:tcMar>
            <w:vAlign w:val="center"/>
            <w:hideMark/>
          </w:tcPr>
          <w:p w14:paraId="65439BE0" w14:textId="77777777" w:rsidR="009737C3" w:rsidRPr="009737C3" w:rsidRDefault="009737C3" w:rsidP="009737C3">
            <w:pPr>
              <w:jc w:val="right"/>
              <w:rPr>
                <w:color w:val="000000"/>
                <w:sz w:val="20"/>
                <w:szCs w:val="20"/>
              </w:rPr>
            </w:pPr>
            <w:r w:rsidRPr="009737C3">
              <w:rPr>
                <w:color w:val="000000"/>
                <w:sz w:val="20"/>
                <w:szCs w:val="20"/>
              </w:rPr>
              <w:t>10</w:t>
            </w:r>
          </w:p>
        </w:tc>
        <w:tc>
          <w:tcPr>
            <w:tcW w:w="940" w:type="pct"/>
            <w:shd w:val="clear" w:color="auto" w:fill="auto"/>
            <w:noWrap/>
            <w:tcMar>
              <w:left w:w="28" w:type="dxa"/>
              <w:right w:w="28" w:type="dxa"/>
            </w:tcMar>
            <w:vAlign w:val="center"/>
            <w:hideMark/>
          </w:tcPr>
          <w:p w14:paraId="6DBFCD8B" w14:textId="77777777" w:rsidR="009737C3" w:rsidRPr="009737C3" w:rsidRDefault="009737C3" w:rsidP="009737C3">
            <w:pPr>
              <w:rPr>
                <w:color w:val="000000"/>
                <w:sz w:val="20"/>
                <w:szCs w:val="20"/>
              </w:rPr>
            </w:pPr>
            <w:r w:rsidRPr="009737C3">
              <w:rPr>
                <w:color w:val="000000"/>
                <w:sz w:val="20"/>
                <w:szCs w:val="20"/>
              </w:rPr>
              <w:t>Process Innovation</w:t>
            </w:r>
          </w:p>
        </w:tc>
        <w:tc>
          <w:tcPr>
            <w:tcW w:w="213" w:type="pct"/>
            <w:shd w:val="clear" w:color="auto" w:fill="auto"/>
            <w:noWrap/>
            <w:tcMar>
              <w:left w:w="28" w:type="dxa"/>
              <w:right w:w="28" w:type="dxa"/>
            </w:tcMar>
            <w:vAlign w:val="center"/>
            <w:hideMark/>
          </w:tcPr>
          <w:p w14:paraId="723D4049" w14:textId="77777777" w:rsidR="009737C3" w:rsidRPr="009737C3" w:rsidRDefault="009737C3" w:rsidP="009737C3">
            <w:pPr>
              <w:jc w:val="right"/>
              <w:rPr>
                <w:color w:val="000000"/>
                <w:sz w:val="20"/>
                <w:szCs w:val="20"/>
              </w:rPr>
            </w:pPr>
            <w:r w:rsidRPr="009737C3">
              <w:rPr>
                <w:color w:val="000000"/>
                <w:sz w:val="20"/>
                <w:szCs w:val="20"/>
              </w:rPr>
              <w:t>0.58</w:t>
            </w:r>
          </w:p>
        </w:tc>
        <w:tc>
          <w:tcPr>
            <w:tcW w:w="220" w:type="pct"/>
            <w:shd w:val="clear" w:color="auto" w:fill="auto"/>
            <w:noWrap/>
            <w:tcMar>
              <w:left w:w="28" w:type="dxa"/>
              <w:right w:w="28" w:type="dxa"/>
            </w:tcMar>
            <w:vAlign w:val="center"/>
            <w:hideMark/>
          </w:tcPr>
          <w:p w14:paraId="32D814DA" w14:textId="77777777" w:rsidR="009737C3" w:rsidRPr="009737C3" w:rsidRDefault="009737C3" w:rsidP="009737C3">
            <w:pPr>
              <w:jc w:val="right"/>
              <w:rPr>
                <w:color w:val="000000"/>
                <w:sz w:val="20"/>
                <w:szCs w:val="20"/>
              </w:rPr>
            </w:pPr>
            <w:r w:rsidRPr="009737C3">
              <w:rPr>
                <w:color w:val="000000"/>
                <w:sz w:val="20"/>
                <w:szCs w:val="20"/>
              </w:rPr>
              <w:t>0.49</w:t>
            </w:r>
          </w:p>
        </w:tc>
        <w:tc>
          <w:tcPr>
            <w:tcW w:w="212" w:type="pct"/>
            <w:shd w:val="clear" w:color="auto" w:fill="auto"/>
            <w:noWrap/>
            <w:tcMar>
              <w:left w:w="28" w:type="dxa"/>
              <w:right w:w="28" w:type="dxa"/>
            </w:tcMar>
            <w:vAlign w:val="center"/>
            <w:hideMark/>
          </w:tcPr>
          <w:p w14:paraId="26A4AB11" w14:textId="77777777" w:rsidR="009737C3" w:rsidRPr="009737C3" w:rsidRDefault="009737C3" w:rsidP="009737C3">
            <w:pPr>
              <w:jc w:val="right"/>
              <w:rPr>
                <w:color w:val="000000"/>
                <w:sz w:val="20"/>
                <w:szCs w:val="20"/>
              </w:rPr>
            </w:pPr>
            <w:r w:rsidRPr="009737C3">
              <w:rPr>
                <w:color w:val="000000"/>
                <w:sz w:val="20"/>
                <w:szCs w:val="20"/>
              </w:rPr>
              <w:t>0</w:t>
            </w:r>
          </w:p>
        </w:tc>
        <w:tc>
          <w:tcPr>
            <w:tcW w:w="292" w:type="pct"/>
            <w:shd w:val="clear" w:color="auto" w:fill="auto"/>
            <w:noWrap/>
            <w:tcMar>
              <w:left w:w="28" w:type="dxa"/>
              <w:right w:w="28" w:type="dxa"/>
            </w:tcMar>
            <w:vAlign w:val="center"/>
            <w:hideMark/>
          </w:tcPr>
          <w:p w14:paraId="164363AD" w14:textId="77777777" w:rsidR="009737C3" w:rsidRPr="009737C3" w:rsidRDefault="009737C3" w:rsidP="009737C3">
            <w:pPr>
              <w:jc w:val="right"/>
              <w:rPr>
                <w:color w:val="000000"/>
                <w:sz w:val="20"/>
                <w:szCs w:val="20"/>
              </w:rPr>
            </w:pPr>
            <w:r w:rsidRPr="009737C3">
              <w:rPr>
                <w:color w:val="000000"/>
                <w:sz w:val="20"/>
                <w:szCs w:val="20"/>
              </w:rPr>
              <w:t>1</w:t>
            </w:r>
          </w:p>
        </w:tc>
        <w:tc>
          <w:tcPr>
            <w:tcW w:w="213" w:type="pct"/>
            <w:shd w:val="clear" w:color="auto" w:fill="auto"/>
            <w:noWrap/>
            <w:tcMar>
              <w:left w:w="28" w:type="dxa"/>
              <w:right w:w="28" w:type="dxa"/>
            </w:tcMar>
            <w:vAlign w:val="center"/>
            <w:hideMark/>
          </w:tcPr>
          <w:p w14:paraId="325395AD" w14:textId="77777777" w:rsidR="009737C3" w:rsidRPr="009737C3" w:rsidRDefault="009737C3" w:rsidP="009737C3">
            <w:pPr>
              <w:jc w:val="right"/>
              <w:rPr>
                <w:color w:val="000000"/>
                <w:sz w:val="20"/>
                <w:szCs w:val="20"/>
              </w:rPr>
            </w:pPr>
            <w:r w:rsidRPr="009737C3">
              <w:rPr>
                <w:color w:val="000000"/>
                <w:sz w:val="20"/>
                <w:szCs w:val="20"/>
              </w:rPr>
              <w:t>0.03</w:t>
            </w:r>
          </w:p>
        </w:tc>
        <w:tc>
          <w:tcPr>
            <w:tcW w:w="213" w:type="pct"/>
            <w:shd w:val="clear" w:color="auto" w:fill="auto"/>
            <w:noWrap/>
            <w:tcMar>
              <w:left w:w="28" w:type="dxa"/>
              <w:right w:w="28" w:type="dxa"/>
            </w:tcMar>
            <w:vAlign w:val="center"/>
            <w:hideMark/>
          </w:tcPr>
          <w:p w14:paraId="4BA1DFAB" w14:textId="77777777" w:rsidR="009737C3" w:rsidRPr="009737C3" w:rsidRDefault="009737C3" w:rsidP="009737C3">
            <w:pPr>
              <w:jc w:val="right"/>
              <w:rPr>
                <w:color w:val="000000"/>
                <w:sz w:val="20"/>
                <w:szCs w:val="20"/>
              </w:rPr>
            </w:pPr>
            <w:r w:rsidRPr="009737C3">
              <w:rPr>
                <w:color w:val="000000"/>
                <w:sz w:val="20"/>
                <w:szCs w:val="20"/>
              </w:rPr>
              <w:t>-0.19</w:t>
            </w:r>
          </w:p>
        </w:tc>
        <w:tc>
          <w:tcPr>
            <w:tcW w:w="213" w:type="pct"/>
            <w:shd w:val="clear" w:color="auto" w:fill="auto"/>
            <w:noWrap/>
            <w:tcMar>
              <w:left w:w="28" w:type="dxa"/>
              <w:right w:w="28" w:type="dxa"/>
            </w:tcMar>
            <w:vAlign w:val="center"/>
            <w:hideMark/>
          </w:tcPr>
          <w:p w14:paraId="1C0E8A73" w14:textId="77777777" w:rsidR="009737C3" w:rsidRPr="009737C3" w:rsidRDefault="009737C3" w:rsidP="009737C3">
            <w:pPr>
              <w:jc w:val="right"/>
              <w:rPr>
                <w:color w:val="000000"/>
                <w:sz w:val="20"/>
                <w:szCs w:val="20"/>
              </w:rPr>
            </w:pPr>
            <w:r w:rsidRPr="009737C3">
              <w:rPr>
                <w:color w:val="000000"/>
                <w:sz w:val="20"/>
                <w:szCs w:val="20"/>
              </w:rPr>
              <w:t>0.1</w:t>
            </w:r>
          </w:p>
        </w:tc>
        <w:tc>
          <w:tcPr>
            <w:tcW w:w="213" w:type="pct"/>
            <w:shd w:val="clear" w:color="auto" w:fill="auto"/>
            <w:noWrap/>
            <w:tcMar>
              <w:left w:w="28" w:type="dxa"/>
              <w:right w:w="28" w:type="dxa"/>
            </w:tcMar>
            <w:vAlign w:val="center"/>
            <w:hideMark/>
          </w:tcPr>
          <w:p w14:paraId="74E223C2" w14:textId="77777777" w:rsidR="009737C3" w:rsidRPr="009737C3" w:rsidRDefault="009737C3" w:rsidP="009737C3">
            <w:pPr>
              <w:jc w:val="right"/>
              <w:rPr>
                <w:color w:val="000000"/>
                <w:sz w:val="20"/>
                <w:szCs w:val="20"/>
              </w:rPr>
            </w:pPr>
            <w:r w:rsidRPr="009737C3">
              <w:rPr>
                <w:color w:val="000000"/>
                <w:sz w:val="20"/>
                <w:szCs w:val="20"/>
              </w:rPr>
              <w:t>-0.02</w:t>
            </w:r>
          </w:p>
        </w:tc>
        <w:tc>
          <w:tcPr>
            <w:tcW w:w="213" w:type="pct"/>
            <w:shd w:val="clear" w:color="auto" w:fill="auto"/>
            <w:noWrap/>
            <w:tcMar>
              <w:left w:w="28" w:type="dxa"/>
              <w:right w:w="28" w:type="dxa"/>
            </w:tcMar>
            <w:vAlign w:val="center"/>
            <w:hideMark/>
          </w:tcPr>
          <w:p w14:paraId="2282BC58" w14:textId="77777777" w:rsidR="009737C3" w:rsidRPr="009737C3" w:rsidRDefault="009737C3" w:rsidP="009737C3">
            <w:pPr>
              <w:jc w:val="right"/>
              <w:rPr>
                <w:color w:val="000000"/>
                <w:sz w:val="20"/>
                <w:szCs w:val="20"/>
              </w:rPr>
            </w:pPr>
            <w:r w:rsidRPr="009737C3">
              <w:rPr>
                <w:color w:val="000000"/>
                <w:sz w:val="20"/>
                <w:szCs w:val="20"/>
              </w:rPr>
              <w:t>0.16</w:t>
            </w:r>
          </w:p>
        </w:tc>
        <w:tc>
          <w:tcPr>
            <w:tcW w:w="213" w:type="pct"/>
            <w:shd w:val="clear" w:color="auto" w:fill="auto"/>
            <w:noWrap/>
            <w:tcMar>
              <w:left w:w="28" w:type="dxa"/>
              <w:right w:w="28" w:type="dxa"/>
            </w:tcMar>
            <w:vAlign w:val="center"/>
            <w:hideMark/>
          </w:tcPr>
          <w:p w14:paraId="0C8040FB" w14:textId="77777777" w:rsidR="009737C3" w:rsidRPr="009737C3" w:rsidRDefault="009737C3" w:rsidP="009737C3">
            <w:pPr>
              <w:jc w:val="right"/>
              <w:rPr>
                <w:color w:val="000000"/>
                <w:sz w:val="20"/>
                <w:szCs w:val="20"/>
              </w:rPr>
            </w:pPr>
            <w:r w:rsidRPr="009737C3">
              <w:rPr>
                <w:color w:val="000000"/>
                <w:sz w:val="20"/>
                <w:szCs w:val="20"/>
              </w:rPr>
              <w:t>0.04</w:t>
            </w:r>
          </w:p>
        </w:tc>
        <w:tc>
          <w:tcPr>
            <w:tcW w:w="213" w:type="pct"/>
            <w:shd w:val="clear" w:color="auto" w:fill="auto"/>
            <w:noWrap/>
            <w:tcMar>
              <w:left w:w="28" w:type="dxa"/>
              <w:right w:w="28" w:type="dxa"/>
            </w:tcMar>
            <w:vAlign w:val="center"/>
            <w:hideMark/>
          </w:tcPr>
          <w:p w14:paraId="2F499BD3" w14:textId="77777777" w:rsidR="009737C3" w:rsidRPr="009737C3" w:rsidRDefault="009737C3" w:rsidP="009737C3">
            <w:pPr>
              <w:jc w:val="right"/>
              <w:rPr>
                <w:color w:val="000000"/>
                <w:sz w:val="20"/>
                <w:szCs w:val="20"/>
              </w:rPr>
            </w:pPr>
            <w:r w:rsidRPr="009737C3">
              <w:rPr>
                <w:color w:val="000000"/>
                <w:sz w:val="20"/>
                <w:szCs w:val="20"/>
              </w:rPr>
              <w:t>-0.05</w:t>
            </w:r>
          </w:p>
        </w:tc>
        <w:tc>
          <w:tcPr>
            <w:tcW w:w="213" w:type="pct"/>
            <w:shd w:val="clear" w:color="auto" w:fill="auto"/>
            <w:noWrap/>
            <w:tcMar>
              <w:left w:w="28" w:type="dxa"/>
              <w:right w:w="28" w:type="dxa"/>
            </w:tcMar>
            <w:vAlign w:val="center"/>
            <w:hideMark/>
          </w:tcPr>
          <w:p w14:paraId="35EBC1CC" w14:textId="77777777" w:rsidR="009737C3" w:rsidRPr="009737C3" w:rsidRDefault="009737C3" w:rsidP="009737C3">
            <w:pPr>
              <w:jc w:val="right"/>
              <w:rPr>
                <w:color w:val="000000"/>
                <w:sz w:val="20"/>
                <w:szCs w:val="20"/>
              </w:rPr>
            </w:pPr>
            <w:r w:rsidRPr="009737C3">
              <w:rPr>
                <w:color w:val="000000"/>
                <w:sz w:val="20"/>
                <w:szCs w:val="20"/>
              </w:rPr>
              <w:t>-0.05</w:t>
            </w:r>
          </w:p>
        </w:tc>
        <w:tc>
          <w:tcPr>
            <w:tcW w:w="213" w:type="pct"/>
            <w:shd w:val="clear" w:color="auto" w:fill="auto"/>
            <w:noWrap/>
            <w:tcMar>
              <w:left w:w="28" w:type="dxa"/>
              <w:right w:w="28" w:type="dxa"/>
            </w:tcMar>
            <w:vAlign w:val="center"/>
            <w:hideMark/>
          </w:tcPr>
          <w:p w14:paraId="30768846" w14:textId="77777777" w:rsidR="009737C3" w:rsidRPr="009737C3" w:rsidRDefault="009737C3" w:rsidP="009737C3">
            <w:pPr>
              <w:jc w:val="right"/>
              <w:rPr>
                <w:color w:val="000000"/>
                <w:sz w:val="20"/>
                <w:szCs w:val="20"/>
              </w:rPr>
            </w:pPr>
            <w:r w:rsidRPr="009737C3">
              <w:rPr>
                <w:color w:val="000000"/>
                <w:sz w:val="20"/>
                <w:szCs w:val="20"/>
              </w:rPr>
              <w:t>0.22</w:t>
            </w:r>
          </w:p>
        </w:tc>
        <w:tc>
          <w:tcPr>
            <w:tcW w:w="214" w:type="pct"/>
            <w:shd w:val="clear" w:color="auto" w:fill="auto"/>
            <w:noWrap/>
            <w:tcMar>
              <w:left w:w="28" w:type="dxa"/>
              <w:right w:w="28" w:type="dxa"/>
            </w:tcMar>
            <w:vAlign w:val="center"/>
            <w:hideMark/>
          </w:tcPr>
          <w:p w14:paraId="4E56C51D" w14:textId="77777777" w:rsidR="009737C3" w:rsidRPr="009737C3" w:rsidRDefault="009737C3" w:rsidP="009737C3">
            <w:pPr>
              <w:jc w:val="right"/>
              <w:rPr>
                <w:color w:val="000000"/>
                <w:sz w:val="20"/>
                <w:szCs w:val="20"/>
              </w:rPr>
            </w:pPr>
          </w:p>
        </w:tc>
        <w:tc>
          <w:tcPr>
            <w:tcW w:w="214" w:type="pct"/>
            <w:shd w:val="clear" w:color="auto" w:fill="auto"/>
            <w:noWrap/>
            <w:tcMar>
              <w:left w:w="28" w:type="dxa"/>
              <w:right w:w="28" w:type="dxa"/>
            </w:tcMar>
            <w:vAlign w:val="center"/>
            <w:hideMark/>
          </w:tcPr>
          <w:p w14:paraId="71D4C1A6"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0A15EE86"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066C4FD8" w14:textId="77777777" w:rsidR="009737C3" w:rsidRPr="009737C3" w:rsidRDefault="009737C3" w:rsidP="009737C3">
            <w:pPr>
              <w:rPr>
                <w:sz w:val="20"/>
                <w:szCs w:val="20"/>
              </w:rPr>
            </w:pPr>
          </w:p>
        </w:tc>
        <w:tc>
          <w:tcPr>
            <w:tcW w:w="199" w:type="pct"/>
            <w:shd w:val="clear" w:color="auto" w:fill="auto"/>
            <w:noWrap/>
            <w:tcMar>
              <w:left w:w="28" w:type="dxa"/>
              <w:right w:w="28" w:type="dxa"/>
            </w:tcMar>
            <w:vAlign w:val="center"/>
            <w:hideMark/>
          </w:tcPr>
          <w:p w14:paraId="043FB7B0" w14:textId="77777777" w:rsidR="009737C3" w:rsidRPr="009737C3" w:rsidRDefault="009737C3" w:rsidP="009737C3">
            <w:pPr>
              <w:rPr>
                <w:sz w:val="20"/>
                <w:szCs w:val="20"/>
              </w:rPr>
            </w:pPr>
          </w:p>
        </w:tc>
      </w:tr>
      <w:tr w:rsidR="00A94550" w:rsidRPr="00E95955" w14:paraId="43BDAD26" w14:textId="77777777" w:rsidTr="00A94550">
        <w:trPr>
          <w:trHeight w:val="260"/>
        </w:trPr>
        <w:tc>
          <w:tcPr>
            <w:tcW w:w="152" w:type="pct"/>
            <w:shd w:val="clear" w:color="auto" w:fill="auto"/>
            <w:noWrap/>
            <w:tcMar>
              <w:left w:w="28" w:type="dxa"/>
              <w:right w:w="28" w:type="dxa"/>
            </w:tcMar>
            <w:vAlign w:val="center"/>
            <w:hideMark/>
          </w:tcPr>
          <w:p w14:paraId="2C2BA23C" w14:textId="77777777" w:rsidR="009737C3" w:rsidRPr="009737C3" w:rsidRDefault="009737C3" w:rsidP="009737C3">
            <w:pPr>
              <w:jc w:val="right"/>
              <w:rPr>
                <w:color w:val="000000"/>
                <w:sz w:val="20"/>
                <w:szCs w:val="20"/>
              </w:rPr>
            </w:pPr>
            <w:r w:rsidRPr="009737C3">
              <w:rPr>
                <w:color w:val="000000"/>
                <w:sz w:val="20"/>
                <w:szCs w:val="20"/>
              </w:rPr>
              <w:t>11</w:t>
            </w:r>
          </w:p>
        </w:tc>
        <w:tc>
          <w:tcPr>
            <w:tcW w:w="940" w:type="pct"/>
            <w:shd w:val="clear" w:color="auto" w:fill="auto"/>
            <w:noWrap/>
            <w:tcMar>
              <w:left w:w="28" w:type="dxa"/>
              <w:right w:w="28" w:type="dxa"/>
            </w:tcMar>
            <w:vAlign w:val="center"/>
            <w:hideMark/>
          </w:tcPr>
          <w:p w14:paraId="20FBB070" w14:textId="77777777" w:rsidR="009737C3" w:rsidRPr="009737C3" w:rsidRDefault="009737C3" w:rsidP="009737C3">
            <w:pPr>
              <w:rPr>
                <w:color w:val="000000"/>
                <w:sz w:val="20"/>
                <w:szCs w:val="20"/>
              </w:rPr>
            </w:pPr>
            <w:r w:rsidRPr="009737C3">
              <w:rPr>
                <w:color w:val="000000"/>
                <w:sz w:val="20"/>
                <w:szCs w:val="20"/>
              </w:rPr>
              <w:t>Collaboration</w:t>
            </w:r>
          </w:p>
        </w:tc>
        <w:tc>
          <w:tcPr>
            <w:tcW w:w="213" w:type="pct"/>
            <w:shd w:val="clear" w:color="auto" w:fill="auto"/>
            <w:noWrap/>
            <w:tcMar>
              <w:left w:w="28" w:type="dxa"/>
              <w:right w:w="28" w:type="dxa"/>
            </w:tcMar>
            <w:vAlign w:val="center"/>
            <w:hideMark/>
          </w:tcPr>
          <w:p w14:paraId="72AC8DF4" w14:textId="77777777" w:rsidR="009737C3" w:rsidRPr="009737C3" w:rsidRDefault="009737C3" w:rsidP="009737C3">
            <w:pPr>
              <w:jc w:val="right"/>
              <w:rPr>
                <w:color w:val="000000"/>
                <w:sz w:val="20"/>
                <w:szCs w:val="20"/>
              </w:rPr>
            </w:pPr>
            <w:r w:rsidRPr="009737C3">
              <w:rPr>
                <w:color w:val="000000"/>
                <w:sz w:val="20"/>
                <w:szCs w:val="20"/>
              </w:rPr>
              <w:t>0.04</w:t>
            </w:r>
          </w:p>
        </w:tc>
        <w:tc>
          <w:tcPr>
            <w:tcW w:w="220" w:type="pct"/>
            <w:shd w:val="clear" w:color="auto" w:fill="auto"/>
            <w:noWrap/>
            <w:tcMar>
              <w:left w:w="28" w:type="dxa"/>
              <w:right w:w="28" w:type="dxa"/>
            </w:tcMar>
            <w:vAlign w:val="center"/>
            <w:hideMark/>
          </w:tcPr>
          <w:p w14:paraId="60CEBE9A" w14:textId="77777777" w:rsidR="009737C3" w:rsidRPr="009737C3" w:rsidRDefault="009737C3" w:rsidP="009737C3">
            <w:pPr>
              <w:jc w:val="right"/>
              <w:rPr>
                <w:color w:val="000000"/>
                <w:sz w:val="20"/>
                <w:szCs w:val="20"/>
              </w:rPr>
            </w:pPr>
            <w:r w:rsidRPr="009737C3">
              <w:rPr>
                <w:color w:val="000000"/>
                <w:sz w:val="20"/>
                <w:szCs w:val="20"/>
              </w:rPr>
              <w:t>0.18</w:t>
            </w:r>
          </w:p>
        </w:tc>
        <w:tc>
          <w:tcPr>
            <w:tcW w:w="212" w:type="pct"/>
            <w:shd w:val="clear" w:color="auto" w:fill="auto"/>
            <w:noWrap/>
            <w:tcMar>
              <w:left w:w="28" w:type="dxa"/>
              <w:right w:w="28" w:type="dxa"/>
            </w:tcMar>
            <w:vAlign w:val="center"/>
            <w:hideMark/>
          </w:tcPr>
          <w:p w14:paraId="7673089D" w14:textId="77777777" w:rsidR="009737C3" w:rsidRPr="009737C3" w:rsidRDefault="009737C3" w:rsidP="009737C3">
            <w:pPr>
              <w:jc w:val="right"/>
              <w:rPr>
                <w:color w:val="000000"/>
                <w:sz w:val="20"/>
                <w:szCs w:val="20"/>
              </w:rPr>
            </w:pPr>
            <w:r w:rsidRPr="009737C3">
              <w:rPr>
                <w:color w:val="000000"/>
                <w:sz w:val="20"/>
                <w:szCs w:val="20"/>
              </w:rPr>
              <w:t>0</w:t>
            </w:r>
          </w:p>
        </w:tc>
        <w:tc>
          <w:tcPr>
            <w:tcW w:w="292" w:type="pct"/>
            <w:shd w:val="clear" w:color="auto" w:fill="auto"/>
            <w:noWrap/>
            <w:tcMar>
              <w:left w:w="28" w:type="dxa"/>
              <w:right w:w="28" w:type="dxa"/>
            </w:tcMar>
            <w:vAlign w:val="center"/>
            <w:hideMark/>
          </w:tcPr>
          <w:p w14:paraId="361E53BD" w14:textId="77777777" w:rsidR="009737C3" w:rsidRPr="009737C3" w:rsidRDefault="009737C3" w:rsidP="009737C3">
            <w:pPr>
              <w:jc w:val="right"/>
              <w:rPr>
                <w:color w:val="000000"/>
                <w:sz w:val="20"/>
                <w:szCs w:val="20"/>
              </w:rPr>
            </w:pPr>
            <w:r w:rsidRPr="009737C3">
              <w:rPr>
                <w:color w:val="000000"/>
                <w:sz w:val="20"/>
                <w:szCs w:val="20"/>
              </w:rPr>
              <w:t>1</w:t>
            </w:r>
          </w:p>
        </w:tc>
        <w:tc>
          <w:tcPr>
            <w:tcW w:w="213" w:type="pct"/>
            <w:shd w:val="clear" w:color="auto" w:fill="auto"/>
            <w:noWrap/>
            <w:tcMar>
              <w:left w:w="28" w:type="dxa"/>
              <w:right w:w="28" w:type="dxa"/>
            </w:tcMar>
            <w:vAlign w:val="center"/>
            <w:hideMark/>
          </w:tcPr>
          <w:p w14:paraId="447F584B" w14:textId="77777777" w:rsidR="009737C3" w:rsidRPr="009737C3" w:rsidRDefault="009737C3" w:rsidP="009737C3">
            <w:pPr>
              <w:jc w:val="right"/>
              <w:rPr>
                <w:color w:val="000000"/>
                <w:sz w:val="20"/>
                <w:szCs w:val="20"/>
              </w:rPr>
            </w:pPr>
            <w:r w:rsidRPr="009737C3">
              <w:rPr>
                <w:color w:val="000000"/>
                <w:sz w:val="20"/>
                <w:szCs w:val="20"/>
              </w:rPr>
              <w:t>0.03</w:t>
            </w:r>
          </w:p>
        </w:tc>
        <w:tc>
          <w:tcPr>
            <w:tcW w:w="213" w:type="pct"/>
            <w:shd w:val="clear" w:color="auto" w:fill="auto"/>
            <w:noWrap/>
            <w:tcMar>
              <w:left w:w="28" w:type="dxa"/>
              <w:right w:w="28" w:type="dxa"/>
            </w:tcMar>
            <w:vAlign w:val="center"/>
            <w:hideMark/>
          </w:tcPr>
          <w:p w14:paraId="646B1EE5" w14:textId="77777777" w:rsidR="009737C3" w:rsidRPr="009737C3" w:rsidRDefault="009737C3" w:rsidP="009737C3">
            <w:pPr>
              <w:jc w:val="right"/>
              <w:rPr>
                <w:color w:val="000000"/>
                <w:sz w:val="20"/>
                <w:szCs w:val="20"/>
              </w:rPr>
            </w:pPr>
            <w:r w:rsidRPr="009737C3">
              <w:rPr>
                <w:color w:val="000000"/>
                <w:sz w:val="20"/>
                <w:szCs w:val="20"/>
              </w:rPr>
              <w:t>-0.05</w:t>
            </w:r>
          </w:p>
        </w:tc>
        <w:tc>
          <w:tcPr>
            <w:tcW w:w="213" w:type="pct"/>
            <w:shd w:val="clear" w:color="auto" w:fill="auto"/>
            <w:noWrap/>
            <w:tcMar>
              <w:left w:w="28" w:type="dxa"/>
              <w:right w:w="28" w:type="dxa"/>
            </w:tcMar>
            <w:vAlign w:val="center"/>
            <w:hideMark/>
          </w:tcPr>
          <w:p w14:paraId="7C8D155F" w14:textId="77777777" w:rsidR="009737C3" w:rsidRPr="009737C3" w:rsidRDefault="009737C3" w:rsidP="009737C3">
            <w:pPr>
              <w:jc w:val="right"/>
              <w:rPr>
                <w:color w:val="000000"/>
                <w:sz w:val="20"/>
                <w:szCs w:val="20"/>
              </w:rPr>
            </w:pPr>
            <w:r w:rsidRPr="009737C3">
              <w:rPr>
                <w:color w:val="000000"/>
                <w:sz w:val="20"/>
                <w:szCs w:val="20"/>
              </w:rPr>
              <w:t>0.06</w:t>
            </w:r>
          </w:p>
        </w:tc>
        <w:tc>
          <w:tcPr>
            <w:tcW w:w="213" w:type="pct"/>
            <w:shd w:val="clear" w:color="auto" w:fill="auto"/>
            <w:noWrap/>
            <w:tcMar>
              <w:left w:w="28" w:type="dxa"/>
              <w:right w:w="28" w:type="dxa"/>
            </w:tcMar>
            <w:vAlign w:val="center"/>
            <w:hideMark/>
          </w:tcPr>
          <w:p w14:paraId="4B79EA14" w14:textId="77777777" w:rsidR="009737C3" w:rsidRPr="009737C3" w:rsidRDefault="009737C3" w:rsidP="009737C3">
            <w:pPr>
              <w:jc w:val="right"/>
              <w:rPr>
                <w:color w:val="000000"/>
                <w:sz w:val="20"/>
                <w:szCs w:val="20"/>
              </w:rPr>
            </w:pPr>
            <w:r w:rsidRPr="009737C3">
              <w:rPr>
                <w:color w:val="000000"/>
                <w:sz w:val="20"/>
                <w:szCs w:val="20"/>
              </w:rPr>
              <w:t>0.02</w:t>
            </w:r>
          </w:p>
        </w:tc>
        <w:tc>
          <w:tcPr>
            <w:tcW w:w="213" w:type="pct"/>
            <w:shd w:val="clear" w:color="auto" w:fill="auto"/>
            <w:noWrap/>
            <w:tcMar>
              <w:left w:w="28" w:type="dxa"/>
              <w:right w:w="28" w:type="dxa"/>
            </w:tcMar>
            <w:vAlign w:val="center"/>
            <w:hideMark/>
          </w:tcPr>
          <w:p w14:paraId="1F15D1D1" w14:textId="77777777" w:rsidR="009737C3" w:rsidRPr="009737C3" w:rsidRDefault="009737C3" w:rsidP="009737C3">
            <w:pPr>
              <w:jc w:val="right"/>
              <w:rPr>
                <w:color w:val="000000"/>
                <w:sz w:val="20"/>
                <w:szCs w:val="20"/>
              </w:rPr>
            </w:pPr>
            <w:r w:rsidRPr="009737C3">
              <w:rPr>
                <w:color w:val="000000"/>
                <w:sz w:val="20"/>
                <w:szCs w:val="20"/>
              </w:rPr>
              <w:t>0.06</w:t>
            </w:r>
          </w:p>
        </w:tc>
        <w:tc>
          <w:tcPr>
            <w:tcW w:w="213" w:type="pct"/>
            <w:shd w:val="clear" w:color="auto" w:fill="auto"/>
            <w:noWrap/>
            <w:tcMar>
              <w:left w:w="28" w:type="dxa"/>
              <w:right w:w="28" w:type="dxa"/>
            </w:tcMar>
            <w:vAlign w:val="center"/>
            <w:hideMark/>
          </w:tcPr>
          <w:p w14:paraId="231EFC85" w14:textId="77777777" w:rsidR="009737C3" w:rsidRPr="009737C3" w:rsidRDefault="009737C3" w:rsidP="009737C3">
            <w:pPr>
              <w:jc w:val="right"/>
              <w:rPr>
                <w:color w:val="000000"/>
                <w:sz w:val="20"/>
                <w:szCs w:val="20"/>
              </w:rPr>
            </w:pPr>
            <w:r w:rsidRPr="009737C3">
              <w:rPr>
                <w:color w:val="000000"/>
                <w:sz w:val="20"/>
                <w:szCs w:val="20"/>
              </w:rPr>
              <w:t>-0.06</w:t>
            </w:r>
          </w:p>
        </w:tc>
        <w:tc>
          <w:tcPr>
            <w:tcW w:w="213" w:type="pct"/>
            <w:shd w:val="clear" w:color="auto" w:fill="auto"/>
            <w:noWrap/>
            <w:tcMar>
              <w:left w:w="28" w:type="dxa"/>
              <w:right w:w="28" w:type="dxa"/>
            </w:tcMar>
            <w:vAlign w:val="center"/>
            <w:hideMark/>
          </w:tcPr>
          <w:p w14:paraId="76CA39A1" w14:textId="77777777" w:rsidR="009737C3" w:rsidRPr="009737C3" w:rsidRDefault="009737C3" w:rsidP="009737C3">
            <w:pPr>
              <w:jc w:val="right"/>
              <w:rPr>
                <w:color w:val="000000"/>
                <w:sz w:val="20"/>
                <w:szCs w:val="20"/>
              </w:rPr>
            </w:pPr>
            <w:r w:rsidRPr="009737C3">
              <w:rPr>
                <w:color w:val="000000"/>
                <w:sz w:val="20"/>
                <w:szCs w:val="20"/>
              </w:rPr>
              <w:t>0.09</w:t>
            </w:r>
          </w:p>
        </w:tc>
        <w:tc>
          <w:tcPr>
            <w:tcW w:w="213" w:type="pct"/>
            <w:shd w:val="clear" w:color="auto" w:fill="auto"/>
            <w:noWrap/>
            <w:tcMar>
              <w:left w:w="28" w:type="dxa"/>
              <w:right w:w="28" w:type="dxa"/>
            </w:tcMar>
            <w:vAlign w:val="center"/>
            <w:hideMark/>
          </w:tcPr>
          <w:p w14:paraId="4711C1FC" w14:textId="77777777" w:rsidR="009737C3" w:rsidRPr="009737C3" w:rsidRDefault="009737C3" w:rsidP="009737C3">
            <w:pPr>
              <w:jc w:val="right"/>
              <w:rPr>
                <w:color w:val="000000"/>
                <w:sz w:val="20"/>
                <w:szCs w:val="20"/>
              </w:rPr>
            </w:pPr>
            <w:r w:rsidRPr="009737C3">
              <w:rPr>
                <w:color w:val="000000"/>
                <w:sz w:val="20"/>
                <w:szCs w:val="20"/>
              </w:rPr>
              <w:t>0.15</w:t>
            </w:r>
          </w:p>
        </w:tc>
        <w:tc>
          <w:tcPr>
            <w:tcW w:w="213" w:type="pct"/>
            <w:shd w:val="clear" w:color="auto" w:fill="auto"/>
            <w:noWrap/>
            <w:tcMar>
              <w:left w:w="28" w:type="dxa"/>
              <w:right w:w="28" w:type="dxa"/>
            </w:tcMar>
            <w:vAlign w:val="center"/>
            <w:hideMark/>
          </w:tcPr>
          <w:p w14:paraId="0F4BBAFD" w14:textId="77777777" w:rsidR="009737C3" w:rsidRPr="009737C3" w:rsidRDefault="009737C3" w:rsidP="009737C3">
            <w:pPr>
              <w:jc w:val="right"/>
              <w:rPr>
                <w:color w:val="000000"/>
                <w:sz w:val="20"/>
                <w:szCs w:val="20"/>
              </w:rPr>
            </w:pPr>
            <w:r w:rsidRPr="009737C3">
              <w:rPr>
                <w:color w:val="000000"/>
                <w:sz w:val="20"/>
                <w:szCs w:val="20"/>
              </w:rPr>
              <w:t>0.13</w:t>
            </w:r>
          </w:p>
        </w:tc>
        <w:tc>
          <w:tcPr>
            <w:tcW w:w="214" w:type="pct"/>
            <w:shd w:val="clear" w:color="auto" w:fill="auto"/>
            <w:noWrap/>
            <w:tcMar>
              <w:left w:w="28" w:type="dxa"/>
              <w:right w:w="28" w:type="dxa"/>
            </w:tcMar>
            <w:vAlign w:val="center"/>
            <w:hideMark/>
          </w:tcPr>
          <w:p w14:paraId="6751389A" w14:textId="77777777" w:rsidR="009737C3" w:rsidRPr="009737C3" w:rsidRDefault="009737C3" w:rsidP="009737C3">
            <w:pPr>
              <w:jc w:val="right"/>
              <w:rPr>
                <w:color w:val="000000"/>
                <w:sz w:val="20"/>
                <w:szCs w:val="20"/>
              </w:rPr>
            </w:pPr>
            <w:r w:rsidRPr="009737C3">
              <w:rPr>
                <w:color w:val="000000"/>
                <w:sz w:val="20"/>
                <w:szCs w:val="20"/>
              </w:rPr>
              <w:t>0.1</w:t>
            </w:r>
          </w:p>
        </w:tc>
        <w:tc>
          <w:tcPr>
            <w:tcW w:w="214" w:type="pct"/>
            <w:shd w:val="clear" w:color="auto" w:fill="auto"/>
            <w:noWrap/>
            <w:tcMar>
              <w:left w:w="28" w:type="dxa"/>
              <w:right w:w="28" w:type="dxa"/>
            </w:tcMar>
            <w:vAlign w:val="center"/>
            <w:hideMark/>
          </w:tcPr>
          <w:p w14:paraId="31F54ABB" w14:textId="77777777" w:rsidR="009737C3" w:rsidRPr="009737C3" w:rsidRDefault="009737C3" w:rsidP="009737C3">
            <w:pPr>
              <w:jc w:val="right"/>
              <w:rPr>
                <w:color w:val="000000"/>
                <w:sz w:val="20"/>
                <w:szCs w:val="20"/>
              </w:rPr>
            </w:pPr>
          </w:p>
        </w:tc>
        <w:tc>
          <w:tcPr>
            <w:tcW w:w="214" w:type="pct"/>
            <w:shd w:val="clear" w:color="auto" w:fill="auto"/>
            <w:noWrap/>
            <w:tcMar>
              <w:left w:w="28" w:type="dxa"/>
              <w:right w:w="28" w:type="dxa"/>
            </w:tcMar>
            <w:vAlign w:val="center"/>
            <w:hideMark/>
          </w:tcPr>
          <w:p w14:paraId="2A40B928" w14:textId="77777777" w:rsidR="009737C3" w:rsidRPr="009737C3" w:rsidRDefault="009737C3" w:rsidP="009737C3">
            <w:pPr>
              <w:rPr>
                <w:sz w:val="20"/>
                <w:szCs w:val="20"/>
              </w:rPr>
            </w:pPr>
          </w:p>
        </w:tc>
        <w:tc>
          <w:tcPr>
            <w:tcW w:w="214" w:type="pct"/>
            <w:shd w:val="clear" w:color="auto" w:fill="auto"/>
            <w:noWrap/>
            <w:tcMar>
              <w:left w:w="28" w:type="dxa"/>
              <w:right w:w="28" w:type="dxa"/>
            </w:tcMar>
            <w:vAlign w:val="center"/>
            <w:hideMark/>
          </w:tcPr>
          <w:p w14:paraId="100C097A" w14:textId="77777777" w:rsidR="009737C3" w:rsidRPr="009737C3" w:rsidRDefault="009737C3" w:rsidP="009737C3">
            <w:pPr>
              <w:rPr>
                <w:sz w:val="20"/>
                <w:szCs w:val="20"/>
              </w:rPr>
            </w:pPr>
          </w:p>
        </w:tc>
        <w:tc>
          <w:tcPr>
            <w:tcW w:w="199" w:type="pct"/>
            <w:shd w:val="clear" w:color="auto" w:fill="auto"/>
            <w:noWrap/>
            <w:tcMar>
              <w:left w:w="28" w:type="dxa"/>
              <w:right w:w="28" w:type="dxa"/>
            </w:tcMar>
            <w:vAlign w:val="center"/>
            <w:hideMark/>
          </w:tcPr>
          <w:p w14:paraId="38D44DE9" w14:textId="77777777" w:rsidR="009737C3" w:rsidRPr="009737C3" w:rsidRDefault="009737C3" w:rsidP="009737C3">
            <w:pPr>
              <w:rPr>
                <w:sz w:val="20"/>
                <w:szCs w:val="20"/>
              </w:rPr>
            </w:pPr>
          </w:p>
        </w:tc>
      </w:tr>
      <w:tr w:rsidR="00A94550" w:rsidRPr="00E95955" w14:paraId="2ACD4C77" w14:textId="77777777" w:rsidTr="00A94550">
        <w:trPr>
          <w:trHeight w:val="260"/>
        </w:trPr>
        <w:tc>
          <w:tcPr>
            <w:tcW w:w="152" w:type="pct"/>
            <w:shd w:val="clear" w:color="auto" w:fill="auto"/>
            <w:noWrap/>
            <w:tcMar>
              <w:left w:w="28" w:type="dxa"/>
              <w:right w:w="28" w:type="dxa"/>
            </w:tcMar>
            <w:vAlign w:val="center"/>
            <w:hideMark/>
          </w:tcPr>
          <w:p w14:paraId="5EA86BE9" w14:textId="77777777" w:rsidR="009737C3" w:rsidRPr="009737C3" w:rsidRDefault="009737C3" w:rsidP="009737C3">
            <w:pPr>
              <w:jc w:val="right"/>
              <w:rPr>
                <w:color w:val="000000"/>
                <w:sz w:val="20"/>
                <w:szCs w:val="20"/>
              </w:rPr>
            </w:pPr>
            <w:r w:rsidRPr="009737C3">
              <w:rPr>
                <w:color w:val="000000"/>
                <w:sz w:val="20"/>
                <w:szCs w:val="20"/>
              </w:rPr>
              <w:t>12</w:t>
            </w:r>
          </w:p>
        </w:tc>
        <w:tc>
          <w:tcPr>
            <w:tcW w:w="940" w:type="pct"/>
            <w:shd w:val="clear" w:color="auto" w:fill="auto"/>
            <w:noWrap/>
            <w:tcMar>
              <w:left w:w="28" w:type="dxa"/>
              <w:right w:w="28" w:type="dxa"/>
            </w:tcMar>
            <w:vAlign w:val="center"/>
            <w:hideMark/>
          </w:tcPr>
          <w:p w14:paraId="7E40B311" w14:textId="77777777" w:rsidR="009737C3" w:rsidRPr="009737C3" w:rsidRDefault="009737C3" w:rsidP="009737C3">
            <w:pPr>
              <w:rPr>
                <w:color w:val="000000"/>
                <w:sz w:val="20"/>
                <w:szCs w:val="20"/>
              </w:rPr>
            </w:pPr>
            <w:r w:rsidRPr="009737C3">
              <w:rPr>
                <w:color w:val="000000"/>
                <w:sz w:val="20"/>
                <w:szCs w:val="20"/>
              </w:rPr>
              <w:t>Competition</w:t>
            </w:r>
          </w:p>
        </w:tc>
        <w:tc>
          <w:tcPr>
            <w:tcW w:w="213" w:type="pct"/>
            <w:shd w:val="clear" w:color="auto" w:fill="auto"/>
            <w:noWrap/>
            <w:tcMar>
              <w:left w:w="28" w:type="dxa"/>
              <w:right w:w="28" w:type="dxa"/>
            </w:tcMar>
            <w:vAlign w:val="center"/>
            <w:hideMark/>
          </w:tcPr>
          <w:p w14:paraId="132282D2" w14:textId="77777777" w:rsidR="009737C3" w:rsidRPr="009737C3" w:rsidRDefault="009737C3" w:rsidP="009737C3">
            <w:pPr>
              <w:jc w:val="right"/>
              <w:rPr>
                <w:color w:val="000000"/>
                <w:sz w:val="20"/>
                <w:szCs w:val="20"/>
              </w:rPr>
            </w:pPr>
            <w:r w:rsidRPr="009737C3">
              <w:rPr>
                <w:color w:val="000000"/>
                <w:sz w:val="20"/>
                <w:szCs w:val="20"/>
              </w:rPr>
              <w:t>22.51</w:t>
            </w:r>
          </w:p>
        </w:tc>
        <w:tc>
          <w:tcPr>
            <w:tcW w:w="220" w:type="pct"/>
            <w:shd w:val="clear" w:color="auto" w:fill="auto"/>
            <w:noWrap/>
            <w:tcMar>
              <w:left w:w="28" w:type="dxa"/>
              <w:right w:w="28" w:type="dxa"/>
            </w:tcMar>
            <w:vAlign w:val="center"/>
            <w:hideMark/>
          </w:tcPr>
          <w:p w14:paraId="2E017EA4" w14:textId="77777777" w:rsidR="009737C3" w:rsidRPr="009737C3" w:rsidRDefault="009737C3" w:rsidP="009737C3">
            <w:pPr>
              <w:jc w:val="right"/>
              <w:rPr>
                <w:color w:val="000000"/>
                <w:sz w:val="20"/>
                <w:szCs w:val="20"/>
              </w:rPr>
            </w:pPr>
            <w:r w:rsidRPr="009737C3">
              <w:rPr>
                <w:color w:val="000000"/>
                <w:sz w:val="20"/>
                <w:szCs w:val="20"/>
              </w:rPr>
              <w:t>9.93</w:t>
            </w:r>
          </w:p>
        </w:tc>
        <w:tc>
          <w:tcPr>
            <w:tcW w:w="212" w:type="pct"/>
            <w:shd w:val="clear" w:color="auto" w:fill="auto"/>
            <w:noWrap/>
            <w:tcMar>
              <w:left w:w="28" w:type="dxa"/>
              <w:right w:w="28" w:type="dxa"/>
            </w:tcMar>
            <w:vAlign w:val="center"/>
            <w:hideMark/>
          </w:tcPr>
          <w:p w14:paraId="0A6436F1" w14:textId="77777777" w:rsidR="009737C3" w:rsidRPr="009737C3" w:rsidRDefault="009737C3" w:rsidP="009737C3">
            <w:pPr>
              <w:jc w:val="right"/>
              <w:rPr>
                <w:color w:val="000000"/>
                <w:sz w:val="20"/>
                <w:szCs w:val="20"/>
              </w:rPr>
            </w:pPr>
            <w:r w:rsidRPr="009737C3">
              <w:rPr>
                <w:color w:val="000000"/>
                <w:sz w:val="20"/>
                <w:szCs w:val="20"/>
              </w:rPr>
              <w:t>6.8</w:t>
            </w:r>
          </w:p>
        </w:tc>
        <w:tc>
          <w:tcPr>
            <w:tcW w:w="292" w:type="pct"/>
            <w:shd w:val="clear" w:color="auto" w:fill="auto"/>
            <w:noWrap/>
            <w:tcMar>
              <w:left w:w="28" w:type="dxa"/>
              <w:right w:w="28" w:type="dxa"/>
            </w:tcMar>
            <w:vAlign w:val="center"/>
            <w:hideMark/>
          </w:tcPr>
          <w:p w14:paraId="419C7B77" w14:textId="77777777" w:rsidR="009737C3" w:rsidRPr="009737C3" w:rsidRDefault="009737C3" w:rsidP="009737C3">
            <w:pPr>
              <w:jc w:val="right"/>
              <w:rPr>
                <w:color w:val="000000"/>
                <w:sz w:val="20"/>
                <w:szCs w:val="20"/>
              </w:rPr>
            </w:pPr>
            <w:r w:rsidRPr="009737C3">
              <w:rPr>
                <w:color w:val="000000"/>
                <w:sz w:val="20"/>
                <w:szCs w:val="20"/>
              </w:rPr>
              <w:t>68.84</w:t>
            </w:r>
          </w:p>
        </w:tc>
        <w:tc>
          <w:tcPr>
            <w:tcW w:w="213" w:type="pct"/>
            <w:shd w:val="clear" w:color="auto" w:fill="auto"/>
            <w:noWrap/>
            <w:tcMar>
              <w:left w:w="28" w:type="dxa"/>
              <w:right w:w="28" w:type="dxa"/>
            </w:tcMar>
            <w:vAlign w:val="center"/>
            <w:hideMark/>
          </w:tcPr>
          <w:p w14:paraId="2B395BC0" w14:textId="77777777" w:rsidR="009737C3" w:rsidRPr="009737C3" w:rsidRDefault="009737C3" w:rsidP="009737C3">
            <w:pPr>
              <w:jc w:val="right"/>
              <w:rPr>
                <w:color w:val="000000"/>
                <w:sz w:val="20"/>
                <w:szCs w:val="20"/>
              </w:rPr>
            </w:pPr>
            <w:r w:rsidRPr="009737C3">
              <w:rPr>
                <w:color w:val="000000"/>
                <w:sz w:val="20"/>
                <w:szCs w:val="20"/>
              </w:rPr>
              <w:t>-0.08</w:t>
            </w:r>
          </w:p>
        </w:tc>
        <w:tc>
          <w:tcPr>
            <w:tcW w:w="213" w:type="pct"/>
            <w:shd w:val="clear" w:color="auto" w:fill="auto"/>
            <w:noWrap/>
            <w:tcMar>
              <w:left w:w="28" w:type="dxa"/>
              <w:right w:w="28" w:type="dxa"/>
            </w:tcMar>
            <w:vAlign w:val="center"/>
            <w:hideMark/>
          </w:tcPr>
          <w:p w14:paraId="52818E38" w14:textId="77777777" w:rsidR="009737C3" w:rsidRPr="009737C3" w:rsidRDefault="009737C3" w:rsidP="009737C3">
            <w:pPr>
              <w:jc w:val="right"/>
              <w:rPr>
                <w:color w:val="000000"/>
                <w:sz w:val="20"/>
                <w:szCs w:val="20"/>
              </w:rPr>
            </w:pPr>
            <w:r w:rsidRPr="009737C3">
              <w:rPr>
                <w:color w:val="000000"/>
                <w:sz w:val="20"/>
                <w:szCs w:val="20"/>
              </w:rPr>
              <w:t>0.16</w:t>
            </w:r>
          </w:p>
        </w:tc>
        <w:tc>
          <w:tcPr>
            <w:tcW w:w="213" w:type="pct"/>
            <w:shd w:val="clear" w:color="auto" w:fill="auto"/>
            <w:noWrap/>
            <w:tcMar>
              <w:left w:w="28" w:type="dxa"/>
              <w:right w:w="28" w:type="dxa"/>
            </w:tcMar>
            <w:vAlign w:val="center"/>
            <w:hideMark/>
          </w:tcPr>
          <w:p w14:paraId="4F39E065" w14:textId="77777777" w:rsidR="009737C3" w:rsidRPr="009737C3" w:rsidRDefault="009737C3" w:rsidP="009737C3">
            <w:pPr>
              <w:jc w:val="right"/>
              <w:rPr>
                <w:color w:val="000000"/>
                <w:sz w:val="20"/>
                <w:szCs w:val="20"/>
              </w:rPr>
            </w:pPr>
            <w:r w:rsidRPr="009737C3">
              <w:rPr>
                <w:color w:val="000000"/>
                <w:sz w:val="20"/>
                <w:szCs w:val="20"/>
              </w:rPr>
              <w:t>-0.05</w:t>
            </w:r>
          </w:p>
        </w:tc>
        <w:tc>
          <w:tcPr>
            <w:tcW w:w="213" w:type="pct"/>
            <w:shd w:val="clear" w:color="auto" w:fill="auto"/>
            <w:noWrap/>
            <w:tcMar>
              <w:left w:w="28" w:type="dxa"/>
              <w:right w:w="28" w:type="dxa"/>
            </w:tcMar>
            <w:vAlign w:val="center"/>
            <w:hideMark/>
          </w:tcPr>
          <w:p w14:paraId="7A626BAA" w14:textId="77777777" w:rsidR="009737C3" w:rsidRPr="009737C3" w:rsidRDefault="009737C3" w:rsidP="009737C3">
            <w:pPr>
              <w:jc w:val="right"/>
              <w:rPr>
                <w:color w:val="000000"/>
                <w:sz w:val="20"/>
                <w:szCs w:val="20"/>
              </w:rPr>
            </w:pPr>
            <w:r w:rsidRPr="009737C3">
              <w:rPr>
                <w:color w:val="000000"/>
                <w:sz w:val="20"/>
                <w:szCs w:val="20"/>
              </w:rPr>
              <w:t>0.02</w:t>
            </w:r>
          </w:p>
        </w:tc>
        <w:tc>
          <w:tcPr>
            <w:tcW w:w="213" w:type="pct"/>
            <w:shd w:val="clear" w:color="auto" w:fill="auto"/>
            <w:noWrap/>
            <w:tcMar>
              <w:left w:w="28" w:type="dxa"/>
              <w:right w:w="28" w:type="dxa"/>
            </w:tcMar>
            <w:vAlign w:val="center"/>
            <w:hideMark/>
          </w:tcPr>
          <w:p w14:paraId="2CC944F5" w14:textId="77777777" w:rsidR="009737C3" w:rsidRPr="009737C3" w:rsidRDefault="009737C3" w:rsidP="009737C3">
            <w:pPr>
              <w:jc w:val="right"/>
              <w:rPr>
                <w:color w:val="000000"/>
                <w:sz w:val="20"/>
                <w:szCs w:val="20"/>
              </w:rPr>
            </w:pPr>
            <w:r w:rsidRPr="009737C3">
              <w:rPr>
                <w:color w:val="000000"/>
                <w:sz w:val="20"/>
                <w:szCs w:val="20"/>
              </w:rPr>
              <w:t>-0.09</w:t>
            </w:r>
          </w:p>
        </w:tc>
        <w:tc>
          <w:tcPr>
            <w:tcW w:w="213" w:type="pct"/>
            <w:shd w:val="clear" w:color="auto" w:fill="auto"/>
            <w:noWrap/>
            <w:tcMar>
              <w:left w:w="28" w:type="dxa"/>
              <w:right w:w="28" w:type="dxa"/>
            </w:tcMar>
            <w:vAlign w:val="center"/>
            <w:hideMark/>
          </w:tcPr>
          <w:p w14:paraId="40672992" w14:textId="77777777" w:rsidR="009737C3" w:rsidRPr="009737C3" w:rsidRDefault="009737C3" w:rsidP="009737C3">
            <w:pPr>
              <w:jc w:val="right"/>
              <w:rPr>
                <w:color w:val="000000"/>
                <w:sz w:val="20"/>
                <w:szCs w:val="20"/>
              </w:rPr>
            </w:pPr>
            <w:r w:rsidRPr="009737C3">
              <w:rPr>
                <w:color w:val="000000"/>
                <w:sz w:val="20"/>
                <w:szCs w:val="20"/>
              </w:rPr>
              <w:t>-0.05</w:t>
            </w:r>
          </w:p>
        </w:tc>
        <w:tc>
          <w:tcPr>
            <w:tcW w:w="213" w:type="pct"/>
            <w:shd w:val="clear" w:color="auto" w:fill="auto"/>
            <w:noWrap/>
            <w:tcMar>
              <w:left w:w="28" w:type="dxa"/>
              <w:right w:w="28" w:type="dxa"/>
            </w:tcMar>
            <w:vAlign w:val="center"/>
            <w:hideMark/>
          </w:tcPr>
          <w:p w14:paraId="50B29337" w14:textId="77777777" w:rsidR="009737C3" w:rsidRPr="009737C3" w:rsidRDefault="009737C3" w:rsidP="009737C3">
            <w:pPr>
              <w:jc w:val="right"/>
              <w:rPr>
                <w:color w:val="000000"/>
                <w:sz w:val="20"/>
                <w:szCs w:val="20"/>
              </w:rPr>
            </w:pPr>
            <w:r w:rsidRPr="009737C3">
              <w:rPr>
                <w:color w:val="000000"/>
                <w:sz w:val="20"/>
                <w:szCs w:val="20"/>
              </w:rPr>
              <w:t>0.15</w:t>
            </w:r>
          </w:p>
        </w:tc>
        <w:tc>
          <w:tcPr>
            <w:tcW w:w="213" w:type="pct"/>
            <w:shd w:val="clear" w:color="auto" w:fill="auto"/>
            <w:noWrap/>
            <w:tcMar>
              <w:left w:w="28" w:type="dxa"/>
              <w:right w:w="28" w:type="dxa"/>
            </w:tcMar>
            <w:vAlign w:val="center"/>
            <w:hideMark/>
          </w:tcPr>
          <w:p w14:paraId="6DC68244" w14:textId="77777777" w:rsidR="009737C3" w:rsidRPr="009737C3" w:rsidRDefault="009737C3" w:rsidP="009737C3">
            <w:pPr>
              <w:jc w:val="right"/>
              <w:rPr>
                <w:color w:val="000000"/>
                <w:sz w:val="20"/>
                <w:szCs w:val="20"/>
              </w:rPr>
            </w:pPr>
            <w:r w:rsidRPr="009737C3">
              <w:rPr>
                <w:color w:val="000000"/>
                <w:sz w:val="20"/>
                <w:szCs w:val="20"/>
              </w:rPr>
              <w:t>0.08</w:t>
            </w:r>
          </w:p>
        </w:tc>
        <w:tc>
          <w:tcPr>
            <w:tcW w:w="213" w:type="pct"/>
            <w:shd w:val="clear" w:color="auto" w:fill="auto"/>
            <w:noWrap/>
            <w:tcMar>
              <w:left w:w="28" w:type="dxa"/>
              <w:right w:w="28" w:type="dxa"/>
            </w:tcMar>
            <w:vAlign w:val="center"/>
            <w:hideMark/>
          </w:tcPr>
          <w:p w14:paraId="73804A02" w14:textId="77777777" w:rsidR="009737C3" w:rsidRPr="009737C3" w:rsidRDefault="009737C3" w:rsidP="009737C3">
            <w:pPr>
              <w:jc w:val="right"/>
              <w:rPr>
                <w:color w:val="000000"/>
                <w:sz w:val="20"/>
                <w:szCs w:val="20"/>
              </w:rPr>
            </w:pPr>
            <w:r w:rsidRPr="009737C3">
              <w:rPr>
                <w:color w:val="000000"/>
                <w:sz w:val="20"/>
                <w:szCs w:val="20"/>
              </w:rPr>
              <w:t>-0.01</w:t>
            </w:r>
          </w:p>
        </w:tc>
        <w:tc>
          <w:tcPr>
            <w:tcW w:w="214" w:type="pct"/>
            <w:shd w:val="clear" w:color="auto" w:fill="auto"/>
            <w:noWrap/>
            <w:tcMar>
              <w:left w:w="28" w:type="dxa"/>
              <w:right w:w="28" w:type="dxa"/>
            </w:tcMar>
            <w:vAlign w:val="center"/>
            <w:hideMark/>
          </w:tcPr>
          <w:p w14:paraId="1BA430BB" w14:textId="77777777" w:rsidR="009737C3" w:rsidRPr="009737C3" w:rsidRDefault="009737C3" w:rsidP="009737C3">
            <w:pPr>
              <w:jc w:val="right"/>
              <w:rPr>
                <w:color w:val="000000"/>
                <w:sz w:val="20"/>
                <w:szCs w:val="20"/>
              </w:rPr>
            </w:pPr>
            <w:r w:rsidRPr="009737C3">
              <w:rPr>
                <w:color w:val="000000"/>
                <w:sz w:val="20"/>
                <w:szCs w:val="20"/>
              </w:rPr>
              <w:t>-0.04</w:t>
            </w:r>
          </w:p>
        </w:tc>
        <w:tc>
          <w:tcPr>
            <w:tcW w:w="214" w:type="pct"/>
            <w:shd w:val="clear" w:color="auto" w:fill="auto"/>
            <w:noWrap/>
            <w:tcMar>
              <w:left w:w="28" w:type="dxa"/>
              <w:right w:w="28" w:type="dxa"/>
            </w:tcMar>
            <w:vAlign w:val="center"/>
            <w:hideMark/>
          </w:tcPr>
          <w:p w14:paraId="04EE2F1C" w14:textId="77777777" w:rsidR="009737C3" w:rsidRPr="009737C3" w:rsidRDefault="009737C3" w:rsidP="009737C3">
            <w:pPr>
              <w:jc w:val="right"/>
              <w:rPr>
                <w:color w:val="000000"/>
                <w:sz w:val="20"/>
                <w:szCs w:val="20"/>
              </w:rPr>
            </w:pPr>
            <w:r w:rsidRPr="009737C3">
              <w:rPr>
                <w:color w:val="000000"/>
                <w:sz w:val="20"/>
                <w:szCs w:val="20"/>
              </w:rPr>
              <w:t>-0.04</w:t>
            </w:r>
          </w:p>
        </w:tc>
        <w:tc>
          <w:tcPr>
            <w:tcW w:w="214" w:type="pct"/>
            <w:shd w:val="clear" w:color="auto" w:fill="auto"/>
            <w:noWrap/>
            <w:tcMar>
              <w:left w:w="28" w:type="dxa"/>
              <w:right w:w="28" w:type="dxa"/>
            </w:tcMar>
            <w:vAlign w:val="center"/>
            <w:hideMark/>
          </w:tcPr>
          <w:p w14:paraId="4091E8FD" w14:textId="77777777" w:rsidR="009737C3" w:rsidRPr="009737C3" w:rsidRDefault="009737C3" w:rsidP="009737C3">
            <w:pPr>
              <w:jc w:val="right"/>
              <w:rPr>
                <w:color w:val="000000"/>
                <w:sz w:val="20"/>
                <w:szCs w:val="20"/>
              </w:rPr>
            </w:pPr>
          </w:p>
        </w:tc>
        <w:tc>
          <w:tcPr>
            <w:tcW w:w="214" w:type="pct"/>
            <w:shd w:val="clear" w:color="auto" w:fill="auto"/>
            <w:noWrap/>
            <w:tcMar>
              <w:left w:w="28" w:type="dxa"/>
              <w:right w:w="28" w:type="dxa"/>
            </w:tcMar>
            <w:vAlign w:val="center"/>
            <w:hideMark/>
          </w:tcPr>
          <w:p w14:paraId="38A40502" w14:textId="77777777" w:rsidR="009737C3" w:rsidRPr="009737C3" w:rsidRDefault="009737C3" w:rsidP="009737C3">
            <w:pPr>
              <w:rPr>
                <w:sz w:val="20"/>
                <w:szCs w:val="20"/>
              </w:rPr>
            </w:pPr>
          </w:p>
        </w:tc>
        <w:tc>
          <w:tcPr>
            <w:tcW w:w="199" w:type="pct"/>
            <w:shd w:val="clear" w:color="auto" w:fill="auto"/>
            <w:noWrap/>
            <w:tcMar>
              <w:left w:w="28" w:type="dxa"/>
              <w:right w:w="28" w:type="dxa"/>
            </w:tcMar>
            <w:vAlign w:val="center"/>
            <w:hideMark/>
          </w:tcPr>
          <w:p w14:paraId="0760E211" w14:textId="77777777" w:rsidR="009737C3" w:rsidRPr="009737C3" w:rsidRDefault="009737C3" w:rsidP="009737C3">
            <w:pPr>
              <w:rPr>
                <w:sz w:val="20"/>
                <w:szCs w:val="20"/>
              </w:rPr>
            </w:pPr>
          </w:p>
        </w:tc>
      </w:tr>
      <w:tr w:rsidR="00A94550" w:rsidRPr="00E95955" w14:paraId="17E23685" w14:textId="77777777" w:rsidTr="00A94550">
        <w:trPr>
          <w:trHeight w:val="260"/>
        </w:trPr>
        <w:tc>
          <w:tcPr>
            <w:tcW w:w="152" w:type="pct"/>
            <w:shd w:val="clear" w:color="auto" w:fill="auto"/>
            <w:noWrap/>
            <w:tcMar>
              <w:left w:w="28" w:type="dxa"/>
              <w:right w:w="28" w:type="dxa"/>
            </w:tcMar>
            <w:vAlign w:val="center"/>
            <w:hideMark/>
          </w:tcPr>
          <w:p w14:paraId="20FB441A" w14:textId="77777777" w:rsidR="009737C3" w:rsidRPr="009737C3" w:rsidRDefault="009737C3" w:rsidP="009737C3">
            <w:pPr>
              <w:jc w:val="right"/>
              <w:rPr>
                <w:color w:val="000000"/>
                <w:sz w:val="20"/>
                <w:szCs w:val="20"/>
              </w:rPr>
            </w:pPr>
            <w:r w:rsidRPr="009737C3">
              <w:rPr>
                <w:color w:val="000000"/>
                <w:sz w:val="20"/>
                <w:szCs w:val="20"/>
              </w:rPr>
              <w:t>13</w:t>
            </w:r>
          </w:p>
        </w:tc>
        <w:tc>
          <w:tcPr>
            <w:tcW w:w="940" w:type="pct"/>
            <w:shd w:val="clear" w:color="auto" w:fill="auto"/>
            <w:noWrap/>
            <w:tcMar>
              <w:left w:w="28" w:type="dxa"/>
              <w:right w:w="28" w:type="dxa"/>
            </w:tcMar>
            <w:vAlign w:val="center"/>
            <w:hideMark/>
          </w:tcPr>
          <w:p w14:paraId="62706F3D" w14:textId="77777777" w:rsidR="009737C3" w:rsidRPr="009737C3" w:rsidRDefault="009737C3" w:rsidP="009737C3">
            <w:pPr>
              <w:rPr>
                <w:color w:val="000000"/>
                <w:sz w:val="20"/>
                <w:szCs w:val="20"/>
              </w:rPr>
            </w:pPr>
            <w:r w:rsidRPr="009737C3">
              <w:rPr>
                <w:color w:val="000000"/>
                <w:sz w:val="20"/>
                <w:szCs w:val="20"/>
              </w:rPr>
              <w:t>Sectoral growth</w:t>
            </w:r>
          </w:p>
        </w:tc>
        <w:tc>
          <w:tcPr>
            <w:tcW w:w="213" w:type="pct"/>
            <w:shd w:val="clear" w:color="auto" w:fill="auto"/>
            <w:noWrap/>
            <w:tcMar>
              <w:left w:w="28" w:type="dxa"/>
              <w:right w:w="28" w:type="dxa"/>
            </w:tcMar>
            <w:vAlign w:val="center"/>
            <w:hideMark/>
          </w:tcPr>
          <w:p w14:paraId="0E68502E" w14:textId="77777777" w:rsidR="009737C3" w:rsidRPr="009737C3" w:rsidRDefault="009737C3" w:rsidP="009737C3">
            <w:pPr>
              <w:jc w:val="right"/>
              <w:rPr>
                <w:color w:val="000000"/>
                <w:sz w:val="20"/>
                <w:szCs w:val="20"/>
              </w:rPr>
            </w:pPr>
            <w:r w:rsidRPr="009737C3">
              <w:rPr>
                <w:color w:val="000000"/>
                <w:sz w:val="20"/>
                <w:szCs w:val="20"/>
              </w:rPr>
              <w:t>16.41</w:t>
            </w:r>
          </w:p>
        </w:tc>
        <w:tc>
          <w:tcPr>
            <w:tcW w:w="220" w:type="pct"/>
            <w:shd w:val="clear" w:color="auto" w:fill="auto"/>
            <w:noWrap/>
            <w:tcMar>
              <w:left w:w="28" w:type="dxa"/>
              <w:right w:w="28" w:type="dxa"/>
            </w:tcMar>
            <w:vAlign w:val="center"/>
            <w:hideMark/>
          </w:tcPr>
          <w:p w14:paraId="52D8A018" w14:textId="77777777" w:rsidR="009737C3" w:rsidRPr="009737C3" w:rsidRDefault="009737C3" w:rsidP="009737C3">
            <w:pPr>
              <w:jc w:val="right"/>
              <w:rPr>
                <w:color w:val="000000"/>
                <w:sz w:val="20"/>
                <w:szCs w:val="20"/>
              </w:rPr>
            </w:pPr>
            <w:r w:rsidRPr="009737C3">
              <w:rPr>
                <w:color w:val="000000"/>
                <w:sz w:val="20"/>
                <w:szCs w:val="20"/>
              </w:rPr>
              <w:t>366.23</w:t>
            </w:r>
          </w:p>
        </w:tc>
        <w:tc>
          <w:tcPr>
            <w:tcW w:w="212" w:type="pct"/>
            <w:shd w:val="clear" w:color="auto" w:fill="auto"/>
            <w:noWrap/>
            <w:tcMar>
              <w:left w:w="28" w:type="dxa"/>
              <w:right w:w="28" w:type="dxa"/>
            </w:tcMar>
            <w:vAlign w:val="center"/>
            <w:hideMark/>
          </w:tcPr>
          <w:p w14:paraId="5B829913" w14:textId="77777777" w:rsidR="009737C3" w:rsidRPr="009737C3" w:rsidRDefault="009737C3" w:rsidP="009737C3">
            <w:pPr>
              <w:jc w:val="right"/>
              <w:rPr>
                <w:color w:val="000000"/>
                <w:sz w:val="20"/>
                <w:szCs w:val="20"/>
              </w:rPr>
            </w:pPr>
            <w:r w:rsidRPr="009737C3">
              <w:rPr>
                <w:color w:val="000000"/>
                <w:sz w:val="20"/>
                <w:szCs w:val="20"/>
              </w:rPr>
              <w:t>-99.88</w:t>
            </w:r>
          </w:p>
        </w:tc>
        <w:tc>
          <w:tcPr>
            <w:tcW w:w="292" w:type="pct"/>
            <w:shd w:val="clear" w:color="auto" w:fill="auto"/>
            <w:noWrap/>
            <w:tcMar>
              <w:left w:w="28" w:type="dxa"/>
              <w:right w:w="28" w:type="dxa"/>
            </w:tcMar>
            <w:vAlign w:val="center"/>
            <w:hideMark/>
          </w:tcPr>
          <w:p w14:paraId="3C375E5F" w14:textId="77777777" w:rsidR="009737C3" w:rsidRPr="009737C3" w:rsidRDefault="009737C3" w:rsidP="009737C3">
            <w:pPr>
              <w:jc w:val="right"/>
              <w:rPr>
                <w:color w:val="000000"/>
                <w:sz w:val="20"/>
                <w:szCs w:val="20"/>
              </w:rPr>
            </w:pPr>
            <w:r w:rsidRPr="009737C3">
              <w:rPr>
                <w:color w:val="000000"/>
                <w:sz w:val="20"/>
                <w:szCs w:val="20"/>
              </w:rPr>
              <w:t>12806.74</w:t>
            </w:r>
          </w:p>
        </w:tc>
        <w:tc>
          <w:tcPr>
            <w:tcW w:w="213" w:type="pct"/>
            <w:shd w:val="clear" w:color="auto" w:fill="auto"/>
            <w:noWrap/>
            <w:tcMar>
              <w:left w:w="28" w:type="dxa"/>
              <w:right w:w="28" w:type="dxa"/>
            </w:tcMar>
            <w:vAlign w:val="center"/>
            <w:hideMark/>
          </w:tcPr>
          <w:p w14:paraId="332C2EA4" w14:textId="77777777" w:rsidR="009737C3" w:rsidRPr="009737C3" w:rsidRDefault="009737C3" w:rsidP="009737C3">
            <w:pPr>
              <w:jc w:val="right"/>
              <w:rPr>
                <w:color w:val="000000"/>
                <w:sz w:val="20"/>
                <w:szCs w:val="20"/>
              </w:rPr>
            </w:pPr>
            <w:r w:rsidRPr="009737C3">
              <w:rPr>
                <w:color w:val="000000"/>
                <w:sz w:val="20"/>
                <w:szCs w:val="20"/>
              </w:rPr>
              <w:t>0.01</w:t>
            </w:r>
          </w:p>
        </w:tc>
        <w:tc>
          <w:tcPr>
            <w:tcW w:w="213" w:type="pct"/>
            <w:shd w:val="clear" w:color="auto" w:fill="auto"/>
            <w:noWrap/>
            <w:tcMar>
              <w:left w:w="28" w:type="dxa"/>
              <w:right w:w="28" w:type="dxa"/>
            </w:tcMar>
            <w:vAlign w:val="center"/>
            <w:hideMark/>
          </w:tcPr>
          <w:p w14:paraId="41061209" w14:textId="77777777" w:rsidR="009737C3" w:rsidRPr="009737C3" w:rsidRDefault="009737C3" w:rsidP="009737C3">
            <w:pPr>
              <w:jc w:val="right"/>
              <w:rPr>
                <w:color w:val="000000"/>
                <w:sz w:val="20"/>
                <w:szCs w:val="20"/>
              </w:rPr>
            </w:pPr>
            <w:r w:rsidRPr="009737C3">
              <w:rPr>
                <w:color w:val="000000"/>
                <w:sz w:val="20"/>
                <w:szCs w:val="20"/>
              </w:rPr>
              <w:t>0.01</w:t>
            </w:r>
          </w:p>
        </w:tc>
        <w:tc>
          <w:tcPr>
            <w:tcW w:w="213" w:type="pct"/>
            <w:shd w:val="clear" w:color="auto" w:fill="auto"/>
            <w:noWrap/>
            <w:tcMar>
              <w:left w:w="28" w:type="dxa"/>
              <w:right w:w="28" w:type="dxa"/>
            </w:tcMar>
            <w:vAlign w:val="center"/>
            <w:hideMark/>
          </w:tcPr>
          <w:p w14:paraId="20EEAF8C" w14:textId="77777777" w:rsidR="009737C3" w:rsidRPr="009737C3" w:rsidRDefault="009737C3" w:rsidP="009737C3">
            <w:pPr>
              <w:jc w:val="right"/>
              <w:rPr>
                <w:color w:val="000000"/>
                <w:sz w:val="20"/>
                <w:szCs w:val="20"/>
              </w:rPr>
            </w:pPr>
            <w:r w:rsidRPr="009737C3">
              <w:rPr>
                <w:color w:val="000000"/>
                <w:sz w:val="20"/>
                <w:szCs w:val="20"/>
              </w:rPr>
              <w:t>-0.01</w:t>
            </w:r>
          </w:p>
        </w:tc>
        <w:tc>
          <w:tcPr>
            <w:tcW w:w="213" w:type="pct"/>
            <w:shd w:val="clear" w:color="auto" w:fill="auto"/>
            <w:noWrap/>
            <w:tcMar>
              <w:left w:w="28" w:type="dxa"/>
              <w:right w:w="28" w:type="dxa"/>
            </w:tcMar>
            <w:vAlign w:val="center"/>
            <w:hideMark/>
          </w:tcPr>
          <w:p w14:paraId="7FD16440" w14:textId="77777777" w:rsidR="009737C3" w:rsidRPr="009737C3" w:rsidRDefault="009737C3" w:rsidP="009737C3">
            <w:pPr>
              <w:jc w:val="right"/>
              <w:rPr>
                <w:color w:val="000000"/>
                <w:sz w:val="20"/>
                <w:szCs w:val="20"/>
              </w:rPr>
            </w:pPr>
            <w:r w:rsidRPr="009737C3">
              <w:rPr>
                <w:color w:val="000000"/>
                <w:sz w:val="20"/>
                <w:szCs w:val="20"/>
              </w:rPr>
              <w:t>0</w:t>
            </w:r>
          </w:p>
        </w:tc>
        <w:tc>
          <w:tcPr>
            <w:tcW w:w="213" w:type="pct"/>
            <w:shd w:val="clear" w:color="auto" w:fill="auto"/>
            <w:noWrap/>
            <w:tcMar>
              <w:left w:w="28" w:type="dxa"/>
              <w:right w:w="28" w:type="dxa"/>
            </w:tcMar>
            <w:vAlign w:val="center"/>
            <w:hideMark/>
          </w:tcPr>
          <w:p w14:paraId="1EFFD5A7" w14:textId="77777777" w:rsidR="009737C3" w:rsidRPr="009737C3" w:rsidRDefault="009737C3" w:rsidP="009737C3">
            <w:pPr>
              <w:jc w:val="right"/>
              <w:rPr>
                <w:color w:val="000000"/>
                <w:sz w:val="20"/>
                <w:szCs w:val="20"/>
              </w:rPr>
            </w:pPr>
            <w:r w:rsidRPr="009737C3">
              <w:rPr>
                <w:color w:val="000000"/>
                <w:sz w:val="20"/>
                <w:szCs w:val="20"/>
              </w:rPr>
              <w:t>-0.02</w:t>
            </w:r>
          </w:p>
        </w:tc>
        <w:tc>
          <w:tcPr>
            <w:tcW w:w="213" w:type="pct"/>
            <w:shd w:val="clear" w:color="auto" w:fill="auto"/>
            <w:noWrap/>
            <w:tcMar>
              <w:left w:w="28" w:type="dxa"/>
              <w:right w:w="28" w:type="dxa"/>
            </w:tcMar>
            <w:vAlign w:val="center"/>
            <w:hideMark/>
          </w:tcPr>
          <w:p w14:paraId="57B41872" w14:textId="77777777" w:rsidR="009737C3" w:rsidRPr="009737C3" w:rsidRDefault="009737C3" w:rsidP="009737C3">
            <w:pPr>
              <w:jc w:val="right"/>
              <w:rPr>
                <w:color w:val="000000"/>
                <w:sz w:val="20"/>
                <w:szCs w:val="20"/>
              </w:rPr>
            </w:pPr>
            <w:r w:rsidRPr="009737C3">
              <w:rPr>
                <w:color w:val="000000"/>
                <w:sz w:val="20"/>
                <w:szCs w:val="20"/>
              </w:rPr>
              <w:t>0.06</w:t>
            </w:r>
          </w:p>
        </w:tc>
        <w:tc>
          <w:tcPr>
            <w:tcW w:w="213" w:type="pct"/>
            <w:shd w:val="clear" w:color="auto" w:fill="auto"/>
            <w:noWrap/>
            <w:tcMar>
              <w:left w:w="28" w:type="dxa"/>
              <w:right w:w="28" w:type="dxa"/>
            </w:tcMar>
            <w:vAlign w:val="center"/>
            <w:hideMark/>
          </w:tcPr>
          <w:p w14:paraId="331AB0C5" w14:textId="77777777" w:rsidR="009737C3" w:rsidRPr="009737C3" w:rsidRDefault="009737C3" w:rsidP="009737C3">
            <w:pPr>
              <w:jc w:val="right"/>
              <w:rPr>
                <w:color w:val="000000"/>
                <w:sz w:val="20"/>
                <w:szCs w:val="20"/>
              </w:rPr>
            </w:pPr>
            <w:r w:rsidRPr="009737C3">
              <w:rPr>
                <w:color w:val="000000"/>
                <w:sz w:val="20"/>
                <w:szCs w:val="20"/>
              </w:rPr>
              <w:t>0.02</w:t>
            </w:r>
          </w:p>
        </w:tc>
        <w:tc>
          <w:tcPr>
            <w:tcW w:w="213" w:type="pct"/>
            <w:shd w:val="clear" w:color="auto" w:fill="auto"/>
            <w:noWrap/>
            <w:tcMar>
              <w:left w:w="28" w:type="dxa"/>
              <w:right w:w="28" w:type="dxa"/>
            </w:tcMar>
            <w:vAlign w:val="center"/>
            <w:hideMark/>
          </w:tcPr>
          <w:p w14:paraId="21FC49DD" w14:textId="77777777" w:rsidR="009737C3" w:rsidRPr="009737C3" w:rsidRDefault="009737C3" w:rsidP="009737C3">
            <w:pPr>
              <w:jc w:val="right"/>
              <w:rPr>
                <w:color w:val="000000"/>
                <w:sz w:val="20"/>
                <w:szCs w:val="20"/>
              </w:rPr>
            </w:pPr>
            <w:r w:rsidRPr="009737C3">
              <w:rPr>
                <w:color w:val="000000"/>
                <w:sz w:val="20"/>
                <w:szCs w:val="20"/>
              </w:rPr>
              <w:t>0.02</w:t>
            </w:r>
          </w:p>
        </w:tc>
        <w:tc>
          <w:tcPr>
            <w:tcW w:w="213" w:type="pct"/>
            <w:shd w:val="clear" w:color="auto" w:fill="auto"/>
            <w:noWrap/>
            <w:tcMar>
              <w:left w:w="28" w:type="dxa"/>
              <w:right w:w="28" w:type="dxa"/>
            </w:tcMar>
            <w:vAlign w:val="center"/>
            <w:hideMark/>
          </w:tcPr>
          <w:p w14:paraId="66AA6405" w14:textId="77777777" w:rsidR="009737C3" w:rsidRPr="009737C3" w:rsidRDefault="009737C3" w:rsidP="009737C3">
            <w:pPr>
              <w:jc w:val="right"/>
              <w:rPr>
                <w:color w:val="000000"/>
                <w:sz w:val="20"/>
                <w:szCs w:val="20"/>
              </w:rPr>
            </w:pPr>
            <w:r w:rsidRPr="009737C3">
              <w:rPr>
                <w:color w:val="000000"/>
                <w:sz w:val="20"/>
                <w:szCs w:val="20"/>
              </w:rPr>
              <w:t>0</w:t>
            </w:r>
          </w:p>
        </w:tc>
        <w:tc>
          <w:tcPr>
            <w:tcW w:w="214" w:type="pct"/>
            <w:shd w:val="clear" w:color="auto" w:fill="auto"/>
            <w:noWrap/>
            <w:tcMar>
              <w:left w:w="28" w:type="dxa"/>
              <w:right w:w="28" w:type="dxa"/>
            </w:tcMar>
            <w:vAlign w:val="center"/>
            <w:hideMark/>
          </w:tcPr>
          <w:p w14:paraId="31CC119F" w14:textId="77777777" w:rsidR="009737C3" w:rsidRPr="009737C3" w:rsidRDefault="009737C3" w:rsidP="009737C3">
            <w:pPr>
              <w:jc w:val="right"/>
              <w:rPr>
                <w:color w:val="000000"/>
                <w:sz w:val="20"/>
                <w:szCs w:val="20"/>
              </w:rPr>
            </w:pPr>
            <w:r w:rsidRPr="009737C3">
              <w:rPr>
                <w:color w:val="000000"/>
                <w:sz w:val="20"/>
                <w:szCs w:val="20"/>
              </w:rPr>
              <w:t>0</w:t>
            </w:r>
          </w:p>
        </w:tc>
        <w:tc>
          <w:tcPr>
            <w:tcW w:w="214" w:type="pct"/>
            <w:shd w:val="clear" w:color="auto" w:fill="auto"/>
            <w:noWrap/>
            <w:tcMar>
              <w:left w:w="28" w:type="dxa"/>
              <w:right w:w="28" w:type="dxa"/>
            </w:tcMar>
            <w:vAlign w:val="center"/>
            <w:hideMark/>
          </w:tcPr>
          <w:p w14:paraId="7CCCD9A0" w14:textId="77777777" w:rsidR="009737C3" w:rsidRPr="009737C3" w:rsidRDefault="009737C3" w:rsidP="009737C3">
            <w:pPr>
              <w:jc w:val="right"/>
              <w:rPr>
                <w:color w:val="000000"/>
                <w:sz w:val="20"/>
                <w:szCs w:val="20"/>
              </w:rPr>
            </w:pPr>
            <w:r w:rsidRPr="009737C3">
              <w:rPr>
                <w:color w:val="000000"/>
                <w:sz w:val="20"/>
                <w:szCs w:val="20"/>
              </w:rPr>
              <w:t>-0.01</w:t>
            </w:r>
          </w:p>
        </w:tc>
        <w:tc>
          <w:tcPr>
            <w:tcW w:w="214" w:type="pct"/>
            <w:shd w:val="clear" w:color="auto" w:fill="auto"/>
            <w:noWrap/>
            <w:tcMar>
              <w:left w:w="28" w:type="dxa"/>
              <w:right w:w="28" w:type="dxa"/>
            </w:tcMar>
            <w:vAlign w:val="center"/>
            <w:hideMark/>
          </w:tcPr>
          <w:p w14:paraId="59C5B94C" w14:textId="77777777" w:rsidR="009737C3" w:rsidRPr="009737C3" w:rsidRDefault="009737C3" w:rsidP="009737C3">
            <w:pPr>
              <w:jc w:val="right"/>
              <w:rPr>
                <w:color w:val="000000"/>
                <w:sz w:val="20"/>
                <w:szCs w:val="20"/>
              </w:rPr>
            </w:pPr>
            <w:r w:rsidRPr="009737C3">
              <w:rPr>
                <w:color w:val="000000"/>
                <w:sz w:val="20"/>
                <w:szCs w:val="20"/>
              </w:rPr>
              <w:t>0.03</w:t>
            </w:r>
          </w:p>
        </w:tc>
        <w:tc>
          <w:tcPr>
            <w:tcW w:w="214" w:type="pct"/>
            <w:shd w:val="clear" w:color="auto" w:fill="auto"/>
            <w:noWrap/>
            <w:tcMar>
              <w:left w:w="28" w:type="dxa"/>
              <w:right w:w="28" w:type="dxa"/>
            </w:tcMar>
            <w:vAlign w:val="center"/>
            <w:hideMark/>
          </w:tcPr>
          <w:p w14:paraId="1162814A" w14:textId="77777777" w:rsidR="009737C3" w:rsidRPr="009737C3" w:rsidRDefault="009737C3" w:rsidP="009737C3">
            <w:pPr>
              <w:jc w:val="right"/>
              <w:rPr>
                <w:color w:val="000000"/>
                <w:sz w:val="20"/>
                <w:szCs w:val="20"/>
              </w:rPr>
            </w:pPr>
          </w:p>
        </w:tc>
        <w:tc>
          <w:tcPr>
            <w:tcW w:w="199" w:type="pct"/>
            <w:shd w:val="clear" w:color="auto" w:fill="auto"/>
            <w:noWrap/>
            <w:tcMar>
              <w:left w:w="28" w:type="dxa"/>
              <w:right w:w="28" w:type="dxa"/>
            </w:tcMar>
            <w:vAlign w:val="center"/>
            <w:hideMark/>
          </w:tcPr>
          <w:p w14:paraId="0B069DD9" w14:textId="77777777" w:rsidR="009737C3" w:rsidRPr="009737C3" w:rsidRDefault="009737C3" w:rsidP="009737C3">
            <w:pPr>
              <w:rPr>
                <w:sz w:val="20"/>
                <w:szCs w:val="20"/>
              </w:rPr>
            </w:pPr>
          </w:p>
        </w:tc>
      </w:tr>
      <w:tr w:rsidR="00A94550" w:rsidRPr="00E95955" w14:paraId="4982FE1C" w14:textId="77777777" w:rsidTr="00A94550">
        <w:trPr>
          <w:trHeight w:val="260"/>
        </w:trPr>
        <w:tc>
          <w:tcPr>
            <w:tcW w:w="152" w:type="pct"/>
            <w:shd w:val="clear" w:color="auto" w:fill="auto"/>
            <w:noWrap/>
            <w:tcMar>
              <w:left w:w="28" w:type="dxa"/>
              <w:right w:w="28" w:type="dxa"/>
            </w:tcMar>
            <w:vAlign w:val="center"/>
            <w:hideMark/>
          </w:tcPr>
          <w:p w14:paraId="5C5257FE" w14:textId="77777777" w:rsidR="009737C3" w:rsidRPr="009737C3" w:rsidRDefault="009737C3" w:rsidP="009737C3">
            <w:pPr>
              <w:jc w:val="right"/>
              <w:rPr>
                <w:color w:val="000000"/>
                <w:sz w:val="20"/>
                <w:szCs w:val="20"/>
              </w:rPr>
            </w:pPr>
            <w:r w:rsidRPr="009737C3">
              <w:rPr>
                <w:color w:val="000000"/>
                <w:sz w:val="20"/>
                <w:szCs w:val="20"/>
              </w:rPr>
              <w:t>14</w:t>
            </w:r>
          </w:p>
        </w:tc>
        <w:tc>
          <w:tcPr>
            <w:tcW w:w="940" w:type="pct"/>
            <w:shd w:val="clear" w:color="auto" w:fill="auto"/>
            <w:noWrap/>
            <w:tcMar>
              <w:left w:w="28" w:type="dxa"/>
              <w:right w:w="28" w:type="dxa"/>
            </w:tcMar>
            <w:vAlign w:val="center"/>
            <w:hideMark/>
          </w:tcPr>
          <w:p w14:paraId="5E0696A5" w14:textId="77777777" w:rsidR="009737C3" w:rsidRPr="009737C3" w:rsidRDefault="009737C3" w:rsidP="009737C3">
            <w:pPr>
              <w:rPr>
                <w:color w:val="000000"/>
                <w:sz w:val="20"/>
                <w:szCs w:val="20"/>
              </w:rPr>
            </w:pPr>
            <w:r w:rsidRPr="009737C3">
              <w:rPr>
                <w:color w:val="000000"/>
                <w:sz w:val="20"/>
                <w:szCs w:val="20"/>
              </w:rPr>
              <w:t>Domestic market growth</w:t>
            </w:r>
          </w:p>
        </w:tc>
        <w:tc>
          <w:tcPr>
            <w:tcW w:w="213" w:type="pct"/>
            <w:shd w:val="clear" w:color="auto" w:fill="auto"/>
            <w:noWrap/>
            <w:tcMar>
              <w:left w:w="28" w:type="dxa"/>
              <w:right w:w="28" w:type="dxa"/>
            </w:tcMar>
            <w:vAlign w:val="center"/>
            <w:hideMark/>
          </w:tcPr>
          <w:p w14:paraId="3DCE1CF2" w14:textId="77777777" w:rsidR="009737C3" w:rsidRPr="009737C3" w:rsidRDefault="009737C3" w:rsidP="009737C3">
            <w:pPr>
              <w:jc w:val="right"/>
              <w:rPr>
                <w:color w:val="000000"/>
                <w:sz w:val="20"/>
                <w:szCs w:val="20"/>
              </w:rPr>
            </w:pPr>
            <w:r w:rsidRPr="009737C3">
              <w:rPr>
                <w:color w:val="000000"/>
                <w:sz w:val="20"/>
                <w:szCs w:val="20"/>
              </w:rPr>
              <w:t>-0.62</w:t>
            </w:r>
          </w:p>
        </w:tc>
        <w:tc>
          <w:tcPr>
            <w:tcW w:w="220" w:type="pct"/>
            <w:shd w:val="clear" w:color="auto" w:fill="auto"/>
            <w:noWrap/>
            <w:tcMar>
              <w:left w:w="28" w:type="dxa"/>
              <w:right w:w="28" w:type="dxa"/>
            </w:tcMar>
            <w:vAlign w:val="center"/>
            <w:hideMark/>
          </w:tcPr>
          <w:p w14:paraId="2739440F" w14:textId="77777777" w:rsidR="009737C3" w:rsidRPr="009737C3" w:rsidRDefault="009737C3" w:rsidP="009737C3">
            <w:pPr>
              <w:jc w:val="right"/>
              <w:rPr>
                <w:color w:val="000000"/>
                <w:sz w:val="20"/>
                <w:szCs w:val="20"/>
              </w:rPr>
            </w:pPr>
            <w:r w:rsidRPr="009737C3">
              <w:rPr>
                <w:color w:val="000000"/>
                <w:sz w:val="20"/>
                <w:szCs w:val="20"/>
              </w:rPr>
              <w:t>2.16</w:t>
            </w:r>
          </w:p>
        </w:tc>
        <w:tc>
          <w:tcPr>
            <w:tcW w:w="212" w:type="pct"/>
            <w:shd w:val="clear" w:color="auto" w:fill="auto"/>
            <w:noWrap/>
            <w:tcMar>
              <w:left w:w="28" w:type="dxa"/>
              <w:right w:w="28" w:type="dxa"/>
            </w:tcMar>
            <w:vAlign w:val="center"/>
            <w:hideMark/>
          </w:tcPr>
          <w:p w14:paraId="5AF4CC9D" w14:textId="77777777" w:rsidR="009737C3" w:rsidRPr="009737C3" w:rsidRDefault="009737C3" w:rsidP="009737C3">
            <w:pPr>
              <w:jc w:val="right"/>
              <w:rPr>
                <w:color w:val="000000"/>
                <w:sz w:val="20"/>
                <w:szCs w:val="20"/>
              </w:rPr>
            </w:pPr>
            <w:r w:rsidRPr="009737C3">
              <w:rPr>
                <w:color w:val="000000"/>
                <w:sz w:val="20"/>
                <w:szCs w:val="20"/>
              </w:rPr>
              <w:t>-3.57</w:t>
            </w:r>
          </w:p>
        </w:tc>
        <w:tc>
          <w:tcPr>
            <w:tcW w:w="292" w:type="pct"/>
            <w:shd w:val="clear" w:color="auto" w:fill="auto"/>
            <w:noWrap/>
            <w:tcMar>
              <w:left w:w="28" w:type="dxa"/>
              <w:right w:w="28" w:type="dxa"/>
            </w:tcMar>
            <w:vAlign w:val="center"/>
            <w:hideMark/>
          </w:tcPr>
          <w:p w14:paraId="7C5A82B7" w14:textId="77777777" w:rsidR="009737C3" w:rsidRPr="009737C3" w:rsidRDefault="009737C3" w:rsidP="009737C3">
            <w:pPr>
              <w:jc w:val="right"/>
              <w:rPr>
                <w:color w:val="000000"/>
                <w:sz w:val="20"/>
                <w:szCs w:val="20"/>
              </w:rPr>
            </w:pPr>
            <w:r w:rsidRPr="009737C3">
              <w:rPr>
                <w:color w:val="000000"/>
                <w:sz w:val="20"/>
                <w:szCs w:val="20"/>
              </w:rPr>
              <w:t>3.43</w:t>
            </w:r>
          </w:p>
        </w:tc>
        <w:tc>
          <w:tcPr>
            <w:tcW w:w="213" w:type="pct"/>
            <w:shd w:val="clear" w:color="auto" w:fill="auto"/>
            <w:noWrap/>
            <w:tcMar>
              <w:left w:w="28" w:type="dxa"/>
              <w:right w:w="28" w:type="dxa"/>
            </w:tcMar>
            <w:vAlign w:val="center"/>
            <w:hideMark/>
          </w:tcPr>
          <w:p w14:paraId="3755A4F6" w14:textId="77777777" w:rsidR="009737C3" w:rsidRPr="009737C3" w:rsidRDefault="009737C3" w:rsidP="009737C3">
            <w:pPr>
              <w:jc w:val="right"/>
              <w:rPr>
                <w:color w:val="000000"/>
                <w:sz w:val="20"/>
                <w:szCs w:val="20"/>
              </w:rPr>
            </w:pPr>
            <w:r w:rsidRPr="009737C3">
              <w:rPr>
                <w:color w:val="000000"/>
                <w:sz w:val="20"/>
                <w:szCs w:val="20"/>
              </w:rPr>
              <w:t>0.1</w:t>
            </w:r>
          </w:p>
        </w:tc>
        <w:tc>
          <w:tcPr>
            <w:tcW w:w="213" w:type="pct"/>
            <w:shd w:val="clear" w:color="auto" w:fill="auto"/>
            <w:noWrap/>
            <w:tcMar>
              <w:left w:w="28" w:type="dxa"/>
              <w:right w:w="28" w:type="dxa"/>
            </w:tcMar>
            <w:vAlign w:val="center"/>
            <w:hideMark/>
          </w:tcPr>
          <w:p w14:paraId="6BA63C38" w14:textId="77777777" w:rsidR="009737C3" w:rsidRPr="009737C3" w:rsidRDefault="009737C3" w:rsidP="009737C3">
            <w:pPr>
              <w:jc w:val="right"/>
              <w:rPr>
                <w:color w:val="000000"/>
                <w:sz w:val="20"/>
                <w:szCs w:val="20"/>
              </w:rPr>
            </w:pPr>
            <w:r w:rsidRPr="009737C3">
              <w:rPr>
                <w:color w:val="000000"/>
                <w:sz w:val="20"/>
                <w:szCs w:val="20"/>
              </w:rPr>
              <w:t>0.33</w:t>
            </w:r>
          </w:p>
        </w:tc>
        <w:tc>
          <w:tcPr>
            <w:tcW w:w="213" w:type="pct"/>
            <w:shd w:val="clear" w:color="auto" w:fill="auto"/>
            <w:noWrap/>
            <w:tcMar>
              <w:left w:w="28" w:type="dxa"/>
              <w:right w:w="28" w:type="dxa"/>
            </w:tcMar>
            <w:vAlign w:val="center"/>
            <w:hideMark/>
          </w:tcPr>
          <w:p w14:paraId="63611BCA" w14:textId="77777777" w:rsidR="009737C3" w:rsidRPr="009737C3" w:rsidRDefault="009737C3" w:rsidP="009737C3">
            <w:pPr>
              <w:jc w:val="right"/>
              <w:rPr>
                <w:color w:val="000000"/>
                <w:sz w:val="20"/>
                <w:szCs w:val="20"/>
              </w:rPr>
            </w:pPr>
            <w:r w:rsidRPr="009737C3">
              <w:rPr>
                <w:color w:val="000000"/>
                <w:sz w:val="20"/>
                <w:szCs w:val="20"/>
              </w:rPr>
              <w:t>0.02</w:t>
            </w:r>
          </w:p>
        </w:tc>
        <w:tc>
          <w:tcPr>
            <w:tcW w:w="213" w:type="pct"/>
            <w:shd w:val="clear" w:color="auto" w:fill="auto"/>
            <w:noWrap/>
            <w:tcMar>
              <w:left w:w="28" w:type="dxa"/>
              <w:right w:w="28" w:type="dxa"/>
            </w:tcMar>
            <w:vAlign w:val="center"/>
            <w:hideMark/>
          </w:tcPr>
          <w:p w14:paraId="1F740082" w14:textId="77777777" w:rsidR="009737C3" w:rsidRPr="009737C3" w:rsidRDefault="009737C3" w:rsidP="009737C3">
            <w:pPr>
              <w:jc w:val="right"/>
              <w:rPr>
                <w:color w:val="000000"/>
                <w:sz w:val="20"/>
                <w:szCs w:val="20"/>
              </w:rPr>
            </w:pPr>
            <w:r w:rsidRPr="009737C3">
              <w:rPr>
                <w:color w:val="000000"/>
                <w:sz w:val="20"/>
                <w:szCs w:val="20"/>
              </w:rPr>
              <w:t>0.01</w:t>
            </w:r>
          </w:p>
        </w:tc>
        <w:tc>
          <w:tcPr>
            <w:tcW w:w="213" w:type="pct"/>
            <w:shd w:val="clear" w:color="auto" w:fill="auto"/>
            <w:noWrap/>
            <w:tcMar>
              <w:left w:w="28" w:type="dxa"/>
              <w:right w:w="28" w:type="dxa"/>
            </w:tcMar>
            <w:vAlign w:val="center"/>
            <w:hideMark/>
          </w:tcPr>
          <w:p w14:paraId="404432D3" w14:textId="77777777" w:rsidR="009737C3" w:rsidRPr="009737C3" w:rsidRDefault="009737C3" w:rsidP="009737C3">
            <w:pPr>
              <w:jc w:val="right"/>
              <w:rPr>
                <w:color w:val="000000"/>
                <w:sz w:val="20"/>
                <w:szCs w:val="20"/>
              </w:rPr>
            </w:pPr>
            <w:r w:rsidRPr="009737C3">
              <w:rPr>
                <w:color w:val="000000"/>
                <w:sz w:val="20"/>
                <w:szCs w:val="20"/>
              </w:rPr>
              <w:t>0.04</w:t>
            </w:r>
          </w:p>
        </w:tc>
        <w:tc>
          <w:tcPr>
            <w:tcW w:w="213" w:type="pct"/>
            <w:shd w:val="clear" w:color="auto" w:fill="auto"/>
            <w:noWrap/>
            <w:tcMar>
              <w:left w:w="28" w:type="dxa"/>
              <w:right w:w="28" w:type="dxa"/>
            </w:tcMar>
            <w:vAlign w:val="center"/>
            <w:hideMark/>
          </w:tcPr>
          <w:p w14:paraId="135E99F4" w14:textId="77777777" w:rsidR="009737C3" w:rsidRPr="009737C3" w:rsidRDefault="009737C3" w:rsidP="009737C3">
            <w:pPr>
              <w:jc w:val="right"/>
              <w:rPr>
                <w:color w:val="000000"/>
                <w:sz w:val="20"/>
                <w:szCs w:val="20"/>
              </w:rPr>
            </w:pPr>
            <w:r w:rsidRPr="009737C3">
              <w:rPr>
                <w:color w:val="000000"/>
                <w:sz w:val="20"/>
                <w:szCs w:val="20"/>
              </w:rPr>
              <w:t>0.09</w:t>
            </w:r>
          </w:p>
        </w:tc>
        <w:tc>
          <w:tcPr>
            <w:tcW w:w="213" w:type="pct"/>
            <w:shd w:val="clear" w:color="auto" w:fill="auto"/>
            <w:noWrap/>
            <w:tcMar>
              <w:left w:w="28" w:type="dxa"/>
              <w:right w:w="28" w:type="dxa"/>
            </w:tcMar>
            <w:vAlign w:val="center"/>
            <w:hideMark/>
          </w:tcPr>
          <w:p w14:paraId="2F44DC31" w14:textId="77777777" w:rsidR="009737C3" w:rsidRPr="009737C3" w:rsidRDefault="009737C3" w:rsidP="009737C3">
            <w:pPr>
              <w:jc w:val="right"/>
              <w:rPr>
                <w:color w:val="000000"/>
                <w:sz w:val="20"/>
                <w:szCs w:val="20"/>
              </w:rPr>
            </w:pPr>
            <w:r w:rsidRPr="009737C3">
              <w:rPr>
                <w:color w:val="000000"/>
                <w:sz w:val="20"/>
                <w:szCs w:val="20"/>
              </w:rPr>
              <w:t>0.03</w:t>
            </w:r>
          </w:p>
        </w:tc>
        <w:tc>
          <w:tcPr>
            <w:tcW w:w="213" w:type="pct"/>
            <w:shd w:val="clear" w:color="auto" w:fill="auto"/>
            <w:noWrap/>
            <w:tcMar>
              <w:left w:w="28" w:type="dxa"/>
              <w:right w:w="28" w:type="dxa"/>
            </w:tcMar>
            <w:vAlign w:val="center"/>
            <w:hideMark/>
          </w:tcPr>
          <w:p w14:paraId="7FC00044" w14:textId="77777777" w:rsidR="009737C3" w:rsidRPr="009737C3" w:rsidRDefault="009737C3" w:rsidP="009737C3">
            <w:pPr>
              <w:jc w:val="right"/>
              <w:rPr>
                <w:color w:val="000000"/>
                <w:sz w:val="20"/>
                <w:szCs w:val="20"/>
              </w:rPr>
            </w:pPr>
            <w:r w:rsidRPr="009737C3">
              <w:rPr>
                <w:color w:val="000000"/>
                <w:sz w:val="20"/>
                <w:szCs w:val="20"/>
              </w:rPr>
              <w:t>-0.02</w:t>
            </w:r>
          </w:p>
        </w:tc>
        <w:tc>
          <w:tcPr>
            <w:tcW w:w="213" w:type="pct"/>
            <w:shd w:val="clear" w:color="auto" w:fill="auto"/>
            <w:noWrap/>
            <w:tcMar>
              <w:left w:w="28" w:type="dxa"/>
              <w:right w:w="28" w:type="dxa"/>
            </w:tcMar>
            <w:vAlign w:val="center"/>
            <w:hideMark/>
          </w:tcPr>
          <w:p w14:paraId="03D720F3" w14:textId="77777777" w:rsidR="009737C3" w:rsidRPr="009737C3" w:rsidRDefault="009737C3" w:rsidP="009737C3">
            <w:pPr>
              <w:jc w:val="right"/>
              <w:rPr>
                <w:color w:val="000000"/>
                <w:sz w:val="20"/>
                <w:szCs w:val="20"/>
              </w:rPr>
            </w:pPr>
            <w:r w:rsidRPr="009737C3">
              <w:rPr>
                <w:color w:val="000000"/>
                <w:sz w:val="20"/>
                <w:szCs w:val="20"/>
              </w:rPr>
              <w:t>-0.04</w:t>
            </w:r>
          </w:p>
        </w:tc>
        <w:tc>
          <w:tcPr>
            <w:tcW w:w="214" w:type="pct"/>
            <w:shd w:val="clear" w:color="auto" w:fill="auto"/>
            <w:noWrap/>
            <w:tcMar>
              <w:left w:w="28" w:type="dxa"/>
              <w:right w:w="28" w:type="dxa"/>
            </w:tcMar>
            <w:vAlign w:val="center"/>
            <w:hideMark/>
          </w:tcPr>
          <w:p w14:paraId="6F17C1A6" w14:textId="77777777" w:rsidR="009737C3" w:rsidRPr="009737C3" w:rsidRDefault="009737C3" w:rsidP="009737C3">
            <w:pPr>
              <w:jc w:val="right"/>
              <w:rPr>
                <w:color w:val="000000"/>
                <w:sz w:val="20"/>
                <w:szCs w:val="20"/>
              </w:rPr>
            </w:pPr>
            <w:r w:rsidRPr="009737C3">
              <w:rPr>
                <w:color w:val="000000"/>
                <w:sz w:val="20"/>
                <w:szCs w:val="20"/>
              </w:rPr>
              <w:t>-0.07</w:t>
            </w:r>
          </w:p>
        </w:tc>
        <w:tc>
          <w:tcPr>
            <w:tcW w:w="214" w:type="pct"/>
            <w:shd w:val="clear" w:color="auto" w:fill="auto"/>
            <w:noWrap/>
            <w:tcMar>
              <w:left w:w="28" w:type="dxa"/>
              <w:right w:w="28" w:type="dxa"/>
            </w:tcMar>
            <w:vAlign w:val="center"/>
            <w:hideMark/>
          </w:tcPr>
          <w:p w14:paraId="7D6CE00F" w14:textId="77777777" w:rsidR="009737C3" w:rsidRPr="009737C3" w:rsidRDefault="009737C3" w:rsidP="009737C3">
            <w:pPr>
              <w:jc w:val="right"/>
              <w:rPr>
                <w:color w:val="000000"/>
                <w:sz w:val="20"/>
                <w:szCs w:val="20"/>
              </w:rPr>
            </w:pPr>
            <w:r w:rsidRPr="009737C3">
              <w:rPr>
                <w:color w:val="000000"/>
                <w:sz w:val="20"/>
                <w:szCs w:val="20"/>
              </w:rPr>
              <w:t>-0.07</w:t>
            </w:r>
          </w:p>
        </w:tc>
        <w:tc>
          <w:tcPr>
            <w:tcW w:w="214" w:type="pct"/>
            <w:shd w:val="clear" w:color="auto" w:fill="auto"/>
            <w:noWrap/>
            <w:tcMar>
              <w:left w:w="28" w:type="dxa"/>
              <w:right w:w="28" w:type="dxa"/>
            </w:tcMar>
            <w:vAlign w:val="center"/>
            <w:hideMark/>
          </w:tcPr>
          <w:p w14:paraId="54DC88DF" w14:textId="77777777" w:rsidR="009737C3" w:rsidRPr="009737C3" w:rsidRDefault="009737C3" w:rsidP="009737C3">
            <w:pPr>
              <w:jc w:val="right"/>
              <w:rPr>
                <w:color w:val="000000"/>
                <w:sz w:val="20"/>
                <w:szCs w:val="20"/>
              </w:rPr>
            </w:pPr>
            <w:r w:rsidRPr="009737C3">
              <w:rPr>
                <w:color w:val="000000"/>
                <w:sz w:val="20"/>
                <w:szCs w:val="20"/>
              </w:rPr>
              <w:t>0.05</w:t>
            </w:r>
          </w:p>
        </w:tc>
        <w:tc>
          <w:tcPr>
            <w:tcW w:w="214" w:type="pct"/>
            <w:shd w:val="clear" w:color="auto" w:fill="auto"/>
            <w:noWrap/>
            <w:tcMar>
              <w:left w:w="28" w:type="dxa"/>
              <w:right w:w="28" w:type="dxa"/>
            </w:tcMar>
            <w:vAlign w:val="center"/>
            <w:hideMark/>
          </w:tcPr>
          <w:p w14:paraId="2B7BC2BB" w14:textId="77777777" w:rsidR="009737C3" w:rsidRPr="009737C3" w:rsidRDefault="009737C3" w:rsidP="009737C3">
            <w:pPr>
              <w:jc w:val="right"/>
              <w:rPr>
                <w:color w:val="000000"/>
                <w:sz w:val="20"/>
                <w:szCs w:val="20"/>
              </w:rPr>
            </w:pPr>
            <w:r w:rsidRPr="009737C3">
              <w:rPr>
                <w:color w:val="000000"/>
                <w:sz w:val="20"/>
                <w:szCs w:val="20"/>
              </w:rPr>
              <w:t>0.02</w:t>
            </w:r>
          </w:p>
        </w:tc>
        <w:tc>
          <w:tcPr>
            <w:tcW w:w="199" w:type="pct"/>
            <w:shd w:val="clear" w:color="auto" w:fill="auto"/>
            <w:noWrap/>
            <w:tcMar>
              <w:left w:w="28" w:type="dxa"/>
              <w:right w:w="28" w:type="dxa"/>
            </w:tcMar>
            <w:vAlign w:val="center"/>
            <w:hideMark/>
          </w:tcPr>
          <w:p w14:paraId="45EA531B" w14:textId="77777777" w:rsidR="009737C3" w:rsidRPr="009737C3" w:rsidRDefault="009737C3" w:rsidP="009737C3">
            <w:pPr>
              <w:jc w:val="right"/>
              <w:rPr>
                <w:color w:val="000000"/>
                <w:sz w:val="20"/>
                <w:szCs w:val="20"/>
              </w:rPr>
            </w:pPr>
          </w:p>
        </w:tc>
      </w:tr>
      <w:tr w:rsidR="00A94550" w:rsidRPr="00E95955" w14:paraId="5D486D75" w14:textId="77777777" w:rsidTr="00A94550">
        <w:trPr>
          <w:trHeight w:val="271"/>
        </w:trPr>
        <w:tc>
          <w:tcPr>
            <w:tcW w:w="152" w:type="pct"/>
            <w:tcBorders>
              <w:bottom w:val="single" w:sz="4" w:space="0" w:color="auto"/>
            </w:tcBorders>
            <w:shd w:val="clear" w:color="auto" w:fill="auto"/>
            <w:noWrap/>
            <w:tcMar>
              <w:left w:w="28" w:type="dxa"/>
              <w:right w:w="28" w:type="dxa"/>
            </w:tcMar>
            <w:vAlign w:val="center"/>
            <w:hideMark/>
          </w:tcPr>
          <w:p w14:paraId="415B6711" w14:textId="77777777" w:rsidR="009737C3" w:rsidRPr="009737C3" w:rsidRDefault="009737C3" w:rsidP="009737C3">
            <w:pPr>
              <w:jc w:val="right"/>
              <w:rPr>
                <w:color w:val="000000"/>
                <w:sz w:val="20"/>
                <w:szCs w:val="20"/>
              </w:rPr>
            </w:pPr>
            <w:r w:rsidRPr="009737C3">
              <w:rPr>
                <w:color w:val="000000"/>
                <w:sz w:val="20"/>
                <w:szCs w:val="20"/>
              </w:rPr>
              <w:t>15</w:t>
            </w:r>
          </w:p>
        </w:tc>
        <w:tc>
          <w:tcPr>
            <w:tcW w:w="940" w:type="pct"/>
            <w:tcBorders>
              <w:bottom w:val="single" w:sz="4" w:space="0" w:color="auto"/>
            </w:tcBorders>
            <w:shd w:val="clear" w:color="auto" w:fill="auto"/>
            <w:noWrap/>
            <w:tcMar>
              <w:left w:w="28" w:type="dxa"/>
              <w:right w:w="28" w:type="dxa"/>
            </w:tcMar>
            <w:vAlign w:val="center"/>
            <w:hideMark/>
          </w:tcPr>
          <w:p w14:paraId="6A8DCA6B" w14:textId="77777777" w:rsidR="009737C3" w:rsidRPr="009737C3" w:rsidRDefault="009737C3" w:rsidP="009737C3">
            <w:pPr>
              <w:rPr>
                <w:color w:val="000000"/>
                <w:sz w:val="20"/>
                <w:szCs w:val="20"/>
              </w:rPr>
            </w:pPr>
            <w:r w:rsidRPr="009737C3">
              <w:rPr>
                <w:color w:val="000000"/>
                <w:sz w:val="20"/>
                <w:szCs w:val="20"/>
              </w:rPr>
              <w:t>Domestic market growth at exit</w:t>
            </w:r>
          </w:p>
        </w:tc>
        <w:tc>
          <w:tcPr>
            <w:tcW w:w="213" w:type="pct"/>
            <w:tcBorders>
              <w:bottom w:val="single" w:sz="4" w:space="0" w:color="auto"/>
            </w:tcBorders>
            <w:shd w:val="clear" w:color="auto" w:fill="auto"/>
            <w:noWrap/>
            <w:tcMar>
              <w:left w:w="28" w:type="dxa"/>
              <w:right w:w="28" w:type="dxa"/>
            </w:tcMar>
            <w:vAlign w:val="center"/>
            <w:hideMark/>
          </w:tcPr>
          <w:p w14:paraId="5C9B6381" w14:textId="77777777" w:rsidR="009737C3" w:rsidRPr="009737C3" w:rsidRDefault="009737C3" w:rsidP="009737C3">
            <w:pPr>
              <w:jc w:val="right"/>
              <w:rPr>
                <w:color w:val="000000"/>
                <w:sz w:val="20"/>
                <w:szCs w:val="20"/>
              </w:rPr>
            </w:pPr>
            <w:r w:rsidRPr="009737C3">
              <w:rPr>
                <w:color w:val="000000"/>
                <w:sz w:val="20"/>
                <w:szCs w:val="20"/>
              </w:rPr>
              <w:t>-0.91</w:t>
            </w:r>
          </w:p>
        </w:tc>
        <w:tc>
          <w:tcPr>
            <w:tcW w:w="220" w:type="pct"/>
            <w:tcBorders>
              <w:bottom w:val="single" w:sz="4" w:space="0" w:color="auto"/>
            </w:tcBorders>
            <w:shd w:val="clear" w:color="auto" w:fill="auto"/>
            <w:noWrap/>
            <w:tcMar>
              <w:left w:w="28" w:type="dxa"/>
              <w:right w:w="28" w:type="dxa"/>
            </w:tcMar>
            <w:vAlign w:val="center"/>
            <w:hideMark/>
          </w:tcPr>
          <w:p w14:paraId="504536A3" w14:textId="77777777" w:rsidR="009737C3" w:rsidRPr="009737C3" w:rsidRDefault="009737C3" w:rsidP="009737C3">
            <w:pPr>
              <w:jc w:val="right"/>
              <w:rPr>
                <w:color w:val="000000"/>
                <w:sz w:val="20"/>
                <w:szCs w:val="20"/>
              </w:rPr>
            </w:pPr>
            <w:r w:rsidRPr="009737C3">
              <w:rPr>
                <w:color w:val="000000"/>
                <w:sz w:val="20"/>
                <w:szCs w:val="20"/>
              </w:rPr>
              <w:t>1.93</w:t>
            </w:r>
          </w:p>
        </w:tc>
        <w:tc>
          <w:tcPr>
            <w:tcW w:w="212" w:type="pct"/>
            <w:tcBorders>
              <w:bottom w:val="single" w:sz="4" w:space="0" w:color="auto"/>
            </w:tcBorders>
            <w:shd w:val="clear" w:color="auto" w:fill="auto"/>
            <w:noWrap/>
            <w:tcMar>
              <w:left w:w="28" w:type="dxa"/>
              <w:right w:w="28" w:type="dxa"/>
            </w:tcMar>
            <w:vAlign w:val="center"/>
            <w:hideMark/>
          </w:tcPr>
          <w:p w14:paraId="0A4DDED7" w14:textId="77777777" w:rsidR="009737C3" w:rsidRPr="009737C3" w:rsidRDefault="009737C3" w:rsidP="009737C3">
            <w:pPr>
              <w:jc w:val="right"/>
              <w:rPr>
                <w:color w:val="000000"/>
                <w:sz w:val="20"/>
                <w:szCs w:val="20"/>
              </w:rPr>
            </w:pPr>
            <w:r w:rsidRPr="009737C3">
              <w:rPr>
                <w:color w:val="000000"/>
                <w:sz w:val="20"/>
                <w:szCs w:val="20"/>
              </w:rPr>
              <w:t>-3.57</w:t>
            </w:r>
          </w:p>
        </w:tc>
        <w:tc>
          <w:tcPr>
            <w:tcW w:w="292" w:type="pct"/>
            <w:tcBorders>
              <w:bottom w:val="single" w:sz="4" w:space="0" w:color="auto"/>
            </w:tcBorders>
            <w:shd w:val="clear" w:color="auto" w:fill="auto"/>
            <w:noWrap/>
            <w:tcMar>
              <w:left w:w="28" w:type="dxa"/>
              <w:right w:w="28" w:type="dxa"/>
            </w:tcMar>
            <w:vAlign w:val="center"/>
            <w:hideMark/>
          </w:tcPr>
          <w:p w14:paraId="686A867D" w14:textId="77777777" w:rsidR="009737C3" w:rsidRPr="009737C3" w:rsidRDefault="009737C3" w:rsidP="009737C3">
            <w:pPr>
              <w:jc w:val="right"/>
              <w:rPr>
                <w:color w:val="000000"/>
                <w:sz w:val="20"/>
                <w:szCs w:val="20"/>
              </w:rPr>
            </w:pPr>
            <w:r w:rsidRPr="009737C3">
              <w:rPr>
                <w:color w:val="000000"/>
                <w:sz w:val="20"/>
                <w:szCs w:val="20"/>
              </w:rPr>
              <w:t>1.38</w:t>
            </w:r>
          </w:p>
        </w:tc>
        <w:tc>
          <w:tcPr>
            <w:tcW w:w="213" w:type="pct"/>
            <w:tcBorders>
              <w:bottom w:val="single" w:sz="4" w:space="0" w:color="auto"/>
            </w:tcBorders>
            <w:shd w:val="clear" w:color="auto" w:fill="auto"/>
            <w:noWrap/>
            <w:tcMar>
              <w:left w:w="28" w:type="dxa"/>
              <w:right w:w="28" w:type="dxa"/>
            </w:tcMar>
            <w:vAlign w:val="center"/>
            <w:hideMark/>
          </w:tcPr>
          <w:p w14:paraId="59B665F1" w14:textId="77777777" w:rsidR="009737C3" w:rsidRPr="009737C3" w:rsidRDefault="009737C3" w:rsidP="009737C3">
            <w:pPr>
              <w:jc w:val="right"/>
              <w:rPr>
                <w:color w:val="000000"/>
                <w:sz w:val="20"/>
                <w:szCs w:val="20"/>
              </w:rPr>
            </w:pPr>
            <w:r w:rsidRPr="009737C3">
              <w:rPr>
                <w:color w:val="000000"/>
                <w:sz w:val="20"/>
                <w:szCs w:val="20"/>
              </w:rPr>
              <w:t>0</w:t>
            </w:r>
          </w:p>
        </w:tc>
        <w:tc>
          <w:tcPr>
            <w:tcW w:w="213" w:type="pct"/>
            <w:tcBorders>
              <w:bottom w:val="single" w:sz="4" w:space="0" w:color="auto"/>
            </w:tcBorders>
            <w:shd w:val="clear" w:color="auto" w:fill="auto"/>
            <w:noWrap/>
            <w:tcMar>
              <w:left w:w="28" w:type="dxa"/>
              <w:right w:w="28" w:type="dxa"/>
            </w:tcMar>
            <w:vAlign w:val="center"/>
            <w:hideMark/>
          </w:tcPr>
          <w:p w14:paraId="4571A40B" w14:textId="77777777" w:rsidR="009737C3" w:rsidRPr="009737C3" w:rsidRDefault="009737C3" w:rsidP="009737C3">
            <w:pPr>
              <w:jc w:val="right"/>
              <w:rPr>
                <w:color w:val="000000"/>
                <w:sz w:val="20"/>
                <w:szCs w:val="20"/>
              </w:rPr>
            </w:pPr>
            <w:r w:rsidRPr="009737C3">
              <w:rPr>
                <w:color w:val="000000"/>
                <w:sz w:val="20"/>
                <w:szCs w:val="20"/>
              </w:rPr>
              <w:t>0.04</w:t>
            </w:r>
          </w:p>
        </w:tc>
        <w:tc>
          <w:tcPr>
            <w:tcW w:w="213" w:type="pct"/>
            <w:tcBorders>
              <w:bottom w:val="single" w:sz="4" w:space="0" w:color="auto"/>
            </w:tcBorders>
            <w:shd w:val="clear" w:color="auto" w:fill="auto"/>
            <w:noWrap/>
            <w:tcMar>
              <w:left w:w="28" w:type="dxa"/>
              <w:right w:w="28" w:type="dxa"/>
            </w:tcMar>
            <w:vAlign w:val="center"/>
            <w:hideMark/>
          </w:tcPr>
          <w:p w14:paraId="33AF1D80" w14:textId="77777777" w:rsidR="009737C3" w:rsidRPr="009737C3" w:rsidRDefault="009737C3" w:rsidP="009737C3">
            <w:pPr>
              <w:jc w:val="right"/>
              <w:rPr>
                <w:color w:val="000000"/>
                <w:sz w:val="20"/>
                <w:szCs w:val="20"/>
              </w:rPr>
            </w:pPr>
            <w:r w:rsidRPr="009737C3">
              <w:rPr>
                <w:color w:val="000000"/>
                <w:sz w:val="20"/>
                <w:szCs w:val="20"/>
              </w:rPr>
              <w:t>0.03</w:t>
            </w:r>
          </w:p>
        </w:tc>
        <w:tc>
          <w:tcPr>
            <w:tcW w:w="213" w:type="pct"/>
            <w:tcBorders>
              <w:bottom w:val="single" w:sz="4" w:space="0" w:color="auto"/>
            </w:tcBorders>
            <w:shd w:val="clear" w:color="auto" w:fill="auto"/>
            <w:noWrap/>
            <w:tcMar>
              <w:left w:w="28" w:type="dxa"/>
              <w:right w:w="28" w:type="dxa"/>
            </w:tcMar>
            <w:vAlign w:val="center"/>
            <w:hideMark/>
          </w:tcPr>
          <w:p w14:paraId="600B99BB" w14:textId="77777777" w:rsidR="009737C3" w:rsidRPr="009737C3" w:rsidRDefault="009737C3" w:rsidP="009737C3">
            <w:pPr>
              <w:jc w:val="right"/>
              <w:rPr>
                <w:color w:val="000000"/>
                <w:sz w:val="20"/>
                <w:szCs w:val="20"/>
              </w:rPr>
            </w:pPr>
            <w:r w:rsidRPr="009737C3">
              <w:rPr>
                <w:color w:val="000000"/>
                <w:sz w:val="20"/>
                <w:szCs w:val="20"/>
              </w:rPr>
              <w:t>0</w:t>
            </w:r>
          </w:p>
        </w:tc>
        <w:tc>
          <w:tcPr>
            <w:tcW w:w="213" w:type="pct"/>
            <w:tcBorders>
              <w:bottom w:val="single" w:sz="4" w:space="0" w:color="auto"/>
            </w:tcBorders>
            <w:shd w:val="clear" w:color="auto" w:fill="auto"/>
            <w:noWrap/>
            <w:tcMar>
              <w:left w:w="28" w:type="dxa"/>
              <w:right w:w="28" w:type="dxa"/>
            </w:tcMar>
            <w:vAlign w:val="center"/>
            <w:hideMark/>
          </w:tcPr>
          <w:p w14:paraId="381579CB" w14:textId="77777777" w:rsidR="009737C3" w:rsidRPr="009737C3" w:rsidRDefault="009737C3" w:rsidP="009737C3">
            <w:pPr>
              <w:jc w:val="right"/>
              <w:rPr>
                <w:color w:val="000000"/>
                <w:sz w:val="20"/>
                <w:szCs w:val="20"/>
              </w:rPr>
            </w:pPr>
            <w:r w:rsidRPr="009737C3">
              <w:rPr>
                <w:color w:val="000000"/>
                <w:sz w:val="20"/>
                <w:szCs w:val="20"/>
              </w:rPr>
              <w:t>-0.03</w:t>
            </w:r>
          </w:p>
        </w:tc>
        <w:tc>
          <w:tcPr>
            <w:tcW w:w="213" w:type="pct"/>
            <w:tcBorders>
              <w:bottom w:val="single" w:sz="4" w:space="0" w:color="auto"/>
            </w:tcBorders>
            <w:shd w:val="clear" w:color="auto" w:fill="auto"/>
            <w:noWrap/>
            <w:tcMar>
              <w:left w:w="28" w:type="dxa"/>
              <w:right w:w="28" w:type="dxa"/>
            </w:tcMar>
            <w:vAlign w:val="center"/>
            <w:hideMark/>
          </w:tcPr>
          <w:p w14:paraId="2AEE38F0" w14:textId="77777777" w:rsidR="009737C3" w:rsidRPr="009737C3" w:rsidRDefault="009737C3" w:rsidP="009737C3">
            <w:pPr>
              <w:jc w:val="right"/>
              <w:rPr>
                <w:color w:val="000000"/>
                <w:sz w:val="20"/>
                <w:szCs w:val="20"/>
              </w:rPr>
            </w:pPr>
            <w:r w:rsidRPr="009737C3">
              <w:rPr>
                <w:color w:val="000000"/>
                <w:sz w:val="20"/>
                <w:szCs w:val="20"/>
              </w:rPr>
              <w:t>-0.01</w:t>
            </w:r>
          </w:p>
        </w:tc>
        <w:tc>
          <w:tcPr>
            <w:tcW w:w="213" w:type="pct"/>
            <w:tcBorders>
              <w:bottom w:val="single" w:sz="4" w:space="0" w:color="auto"/>
            </w:tcBorders>
            <w:shd w:val="clear" w:color="auto" w:fill="auto"/>
            <w:noWrap/>
            <w:tcMar>
              <w:left w:w="28" w:type="dxa"/>
              <w:right w:w="28" w:type="dxa"/>
            </w:tcMar>
            <w:vAlign w:val="center"/>
            <w:hideMark/>
          </w:tcPr>
          <w:p w14:paraId="100B2103" w14:textId="77777777" w:rsidR="009737C3" w:rsidRPr="009737C3" w:rsidRDefault="009737C3" w:rsidP="009737C3">
            <w:pPr>
              <w:jc w:val="right"/>
              <w:rPr>
                <w:color w:val="000000"/>
                <w:sz w:val="20"/>
                <w:szCs w:val="20"/>
              </w:rPr>
            </w:pPr>
            <w:r w:rsidRPr="009737C3">
              <w:rPr>
                <w:color w:val="000000"/>
                <w:sz w:val="20"/>
                <w:szCs w:val="20"/>
              </w:rPr>
              <w:t>0</w:t>
            </w:r>
          </w:p>
        </w:tc>
        <w:tc>
          <w:tcPr>
            <w:tcW w:w="213" w:type="pct"/>
            <w:tcBorders>
              <w:bottom w:val="single" w:sz="4" w:space="0" w:color="auto"/>
            </w:tcBorders>
            <w:shd w:val="clear" w:color="auto" w:fill="auto"/>
            <w:noWrap/>
            <w:tcMar>
              <w:left w:w="28" w:type="dxa"/>
              <w:right w:w="28" w:type="dxa"/>
            </w:tcMar>
            <w:vAlign w:val="center"/>
            <w:hideMark/>
          </w:tcPr>
          <w:p w14:paraId="15FE310E" w14:textId="77777777" w:rsidR="009737C3" w:rsidRPr="009737C3" w:rsidRDefault="009737C3" w:rsidP="009737C3">
            <w:pPr>
              <w:jc w:val="right"/>
              <w:rPr>
                <w:color w:val="000000"/>
                <w:sz w:val="20"/>
                <w:szCs w:val="20"/>
              </w:rPr>
            </w:pPr>
            <w:r w:rsidRPr="009737C3">
              <w:rPr>
                <w:color w:val="000000"/>
                <w:sz w:val="20"/>
                <w:szCs w:val="20"/>
              </w:rPr>
              <w:t>0.06</w:t>
            </w:r>
          </w:p>
        </w:tc>
        <w:tc>
          <w:tcPr>
            <w:tcW w:w="213" w:type="pct"/>
            <w:tcBorders>
              <w:bottom w:val="single" w:sz="4" w:space="0" w:color="auto"/>
            </w:tcBorders>
            <w:shd w:val="clear" w:color="auto" w:fill="auto"/>
            <w:noWrap/>
            <w:tcMar>
              <w:left w:w="28" w:type="dxa"/>
              <w:right w:w="28" w:type="dxa"/>
            </w:tcMar>
            <w:vAlign w:val="center"/>
            <w:hideMark/>
          </w:tcPr>
          <w:p w14:paraId="53ACAC11" w14:textId="77777777" w:rsidR="009737C3" w:rsidRPr="009737C3" w:rsidRDefault="009737C3" w:rsidP="009737C3">
            <w:pPr>
              <w:jc w:val="right"/>
              <w:rPr>
                <w:color w:val="000000"/>
                <w:sz w:val="20"/>
                <w:szCs w:val="20"/>
              </w:rPr>
            </w:pPr>
            <w:r w:rsidRPr="009737C3">
              <w:rPr>
                <w:color w:val="000000"/>
                <w:sz w:val="20"/>
                <w:szCs w:val="20"/>
              </w:rPr>
              <w:t>0.01</w:t>
            </w:r>
          </w:p>
        </w:tc>
        <w:tc>
          <w:tcPr>
            <w:tcW w:w="214" w:type="pct"/>
            <w:tcBorders>
              <w:bottom w:val="single" w:sz="4" w:space="0" w:color="auto"/>
            </w:tcBorders>
            <w:shd w:val="clear" w:color="auto" w:fill="auto"/>
            <w:noWrap/>
            <w:tcMar>
              <w:left w:w="28" w:type="dxa"/>
              <w:right w:w="28" w:type="dxa"/>
            </w:tcMar>
            <w:vAlign w:val="center"/>
            <w:hideMark/>
          </w:tcPr>
          <w:p w14:paraId="2251FB0B" w14:textId="77777777" w:rsidR="009737C3" w:rsidRPr="009737C3" w:rsidRDefault="009737C3" w:rsidP="009737C3">
            <w:pPr>
              <w:jc w:val="right"/>
              <w:rPr>
                <w:color w:val="000000"/>
                <w:sz w:val="20"/>
                <w:szCs w:val="20"/>
              </w:rPr>
            </w:pPr>
            <w:r w:rsidRPr="009737C3">
              <w:rPr>
                <w:color w:val="000000"/>
                <w:sz w:val="20"/>
                <w:szCs w:val="20"/>
              </w:rPr>
              <w:t>-0.01</w:t>
            </w:r>
          </w:p>
        </w:tc>
        <w:tc>
          <w:tcPr>
            <w:tcW w:w="214" w:type="pct"/>
            <w:tcBorders>
              <w:bottom w:val="single" w:sz="4" w:space="0" w:color="auto"/>
            </w:tcBorders>
            <w:shd w:val="clear" w:color="auto" w:fill="auto"/>
            <w:noWrap/>
            <w:tcMar>
              <w:left w:w="28" w:type="dxa"/>
              <w:right w:w="28" w:type="dxa"/>
            </w:tcMar>
            <w:vAlign w:val="center"/>
            <w:hideMark/>
          </w:tcPr>
          <w:p w14:paraId="3E1899EE" w14:textId="77777777" w:rsidR="009737C3" w:rsidRPr="009737C3" w:rsidRDefault="009737C3" w:rsidP="009737C3">
            <w:pPr>
              <w:jc w:val="right"/>
              <w:rPr>
                <w:color w:val="000000"/>
                <w:sz w:val="20"/>
                <w:szCs w:val="20"/>
              </w:rPr>
            </w:pPr>
            <w:r w:rsidRPr="009737C3">
              <w:rPr>
                <w:color w:val="000000"/>
                <w:sz w:val="20"/>
                <w:szCs w:val="20"/>
              </w:rPr>
              <w:t>0.02</w:t>
            </w:r>
          </w:p>
        </w:tc>
        <w:tc>
          <w:tcPr>
            <w:tcW w:w="214" w:type="pct"/>
            <w:tcBorders>
              <w:bottom w:val="single" w:sz="4" w:space="0" w:color="auto"/>
            </w:tcBorders>
            <w:shd w:val="clear" w:color="auto" w:fill="auto"/>
            <w:noWrap/>
            <w:tcMar>
              <w:left w:w="28" w:type="dxa"/>
              <w:right w:w="28" w:type="dxa"/>
            </w:tcMar>
            <w:vAlign w:val="center"/>
            <w:hideMark/>
          </w:tcPr>
          <w:p w14:paraId="50D61D7F" w14:textId="77777777" w:rsidR="009737C3" w:rsidRPr="009737C3" w:rsidRDefault="009737C3" w:rsidP="009737C3">
            <w:pPr>
              <w:jc w:val="right"/>
              <w:rPr>
                <w:color w:val="000000"/>
                <w:sz w:val="20"/>
                <w:szCs w:val="20"/>
              </w:rPr>
            </w:pPr>
            <w:r w:rsidRPr="009737C3">
              <w:rPr>
                <w:color w:val="000000"/>
                <w:sz w:val="20"/>
                <w:szCs w:val="20"/>
              </w:rPr>
              <w:t>-0.01</w:t>
            </w:r>
          </w:p>
        </w:tc>
        <w:tc>
          <w:tcPr>
            <w:tcW w:w="214" w:type="pct"/>
            <w:tcBorders>
              <w:bottom w:val="single" w:sz="4" w:space="0" w:color="auto"/>
            </w:tcBorders>
            <w:shd w:val="clear" w:color="auto" w:fill="auto"/>
            <w:noWrap/>
            <w:tcMar>
              <w:left w:w="28" w:type="dxa"/>
              <w:right w:w="28" w:type="dxa"/>
            </w:tcMar>
            <w:vAlign w:val="center"/>
            <w:hideMark/>
          </w:tcPr>
          <w:p w14:paraId="41366967" w14:textId="77777777" w:rsidR="009737C3" w:rsidRPr="009737C3" w:rsidRDefault="009737C3" w:rsidP="009737C3">
            <w:pPr>
              <w:jc w:val="right"/>
              <w:rPr>
                <w:color w:val="000000"/>
                <w:sz w:val="20"/>
                <w:szCs w:val="20"/>
              </w:rPr>
            </w:pPr>
            <w:r w:rsidRPr="009737C3">
              <w:rPr>
                <w:color w:val="000000"/>
                <w:sz w:val="20"/>
                <w:szCs w:val="20"/>
              </w:rPr>
              <w:t>0</w:t>
            </w:r>
          </w:p>
        </w:tc>
        <w:tc>
          <w:tcPr>
            <w:tcW w:w="199" w:type="pct"/>
            <w:tcBorders>
              <w:bottom w:val="single" w:sz="4" w:space="0" w:color="auto"/>
            </w:tcBorders>
            <w:shd w:val="clear" w:color="auto" w:fill="auto"/>
            <w:noWrap/>
            <w:tcMar>
              <w:left w:w="28" w:type="dxa"/>
              <w:right w:w="28" w:type="dxa"/>
            </w:tcMar>
            <w:vAlign w:val="center"/>
            <w:hideMark/>
          </w:tcPr>
          <w:p w14:paraId="5F766D35" w14:textId="77777777" w:rsidR="009737C3" w:rsidRPr="009737C3" w:rsidRDefault="009737C3" w:rsidP="009737C3">
            <w:pPr>
              <w:jc w:val="right"/>
              <w:rPr>
                <w:color w:val="000000"/>
                <w:sz w:val="20"/>
                <w:szCs w:val="20"/>
              </w:rPr>
            </w:pPr>
            <w:r w:rsidRPr="009737C3">
              <w:rPr>
                <w:color w:val="000000"/>
                <w:sz w:val="20"/>
                <w:szCs w:val="20"/>
              </w:rPr>
              <w:t>-0.16</w:t>
            </w:r>
          </w:p>
        </w:tc>
      </w:tr>
    </w:tbl>
    <w:p w14:paraId="20A4E24C" w14:textId="093FBBB1" w:rsidR="006D2DE7" w:rsidRPr="00A94550" w:rsidRDefault="006D2DE7" w:rsidP="00A57080">
      <w:pPr>
        <w:spacing w:line="360" w:lineRule="auto"/>
        <w:rPr>
          <w:b/>
          <w:bCs/>
          <w:sz w:val="16"/>
          <w:szCs w:val="16"/>
        </w:rPr>
      </w:pPr>
    </w:p>
    <w:tbl>
      <w:tblPr>
        <w:tblW w:w="4974" w:type="pct"/>
        <w:tblLook w:val="04A0" w:firstRow="1" w:lastRow="0" w:firstColumn="1" w:lastColumn="0" w:noHBand="0" w:noVBand="1"/>
      </w:tblPr>
      <w:tblGrid>
        <w:gridCol w:w="443"/>
        <w:gridCol w:w="2676"/>
        <w:gridCol w:w="870"/>
        <w:gridCol w:w="971"/>
        <w:gridCol w:w="813"/>
        <w:gridCol w:w="1076"/>
        <w:gridCol w:w="713"/>
        <w:gridCol w:w="733"/>
        <w:gridCol w:w="733"/>
        <w:gridCol w:w="733"/>
        <w:gridCol w:w="733"/>
        <w:gridCol w:w="733"/>
        <w:gridCol w:w="733"/>
        <w:gridCol w:w="733"/>
        <w:gridCol w:w="733"/>
        <w:gridCol w:w="730"/>
      </w:tblGrid>
      <w:tr w:rsidR="00A57080" w:rsidRPr="00E95955" w14:paraId="1E202AD2" w14:textId="77777777" w:rsidTr="00A94550">
        <w:trPr>
          <w:trHeight w:val="228"/>
        </w:trPr>
        <w:tc>
          <w:tcPr>
            <w:tcW w:w="1101" w:type="pct"/>
            <w:gridSpan w:val="2"/>
            <w:tcBorders>
              <w:top w:val="single" w:sz="4" w:space="0" w:color="auto"/>
              <w:left w:val="nil"/>
              <w:bottom w:val="nil"/>
              <w:right w:val="nil"/>
            </w:tcBorders>
            <w:shd w:val="clear" w:color="auto" w:fill="auto"/>
            <w:noWrap/>
            <w:tcMar>
              <w:left w:w="28" w:type="dxa"/>
              <w:right w:w="28" w:type="dxa"/>
            </w:tcMar>
            <w:vAlign w:val="center"/>
          </w:tcPr>
          <w:p w14:paraId="6B504E9E" w14:textId="6D101944" w:rsidR="00A57080" w:rsidRPr="005079C6" w:rsidRDefault="00A94550" w:rsidP="00A57080">
            <w:pPr>
              <w:rPr>
                <w:b/>
                <w:bCs/>
                <w:sz w:val="20"/>
                <w:szCs w:val="20"/>
                <w:u w:val="single"/>
              </w:rPr>
            </w:pPr>
            <w:r w:rsidRPr="005079C6">
              <w:rPr>
                <w:b/>
                <w:bCs/>
                <w:u w:val="single"/>
              </w:rPr>
              <w:t>Stage 2</w:t>
            </w:r>
          </w:p>
        </w:tc>
        <w:tc>
          <w:tcPr>
            <w:tcW w:w="307" w:type="pct"/>
            <w:tcBorders>
              <w:top w:val="single" w:sz="4" w:space="0" w:color="auto"/>
              <w:left w:val="nil"/>
              <w:bottom w:val="nil"/>
              <w:right w:val="nil"/>
            </w:tcBorders>
            <w:shd w:val="clear" w:color="auto" w:fill="auto"/>
            <w:noWrap/>
            <w:tcMar>
              <w:left w:w="28" w:type="dxa"/>
              <w:right w:w="28" w:type="dxa"/>
            </w:tcMar>
            <w:vAlign w:val="center"/>
          </w:tcPr>
          <w:p w14:paraId="02E50148" w14:textId="77777777" w:rsidR="00A57080" w:rsidRPr="00E95955" w:rsidRDefault="00A57080" w:rsidP="00A57080">
            <w:pPr>
              <w:rPr>
                <w:color w:val="000000"/>
                <w:sz w:val="20"/>
                <w:szCs w:val="20"/>
              </w:rPr>
            </w:pPr>
          </w:p>
        </w:tc>
        <w:tc>
          <w:tcPr>
            <w:tcW w:w="343" w:type="pct"/>
            <w:tcBorders>
              <w:top w:val="single" w:sz="4" w:space="0" w:color="auto"/>
              <w:left w:val="nil"/>
              <w:bottom w:val="nil"/>
              <w:right w:val="nil"/>
            </w:tcBorders>
            <w:shd w:val="clear" w:color="auto" w:fill="auto"/>
            <w:noWrap/>
            <w:tcMar>
              <w:left w:w="28" w:type="dxa"/>
              <w:right w:w="28" w:type="dxa"/>
            </w:tcMar>
            <w:vAlign w:val="center"/>
          </w:tcPr>
          <w:p w14:paraId="266EE0A1" w14:textId="77777777" w:rsidR="00A57080" w:rsidRPr="00E95955" w:rsidRDefault="00A57080" w:rsidP="00A57080">
            <w:pPr>
              <w:rPr>
                <w:color w:val="000000"/>
                <w:sz w:val="20"/>
                <w:szCs w:val="20"/>
              </w:rPr>
            </w:pPr>
          </w:p>
        </w:tc>
        <w:tc>
          <w:tcPr>
            <w:tcW w:w="287" w:type="pct"/>
            <w:tcBorders>
              <w:top w:val="single" w:sz="4" w:space="0" w:color="auto"/>
              <w:left w:val="nil"/>
              <w:bottom w:val="nil"/>
              <w:right w:val="nil"/>
            </w:tcBorders>
            <w:shd w:val="clear" w:color="auto" w:fill="auto"/>
            <w:noWrap/>
            <w:tcMar>
              <w:left w:w="28" w:type="dxa"/>
              <w:right w:w="28" w:type="dxa"/>
            </w:tcMar>
            <w:vAlign w:val="center"/>
          </w:tcPr>
          <w:p w14:paraId="06AC402F" w14:textId="77777777" w:rsidR="00A57080" w:rsidRPr="00E95955" w:rsidRDefault="00A57080" w:rsidP="00A57080">
            <w:pPr>
              <w:rPr>
                <w:color w:val="000000"/>
                <w:sz w:val="20"/>
                <w:szCs w:val="20"/>
              </w:rPr>
            </w:pPr>
          </w:p>
        </w:tc>
        <w:tc>
          <w:tcPr>
            <w:tcW w:w="380" w:type="pct"/>
            <w:tcBorders>
              <w:top w:val="single" w:sz="4" w:space="0" w:color="auto"/>
              <w:left w:val="nil"/>
              <w:bottom w:val="nil"/>
              <w:right w:val="nil"/>
            </w:tcBorders>
            <w:shd w:val="clear" w:color="auto" w:fill="auto"/>
            <w:noWrap/>
            <w:tcMar>
              <w:left w:w="28" w:type="dxa"/>
              <w:right w:w="28" w:type="dxa"/>
            </w:tcMar>
            <w:vAlign w:val="center"/>
          </w:tcPr>
          <w:p w14:paraId="1926FE54" w14:textId="77777777" w:rsidR="00A57080" w:rsidRPr="00E95955" w:rsidRDefault="00A57080" w:rsidP="00A57080">
            <w:pPr>
              <w:rPr>
                <w:color w:val="000000"/>
                <w:sz w:val="20"/>
                <w:szCs w:val="20"/>
              </w:rPr>
            </w:pPr>
          </w:p>
        </w:tc>
        <w:tc>
          <w:tcPr>
            <w:tcW w:w="2583" w:type="pct"/>
            <w:gridSpan w:val="10"/>
            <w:tcBorders>
              <w:top w:val="single" w:sz="4" w:space="0" w:color="auto"/>
              <w:left w:val="nil"/>
              <w:bottom w:val="single" w:sz="4" w:space="0" w:color="auto"/>
              <w:right w:val="nil"/>
            </w:tcBorders>
            <w:shd w:val="clear" w:color="auto" w:fill="auto"/>
            <w:noWrap/>
            <w:tcMar>
              <w:left w:w="28" w:type="dxa"/>
              <w:right w:w="28" w:type="dxa"/>
            </w:tcMar>
            <w:vAlign w:val="center"/>
          </w:tcPr>
          <w:p w14:paraId="18A8C87D" w14:textId="03B69C4E" w:rsidR="00A57080" w:rsidRPr="00E95955" w:rsidRDefault="00A57080" w:rsidP="00A57080">
            <w:pPr>
              <w:jc w:val="center"/>
              <w:rPr>
                <w:color w:val="000000"/>
                <w:sz w:val="20"/>
                <w:szCs w:val="20"/>
              </w:rPr>
            </w:pPr>
            <w:r w:rsidRPr="00E95955">
              <w:rPr>
                <w:color w:val="000000"/>
                <w:sz w:val="20"/>
                <w:szCs w:val="20"/>
              </w:rPr>
              <w:t>Correlation coefficients</w:t>
            </w:r>
          </w:p>
        </w:tc>
      </w:tr>
      <w:tr w:rsidR="00A94550" w:rsidRPr="00E95955" w14:paraId="416E8D36" w14:textId="77777777" w:rsidTr="00A94550">
        <w:trPr>
          <w:trHeight w:val="228"/>
        </w:trPr>
        <w:tc>
          <w:tcPr>
            <w:tcW w:w="1101" w:type="pct"/>
            <w:gridSpan w:val="2"/>
            <w:tcBorders>
              <w:top w:val="nil"/>
              <w:left w:val="nil"/>
              <w:bottom w:val="single" w:sz="4" w:space="0" w:color="auto"/>
              <w:right w:val="nil"/>
            </w:tcBorders>
            <w:shd w:val="clear" w:color="auto" w:fill="auto"/>
            <w:noWrap/>
            <w:tcMar>
              <w:left w:w="28" w:type="dxa"/>
              <w:right w:w="28" w:type="dxa"/>
            </w:tcMar>
            <w:vAlign w:val="center"/>
            <w:hideMark/>
          </w:tcPr>
          <w:p w14:paraId="7EDE7612" w14:textId="4EF216DF" w:rsidR="00A57080" w:rsidRPr="00E95955" w:rsidRDefault="00A57080" w:rsidP="00A57080">
            <w:pPr>
              <w:rPr>
                <w:sz w:val="20"/>
                <w:szCs w:val="20"/>
              </w:rPr>
            </w:pPr>
            <w:r w:rsidRPr="00E95955">
              <w:rPr>
                <w:sz w:val="20"/>
                <w:szCs w:val="20"/>
              </w:rPr>
              <w:t>Variable</w:t>
            </w:r>
          </w:p>
        </w:tc>
        <w:tc>
          <w:tcPr>
            <w:tcW w:w="307" w:type="pct"/>
            <w:tcBorders>
              <w:top w:val="nil"/>
              <w:left w:val="nil"/>
              <w:bottom w:val="single" w:sz="4" w:space="0" w:color="auto"/>
              <w:right w:val="nil"/>
            </w:tcBorders>
            <w:shd w:val="clear" w:color="auto" w:fill="auto"/>
            <w:noWrap/>
            <w:tcMar>
              <w:left w:w="28" w:type="dxa"/>
              <w:right w:w="28" w:type="dxa"/>
            </w:tcMar>
            <w:vAlign w:val="center"/>
            <w:hideMark/>
          </w:tcPr>
          <w:p w14:paraId="37647F82" w14:textId="77777777" w:rsidR="00A57080" w:rsidRPr="00E95955" w:rsidRDefault="00A57080" w:rsidP="00A57080">
            <w:pPr>
              <w:rPr>
                <w:color w:val="000000"/>
                <w:sz w:val="20"/>
                <w:szCs w:val="20"/>
              </w:rPr>
            </w:pPr>
            <w:r w:rsidRPr="00E95955">
              <w:rPr>
                <w:color w:val="000000"/>
                <w:sz w:val="20"/>
                <w:szCs w:val="20"/>
              </w:rPr>
              <w:t>Mean</w:t>
            </w:r>
          </w:p>
        </w:tc>
        <w:tc>
          <w:tcPr>
            <w:tcW w:w="343" w:type="pct"/>
            <w:tcBorders>
              <w:top w:val="nil"/>
              <w:left w:val="nil"/>
              <w:bottom w:val="single" w:sz="4" w:space="0" w:color="auto"/>
              <w:right w:val="nil"/>
            </w:tcBorders>
            <w:shd w:val="clear" w:color="auto" w:fill="auto"/>
            <w:noWrap/>
            <w:tcMar>
              <w:left w:w="28" w:type="dxa"/>
              <w:right w:w="28" w:type="dxa"/>
            </w:tcMar>
            <w:vAlign w:val="center"/>
            <w:hideMark/>
          </w:tcPr>
          <w:p w14:paraId="257C7884" w14:textId="77777777" w:rsidR="00A57080" w:rsidRPr="00E95955" w:rsidRDefault="00A57080" w:rsidP="00A57080">
            <w:pPr>
              <w:rPr>
                <w:color w:val="000000"/>
                <w:sz w:val="20"/>
                <w:szCs w:val="20"/>
              </w:rPr>
            </w:pPr>
            <w:r w:rsidRPr="00E95955">
              <w:rPr>
                <w:color w:val="000000"/>
                <w:sz w:val="20"/>
                <w:szCs w:val="20"/>
              </w:rPr>
              <w:t>S.D.</w:t>
            </w:r>
          </w:p>
        </w:tc>
        <w:tc>
          <w:tcPr>
            <w:tcW w:w="287" w:type="pct"/>
            <w:tcBorders>
              <w:top w:val="nil"/>
              <w:left w:val="nil"/>
              <w:bottom w:val="single" w:sz="4" w:space="0" w:color="auto"/>
              <w:right w:val="nil"/>
            </w:tcBorders>
            <w:shd w:val="clear" w:color="auto" w:fill="auto"/>
            <w:noWrap/>
            <w:tcMar>
              <w:left w:w="28" w:type="dxa"/>
              <w:right w:w="28" w:type="dxa"/>
            </w:tcMar>
            <w:vAlign w:val="center"/>
            <w:hideMark/>
          </w:tcPr>
          <w:p w14:paraId="33283513" w14:textId="77777777" w:rsidR="00A57080" w:rsidRPr="00E95955" w:rsidRDefault="00A57080" w:rsidP="00A57080">
            <w:pPr>
              <w:rPr>
                <w:color w:val="000000"/>
                <w:sz w:val="20"/>
                <w:szCs w:val="20"/>
              </w:rPr>
            </w:pPr>
            <w:r w:rsidRPr="00E95955">
              <w:rPr>
                <w:color w:val="000000"/>
                <w:sz w:val="20"/>
                <w:szCs w:val="20"/>
              </w:rPr>
              <w:t>Min</w:t>
            </w:r>
          </w:p>
        </w:tc>
        <w:tc>
          <w:tcPr>
            <w:tcW w:w="380" w:type="pct"/>
            <w:tcBorders>
              <w:top w:val="nil"/>
              <w:left w:val="nil"/>
              <w:bottom w:val="single" w:sz="4" w:space="0" w:color="auto"/>
              <w:right w:val="nil"/>
            </w:tcBorders>
            <w:shd w:val="clear" w:color="auto" w:fill="auto"/>
            <w:noWrap/>
            <w:tcMar>
              <w:left w:w="28" w:type="dxa"/>
              <w:right w:w="28" w:type="dxa"/>
            </w:tcMar>
            <w:vAlign w:val="center"/>
            <w:hideMark/>
          </w:tcPr>
          <w:p w14:paraId="2888DA91" w14:textId="77777777" w:rsidR="00A57080" w:rsidRPr="00E95955" w:rsidRDefault="00A57080" w:rsidP="00A57080">
            <w:pPr>
              <w:rPr>
                <w:color w:val="000000"/>
                <w:sz w:val="20"/>
                <w:szCs w:val="20"/>
              </w:rPr>
            </w:pPr>
            <w:r w:rsidRPr="00E95955">
              <w:rPr>
                <w:color w:val="000000"/>
                <w:sz w:val="20"/>
                <w:szCs w:val="20"/>
              </w:rPr>
              <w:t>Max</w:t>
            </w:r>
          </w:p>
        </w:tc>
        <w:tc>
          <w:tcPr>
            <w:tcW w:w="252" w:type="pct"/>
            <w:tcBorders>
              <w:top w:val="single" w:sz="4" w:space="0" w:color="auto"/>
              <w:left w:val="nil"/>
              <w:bottom w:val="single" w:sz="4" w:space="0" w:color="auto"/>
              <w:right w:val="nil"/>
            </w:tcBorders>
            <w:shd w:val="clear" w:color="auto" w:fill="auto"/>
            <w:noWrap/>
            <w:tcMar>
              <w:left w:w="28" w:type="dxa"/>
              <w:right w:w="28" w:type="dxa"/>
            </w:tcMar>
            <w:vAlign w:val="center"/>
            <w:hideMark/>
          </w:tcPr>
          <w:p w14:paraId="2535BD27" w14:textId="77777777" w:rsidR="00A57080" w:rsidRPr="00E95955" w:rsidRDefault="00A57080" w:rsidP="00A57080">
            <w:pPr>
              <w:jc w:val="right"/>
              <w:rPr>
                <w:color w:val="000000"/>
                <w:sz w:val="20"/>
                <w:szCs w:val="20"/>
              </w:rPr>
            </w:pPr>
            <w:r w:rsidRPr="00E95955">
              <w:rPr>
                <w:color w:val="000000"/>
                <w:sz w:val="20"/>
                <w:szCs w:val="20"/>
              </w:rPr>
              <w:t>1</w:t>
            </w:r>
          </w:p>
        </w:tc>
        <w:tc>
          <w:tcPr>
            <w:tcW w:w="259" w:type="pct"/>
            <w:tcBorders>
              <w:top w:val="single" w:sz="4" w:space="0" w:color="auto"/>
              <w:left w:val="nil"/>
              <w:bottom w:val="single" w:sz="4" w:space="0" w:color="auto"/>
              <w:right w:val="nil"/>
            </w:tcBorders>
            <w:shd w:val="clear" w:color="auto" w:fill="auto"/>
            <w:noWrap/>
            <w:tcMar>
              <w:left w:w="28" w:type="dxa"/>
              <w:right w:w="28" w:type="dxa"/>
            </w:tcMar>
            <w:vAlign w:val="center"/>
            <w:hideMark/>
          </w:tcPr>
          <w:p w14:paraId="19A637CB" w14:textId="77777777" w:rsidR="00A57080" w:rsidRPr="00E95955" w:rsidRDefault="00A57080" w:rsidP="00A57080">
            <w:pPr>
              <w:jc w:val="right"/>
              <w:rPr>
                <w:color w:val="000000"/>
                <w:sz w:val="20"/>
                <w:szCs w:val="20"/>
              </w:rPr>
            </w:pPr>
            <w:r w:rsidRPr="00E95955">
              <w:rPr>
                <w:color w:val="000000"/>
                <w:sz w:val="20"/>
                <w:szCs w:val="20"/>
              </w:rPr>
              <w:t>2</w:t>
            </w:r>
          </w:p>
        </w:tc>
        <w:tc>
          <w:tcPr>
            <w:tcW w:w="259" w:type="pct"/>
            <w:tcBorders>
              <w:top w:val="single" w:sz="4" w:space="0" w:color="auto"/>
              <w:left w:val="nil"/>
              <w:bottom w:val="single" w:sz="4" w:space="0" w:color="auto"/>
              <w:right w:val="nil"/>
            </w:tcBorders>
            <w:shd w:val="clear" w:color="auto" w:fill="auto"/>
            <w:noWrap/>
            <w:tcMar>
              <w:left w:w="28" w:type="dxa"/>
              <w:right w:w="28" w:type="dxa"/>
            </w:tcMar>
            <w:vAlign w:val="center"/>
            <w:hideMark/>
          </w:tcPr>
          <w:p w14:paraId="18B72A2F" w14:textId="77777777" w:rsidR="00A57080" w:rsidRPr="00E95955" w:rsidRDefault="00A57080" w:rsidP="00A57080">
            <w:pPr>
              <w:jc w:val="right"/>
              <w:rPr>
                <w:color w:val="000000"/>
                <w:sz w:val="20"/>
                <w:szCs w:val="20"/>
              </w:rPr>
            </w:pPr>
            <w:r w:rsidRPr="00E95955">
              <w:rPr>
                <w:color w:val="000000"/>
                <w:sz w:val="20"/>
                <w:szCs w:val="20"/>
              </w:rPr>
              <w:t>3</w:t>
            </w:r>
          </w:p>
        </w:tc>
        <w:tc>
          <w:tcPr>
            <w:tcW w:w="259" w:type="pct"/>
            <w:tcBorders>
              <w:top w:val="single" w:sz="4" w:space="0" w:color="auto"/>
              <w:left w:val="nil"/>
              <w:bottom w:val="single" w:sz="4" w:space="0" w:color="auto"/>
              <w:right w:val="nil"/>
            </w:tcBorders>
            <w:shd w:val="clear" w:color="auto" w:fill="auto"/>
            <w:noWrap/>
            <w:tcMar>
              <w:left w:w="28" w:type="dxa"/>
              <w:right w:w="28" w:type="dxa"/>
            </w:tcMar>
            <w:vAlign w:val="center"/>
            <w:hideMark/>
          </w:tcPr>
          <w:p w14:paraId="45DA12D5" w14:textId="77777777" w:rsidR="00A57080" w:rsidRPr="00E95955" w:rsidRDefault="00A57080" w:rsidP="00A57080">
            <w:pPr>
              <w:jc w:val="right"/>
              <w:rPr>
                <w:color w:val="000000"/>
                <w:sz w:val="20"/>
                <w:szCs w:val="20"/>
              </w:rPr>
            </w:pPr>
            <w:r w:rsidRPr="00E95955">
              <w:rPr>
                <w:color w:val="000000"/>
                <w:sz w:val="20"/>
                <w:szCs w:val="20"/>
              </w:rPr>
              <w:t>4</w:t>
            </w:r>
          </w:p>
        </w:tc>
        <w:tc>
          <w:tcPr>
            <w:tcW w:w="259" w:type="pct"/>
            <w:tcBorders>
              <w:top w:val="single" w:sz="4" w:space="0" w:color="auto"/>
              <w:left w:val="nil"/>
              <w:bottom w:val="single" w:sz="4" w:space="0" w:color="auto"/>
              <w:right w:val="nil"/>
            </w:tcBorders>
            <w:shd w:val="clear" w:color="auto" w:fill="auto"/>
            <w:noWrap/>
            <w:tcMar>
              <w:left w:w="28" w:type="dxa"/>
              <w:right w:w="28" w:type="dxa"/>
            </w:tcMar>
            <w:vAlign w:val="center"/>
            <w:hideMark/>
          </w:tcPr>
          <w:p w14:paraId="5A115356" w14:textId="77777777" w:rsidR="00A57080" w:rsidRPr="00E95955" w:rsidRDefault="00A57080" w:rsidP="00A57080">
            <w:pPr>
              <w:jc w:val="right"/>
              <w:rPr>
                <w:color w:val="000000"/>
                <w:sz w:val="20"/>
                <w:szCs w:val="20"/>
              </w:rPr>
            </w:pPr>
            <w:r w:rsidRPr="00E95955">
              <w:rPr>
                <w:color w:val="000000"/>
                <w:sz w:val="20"/>
                <w:szCs w:val="20"/>
              </w:rPr>
              <w:t>5</w:t>
            </w:r>
          </w:p>
        </w:tc>
        <w:tc>
          <w:tcPr>
            <w:tcW w:w="259" w:type="pct"/>
            <w:tcBorders>
              <w:top w:val="single" w:sz="4" w:space="0" w:color="auto"/>
              <w:left w:val="nil"/>
              <w:bottom w:val="single" w:sz="4" w:space="0" w:color="auto"/>
              <w:right w:val="nil"/>
            </w:tcBorders>
            <w:shd w:val="clear" w:color="auto" w:fill="auto"/>
            <w:noWrap/>
            <w:tcMar>
              <w:left w:w="28" w:type="dxa"/>
              <w:right w:w="28" w:type="dxa"/>
            </w:tcMar>
            <w:vAlign w:val="center"/>
            <w:hideMark/>
          </w:tcPr>
          <w:p w14:paraId="65B701E7" w14:textId="77777777" w:rsidR="00A57080" w:rsidRPr="00E95955" w:rsidRDefault="00A57080" w:rsidP="00A57080">
            <w:pPr>
              <w:jc w:val="right"/>
              <w:rPr>
                <w:color w:val="000000"/>
                <w:sz w:val="20"/>
                <w:szCs w:val="20"/>
              </w:rPr>
            </w:pPr>
            <w:r w:rsidRPr="00E95955">
              <w:rPr>
                <w:color w:val="000000"/>
                <w:sz w:val="20"/>
                <w:szCs w:val="20"/>
              </w:rPr>
              <w:t>6</w:t>
            </w:r>
          </w:p>
        </w:tc>
        <w:tc>
          <w:tcPr>
            <w:tcW w:w="259" w:type="pct"/>
            <w:tcBorders>
              <w:top w:val="single" w:sz="4" w:space="0" w:color="auto"/>
              <w:left w:val="nil"/>
              <w:bottom w:val="single" w:sz="4" w:space="0" w:color="auto"/>
              <w:right w:val="nil"/>
            </w:tcBorders>
            <w:shd w:val="clear" w:color="auto" w:fill="auto"/>
            <w:noWrap/>
            <w:tcMar>
              <w:left w:w="28" w:type="dxa"/>
              <w:right w:w="28" w:type="dxa"/>
            </w:tcMar>
            <w:vAlign w:val="center"/>
            <w:hideMark/>
          </w:tcPr>
          <w:p w14:paraId="38D0D7D4" w14:textId="77777777" w:rsidR="00A57080" w:rsidRPr="00E95955" w:rsidRDefault="00A57080" w:rsidP="00A57080">
            <w:pPr>
              <w:jc w:val="right"/>
              <w:rPr>
                <w:color w:val="000000"/>
                <w:sz w:val="20"/>
                <w:szCs w:val="20"/>
              </w:rPr>
            </w:pPr>
            <w:r w:rsidRPr="00E95955">
              <w:rPr>
                <w:color w:val="000000"/>
                <w:sz w:val="20"/>
                <w:szCs w:val="20"/>
              </w:rPr>
              <w:t>7</w:t>
            </w:r>
          </w:p>
        </w:tc>
        <w:tc>
          <w:tcPr>
            <w:tcW w:w="259" w:type="pct"/>
            <w:tcBorders>
              <w:top w:val="single" w:sz="4" w:space="0" w:color="auto"/>
              <w:left w:val="nil"/>
              <w:bottom w:val="single" w:sz="4" w:space="0" w:color="auto"/>
              <w:right w:val="nil"/>
            </w:tcBorders>
            <w:shd w:val="clear" w:color="auto" w:fill="auto"/>
            <w:noWrap/>
            <w:tcMar>
              <w:left w:w="28" w:type="dxa"/>
              <w:right w:w="28" w:type="dxa"/>
            </w:tcMar>
            <w:vAlign w:val="center"/>
            <w:hideMark/>
          </w:tcPr>
          <w:p w14:paraId="3EF4C2D9" w14:textId="77777777" w:rsidR="00A57080" w:rsidRPr="00E95955" w:rsidRDefault="00A57080" w:rsidP="00A57080">
            <w:pPr>
              <w:jc w:val="right"/>
              <w:rPr>
                <w:color w:val="000000"/>
                <w:sz w:val="20"/>
                <w:szCs w:val="20"/>
              </w:rPr>
            </w:pPr>
            <w:r w:rsidRPr="00E95955">
              <w:rPr>
                <w:color w:val="000000"/>
                <w:sz w:val="20"/>
                <w:szCs w:val="20"/>
              </w:rPr>
              <w:t>8</w:t>
            </w:r>
          </w:p>
        </w:tc>
        <w:tc>
          <w:tcPr>
            <w:tcW w:w="259" w:type="pct"/>
            <w:tcBorders>
              <w:top w:val="single" w:sz="4" w:space="0" w:color="auto"/>
              <w:left w:val="nil"/>
              <w:bottom w:val="single" w:sz="4" w:space="0" w:color="auto"/>
              <w:right w:val="nil"/>
            </w:tcBorders>
            <w:shd w:val="clear" w:color="auto" w:fill="auto"/>
            <w:noWrap/>
            <w:tcMar>
              <w:left w:w="28" w:type="dxa"/>
              <w:right w:w="28" w:type="dxa"/>
            </w:tcMar>
            <w:vAlign w:val="center"/>
            <w:hideMark/>
          </w:tcPr>
          <w:p w14:paraId="4EE3C8B6" w14:textId="77777777" w:rsidR="00A57080" w:rsidRPr="00E95955" w:rsidRDefault="00A57080" w:rsidP="00A57080">
            <w:pPr>
              <w:jc w:val="right"/>
              <w:rPr>
                <w:color w:val="000000"/>
                <w:sz w:val="20"/>
                <w:szCs w:val="20"/>
              </w:rPr>
            </w:pPr>
            <w:r w:rsidRPr="00E95955">
              <w:rPr>
                <w:color w:val="000000"/>
                <w:sz w:val="20"/>
                <w:szCs w:val="20"/>
              </w:rPr>
              <w:t>9</w:t>
            </w:r>
          </w:p>
        </w:tc>
        <w:tc>
          <w:tcPr>
            <w:tcW w:w="259" w:type="pct"/>
            <w:tcBorders>
              <w:top w:val="single" w:sz="4" w:space="0" w:color="auto"/>
              <w:left w:val="nil"/>
              <w:bottom w:val="single" w:sz="4" w:space="0" w:color="auto"/>
              <w:right w:val="nil"/>
            </w:tcBorders>
            <w:shd w:val="clear" w:color="auto" w:fill="auto"/>
            <w:noWrap/>
            <w:tcMar>
              <w:left w:w="28" w:type="dxa"/>
              <w:right w:w="28" w:type="dxa"/>
            </w:tcMar>
            <w:vAlign w:val="center"/>
            <w:hideMark/>
          </w:tcPr>
          <w:p w14:paraId="1397CBB5" w14:textId="77777777" w:rsidR="00A57080" w:rsidRPr="00E95955" w:rsidRDefault="00A57080" w:rsidP="00A57080">
            <w:pPr>
              <w:jc w:val="right"/>
              <w:rPr>
                <w:color w:val="000000"/>
                <w:sz w:val="20"/>
                <w:szCs w:val="20"/>
              </w:rPr>
            </w:pPr>
            <w:r w:rsidRPr="00E95955">
              <w:rPr>
                <w:color w:val="000000"/>
                <w:sz w:val="20"/>
                <w:szCs w:val="20"/>
              </w:rPr>
              <w:t>10</w:t>
            </w:r>
          </w:p>
        </w:tc>
      </w:tr>
      <w:tr w:rsidR="00A94550" w:rsidRPr="00E95955" w14:paraId="366ECB75" w14:textId="77777777" w:rsidTr="00A94550">
        <w:trPr>
          <w:trHeight w:val="228"/>
        </w:trPr>
        <w:tc>
          <w:tcPr>
            <w:tcW w:w="156" w:type="pct"/>
            <w:tcBorders>
              <w:top w:val="single" w:sz="4" w:space="0" w:color="auto"/>
              <w:left w:val="nil"/>
              <w:bottom w:val="nil"/>
              <w:right w:val="nil"/>
            </w:tcBorders>
            <w:shd w:val="clear" w:color="auto" w:fill="auto"/>
            <w:noWrap/>
            <w:tcMar>
              <w:left w:w="28" w:type="dxa"/>
              <w:right w:w="28" w:type="dxa"/>
            </w:tcMar>
            <w:vAlign w:val="center"/>
            <w:hideMark/>
          </w:tcPr>
          <w:p w14:paraId="492C1BC5" w14:textId="77777777" w:rsidR="00E95955" w:rsidRPr="00E95955" w:rsidRDefault="00E95955" w:rsidP="00E95955">
            <w:pPr>
              <w:jc w:val="right"/>
              <w:rPr>
                <w:color w:val="000000"/>
                <w:sz w:val="20"/>
                <w:szCs w:val="20"/>
              </w:rPr>
            </w:pPr>
            <w:r w:rsidRPr="00E95955">
              <w:rPr>
                <w:color w:val="000000"/>
                <w:sz w:val="20"/>
                <w:szCs w:val="20"/>
              </w:rPr>
              <w:t>1</w:t>
            </w:r>
          </w:p>
        </w:tc>
        <w:tc>
          <w:tcPr>
            <w:tcW w:w="944" w:type="pct"/>
            <w:tcBorders>
              <w:top w:val="single" w:sz="4" w:space="0" w:color="auto"/>
              <w:left w:val="nil"/>
              <w:bottom w:val="nil"/>
              <w:right w:val="nil"/>
            </w:tcBorders>
            <w:shd w:val="clear" w:color="auto" w:fill="auto"/>
            <w:noWrap/>
            <w:tcMar>
              <w:left w:w="28" w:type="dxa"/>
              <w:right w:w="28" w:type="dxa"/>
            </w:tcMar>
            <w:vAlign w:val="center"/>
            <w:hideMark/>
          </w:tcPr>
          <w:p w14:paraId="3C323586" w14:textId="77777777" w:rsidR="00E95955" w:rsidRPr="00E95955" w:rsidRDefault="00E95955" w:rsidP="00E95955">
            <w:pPr>
              <w:rPr>
                <w:color w:val="000000"/>
                <w:sz w:val="20"/>
                <w:szCs w:val="20"/>
              </w:rPr>
            </w:pPr>
            <w:r w:rsidRPr="00E95955">
              <w:rPr>
                <w:color w:val="000000"/>
                <w:sz w:val="20"/>
                <w:szCs w:val="20"/>
              </w:rPr>
              <w:t>Export performance</w:t>
            </w:r>
          </w:p>
        </w:tc>
        <w:tc>
          <w:tcPr>
            <w:tcW w:w="307" w:type="pct"/>
            <w:tcBorders>
              <w:top w:val="nil"/>
              <w:left w:val="nil"/>
              <w:bottom w:val="nil"/>
              <w:right w:val="nil"/>
            </w:tcBorders>
            <w:shd w:val="clear" w:color="auto" w:fill="auto"/>
            <w:noWrap/>
            <w:tcMar>
              <w:left w:w="28" w:type="dxa"/>
              <w:right w:w="28" w:type="dxa"/>
            </w:tcMar>
            <w:vAlign w:val="center"/>
            <w:hideMark/>
          </w:tcPr>
          <w:p w14:paraId="6D3C312A" w14:textId="4C107FA5" w:rsidR="00E95955" w:rsidRPr="00E95955" w:rsidRDefault="00E95955" w:rsidP="00E95955">
            <w:pPr>
              <w:jc w:val="right"/>
              <w:rPr>
                <w:color w:val="000000"/>
                <w:sz w:val="20"/>
                <w:szCs w:val="20"/>
              </w:rPr>
            </w:pPr>
            <w:r w:rsidRPr="00E95955">
              <w:rPr>
                <w:color w:val="000000"/>
                <w:sz w:val="20"/>
                <w:szCs w:val="20"/>
              </w:rPr>
              <w:t>18.44</w:t>
            </w:r>
          </w:p>
        </w:tc>
        <w:tc>
          <w:tcPr>
            <w:tcW w:w="343" w:type="pct"/>
            <w:tcBorders>
              <w:top w:val="nil"/>
              <w:left w:val="nil"/>
              <w:bottom w:val="nil"/>
              <w:right w:val="nil"/>
            </w:tcBorders>
            <w:shd w:val="clear" w:color="auto" w:fill="auto"/>
            <w:noWrap/>
            <w:tcMar>
              <w:left w:w="28" w:type="dxa"/>
              <w:right w:w="28" w:type="dxa"/>
            </w:tcMar>
            <w:vAlign w:val="center"/>
            <w:hideMark/>
          </w:tcPr>
          <w:p w14:paraId="39371025" w14:textId="34C9D7C6" w:rsidR="00E95955" w:rsidRPr="00E95955" w:rsidRDefault="00E95955" w:rsidP="00E95955">
            <w:pPr>
              <w:jc w:val="right"/>
              <w:rPr>
                <w:color w:val="000000"/>
                <w:sz w:val="20"/>
                <w:szCs w:val="20"/>
              </w:rPr>
            </w:pPr>
            <w:r w:rsidRPr="00E95955">
              <w:rPr>
                <w:color w:val="000000"/>
                <w:sz w:val="20"/>
                <w:szCs w:val="20"/>
              </w:rPr>
              <w:t>2.85</w:t>
            </w:r>
          </w:p>
        </w:tc>
        <w:tc>
          <w:tcPr>
            <w:tcW w:w="287" w:type="pct"/>
            <w:tcBorders>
              <w:top w:val="nil"/>
              <w:left w:val="nil"/>
              <w:bottom w:val="nil"/>
              <w:right w:val="nil"/>
            </w:tcBorders>
            <w:shd w:val="clear" w:color="auto" w:fill="auto"/>
            <w:noWrap/>
            <w:tcMar>
              <w:left w:w="28" w:type="dxa"/>
              <w:right w:w="28" w:type="dxa"/>
            </w:tcMar>
            <w:vAlign w:val="center"/>
            <w:hideMark/>
          </w:tcPr>
          <w:p w14:paraId="107326E6" w14:textId="29EE2776" w:rsidR="00E95955" w:rsidRPr="00E95955" w:rsidRDefault="00E95955" w:rsidP="00E95955">
            <w:pPr>
              <w:jc w:val="right"/>
              <w:rPr>
                <w:color w:val="000000"/>
                <w:sz w:val="20"/>
                <w:szCs w:val="20"/>
              </w:rPr>
            </w:pPr>
            <w:r w:rsidRPr="00E95955">
              <w:rPr>
                <w:color w:val="000000"/>
                <w:sz w:val="20"/>
                <w:szCs w:val="20"/>
              </w:rPr>
              <w:t>11.01</w:t>
            </w:r>
          </w:p>
        </w:tc>
        <w:tc>
          <w:tcPr>
            <w:tcW w:w="380" w:type="pct"/>
            <w:tcBorders>
              <w:top w:val="nil"/>
              <w:left w:val="nil"/>
              <w:bottom w:val="nil"/>
              <w:right w:val="nil"/>
            </w:tcBorders>
            <w:shd w:val="clear" w:color="auto" w:fill="auto"/>
            <w:noWrap/>
            <w:tcMar>
              <w:left w:w="28" w:type="dxa"/>
              <w:right w:w="28" w:type="dxa"/>
            </w:tcMar>
            <w:vAlign w:val="center"/>
            <w:hideMark/>
          </w:tcPr>
          <w:p w14:paraId="2CA7F5A9" w14:textId="548A802F" w:rsidR="00E95955" w:rsidRPr="00E95955" w:rsidRDefault="00E95955" w:rsidP="00E95955">
            <w:pPr>
              <w:jc w:val="right"/>
              <w:rPr>
                <w:color w:val="000000"/>
                <w:sz w:val="20"/>
                <w:szCs w:val="20"/>
              </w:rPr>
            </w:pPr>
            <w:r w:rsidRPr="00E95955">
              <w:rPr>
                <w:color w:val="000000"/>
                <w:sz w:val="20"/>
                <w:szCs w:val="20"/>
              </w:rPr>
              <w:t>25.75</w:t>
            </w:r>
          </w:p>
        </w:tc>
        <w:tc>
          <w:tcPr>
            <w:tcW w:w="252" w:type="pct"/>
            <w:tcBorders>
              <w:top w:val="nil"/>
              <w:left w:val="nil"/>
              <w:bottom w:val="nil"/>
              <w:right w:val="nil"/>
            </w:tcBorders>
            <w:shd w:val="clear" w:color="auto" w:fill="auto"/>
            <w:noWrap/>
            <w:tcMar>
              <w:left w:w="28" w:type="dxa"/>
              <w:right w:w="28" w:type="dxa"/>
            </w:tcMar>
            <w:vAlign w:val="center"/>
            <w:hideMark/>
          </w:tcPr>
          <w:p w14:paraId="42881F66" w14:textId="77777777" w:rsidR="00E95955" w:rsidRPr="00E95955" w:rsidRDefault="00E95955" w:rsidP="00E95955">
            <w:pPr>
              <w:jc w:val="right"/>
              <w:rPr>
                <w:color w:val="000000"/>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7B295F12"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7D313FA1"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6562FAB2"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21387E92"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0F5C5CD7"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6562679D"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0B2DE521"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7ABBD676"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131F64E8" w14:textId="77777777" w:rsidR="00E95955" w:rsidRPr="00E95955" w:rsidRDefault="00E95955" w:rsidP="00E95955">
            <w:pPr>
              <w:rPr>
                <w:sz w:val="20"/>
                <w:szCs w:val="20"/>
              </w:rPr>
            </w:pPr>
          </w:p>
        </w:tc>
      </w:tr>
      <w:tr w:rsidR="00A94550" w:rsidRPr="00E95955" w14:paraId="78B0DD34" w14:textId="77777777" w:rsidTr="00A94550">
        <w:trPr>
          <w:trHeight w:val="228"/>
        </w:trPr>
        <w:tc>
          <w:tcPr>
            <w:tcW w:w="156" w:type="pct"/>
            <w:tcBorders>
              <w:top w:val="nil"/>
              <w:left w:val="nil"/>
              <w:bottom w:val="nil"/>
              <w:right w:val="nil"/>
            </w:tcBorders>
            <w:shd w:val="clear" w:color="auto" w:fill="auto"/>
            <w:noWrap/>
            <w:tcMar>
              <w:left w:w="28" w:type="dxa"/>
              <w:right w:w="28" w:type="dxa"/>
            </w:tcMar>
            <w:vAlign w:val="center"/>
            <w:hideMark/>
          </w:tcPr>
          <w:p w14:paraId="538023AA" w14:textId="77777777" w:rsidR="00E95955" w:rsidRPr="00E95955" w:rsidRDefault="00E95955" w:rsidP="00E95955">
            <w:pPr>
              <w:jc w:val="right"/>
              <w:rPr>
                <w:color w:val="000000"/>
                <w:sz w:val="20"/>
                <w:szCs w:val="20"/>
              </w:rPr>
            </w:pPr>
            <w:r w:rsidRPr="00E95955">
              <w:rPr>
                <w:color w:val="000000"/>
                <w:sz w:val="20"/>
                <w:szCs w:val="20"/>
              </w:rPr>
              <w:t>2</w:t>
            </w:r>
          </w:p>
        </w:tc>
        <w:tc>
          <w:tcPr>
            <w:tcW w:w="944" w:type="pct"/>
            <w:tcBorders>
              <w:top w:val="nil"/>
              <w:left w:val="nil"/>
              <w:bottom w:val="nil"/>
              <w:right w:val="nil"/>
            </w:tcBorders>
            <w:shd w:val="clear" w:color="auto" w:fill="auto"/>
            <w:noWrap/>
            <w:tcMar>
              <w:left w:w="28" w:type="dxa"/>
              <w:right w:w="28" w:type="dxa"/>
            </w:tcMar>
            <w:vAlign w:val="center"/>
            <w:hideMark/>
          </w:tcPr>
          <w:p w14:paraId="75E51AA1" w14:textId="6D611638" w:rsidR="00E95955" w:rsidRPr="00E95955" w:rsidRDefault="00E95955" w:rsidP="00E95955">
            <w:pPr>
              <w:rPr>
                <w:color w:val="000000"/>
                <w:sz w:val="20"/>
                <w:szCs w:val="20"/>
              </w:rPr>
            </w:pPr>
            <w:r w:rsidRPr="00E95955">
              <w:rPr>
                <w:color w:val="000000"/>
                <w:sz w:val="20"/>
                <w:szCs w:val="20"/>
              </w:rPr>
              <w:t>Time-out</w:t>
            </w:r>
          </w:p>
        </w:tc>
        <w:tc>
          <w:tcPr>
            <w:tcW w:w="307" w:type="pct"/>
            <w:tcBorders>
              <w:top w:val="nil"/>
              <w:left w:val="nil"/>
              <w:bottom w:val="nil"/>
              <w:right w:val="nil"/>
            </w:tcBorders>
            <w:shd w:val="clear" w:color="auto" w:fill="auto"/>
            <w:noWrap/>
            <w:tcMar>
              <w:left w:w="28" w:type="dxa"/>
              <w:right w:w="28" w:type="dxa"/>
            </w:tcMar>
            <w:vAlign w:val="center"/>
            <w:hideMark/>
          </w:tcPr>
          <w:p w14:paraId="713B8593" w14:textId="08FE59F9" w:rsidR="00E95955" w:rsidRPr="00E95955" w:rsidRDefault="00E95955" w:rsidP="00E95955">
            <w:pPr>
              <w:jc w:val="right"/>
              <w:rPr>
                <w:color w:val="000000"/>
                <w:sz w:val="20"/>
                <w:szCs w:val="20"/>
              </w:rPr>
            </w:pPr>
            <w:r w:rsidRPr="00E95955">
              <w:rPr>
                <w:color w:val="000000"/>
                <w:sz w:val="20"/>
                <w:szCs w:val="20"/>
              </w:rPr>
              <w:t>1.57</w:t>
            </w:r>
          </w:p>
        </w:tc>
        <w:tc>
          <w:tcPr>
            <w:tcW w:w="343" w:type="pct"/>
            <w:tcBorders>
              <w:top w:val="nil"/>
              <w:left w:val="nil"/>
              <w:bottom w:val="nil"/>
              <w:right w:val="nil"/>
            </w:tcBorders>
            <w:shd w:val="clear" w:color="auto" w:fill="auto"/>
            <w:noWrap/>
            <w:tcMar>
              <w:left w:w="28" w:type="dxa"/>
              <w:right w:w="28" w:type="dxa"/>
            </w:tcMar>
            <w:vAlign w:val="center"/>
            <w:hideMark/>
          </w:tcPr>
          <w:p w14:paraId="1380589C" w14:textId="28059130" w:rsidR="00E95955" w:rsidRPr="00E95955" w:rsidRDefault="00E95955" w:rsidP="00E95955">
            <w:pPr>
              <w:jc w:val="right"/>
              <w:rPr>
                <w:color w:val="000000"/>
                <w:sz w:val="20"/>
                <w:szCs w:val="20"/>
              </w:rPr>
            </w:pPr>
            <w:r w:rsidRPr="00E95955">
              <w:rPr>
                <w:color w:val="000000"/>
                <w:sz w:val="20"/>
                <w:szCs w:val="20"/>
              </w:rPr>
              <w:t>1.09</w:t>
            </w:r>
          </w:p>
        </w:tc>
        <w:tc>
          <w:tcPr>
            <w:tcW w:w="287" w:type="pct"/>
            <w:tcBorders>
              <w:top w:val="nil"/>
              <w:left w:val="nil"/>
              <w:bottom w:val="nil"/>
              <w:right w:val="nil"/>
            </w:tcBorders>
            <w:shd w:val="clear" w:color="auto" w:fill="auto"/>
            <w:noWrap/>
            <w:tcMar>
              <w:left w:w="28" w:type="dxa"/>
              <w:right w:w="28" w:type="dxa"/>
            </w:tcMar>
            <w:vAlign w:val="center"/>
            <w:hideMark/>
          </w:tcPr>
          <w:p w14:paraId="3DD4040E" w14:textId="1E233EDF" w:rsidR="00E95955" w:rsidRPr="00E95955" w:rsidRDefault="00E95955" w:rsidP="00E95955">
            <w:pPr>
              <w:jc w:val="right"/>
              <w:rPr>
                <w:color w:val="000000"/>
                <w:sz w:val="20"/>
                <w:szCs w:val="20"/>
              </w:rPr>
            </w:pPr>
            <w:r w:rsidRPr="00E95955">
              <w:rPr>
                <w:color w:val="000000"/>
                <w:sz w:val="20"/>
                <w:szCs w:val="20"/>
              </w:rPr>
              <w:t>1</w:t>
            </w:r>
          </w:p>
        </w:tc>
        <w:tc>
          <w:tcPr>
            <w:tcW w:w="380" w:type="pct"/>
            <w:tcBorders>
              <w:top w:val="nil"/>
              <w:left w:val="nil"/>
              <w:bottom w:val="nil"/>
              <w:right w:val="nil"/>
            </w:tcBorders>
            <w:shd w:val="clear" w:color="auto" w:fill="auto"/>
            <w:noWrap/>
            <w:tcMar>
              <w:left w:w="28" w:type="dxa"/>
              <w:right w:w="28" w:type="dxa"/>
            </w:tcMar>
            <w:vAlign w:val="center"/>
            <w:hideMark/>
          </w:tcPr>
          <w:p w14:paraId="09AC6D73" w14:textId="43E89F88" w:rsidR="00E95955" w:rsidRPr="00E95955" w:rsidRDefault="00E95955" w:rsidP="00E95955">
            <w:pPr>
              <w:jc w:val="right"/>
              <w:rPr>
                <w:color w:val="000000"/>
                <w:sz w:val="20"/>
                <w:szCs w:val="20"/>
              </w:rPr>
            </w:pPr>
            <w:r w:rsidRPr="00E95955">
              <w:rPr>
                <w:color w:val="000000"/>
                <w:sz w:val="20"/>
                <w:szCs w:val="20"/>
              </w:rPr>
              <w:t>6</w:t>
            </w:r>
          </w:p>
        </w:tc>
        <w:tc>
          <w:tcPr>
            <w:tcW w:w="252" w:type="pct"/>
            <w:tcBorders>
              <w:top w:val="nil"/>
              <w:left w:val="nil"/>
              <w:bottom w:val="nil"/>
              <w:right w:val="nil"/>
            </w:tcBorders>
            <w:shd w:val="clear" w:color="auto" w:fill="auto"/>
            <w:noWrap/>
            <w:tcMar>
              <w:left w:w="28" w:type="dxa"/>
              <w:right w:w="28" w:type="dxa"/>
            </w:tcMar>
            <w:vAlign w:val="center"/>
            <w:hideMark/>
          </w:tcPr>
          <w:p w14:paraId="36EF7885" w14:textId="1337DC7A" w:rsidR="00E95955" w:rsidRPr="00E95955" w:rsidRDefault="00E95955" w:rsidP="00E95955">
            <w:pPr>
              <w:jc w:val="right"/>
              <w:rPr>
                <w:color w:val="000000"/>
                <w:sz w:val="20"/>
                <w:szCs w:val="20"/>
              </w:rPr>
            </w:pPr>
            <w:r w:rsidRPr="00E95955">
              <w:rPr>
                <w:color w:val="000000"/>
                <w:sz w:val="20"/>
                <w:szCs w:val="20"/>
              </w:rPr>
              <w:t>-0.09</w:t>
            </w:r>
          </w:p>
        </w:tc>
        <w:tc>
          <w:tcPr>
            <w:tcW w:w="259" w:type="pct"/>
            <w:tcBorders>
              <w:top w:val="nil"/>
              <w:left w:val="nil"/>
              <w:bottom w:val="nil"/>
              <w:right w:val="nil"/>
            </w:tcBorders>
            <w:shd w:val="clear" w:color="auto" w:fill="auto"/>
            <w:noWrap/>
            <w:tcMar>
              <w:left w:w="28" w:type="dxa"/>
              <w:right w:w="28" w:type="dxa"/>
            </w:tcMar>
            <w:vAlign w:val="center"/>
            <w:hideMark/>
          </w:tcPr>
          <w:p w14:paraId="1BEF5272" w14:textId="77777777" w:rsidR="00E95955" w:rsidRPr="00E95955" w:rsidRDefault="00E95955" w:rsidP="00E95955">
            <w:pPr>
              <w:jc w:val="right"/>
              <w:rPr>
                <w:color w:val="000000"/>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473AA7DF"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3046E24A"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2A640747"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5A77F2D4"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46AB8628"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3D468FE3"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570ACBC2"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5437B894" w14:textId="77777777" w:rsidR="00E95955" w:rsidRPr="00E95955" w:rsidRDefault="00E95955" w:rsidP="00E95955">
            <w:pPr>
              <w:rPr>
                <w:sz w:val="20"/>
                <w:szCs w:val="20"/>
              </w:rPr>
            </w:pPr>
          </w:p>
        </w:tc>
      </w:tr>
      <w:tr w:rsidR="00A94550" w:rsidRPr="00E95955" w14:paraId="082CF264" w14:textId="77777777" w:rsidTr="00A94550">
        <w:trPr>
          <w:trHeight w:val="228"/>
        </w:trPr>
        <w:tc>
          <w:tcPr>
            <w:tcW w:w="156" w:type="pct"/>
            <w:tcBorders>
              <w:top w:val="nil"/>
              <w:left w:val="nil"/>
              <w:bottom w:val="nil"/>
              <w:right w:val="nil"/>
            </w:tcBorders>
            <w:shd w:val="clear" w:color="auto" w:fill="auto"/>
            <w:noWrap/>
            <w:tcMar>
              <w:left w:w="28" w:type="dxa"/>
              <w:right w:w="28" w:type="dxa"/>
            </w:tcMar>
            <w:vAlign w:val="center"/>
            <w:hideMark/>
          </w:tcPr>
          <w:p w14:paraId="3423131F" w14:textId="77777777" w:rsidR="00E95955" w:rsidRPr="00E95955" w:rsidRDefault="00E95955" w:rsidP="00E95955">
            <w:pPr>
              <w:jc w:val="right"/>
              <w:rPr>
                <w:color w:val="000000"/>
                <w:sz w:val="20"/>
                <w:szCs w:val="20"/>
              </w:rPr>
            </w:pPr>
            <w:r w:rsidRPr="00E95955">
              <w:rPr>
                <w:color w:val="000000"/>
                <w:sz w:val="20"/>
                <w:szCs w:val="20"/>
              </w:rPr>
              <w:t>3</w:t>
            </w:r>
          </w:p>
        </w:tc>
        <w:tc>
          <w:tcPr>
            <w:tcW w:w="944" w:type="pct"/>
            <w:tcBorders>
              <w:top w:val="nil"/>
              <w:left w:val="nil"/>
              <w:bottom w:val="nil"/>
              <w:right w:val="nil"/>
            </w:tcBorders>
            <w:shd w:val="clear" w:color="auto" w:fill="auto"/>
            <w:noWrap/>
            <w:tcMar>
              <w:left w:w="28" w:type="dxa"/>
              <w:right w:w="28" w:type="dxa"/>
            </w:tcMar>
            <w:vAlign w:val="center"/>
            <w:hideMark/>
          </w:tcPr>
          <w:p w14:paraId="40A15039" w14:textId="77777777" w:rsidR="00E95955" w:rsidRPr="00E95955" w:rsidRDefault="00E95955" w:rsidP="00E95955">
            <w:pPr>
              <w:rPr>
                <w:color w:val="000000"/>
                <w:sz w:val="20"/>
                <w:szCs w:val="20"/>
              </w:rPr>
            </w:pPr>
            <w:r w:rsidRPr="00E95955">
              <w:rPr>
                <w:color w:val="000000"/>
                <w:sz w:val="20"/>
                <w:szCs w:val="20"/>
              </w:rPr>
              <w:t>Export performance at exit</w:t>
            </w:r>
          </w:p>
        </w:tc>
        <w:tc>
          <w:tcPr>
            <w:tcW w:w="307" w:type="pct"/>
            <w:tcBorders>
              <w:top w:val="nil"/>
              <w:left w:val="nil"/>
              <w:bottom w:val="nil"/>
              <w:right w:val="nil"/>
            </w:tcBorders>
            <w:shd w:val="clear" w:color="auto" w:fill="auto"/>
            <w:noWrap/>
            <w:tcMar>
              <w:left w:w="28" w:type="dxa"/>
              <w:right w:w="28" w:type="dxa"/>
            </w:tcMar>
            <w:vAlign w:val="center"/>
            <w:hideMark/>
          </w:tcPr>
          <w:p w14:paraId="078F6AE2" w14:textId="0A042B9C" w:rsidR="00E95955" w:rsidRPr="00E95955" w:rsidRDefault="00E95955" w:rsidP="00E95955">
            <w:pPr>
              <w:jc w:val="right"/>
              <w:rPr>
                <w:color w:val="000000"/>
                <w:sz w:val="20"/>
                <w:szCs w:val="20"/>
              </w:rPr>
            </w:pPr>
            <w:r w:rsidRPr="00E95955">
              <w:rPr>
                <w:color w:val="000000"/>
                <w:sz w:val="20"/>
                <w:szCs w:val="20"/>
              </w:rPr>
              <w:t>18.36</w:t>
            </w:r>
          </w:p>
        </w:tc>
        <w:tc>
          <w:tcPr>
            <w:tcW w:w="343" w:type="pct"/>
            <w:tcBorders>
              <w:top w:val="nil"/>
              <w:left w:val="nil"/>
              <w:bottom w:val="nil"/>
              <w:right w:val="nil"/>
            </w:tcBorders>
            <w:shd w:val="clear" w:color="auto" w:fill="auto"/>
            <w:noWrap/>
            <w:tcMar>
              <w:left w:w="28" w:type="dxa"/>
              <w:right w:w="28" w:type="dxa"/>
            </w:tcMar>
            <w:vAlign w:val="center"/>
            <w:hideMark/>
          </w:tcPr>
          <w:p w14:paraId="24042137" w14:textId="56D759BC" w:rsidR="00E95955" w:rsidRPr="00E95955" w:rsidRDefault="00E95955" w:rsidP="00E95955">
            <w:pPr>
              <w:jc w:val="right"/>
              <w:rPr>
                <w:color w:val="000000"/>
                <w:sz w:val="20"/>
                <w:szCs w:val="20"/>
              </w:rPr>
            </w:pPr>
            <w:r w:rsidRPr="00E95955">
              <w:rPr>
                <w:color w:val="000000"/>
                <w:sz w:val="20"/>
                <w:szCs w:val="20"/>
              </w:rPr>
              <w:t>2.98</w:t>
            </w:r>
          </w:p>
        </w:tc>
        <w:tc>
          <w:tcPr>
            <w:tcW w:w="287" w:type="pct"/>
            <w:tcBorders>
              <w:top w:val="nil"/>
              <w:left w:val="nil"/>
              <w:bottom w:val="nil"/>
              <w:right w:val="nil"/>
            </w:tcBorders>
            <w:shd w:val="clear" w:color="auto" w:fill="auto"/>
            <w:noWrap/>
            <w:tcMar>
              <w:left w:w="28" w:type="dxa"/>
              <w:right w:w="28" w:type="dxa"/>
            </w:tcMar>
            <w:vAlign w:val="center"/>
            <w:hideMark/>
          </w:tcPr>
          <w:p w14:paraId="4D7B0EE6" w14:textId="2678736B" w:rsidR="00E95955" w:rsidRPr="00E95955" w:rsidRDefault="00E95955" w:rsidP="00E95955">
            <w:pPr>
              <w:jc w:val="right"/>
              <w:rPr>
                <w:color w:val="000000"/>
                <w:sz w:val="20"/>
                <w:szCs w:val="20"/>
              </w:rPr>
            </w:pPr>
            <w:r w:rsidRPr="00E95955">
              <w:rPr>
                <w:color w:val="000000"/>
                <w:sz w:val="20"/>
                <w:szCs w:val="20"/>
              </w:rPr>
              <w:t>10.51</w:t>
            </w:r>
          </w:p>
        </w:tc>
        <w:tc>
          <w:tcPr>
            <w:tcW w:w="380" w:type="pct"/>
            <w:tcBorders>
              <w:top w:val="nil"/>
              <w:left w:val="nil"/>
              <w:bottom w:val="nil"/>
              <w:right w:val="nil"/>
            </w:tcBorders>
            <w:shd w:val="clear" w:color="auto" w:fill="auto"/>
            <w:noWrap/>
            <w:tcMar>
              <w:left w:w="28" w:type="dxa"/>
              <w:right w:w="28" w:type="dxa"/>
            </w:tcMar>
            <w:vAlign w:val="center"/>
            <w:hideMark/>
          </w:tcPr>
          <w:p w14:paraId="04F7782E" w14:textId="2997E03A" w:rsidR="00E95955" w:rsidRPr="00E95955" w:rsidRDefault="00E95955" w:rsidP="00E95955">
            <w:pPr>
              <w:jc w:val="right"/>
              <w:rPr>
                <w:color w:val="000000"/>
                <w:sz w:val="20"/>
                <w:szCs w:val="20"/>
              </w:rPr>
            </w:pPr>
            <w:r w:rsidRPr="00E95955">
              <w:rPr>
                <w:color w:val="000000"/>
                <w:sz w:val="20"/>
                <w:szCs w:val="20"/>
              </w:rPr>
              <w:t>26.19</w:t>
            </w:r>
          </w:p>
        </w:tc>
        <w:tc>
          <w:tcPr>
            <w:tcW w:w="252" w:type="pct"/>
            <w:tcBorders>
              <w:top w:val="nil"/>
              <w:left w:val="nil"/>
              <w:bottom w:val="nil"/>
              <w:right w:val="nil"/>
            </w:tcBorders>
            <w:shd w:val="clear" w:color="auto" w:fill="auto"/>
            <w:noWrap/>
            <w:tcMar>
              <w:left w:w="28" w:type="dxa"/>
              <w:right w:w="28" w:type="dxa"/>
            </w:tcMar>
            <w:vAlign w:val="center"/>
            <w:hideMark/>
          </w:tcPr>
          <w:p w14:paraId="24CA4265" w14:textId="09CAE49A" w:rsidR="00E95955" w:rsidRPr="00E95955" w:rsidRDefault="00E95955" w:rsidP="00E95955">
            <w:pPr>
              <w:jc w:val="right"/>
              <w:rPr>
                <w:color w:val="000000"/>
                <w:sz w:val="20"/>
                <w:szCs w:val="20"/>
              </w:rPr>
            </w:pPr>
            <w:r w:rsidRPr="00E95955">
              <w:rPr>
                <w:color w:val="000000"/>
                <w:sz w:val="20"/>
                <w:szCs w:val="20"/>
              </w:rPr>
              <w:t>0.84</w:t>
            </w:r>
          </w:p>
        </w:tc>
        <w:tc>
          <w:tcPr>
            <w:tcW w:w="259" w:type="pct"/>
            <w:tcBorders>
              <w:top w:val="nil"/>
              <w:left w:val="nil"/>
              <w:bottom w:val="nil"/>
              <w:right w:val="nil"/>
            </w:tcBorders>
            <w:shd w:val="clear" w:color="auto" w:fill="auto"/>
            <w:noWrap/>
            <w:tcMar>
              <w:left w:w="28" w:type="dxa"/>
              <w:right w:w="28" w:type="dxa"/>
            </w:tcMar>
            <w:vAlign w:val="center"/>
            <w:hideMark/>
          </w:tcPr>
          <w:p w14:paraId="7E61F3AE" w14:textId="5C0B1E21" w:rsidR="00E95955" w:rsidRPr="00E95955" w:rsidRDefault="00E95955" w:rsidP="00E95955">
            <w:pPr>
              <w:jc w:val="right"/>
              <w:rPr>
                <w:color w:val="000000"/>
                <w:sz w:val="20"/>
                <w:szCs w:val="20"/>
              </w:rPr>
            </w:pPr>
            <w:r w:rsidRPr="00E95955">
              <w:rPr>
                <w:color w:val="000000"/>
                <w:sz w:val="20"/>
                <w:szCs w:val="20"/>
              </w:rPr>
              <w:t>-0.09</w:t>
            </w:r>
          </w:p>
        </w:tc>
        <w:tc>
          <w:tcPr>
            <w:tcW w:w="259" w:type="pct"/>
            <w:tcBorders>
              <w:top w:val="nil"/>
              <w:left w:val="nil"/>
              <w:bottom w:val="nil"/>
              <w:right w:val="nil"/>
            </w:tcBorders>
            <w:shd w:val="clear" w:color="auto" w:fill="auto"/>
            <w:noWrap/>
            <w:tcMar>
              <w:left w:w="28" w:type="dxa"/>
              <w:right w:w="28" w:type="dxa"/>
            </w:tcMar>
            <w:vAlign w:val="center"/>
            <w:hideMark/>
          </w:tcPr>
          <w:p w14:paraId="0ECE55FF" w14:textId="77777777" w:rsidR="00E95955" w:rsidRPr="00E95955" w:rsidRDefault="00E95955" w:rsidP="00E95955">
            <w:pPr>
              <w:jc w:val="right"/>
              <w:rPr>
                <w:color w:val="000000"/>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1CC5CDD0"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6B75648D"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119F53B6"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285B228B"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4B48F587"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49001D60"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2473C3D8" w14:textId="77777777" w:rsidR="00E95955" w:rsidRPr="00E95955" w:rsidRDefault="00E95955" w:rsidP="00E95955">
            <w:pPr>
              <w:rPr>
                <w:sz w:val="20"/>
                <w:szCs w:val="20"/>
              </w:rPr>
            </w:pPr>
          </w:p>
        </w:tc>
      </w:tr>
      <w:tr w:rsidR="00A94550" w:rsidRPr="00E95955" w14:paraId="2D0CCE80" w14:textId="77777777" w:rsidTr="00A94550">
        <w:trPr>
          <w:trHeight w:val="228"/>
        </w:trPr>
        <w:tc>
          <w:tcPr>
            <w:tcW w:w="156" w:type="pct"/>
            <w:tcBorders>
              <w:top w:val="nil"/>
              <w:left w:val="nil"/>
              <w:bottom w:val="nil"/>
              <w:right w:val="nil"/>
            </w:tcBorders>
            <w:shd w:val="clear" w:color="auto" w:fill="auto"/>
            <w:noWrap/>
            <w:tcMar>
              <w:left w:w="28" w:type="dxa"/>
              <w:right w:w="28" w:type="dxa"/>
            </w:tcMar>
            <w:vAlign w:val="center"/>
            <w:hideMark/>
          </w:tcPr>
          <w:p w14:paraId="3F5B8D4B" w14:textId="77777777" w:rsidR="00E95955" w:rsidRPr="00E95955" w:rsidRDefault="00E95955" w:rsidP="00E95955">
            <w:pPr>
              <w:jc w:val="right"/>
              <w:rPr>
                <w:color w:val="000000"/>
                <w:sz w:val="20"/>
                <w:szCs w:val="20"/>
              </w:rPr>
            </w:pPr>
            <w:r w:rsidRPr="00E95955">
              <w:rPr>
                <w:color w:val="000000"/>
                <w:sz w:val="20"/>
                <w:szCs w:val="20"/>
              </w:rPr>
              <w:t>4</w:t>
            </w:r>
          </w:p>
        </w:tc>
        <w:tc>
          <w:tcPr>
            <w:tcW w:w="944" w:type="pct"/>
            <w:tcBorders>
              <w:top w:val="nil"/>
              <w:left w:val="nil"/>
              <w:bottom w:val="nil"/>
              <w:right w:val="nil"/>
            </w:tcBorders>
            <w:shd w:val="clear" w:color="auto" w:fill="auto"/>
            <w:noWrap/>
            <w:tcMar>
              <w:left w:w="28" w:type="dxa"/>
              <w:right w:w="28" w:type="dxa"/>
            </w:tcMar>
            <w:vAlign w:val="center"/>
            <w:hideMark/>
          </w:tcPr>
          <w:p w14:paraId="36483B1B" w14:textId="77777777" w:rsidR="00E95955" w:rsidRPr="00E95955" w:rsidRDefault="00E95955" w:rsidP="00E95955">
            <w:pPr>
              <w:rPr>
                <w:color w:val="000000"/>
                <w:sz w:val="20"/>
                <w:szCs w:val="20"/>
              </w:rPr>
            </w:pPr>
            <w:r w:rsidRPr="00E95955">
              <w:rPr>
                <w:color w:val="000000"/>
                <w:sz w:val="20"/>
                <w:szCs w:val="20"/>
              </w:rPr>
              <w:t>Size</w:t>
            </w:r>
          </w:p>
        </w:tc>
        <w:tc>
          <w:tcPr>
            <w:tcW w:w="307" w:type="pct"/>
            <w:tcBorders>
              <w:top w:val="nil"/>
              <w:left w:val="nil"/>
              <w:bottom w:val="nil"/>
              <w:right w:val="nil"/>
            </w:tcBorders>
            <w:shd w:val="clear" w:color="auto" w:fill="auto"/>
            <w:noWrap/>
            <w:tcMar>
              <w:left w:w="28" w:type="dxa"/>
              <w:right w:w="28" w:type="dxa"/>
            </w:tcMar>
            <w:vAlign w:val="center"/>
            <w:hideMark/>
          </w:tcPr>
          <w:p w14:paraId="0C1051E1" w14:textId="75462E67" w:rsidR="00E95955" w:rsidRPr="00E95955" w:rsidRDefault="00E95955" w:rsidP="00E95955">
            <w:pPr>
              <w:jc w:val="right"/>
              <w:rPr>
                <w:color w:val="000000"/>
                <w:sz w:val="20"/>
                <w:szCs w:val="20"/>
              </w:rPr>
            </w:pPr>
            <w:r w:rsidRPr="00E95955">
              <w:rPr>
                <w:color w:val="000000"/>
                <w:sz w:val="20"/>
                <w:szCs w:val="20"/>
              </w:rPr>
              <w:t>16.04</w:t>
            </w:r>
          </w:p>
        </w:tc>
        <w:tc>
          <w:tcPr>
            <w:tcW w:w="343" w:type="pct"/>
            <w:tcBorders>
              <w:top w:val="nil"/>
              <w:left w:val="nil"/>
              <w:bottom w:val="nil"/>
              <w:right w:val="nil"/>
            </w:tcBorders>
            <w:shd w:val="clear" w:color="auto" w:fill="auto"/>
            <w:noWrap/>
            <w:tcMar>
              <w:left w:w="28" w:type="dxa"/>
              <w:right w:w="28" w:type="dxa"/>
            </w:tcMar>
            <w:vAlign w:val="center"/>
            <w:hideMark/>
          </w:tcPr>
          <w:p w14:paraId="6921DAC2" w14:textId="6176685B" w:rsidR="00E95955" w:rsidRPr="00E95955" w:rsidRDefault="00E95955" w:rsidP="00E95955">
            <w:pPr>
              <w:jc w:val="right"/>
              <w:rPr>
                <w:color w:val="000000"/>
                <w:sz w:val="20"/>
                <w:szCs w:val="20"/>
              </w:rPr>
            </w:pPr>
            <w:r w:rsidRPr="00E95955">
              <w:rPr>
                <w:color w:val="000000"/>
                <w:sz w:val="20"/>
                <w:szCs w:val="20"/>
              </w:rPr>
              <w:t>2.05</w:t>
            </w:r>
          </w:p>
        </w:tc>
        <w:tc>
          <w:tcPr>
            <w:tcW w:w="287" w:type="pct"/>
            <w:tcBorders>
              <w:top w:val="nil"/>
              <w:left w:val="nil"/>
              <w:bottom w:val="nil"/>
              <w:right w:val="nil"/>
            </w:tcBorders>
            <w:shd w:val="clear" w:color="auto" w:fill="auto"/>
            <w:noWrap/>
            <w:tcMar>
              <w:left w:w="28" w:type="dxa"/>
              <w:right w:w="28" w:type="dxa"/>
            </w:tcMar>
            <w:vAlign w:val="center"/>
            <w:hideMark/>
          </w:tcPr>
          <w:p w14:paraId="52D24341" w14:textId="6AED5D9D" w:rsidR="00E95955" w:rsidRPr="00E95955" w:rsidRDefault="00E95955" w:rsidP="00E95955">
            <w:pPr>
              <w:jc w:val="right"/>
              <w:rPr>
                <w:color w:val="000000"/>
                <w:sz w:val="20"/>
                <w:szCs w:val="20"/>
              </w:rPr>
            </w:pPr>
            <w:r w:rsidRPr="00E95955">
              <w:rPr>
                <w:color w:val="000000"/>
                <w:sz w:val="20"/>
                <w:szCs w:val="20"/>
              </w:rPr>
              <w:t>8.7</w:t>
            </w:r>
          </w:p>
        </w:tc>
        <w:tc>
          <w:tcPr>
            <w:tcW w:w="380" w:type="pct"/>
            <w:tcBorders>
              <w:top w:val="nil"/>
              <w:left w:val="nil"/>
              <w:bottom w:val="nil"/>
              <w:right w:val="nil"/>
            </w:tcBorders>
            <w:shd w:val="clear" w:color="auto" w:fill="auto"/>
            <w:noWrap/>
            <w:tcMar>
              <w:left w:w="28" w:type="dxa"/>
              <w:right w:w="28" w:type="dxa"/>
            </w:tcMar>
            <w:vAlign w:val="center"/>
            <w:hideMark/>
          </w:tcPr>
          <w:p w14:paraId="676AFB56" w14:textId="747553A2" w:rsidR="00E95955" w:rsidRPr="00E95955" w:rsidRDefault="00E95955" w:rsidP="00E95955">
            <w:pPr>
              <w:jc w:val="right"/>
              <w:rPr>
                <w:color w:val="000000"/>
                <w:sz w:val="20"/>
                <w:szCs w:val="20"/>
              </w:rPr>
            </w:pPr>
            <w:r w:rsidRPr="00E95955">
              <w:rPr>
                <w:color w:val="000000"/>
                <w:sz w:val="20"/>
                <w:szCs w:val="20"/>
              </w:rPr>
              <w:t>22.15</w:t>
            </w:r>
          </w:p>
        </w:tc>
        <w:tc>
          <w:tcPr>
            <w:tcW w:w="252" w:type="pct"/>
            <w:tcBorders>
              <w:top w:val="nil"/>
              <w:left w:val="nil"/>
              <w:bottom w:val="nil"/>
              <w:right w:val="nil"/>
            </w:tcBorders>
            <w:shd w:val="clear" w:color="auto" w:fill="auto"/>
            <w:noWrap/>
            <w:tcMar>
              <w:left w:w="28" w:type="dxa"/>
              <w:right w:w="28" w:type="dxa"/>
            </w:tcMar>
            <w:vAlign w:val="center"/>
            <w:hideMark/>
          </w:tcPr>
          <w:p w14:paraId="0E391392" w14:textId="7758B125" w:rsidR="00E95955" w:rsidRPr="00E95955" w:rsidRDefault="00E95955" w:rsidP="00E95955">
            <w:pPr>
              <w:jc w:val="right"/>
              <w:rPr>
                <w:color w:val="000000"/>
                <w:sz w:val="20"/>
                <w:szCs w:val="20"/>
              </w:rPr>
            </w:pPr>
            <w:r w:rsidRPr="00E95955">
              <w:rPr>
                <w:color w:val="000000"/>
                <w:sz w:val="20"/>
                <w:szCs w:val="20"/>
              </w:rPr>
              <w:t>0.74</w:t>
            </w:r>
          </w:p>
        </w:tc>
        <w:tc>
          <w:tcPr>
            <w:tcW w:w="259" w:type="pct"/>
            <w:tcBorders>
              <w:top w:val="nil"/>
              <w:left w:val="nil"/>
              <w:bottom w:val="nil"/>
              <w:right w:val="nil"/>
            </w:tcBorders>
            <w:shd w:val="clear" w:color="auto" w:fill="auto"/>
            <w:noWrap/>
            <w:tcMar>
              <w:left w:w="28" w:type="dxa"/>
              <w:right w:w="28" w:type="dxa"/>
            </w:tcMar>
            <w:vAlign w:val="center"/>
            <w:hideMark/>
          </w:tcPr>
          <w:p w14:paraId="3EB08F25" w14:textId="6C7E4A2C" w:rsidR="00E95955" w:rsidRPr="00E95955" w:rsidRDefault="00E95955" w:rsidP="00E95955">
            <w:pPr>
              <w:jc w:val="right"/>
              <w:rPr>
                <w:color w:val="000000"/>
                <w:sz w:val="20"/>
                <w:szCs w:val="20"/>
              </w:rPr>
            </w:pPr>
            <w:r w:rsidRPr="00E95955">
              <w:rPr>
                <w:color w:val="000000"/>
                <w:sz w:val="20"/>
                <w:szCs w:val="20"/>
              </w:rPr>
              <w:t>-0.06</w:t>
            </w:r>
          </w:p>
        </w:tc>
        <w:tc>
          <w:tcPr>
            <w:tcW w:w="259" w:type="pct"/>
            <w:tcBorders>
              <w:top w:val="nil"/>
              <w:left w:val="nil"/>
              <w:bottom w:val="nil"/>
              <w:right w:val="nil"/>
            </w:tcBorders>
            <w:shd w:val="clear" w:color="auto" w:fill="auto"/>
            <w:noWrap/>
            <w:tcMar>
              <w:left w:w="28" w:type="dxa"/>
              <w:right w:w="28" w:type="dxa"/>
            </w:tcMar>
            <w:vAlign w:val="center"/>
            <w:hideMark/>
          </w:tcPr>
          <w:p w14:paraId="167066BF" w14:textId="77452688" w:rsidR="00E95955" w:rsidRPr="00E95955" w:rsidRDefault="00E95955" w:rsidP="00E95955">
            <w:pPr>
              <w:jc w:val="right"/>
              <w:rPr>
                <w:color w:val="000000"/>
                <w:sz w:val="20"/>
                <w:szCs w:val="20"/>
              </w:rPr>
            </w:pPr>
            <w:r w:rsidRPr="00E95955">
              <w:rPr>
                <w:color w:val="000000"/>
                <w:sz w:val="20"/>
                <w:szCs w:val="20"/>
              </w:rPr>
              <w:t>0.73</w:t>
            </w:r>
          </w:p>
        </w:tc>
        <w:tc>
          <w:tcPr>
            <w:tcW w:w="259" w:type="pct"/>
            <w:tcBorders>
              <w:top w:val="nil"/>
              <w:left w:val="nil"/>
              <w:bottom w:val="nil"/>
              <w:right w:val="nil"/>
            </w:tcBorders>
            <w:shd w:val="clear" w:color="auto" w:fill="auto"/>
            <w:noWrap/>
            <w:tcMar>
              <w:left w:w="28" w:type="dxa"/>
              <w:right w:w="28" w:type="dxa"/>
            </w:tcMar>
            <w:vAlign w:val="center"/>
            <w:hideMark/>
          </w:tcPr>
          <w:p w14:paraId="71225ADE" w14:textId="77777777" w:rsidR="00E95955" w:rsidRPr="00E95955" w:rsidRDefault="00E95955" w:rsidP="00E95955">
            <w:pPr>
              <w:jc w:val="right"/>
              <w:rPr>
                <w:color w:val="000000"/>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4E04DA4D"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2B37AC4B"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11D97771"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5EC7D462"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332BA57E"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2C78B036" w14:textId="77777777" w:rsidR="00E95955" w:rsidRPr="00E95955" w:rsidRDefault="00E95955" w:rsidP="00E95955">
            <w:pPr>
              <w:rPr>
                <w:sz w:val="20"/>
                <w:szCs w:val="20"/>
              </w:rPr>
            </w:pPr>
          </w:p>
        </w:tc>
      </w:tr>
      <w:tr w:rsidR="00A94550" w:rsidRPr="00E95955" w14:paraId="2F2C77F1" w14:textId="77777777" w:rsidTr="00A94550">
        <w:trPr>
          <w:trHeight w:val="228"/>
        </w:trPr>
        <w:tc>
          <w:tcPr>
            <w:tcW w:w="156" w:type="pct"/>
            <w:tcBorders>
              <w:top w:val="nil"/>
              <w:left w:val="nil"/>
              <w:bottom w:val="nil"/>
              <w:right w:val="nil"/>
            </w:tcBorders>
            <w:shd w:val="clear" w:color="auto" w:fill="auto"/>
            <w:noWrap/>
            <w:tcMar>
              <w:left w:w="28" w:type="dxa"/>
              <w:right w:w="28" w:type="dxa"/>
            </w:tcMar>
            <w:vAlign w:val="center"/>
            <w:hideMark/>
          </w:tcPr>
          <w:p w14:paraId="5F5AD7E5" w14:textId="77777777" w:rsidR="00E95955" w:rsidRPr="00E95955" w:rsidRDefault="00E95955" w:rsidP="00E95955">
            <w:pPr>
              <w:jc w:val="right"/>
              <w:rPr>
                <w:color w:val="000000"/>
                <w:sz w:val="20"/>
                <w:szCs w:val="20"/>
              </w:rPr>
            </w:pPr>
            <w:r w:rsidRPr="00E95955">
              <w:rPr>
                <w:color w:val="000000"/>
                <w:sz w:val="20"/>
                <w:szCs w:val="20"/>
              </w:rPr>
              <w:t>5</w:t>
            </w:r>
          </w:p>
        </w:tc>
        <w:tc>
          <w:tcPr>
            <w:tcW w:w="944" w:type="pct"/>
            <w:tcBorders>
              <w:top w:val="nil"/>
              <w:left w:val="nil"/>
              <w:bottom w:val="nil"/>
              <w:right w:val="nil"/>
            </w:tcBorders>
            <w:shd w:val="clear" w:color="auto" w:fill="auto"/>
            <w:noWrap/>
            <w:tcMar>
              <w:left w:w="28" w:type="dxa"/>
              <w:right w:w="28" w:type="dxa"/>
            </w:tcMar>
            <w:vAlign w:val="center"/>
            <w:hideMark/>
          </w:tcPr>
          <w:p w14:paraId="3B194C66" w14:textId="77777777" w:rsidR="00E95955" w:rsidRPr="00E95955" w:rsidRDefault="00E95955" w:rsidP="00E95955">
            <w:pPr>
              <w:rPr>
                <w:color w:val="000000"/>
                <w:sz w:val="20"/>
                <w:szCs w:val="20"/>
              </w:rPr>
            </w:pPr>
            <w:r w:rsidRPr="00E95955">
              <w:rPr>
                <w:color w:val="000000"/>
                <w:sz w:val="20"/>
                <w:szCs w:val="20"/>
              </w:rPr>
              <w:t>Age</w:t>
            </w:r>
          </w:p>
        </w:tc>
        <w:tc>
          <w:tcPr>
            <w:tcW w:w="307" w:type="pct"/>
            <w:tcBorders>
              <w:top w:val="nil"/>
              <w:left w:val="nil"/>
              <w:bottom w:val="nil"/>
              <w:right w:val="nil"/>
            </w:tcBorders>
            <w:shd w:val="clear" w:color="auto" w:fill="auto"/>
            <w:noWrap/>
            <w:tcMar>
              <w:left w:w="28" w:type="dxa"/>
              <w:right w:w="28" w:type="dxa"/>
            </w:tcMar>
            <w:vAlign w:val="center"/>
            <w:hideMark/>
          </w:tcPr>
          <w:p w14:paraId="5494C796" w14:textId="72DE9536" w:rsidR="00E95955" w:rsidRPr="00E95955" w:rsidRDefault="00E95955" w:rsidP="00E95955">
            <w:pPr>
              <w:jc w:val="right"/>
              <w:rPr>
                <w:color w:val="000000"/>
                <w:sz w:val="20"/>
                <w:szCs w:val="20"/>
              </w:rPr>
            </w:pPr>
            <w:r w:rsidRPr="00E95955">
              <w:rPr>
                <w:color w:val="000000"/>
                <w:sz w:val="20"/>
                <w:szCs w:val="20"/>
              </w:rPr>
              <w:t>28.93</w:t>
            </w:r>
          </w:p>
        </w:tc>
        <w:tc>
          <w:tcPr>
            <w:tcW w:w="343" w:type="pct"/>
            <w:tcBorders>
              <w:top w:val="nil"/>
              <w:left w:val="nil"/>
              <w:bottom w:val="nil"/>
              <w:right w:val="nil"/>
            </w:tcBorders>
            <w:shd w:val="clear" w:color="auto" w:fill="auto"/>
            <w:noWrap/>
            <w:tcMar>
              <w:left w:w="28" w:type="dxa"/>
              <w:right w:w="28" w:type="dxa"/>
            </w:tcMar>
            <w:vAlign w:val="center"/>
            <w:hideMark/>
          </w:tcPr>
          <w:p w14:paraId="6AB999DC" w14:textId="42F542C2" w:rsidR="00E95955" w:rsidRPr="00E95955" w:rsidRDefault="00E95955" w:rsidP="00E95955">
            <w:pPr>
              <w:jc w:val="right"/>
              <w:rPr>
                <w:color w:val="000000"/>
                <w:sz w:val="20"/>
                <w:szCs w:val="20"/>
              </w:rPr>
            </w:pPr>
            <w:r w:rsidRPr="00E95955">
              <w:rPr>
                <w:color w:val="000000"/>
                <w:sz w:val="20"/>
                <w:szCs w:val="20"/>
              </w:rPr>
              <w:t>19.23</w:t>
            </w:r>
          </w:p>
        </w:tc>
        <w:tc>
          <w:tcPr>
            <w:tcW w:w="287" w:type="pct"/>
            <w:tcBorders>
              <w:top w:val="nil"/>
              <w:left w:val="nil"/>
              <w:bottom w:val="nil"/>
              <w:right w:val="nil"/>
            </w:tcBorders>
            <w:shd w:val="clear" w:color="auto" w:fill="auto"/>
            <w:noWrap/>
            <w:tcMar>
              <w:left w:w="28" w:type="dxa"/>
              <w:right w:w="28" w:type="dxa"/>
            </w:tcMar>
            <w:vAlign w:val="center"/>
            <w:hideMark/>
          </w:tcPr>
          <w:p w14:paraId="6D507AFD" w14:textId="1402AA79" w:rsidR="00E95955" w:rsidRPr="00E95955" w:rsidRDefault="00E95955" w:rsidP="00E95955">
            <w:pPr>
              <w:jc w:val="right"/>
              <w:rPr>
                <w:color w:val="000000"/>
                <w:sz w:val="20"/>
                <w:szCs w:val="20"/>
              </w:rPr>
            </w:pPr>
            <w:r w:rsidRPr="00E95955">
              <w:rPr>
                <w:color w:val="000000"/>
                <w:sz w:val="20"/>
                <w:szCs w:val="20"/>
              </w:rPr>
              <w:t>3</w:t>
            </w:r>
          </w:p>
        </w:tc>
        <w:tc>
          <w:tcPr>
            <w:tcW w:w="380" w:type="pct"/>
            <w:tcBorders>
              <w:top w:val="nil"/>
              <w:left w:val="nil"/>
              <w:bottom w:val="nil"/>
              <w:right w:val="nil"/>
            </w:tcBorders>
            <w:shd w:val="clear" w:color="auto" w:fill="auto"/>
            <w:noWrap/>
            <w:tcMar>
              <w:left w:w="28" w:type="dxa"/>
              <w:right w:w="28" w:type="dxa"/>
            </w:tcMar>
            <w:vAlign w:val="center"/>
            <w:hideMark/>
          </w:tcPr>
          <w:p w14:paraId="438B3598" w14:textId="0D2C27A1" w:rsidR="00E95955" w:rsidRPr="00E95955" w:rsidRDefault="00E95955" w:rsidP="00E95955">
            <w:pPr>
              <w:jc w:val="right"/>
              <w:rPr>
                <w:color w:val="000000"/>
                <w:sz w:val="20"/>
                <w:szCs w:val="20"/>
              </w:rPr>
            </w:pPr>
            <w:r w:rsidRPr="00E95955">
              <w:rPr>
                <w:color w:val="000000"/>
                <w:sz w:val="20"/>
                <w:szCs w:val="20"/>
              </w:rPr>
              <w:t>130</w:t>
            </w:r>
          </w:p>
        </w:tc>
        <w:tc>
          <w:tcPr>
            <w:tcW w:w="252" w:type="pct"/>
            <w:tcBorders>
              <w:top w:val="nil"/>
              <w:left w:val="nil"/>
              <w:bottom w:val="nil"/>
              <w:right w:val="nil"/>
            </w:tcBorders>
            <w:shd w:val="clear" w:color="auto" w:fill="auto"/>
            <w:noWrap/>
            <w:tcMar>
              <w:left w:w="28" w:type="dxa"/>
              <w:right w:w="28" w:type="dxa"/>
            </w:tcMar>
            <w:vAlign w:val="center"/>
            <w:hideMark/>
          </w:tcPr>
          <w:p w14:paraId="4E93E175" w14:textId="7793C453" w:rsidR="00E95955" w:rsidRPr="00E95955" w:rsidRDefault="00E95955" w:rsidP="00E95955">
            <w:pPr>
              <w:jc w:val="right"/>
              <w:rPr>
                <w:color w:val="000000"/>
                <w:sz w:val="20"/>
                <w:szCs w:val="20"/>
              </w:rPr>
            </w:pPr>
            <w:r w:rsidRPr="00E95955">
              <w:rPr>
                <w:color w:val="000000"/>
                <w:sz w:val="20"/>
                <w:szCs w:val="20"/>
              </w:rPr>
              <w:t>0.27</w:t>
            </w:r>
          </w:p>
        </w:tc>
        <w:tc>
          <w:tcPr>
            <w:tcW w:w="259" w:type="pct"/>
            <w:tcBorders>
              <w:top w:val="nil"/>
              <w:left w:val="nil"/>
              <w:bottom w:val="nil"/>
              <w:right w:val="nil"/>
            </w:tcBorders>
            <w:shd w:val="clear" w:color="auto" w:fill="auto"/>
            <w:noWrap/>
            <w:tcMar>
              <w:left w:w="28" w:type="dxa"/>
              <w:right w:w="28" w:type="dxa"/>
            </w:tcMar>
            <w:vAlign w:val="center"/>
            <w:hideMark/>
          </w:tcPr>
          <w:p w14:paraId="1A3D2C29" w14:textId="6D417060" w:rsidR="00E95955" w:rsidRPr="00E95955" w:rsidRDefault="00E95955" w:rsidP="00E95955">
            <w:pPr>
              <w:jc w:val="right"/>
              <w:rPr>
                <w:color w:val="000000"/>
                <w:sz w:val="20"/>
                <w:szCs w:val="20"/>
              </w:rPr>
            </w:pPr>
            <w:r w:rsidRPr="00E95955">
              <w:rPr>
                <w:color w:val="000000"/>
                <w:sz w:val="20"/>
                <w:szCs w:val="20"/>
              </w:rPr>
              <w:t>0.02</w:t>
            </w:r>
          </w:p>
        </w:tc>
        <w:tc>
          <w:tcPr>
            <w:tcW w:w="259" w:type="pct"/>
            <w:tcBorders>
              <w:top w:val="nil"/>
              <w:left w:val="nil"/>
              <w:bottom w:val="nil"/>
              <w:right w:val="nil"/>
            </w:tcBorders>
            <w:shd w:val="clear" w:color="auto" w:fill="auto"/>
            <w:noWrap/>
            <w:tcMar>
              <w:left w:w="28" w:type="dxa"/>
              <w:right w:w="28" w:type="dxa"/>
            </w:tcMar>
            <w:vAlign w:val="center"/>
            <w:hideMark/>
          </w:tcPr>
          <w:p w14:paraId="37D3CE87" w14:textId="2D04F52B" w:rsidR="00E95955" w:rsidRPr="00E95955" w:rsidRDefault="00E95955" w:rsidP="00E95955">
            <w:pPr>
              <w:jc w:val="right"/>
              <w:rPr>
                <w:color w:val="000000"/>
                <w:sz w:val="20"/>
                <w:szCs w:val="20"/>
              </w:rPr>
            </w:pPr>
            <w:r w:rsidRPr="00E95955">
              <w:rPr>
                <w:color w:val="000000"/>
                <w:sz w:val="20"/>
                <w:szCs w:val="20"/>
              </w:rPr>
              <w:t>0.26</w:t>
            </w:r>
          </w:p>
        </w:tc>
        <w:tc>
          <w:tcPr>
            <w:tcW w:w="259" w:type="pct"/>
            <w:tcBorders>
              <w:top w:val="nil"/>
              <w:left w:val="nil"/>
              <w:bottom w:val="nil"/>
              <w:right w:val="nil"/>
            </w:tcBorders>
            <w:shd w:val="clear" w:color="auto" w:fill="auto"/>
            <w:noWrap/>
            <w:tcMar>
              <w:left w:w="28" w:type="dxa"/>
              <w:right w:w="28" w:type="dxa"/>
            </w:tcMar>
            <w:vAlign w:val="center"/>
            <w:hideMark/>
          </w:tcPr>
          <w:p w14:paraId="53A6DC45" w14:textId="19EBA059" w:rsidR="00E95955" w:rsidRPr="00E95955" w:rsidRDefault="00E95955" w:rsidP="00E95955">
            <w:pPr>
              <w:jc w:val="right"/>
              <w:rPr>
                <w:color w:val="000000"/>
                <w:sz w:val="20"/>
                <w:szCs w:val="20"/>
              </w:rPr>
            </w:pPr>
            <w:r w:rsidRPr="00E95955">
              <w:rPr>
                <w:color w:val="000000"/>
                <w:sz w:val="20"/>
                <w:szCs w:val="20"/>
              </w:rPr>
              <w:t>0.3</w:t>
            </w:r>
          </w:p>
        </w:tc>
        <w:tc>
          <w:tcPr>
            <w:tcW w:w="259" w:type="pct"/>
            <w:tcBorders>
              <w:top w:val="nil"/>
              <w:left w:val="nil"/>
              <w:bottom w:val="nil"/>
              <w:right w:val="nil"/>
            </w:tcBorders>
            <w:shd w:val="clear" w:color="auto" w:fill="auto"/>
            <w:noWrap/>
            <w:tcMar>
              <w:left w:w="28" w:type="dxa"/>
              <w:right w:w="28" w:type="dxa"/>
            </w:tcMar>
            <w:vAlign w:val="center"/>
            <w:hideMark/>
          </w:tcPr>
          <w:p w14:paraId="435D2AFE" w14:textId="77777777" w:rsidR="00E95955" w:rsidRPr="00E95955" w:rsidRDefault="00E95955" w:rsidP="00E95955">
            <w:pPr>
              <w:jc w:val="right"/>
              <w:rPr>
                <w:color w:val="000000"/>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684729A3"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0D154A7A"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04D6F241"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4518697A"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54933A32" w14:textId="77777777" w:rsidR="00E95955" w:rsidRPr="00E95955" w:rsidRDefault="00E95955" w:rsidP="00E95955">
            <w:pPr>
              <w:rPr>
                <w:sz w:val="20"/>
                <w:szCs w:val="20"/>
              </w:rPr>
            </w:pPr>
          </w:p>
        </w:tc>
      </w:tr>
      <w:tr w:rsidR="00A94550" w:rsidRPr="00E95955" w14:paraId="489E98C6" w14:textId="77777777" w:rsidTr="00A94550">
        <w:trPr>
          <w:trHeight w:val="228"/>
        </w:trPr>
        <w:tc>
          <w:tcPr>
            <w:tcW w:w="156" w:type="pct"/>
            <w:tcBorders>
              <w:top w:val="nil"/>
              <w:left w:val="nil"/>
              <w:bottom w:val="nil"/>
              <w:right w:val="nil"/>
            </w:tcBorders>
            <w:shd w:val="clear" w:color="auto" w:fill="auto"/>
            <w:noWrap/>
            <w:tcMar>
              <w:left w:w="28" w:type="dxa"/>
              <w:right w:w="28" w:type="dxa"/>
            </w:tcMar>
            <w:vAlign w:val="center"/>
            <w:hideMark/>
          </w:tcPr>
          <w:p w14:paraId="580221FB" w14:textId="77777777" w:rsidR="00E95955" w:rsidRPr="00E95955" w:rsidRDefault="00E95955" w:rsidP="00E95955">
            <w:pPr>
              <w:jc w:val="right"/>
              <w:rPr>
                <w:color w:val="000000"/>
                <w:sz w:val="20"/>
                <w:szCs w:val="20"/>
              </w:rPr>
            </w:pPr>
            <w:r w:rsidRPr="00E95955">
              <w:rPr>
                <w:color w:val="000000"/>
                <w:sz w:val="20"/>
                <w:szCs w:val="20"/>
              </w:rPr>
              <w:t>6</w:t>
            </w:r>
          </w:p>
        </w:tc>
        <w:tc>
          <w:tcPr>
            <w:tcW w:w="944" w:type="pct"/>
            <w:tcBorders>
              <w:top w:val="nil"/>
              <w:left w:val="nil"/>
              <w:bottom w:val="nil"/>
              <w:right w:val="nil"/>
            </w:tcBorders>
            <w:shd w:val="clear" w:color="auto" w:fill="auto"/>
            <w:noWrap/>
            <w:tcMar>
              <w:left w:w="28" w:type="dxa"/>
              <w:right w:w="28" w:type="dxa"/>
            </w:tcMar>
            <w:vAlign w:val="center"/>
            <w:hideMark/>
          </w:tcPr>
          <w:p w14:paraId="64DE7452" w14:textId="77777777" w:rsidR="00E95955" w:rsidRPr="00E95955" w:rsidRDefault="00E95955" w:rsidP="00E95955">
            <w:pPr>
              <w:rPr>
                <w:color w:val="000000"/>
                <w:sz w:val="20"/>
                <w:szCs w:val="20"/>
              </w:rPr>
            </w:pPr>
            <w:r w:rsidRPr="00E95955">
              <w:rPr>
                <w:color w:val="000000"/>
                <w:sz w:val="20"/>
                <w:szCs w:val="20"/>
              </w:rPr>
              <w:t>Human Capital</w:t>
            </w:r>
          </w:p>
        </w:tc>
        <w:tc>
          <w:tcPr>
            <w:tcW w:w="307" w:type="pct"/>
            <w:tcBorders>
              <w:top w:val="nil"/>
              <w:left w:val="nil"/>
              <w:bottom w:val="nil"/>
              <w:right w:val="nil"/>
            </w:tcBorders>
            <w:shd w:val="clear" w:color="auto" w:fill="auto"/>
            <w:noWrap/>
            <w:tcMar>
              <w:left w:w="28" w:type="dxa"/>
              <w:right w:w="28" w:type="dxa"/>
            </w:tcMar>
            <w:vAlign w:val="center"/>
            <w:hideMark/>
          </w:tcPr>
          <w:p w14:paraId="45215B56" w14:textId="0250E245" w:rsidR="00E95955" w:rsidRPr="00E95955" w:rsidRDefault="00E95955" w:rsidP="00E95955">
            <w:pPr>
              <w:jc w:val="right"/>
              <w:rPr>
                <w:color w:val="000000"/>
                <w:sz w:val="20"/>
                <w:szCs w:val="20"/>
              </w:rPr>
            </w:pPr>
            <w:r w:rsidRPr="00E95955">
              <w:rPr>
                <w:color w:val="000000"/>
                <w:sz w:val="20"/>
                <w:szCs w:val="20"/>
              </w:rPr>
              <w:t>32.33</w:t>
            </w:r>
          </w:p>
        </w:tc>
        <w:tc>
          <w:tcPr>
            <w:tcW w:w="343" w:type="pct"/>
            <w:tcBorders>
              <w:top w:val="nil"/>
              <w:left w:val="nil"/>
              <w:bottom w:val="nil"/>
              <w:right w:val="nil"/>
            </w:tcBorders>
            <w:shd w:val="clear" w:color="auto" w:fill="auto"/>
            <w:noWrap/>
            <w:tcMar>
              <w:left w:w="28" w:type="dxa"/>
              <w:right w:w="28" w:type="dxa"/>
            </w:tcMar>
            <w:vAlign w:val="center"/>
            <w:hideMark/>
          </w:tcPr>
          <w:p w14:paraId="2BB9BB26" w14:textId="02B9CCCC" w:rsidR="00E95955" w:rsidRPr="00E95955" w:rsidRDefault="00E95955" w:rsidP="00E95955">
            <w:pPr>
              <w:jc w:val="right"/>
              <w:rPr>
                <w:color w:val="000000"/>
                <w:sz w:val="20"/>
                <w:szCs w:val="20"/>
              </w:rPr>
            </w:pPr>
            <w:r w:rsidRPr="00E95955">
              <w:rPr>
                <w:color w:val="000000"/>
                <w:sz w:val="20"/>
                <w:szCs w:val="20"/>
              </w:rPr>
              <w:t>29.13</w:t>
            </w:r>
          </w:p>
        </w:tc>
        <w:tc>
          <w:tcPr>
            <w:tcW w:w="287" w:type="pct"/>
            <w:tcBorders>
              <w:top w:val="nil"/>
              <w:left w:val="nil"/>
              <w:bottom w:val="nil"/>
              <w:right w:val="nil"/>
            </w:tcBorders>
            <w:shd w:val="clear" w:color="auto" w:fill="auto"/>
            <w:noWrap/>
            <w:tcMar>
              <w:left w:w="28" w:type="dxa"/>
              <w:right w:w="28" w:type="dxa"/>
            </w:tcMar>
            <w:vAlign w:val="center"/>
            <w:hideMark/>
          </w:tcPr>
          <w:p w14:paraId="0F4D7088" w14:textId="69ECC549" w:rsidR="00E95955" w:rsidRPr="00E95955" w:rsidRDefault="00E95955" w:rsidP="00E95955">
            <w:pPr>
              <w:jc w:val="right"/>
              <w:rPr>
                <w:color w:val="000000"/>
                <w:sz w:val="20"/>
                <w:szCs w:val="20"/>
              </w:rPr>
            </w:pPr>
            <w:r w:rsidRPr="00E95955">
              <w:rPr>
                <w:color w:val="000000"/>
                <w:sz w:val="20"/>
                <w:szCs w:val="20"/>
              </w:rPr>
              <w:t>0</w:t>
            </w:r>
          </w:p>
        </w:tc>
        <w:tc>
          <w:tcPr>
            <w:tcW w:w="380" w:type="pct"/>
            <w:tcBorders>
              <w:top w:val="nil"/>
              <w:left w:val="nil"/>
              <w:bottom w:val="nil"/>
              <w:right w:val="nil"/>
            </w:tcBorders>
            <w:shd w:val="clear" w:color="auto" w:fill="auto"/>
            <w:noWrap/>
            <w:tcMar>
              <w:left w:w="28" w:type="dxa"/>
              <w:right w:w="28" w:type="dxa"/>
            </w:tcMar>
            <w:vAlign w:val="center"/>
            <w:hideMark/>
          </w:tcPr>
          <w:p w14:paraId="28E2CF13" w14:textId="702C31E8" w:rsidR="00E95955" w:rsidRPr="00E95955" w:rsidRDefault="00E95955" w:rsidP="00E95955">
            <w:pPr>
              <w:jc w:val="right"/>
              <w:rPr>
                <w:color w:val="000000"/>
                <w:sz w:val="20"/>
                <w:szCs w:val="20"/>
              </w:rPr>
            </w:pPr>
            <w:r w:rsidRPr="00E95955">
              <w:rPr>
                <w:color w:val="000000"/>
                <w:sz w:val="20"/>
                <w:szCs w:val="20"/>
              </w:rPr>
              <w:t>100</w:t>
            </w:r>
          </w:p>
        </w:tc>
        <w:tc>
          <w:tcPr>
            <w:tcW w:w="252" w:type="pct"/>
            <w:tcBorders>
              <w:top w:val="nil"/>
              <w:left w:val="nil"/>
              <w:bottom w:val="nil"/>
              <w:right w:val="nil"/>
            </w:tcBorders>
            <w:shd w:val="clear" w:color="auto" w:fill="auto"/>
            <w:noWrap/>
            <w:tcMar>
              <w:left w:w="28" w:type="dxa"/>
              <w:right w:w="28" w:type="dxa"/>
            </w:tcMar>
            <w:vAlign w:val="center"/>
            <w:hideMark/>
          </w:tcPr>
          <w:p w14:paraId="202ED230" w14:textId="53DE7A50" w:rsidR="00E95955" w:rsidRPr="00E95955" w:rsidRDefault="00E95955" w:rsidP="00E95955">
            <w:pPr>
              <w:jc w:val="right"/>
              <w:rPr>
                <w:color w:val="000000"/>
                <w:sz w:val="20"/>
                <w:szCs w:val="20"/>
              </w:rPr>
            </w:pPr>
            <w:r w:rsidRPr="00E95955">
              <w:rPr>
                <w:color w:val="000000"/>
                <w:sz w:val="20"/>
                <w:szCs w:val="20"/>
              </w:rPr>
              <w:t>-0.11</w:t>
            </w:r>
          </w:p>
        </w:tc>
        <w:tc>
          <w:tcPr>
            <w:tcW w:w="259" w:type="pct"/>
            <w:tcBorders>
              <w:top w:val="nil"/>
              <w:left w:val="nil"/>
              <w:bottom w:val="nil"/>
              <w:right w:val="nil"/>
            </w:tcBorders>
            <w:shd w:val="clear" w:color="auto" w:fill="auto"/>
            <w:noWrap/>
            <w:tcMar>
              <w:left w:w="28" w:type="dxa"/>
              <w:right w:w="28" w:type="dxa"/>
            </w:tcMar>
            <w:vAlign w:val="center"/>
            <w:hideMark/>
          </w:tcPr>
          <w:p w14:paraId="3F423D73" w14:textId="4567F8AE" w:rsidR="00E95955" w:rsidRPr="00E95955" w:rsidRDefault="00E95955" w:rsidP="00E95955">
            <w:pPr>
              <w:jc w:val="right"/>
              <w:rPr>
                <w:color w:val="000000"/>
                <w:sz w:val="20"/>
                <w:szCs w:val="20"/>
              </w:rPr>
            </w:pPr>
            <w:r w:rsidRPr="00E95955">
              <w:rPr>
                <w:color w:val="000000"/>
                <w:sz w:val="20"/>
                <w:szCs w:val="20"/>
              </w:rPr>
              <w:t>0.08</w:t>
            </w:r>
          </w:p>
        </w:tc>
        <w:tc>
          <w:tcPr>
            <w:tcW w:w="259" w:type="pct"/>
            <w:tcBorders>
              <w:top w:val="nil"/>
              <w:left w:val="nil"/>
              <w:bottom w:val="nil"/>
              <w:right w:val="nil"/>
            </w:tcBorders>
            <w:shd w:val="clear" w:color="auto" w:fill="auto"/>
            <w:noWrap/>
            <w:tcMar>
              <w:left w:w="28" w:type="dxa"/>
              <w:right w:w="28" w:type="dxa"/>
            </w:tcMar>
            <w:vAlign w:val="center"/>
            <w:hideMark/>
          </w:tcPr>
          <w:p w14:paraId="6B3C3F97" w14:textId="09E96094" w:rsidR="00E95955" w:rsidRPr="00E95955" w:rsidRDefault="00E95955" w:rsidP="00E95955">
            <w:pPr>
              <w:jc w:val="right"/>
              <w:rPr>
                <w:color w:val="000000"/>
                <w:sz w:val="20"/>
                <w:szCs w:val="20"/>
              </w:rPr>
            </w:pPr>
            <w:r w:rsidRPr="00E95955">
              <w:rPr>
                <w:color w:val="000000"/>
                <w:sz w:val="20"/>
                <w:szCs w:val="20"/>
              </w:rPr>
              <w:t>-0.12</w:t>
            </w:r>
          </w:p>
        </w:tc>
        <w:tc>
          <w:tcPr>
            <w:tcW w:w="259" w:type="pct"/>
            <w:tcBorders>
              <w:top w:val="nil"/>
              <w:left w:val="nil"/>
              <w:bottom w:val="nil"/>
              <w:right w:val="nil"/>
            </w:tcBorders>
            <w:shd w:val="clear" w:color="auto" w:fill="auto"/>
            <w:noWrap/>
            <w:tcMar>
              <w:left w:w="28" w:type="dxa"/>
              <w:right w:w="28" w:type="dxa"/>
            </w:tcMar>
            <w:vAlign w:val="center"/>
            <w:hideMark/>
          </w:tcPr>
          <w:p w14:paraId="01606365" w14:textId="5680ED80" w:rsidR="00E95955" w:rsidRPr="00E95955" w:rsidRDefault="00E95955" w:rsidP="00E95955">
            <w:pPr>
              <w:jc w:val="right"/>
              <w:rPr>
                <w:color w:val="000000"/>
                <w:sz w:val="20"/>
                <w:szCs w:val="20"/>
              </w:rPr>
            </w:pPr>
            <w:r w:rsidRPr="00E95955">
              <w:rPr>
                <w:color w:val="000000"/>
                <w:sz w:val="20"/>
                <w:szCs w:val="20"/>
              </w:rPr>
              <w:t>-0.19</w:t>
            </w:r>
          </w:p>
        </w:tc>
        <w:tc>
          <w:tcPr>
            <w:tcW w:w="259" w:type="pct"/>
            <w:tcBorders>
              <w:top w:val="nil"/>
              <w:left w:val="nil"/>
              <w:bottom w:val="nil"/>
              <w:right w:val="nil"/>
            </w:tcBorders>
            <w:shd w:val="clear" w:color="auto" w:fill="auto"/>
            <w:noWrap/>
            <w:tcMar>
              <w:left w:w="28" w:type="dxa"/>
              <w:right w:w="28" w:type="dxa"/>
            </w:tcMar>
            <w:vAlign w:val="center"/>
            <w:hideMark/>
          </w:tcPr>
          <w:p w14:paraId="69D1BD94" w14:textId="234841FB" w:rsidR="00E95955" w:rsidRPr="00E95955" w:rsidRDefault="00E95955" w:rsidP="00E95955">
            <w:pPr>
              <w:jc w:val="right"/>
              <w:rPr>
                <w:color w:val="000000"/>
                <w:sz w:val="20"/>
                <w:szCs w:val="20"/>
              </w:rPr>
            </w:pPr>
            <w:r w:rsidRPr="00E95955">
              <w:rPr>
                <w:color w:val="000000"/>
                <w:sz w:val="20"/>
                <w:szCs w:val="20"/>
              </w:rPr>
              <w:t>-0.22</w:t>
            </w:r>
          </w:p>
        </w:tc>
        <w:tc>
          <w:tcPr>
            <w:tcW w:w="259" w:type="pct"/>
            <w:tcBorders>
              <w:top w:val="nil"/>
              <w:left w:val="nil"/>
              <w:bottom w:val="nil"/>
              <w:right w:val="nil"/>
            </w:tcBorders>
            <w:shd w:val="clear" w:color="auto" w:fill="auto"/>
            <w:noWrap/>
            <w:tcMar>
              <w:left w:w="28" w:type="dxa"/>
              <w:right w:w="28" w:type="dxa"/>
            </w:tcMar>
            <w:vAlign w:val="center"/>
            <w:hideMark/>
          </w:tcPr>
          <w:p w14:paraId="2E62D732" w14:textId="77777777" w:rsidR="00E95955" w:rsidRPr="00E95955" w:rsidRDefault="00E95955" w:rsidP="00E95955">
            <w:pPr>
              <w:jc w:val="right"/>
              <w:rPr>
                <w:color w:val="000000"/>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20E664D8"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41B7777A"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366F6853"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6B020C4B" w14:textId="77777777" w:rsidR="00E95955" w:rsidRPr="00E95955" w:rsidRDefault="00E95955" w:rsidP="00E95955">
            <w:pPr>
              <w:rPr>
                <w:sz w:val="20"/>
                <w:szCs w:val="20"/>
              </w:rPr>
            </w:pPr>
          </w:p>
        </w:tc>
      </w:tr>
      <w:tr w:rsidR="00A94550" w:rsidRPr="00E95955" w14:paraId="00064F79" w14:textId="77777777" w:rsidTr="00A94550">
        <w:trPr>
          <w:trHeight w:val="228"/>
        </w:trPr>
        <w:tc>
          <w:tcPr>
            <w:tcW w:w="156" w:type="pct"/>
            <w:tcBorders>
              <w:top w:val="nil"/>
              <w:left w:val="nil"/>
              <w:bottom w:val="nil"/>
              <w:right w:val="nil"/>
            </w:tcBorders>
            <w:shd w:val="clear" w:color="auto" w:fill="auto"/>
            <w:noWrap/>
            <w:tcMar>
              <w:left w:w="28" w:type="dxa"/>
              <w:right w:w="28" w:type="dxa"/>
            </w:tcMar>
            <w:vAlign w:val="center"/>
            <w:hideMark/>
          </w:tcPr>
          <w:p w14:paraId="0757C3C4" w14:textId="77777777" w:rsidR="00E95955" w:rsidRPr="00E95955" w:rsidRDefault="00E95955" w:rsidP="00E95955">
            <w:pPr>
              <w:jc w:val="right"/>
              <w:rPr>
                <w:color w:val="000000"/>
                <w:sz w:val="20"/>
                <w:szCs w:val="20"/>
              </w:rPr>
            </w:pPr>
            <w:r w:rsidRPr="00E95955">
              <w:rPr>
                <w:color w:val="000000"/>
                <w:sz w:val="20"/>
                <w:szCs w:val="20"/>
              </w:rPr>
              <w:t>7</w:t>
            </w:r>
          </w:p>
        </w:tc>
        <w:tc>
          <w:tcPr>
            <w:tcW w:w="944" w:type="pct"/>
            <w:tcBorders>
              <w:top w:val="nil"/>
              <w:left w:val="nil"/>
              <w:bottom w:val="nil"/>
              <w:right w:val="nil"/>
            </w:tcBorders>
            <w:shd w:val="clear" w:color="auto" w:fill="auto"/>
            <w:noWrap/>
            <w:tcMar>
              <w:left w:w="28" w:type="dxa"/>
              <w:right w:w="28" w:type="dxa"/>
            </w:tcMar>
            <w:vAlign w:val="center"/>
            <w:hideMark/>
          </w:tcPr>
          <w:p w14:paraId="4CFDF5E4" w14:textId="77777777" w:rsidR="00E95955" w:rsidRPr="00E95955" w:rsidRDefault="00E95955" w:rsidP="00E95955">
            <w:pPr>
              <w:rPr>
                <w:color w:val="000000"/>
                <w:sz w:val="20"/>
                <w:szCs w:val="20"/>
              </w:rPr>
            </w:pPr>
            <w:r w:rsidRPr="00E95955">
              <w:rPr>
                <w:color w:val="000000"/>
                <w:sz w:val="20"/>
                <w:szCs w:val="20"/>
              </w:rPr>
              <w:t>R&amp;D intensity</w:t>
            </w:r>
          </w:p>
        </w:tc>
        <w:tc>
          <w:tcPr>
            <w:tcW w:w="307" w:type="pct"/>
            <w:tcBorders>
              <w:top w:val="nil"/>
              <w:left w:val="nil"/>
              <w:bottom w:val="nil"/>
              <w:right w:val="nil"/>
            </w:tcBorders>
            <w:shd w:val="clear" w:color="auto" w:fill="auto"/>
            <w:noWrap/>
            <w:tcMar>
              <w:left w:w="28" w:type="dxa"/>
              <w:right w:w="28" w:type="dxa"/>
            </w:tcMar>
            <w:vAlign w:val="center"/>
            <w:hideMark/>
          </w:tcPr>
          <w:p w14:paraId="45CF14CD" w14:textId="7F475B17" w:rsidR="00E95955" w:rsidRPr="00E95955" w:rsidRDefault="00E95955" w:rsidP="00E95955">
            <w:pPr>
              <w:jc w:val="right"/>
              <w:rPr>
                <w:color w:val="000000"/>
                <w:sz w:val="20"/>
                <w:szCs w:val="20"/>
              </w:rPr>
            </w:pPr>
            <w:r w:rsidRPr="00E95955">
              <w:rPr>
                <w:color w:val="000000"/>
                <w:sz w:val="20"/>
                <w:szCs w:val="20"/>
              </w:rPr>
              <w:t>0</w:t>
            </w:r>
          </w:p>
        </w:tc>
        <w:tc>
          <w:tcPr>
            <w:tcW w:w="343" w:type="pct"/>
            <w:tcBorders>
              <w:top w:val="nil"/>
              <w:left w:val="nil"/>
              <w:bottom w:val="nil"/>
              <w:right w:val="nil"/>
            </w:tcBorders>
            <w:shd w:val="clear" w:color="auto" w:fill="auto"/>
            <w:noWrap/>
            <w:tcMar>
              <w:left w:w="28" w:type="dxa"/>
              <w:right w:w="28" w:type="dxa"/>
            </w:tcMar>
            <w:vAlign w:val="center"/>
            <w:hideMark/>
          </w:tcPr>
          <w:p w14:paraId="345DE8AC" w14:textId="60771C90" w:rsidR="00E95955" w:rsidRPr="00E95955" w:rsidRDefault="00E95955" w:rsidP="00E95955">
            <w:pPr>
              <w:jc w:val="right"/>
              <w:rPr>
                <w:color w:val="000000"/>
                <w:sz w:val="20"/>
                <w:szCs w:val="20"/>
              </w:rPr>
            </w:pPr>
            <w:r w:rsidRPr="00E95955">
              <w:rPr>
                <w:color w:val="000000"/>
                <w:sz w:val="20"/>
                <w:szCs w:val="20"/>
              </w:rPr>
              <w:t>0</w:t>
            </w:r>
          </w:p>
        </w:tc>
        <w:tc>
          <w:tcPr>
            <w:tcW w:w="287" w:type="pct"/>
            <w:tcBorders>
              <w:top w:val="nil"/>
              <w:left w:val="nil"/>
              <w:bottom w:val="nil"/>
              <w:right w:val="nil"/>
            </w:tcBorders>
            <w:shd w:val="clear" w:color="auto" w:fill="auto"/>
            <w:noWrap/>
            <w:tcMar>
              <w:left w:w="28" w:type="dxa"/>
              <w:right w:w="28" w:type="dxa"/>
            </w:tcMar>
            <w:vAlign w:val="center"/>
            <w:hideMark/>
          </w:tcPr>
          <w:p w14:paraId="11B3CD0D" w14:textId="271BF92F" w:rsidR="00E95955" w:rsidRPr="00E95955" w:rsidRDefault="00E95955" w:rsidP="00E95955">
            <w:pPr>
              <w:jc w:val="right"/>
              <w:rPr>
                <w:color w:val="000000"/>
                <w:sz w:val="20"/>
                <w:szCs w:val="20"/>
              </w:rPr>
            </w:pPr>
            <w:r w:rsidRPr="00E95955">
              <w:rPr>
                <w:color w:val="000000"/>
                <w:sz w:val="20"/>
                <w:szCs w:val="20"/>
              </w:rPr>
              <w:t>0</w:t>
            </w:r>
          </w:p>
        </w:tc>
        <w:tc>
          <w:tcPr>
            <w:tcW w:w="380" w:type="pct"/>
            <w:tcBorders>
              <w:top w:val="nil"/>
              <w:left w:val="nil"/>
              <w:bottom w:val="nil"/>
              <w:right w:val="nil"/>
            </w:tcBorders>
            <w:shd w:val="clear" w:color="auto" w:fill="auto"/>
            <w:noWrap/>
            <w:tcMar>
              <w:left w:w="28" w:type="dxa"/>
              <w:right w:w="28" w:type="dxa"/>
            </w:tcMar>
            <w:vAlign w:val="center"/>
            <w:hideMark/>
          </w:tcPr>
          <w:p w14:paraId="39CE38E6" w14:textId="0372ACB5" w:rsidR="00E95955" w:rsidRPr="00E95955" w:rsidRDefault="00E95955" w:rsidP="00E95955">
            <w:pPr>
              <w:jc w:val="right"/>
              <w:rPr>
                <w:color w:val="000000"/>
                <w:sz w:val="20"/>
                <w:szCs w:val="20"/>
              </w:rPr>
            </w:pPr>
            <w:r w:rsidRPr="00E95955">
              <w:rPr>
                <w:color w:val="000000"/>
                <w:sz w:val="20"/>
                <w:szCs w:val="20"/>
              </w:rPr>
              <w:t>0.04</w:t>
            </w:r>
          </w:p>
        </w:tc>
        <w:tc>
          <w:tcPr>
            <w:tcW w:w="252" w:type="pct"/>
            <w:tcBorders>
              <w:top w:val="nil"/>
              <w:left w:val="nil"/>
              <w:bottom w:val="nil"/>
              <w:right w:val="nil"/>
            </w:tcBorders>
            <w:shd w:val="clear" w:color="auto" w:fill="auto"/>
            <w:noWrap/>
            <w:tcMar>
              <w:left w:w="28" w:type="dxa"/>
              <w:right w:w="28" w:type="dxa"/>
            </w:tcMar>
            <w:vAlign w:val="center"/>
            <w:hideMark/>
          </w:tcPr>
          <w:p w14:paraId="3769ACD7" w14:textId="14125A0A" w:rsidR="00E95955" w:rsidRPr="00E95955" w:rsidRDefault="00E95955" w:rsidP="00E95955">
            <w:pPr>
              <w:jc w:val="right"/>
              <w:rPr>
                <w:color w:val="000000"/>
                <w:sz w:val="20"/>
                <w:szCs w:val="20"/>
              </w:rPr>
            </w:pPr>
            <w:r w:rsidRPr="00E95955">
              <w:rPr>
                <w:color w:val="000000"/>
                <w:sz w:val="20"/>
                <w:szCs w:val="20"/>
              </w:rPr>
              <w:t>-0.07</w:t>
            </w:r>
          </w:p>
        </w:tc>
        <w:tc>
          <w:tcPr>
            <w:tcW w:w="259" w:type="pct"/>
            <w:tcBorders>
              <w:top w:val="nil"/>
              <w:left w:val="nil"/>
              <w:bottom w:val="nil"/>
              <w:right w:val="nil"/>
            </w:tcBorders>
            <w:shd w:val="clear" w:color="auto" w:fill="auto"/>
            <w:noWrap/>
            <w:tcMar>
              <w:left w:w="28" w:type="dxa"/>
              <w:right w:w="28" w:type="dxa"/>
            </w:tcMar>
            <w:vAlign w:val="center"/>
            <w:hideMark/>
          </w:tcPr>
          <w:p w14:paraId="6C189369" w14:textId="0132E300" w:rsidR="00E95955" w:rsidRPr="00E95955" w:rsidRDefault="00E95955" w:rsidP="00E95955">
            <w:pPr>
              <w:jc w:val="right"/>
              <w:rPr>
                <w:color w:val="000000"/>
                <w:sz w:val="20"/>
                <w:szCs w:val="20"/>
              </w:rPr>
            </w:pPr>
            <w:r w:rsidRPr="00E95955">
              <w:rPr>
                <w:color w:val="000000"/>
                <w:sz w:val="20"/>
                <w:szCs w:val="20"/>
              </w:rPr>
              <w:t>0.04</w:t>
            </w:r>
          </w:p>
        </w:tc>
        <w:tc>
          <w:tcPr>
            <w:tcW w:w="259" w:type="pct"/>
            <w:tcBorders>
              <w:top w:val="nil"/>
              <w:left w:val="nil"/>
              <w:bottom w:val="nil"/>
              <w:right w:val="nil"/>
            </w:tcBorders>
            <w:shd w:val="clear" w:color="auto" w:fill="auto"/>
            <w:noWrap/>
            <w:tcMar>
              <w:left w:w="28" w:type="dxa"/>
              <w:right w:w="28" w:type="dxa"/>
            </w:tcMar>
            <w:vAlign w:val="center"/>
            <w:hideMark/>
          </w:tcPr>
          <w:p w14:paraId="05DC2526" w14:textId="31CAD122" w:rsidR="00E95955" w:rsidRPr="00E95955" w:rsidRDefault="00E95955" w:rsidP="00E95955">
            <w:pPr>
              <w:jc w:val="right"/>
              <w:rPr>
                <w:color w:val="000000"/>
                <w:sz w:val="20"/>
                <w:szCs w:val="20"/>
              </w:rPr>
            </w:pPr>
            <w:r w:rsidRPr="00E95955">
              <w:rPr>
                <w:color w:val="000000"/>
                <w:sz w:val="20"/>
                <w:szCs w:val="20"/>
              </w:rPr>
              <w:t>-0.08</w:t>
            </w:r>
          </w:p>
        </w:tc>
        <w:tc>
          <w:tcPr>
            <w:tcW w:w="259" w:type="pct"/>
            <w:tcBorders>
              <w:top w:val="nil"/>
              <w:left w:val="nil"/>
              <w:bottom w:val="nil"/>
              <w:right w:val="nil"/>
            </w:tcBorders>
            <w:shd w:val="clear" w:color="auto" w:fill="auto"/>
            <w:noWrap/>
            <w:tcMar>
              <w:left w:w="28" w:type="dxa"/>
              <w:right w:w="28" w:type="dxa"/>
            </w:tcMar>
            <w:vAlign w:val="center"/>
            <w:hideMark/>
          </w:tcPr>
          <w:p w14:paraId="6989DBF9" w14:textId="59D5ED2A" w:rsidR="00E95955" w:rsidRPr="00E95955" w:rsidRDefault="00E95955" w:rsidP="00E95955">
            <w:pPr>
              <w:jc w:val="right"/>
              <w:rPr>
                <w:color w:val="000000"/>
                <w:sz w:val="20"/>
                <w:szCs w:val="20"/>
              </w:rPr>
            </w:pPr>
            <w:r w:rsidRPr="00E95955">
              <w:rPr>
                <w:color w:val="000000"/>
                <w:sz w:val="20"/>
                <w:szCs w:val="20"/>
              </w:rPr>
              <w:t>-0.22</w:t>
            </w:r>
          </w:p>
        </w:tc>
        <w:tc>
          <w:tcPr>
            <w:tcW w:w="259" w:type="pct"/>
            <w:tcBorders>
              <w:top w:val="nil"/>
              <w:left w:val="nil"/>
              <w:bottom w:val="nil"/>
              <w:right w:val="nil"/>
            </w:tcBorders>
            <w:shd w:val="clear" w:color="auto" w:fill="auto"/>
            <w:noWrap/>
            <w:tcMar>
              <w:left w:w="28" w:type="dxa"/>
              <w:right w:w="28" w:type="dxa"/>
            </w:tcMar>
            <w:vAlign w:val="center"/>
            <w:hideMark/>
          </w:tcPr>
          <w:p w14:paraId="68C8CFFF" w14:textId="140E7B49" w:rsidR="00E95955" w:rsidRPr="00E95955" w:rsidRDefault="00E95955" w:rsidP="00E95955">
            <w:pPr>
              <w:jc w:val="right"/>
              <w:rPr>
                <w:color w:val="000000"/>
                <w:sz w:val="20"/>
                <w:szCs w:val="20"/>
              </w:rPr>
            </w:pPr>
            <w:r w:rsidRPr="00E95955">
              <w:rPr>
                <w:color w:val="000000"/>
                <w:sz w:val="20"/>
                <w:szCs w:val="20"/>
              </w:rPr>
              <w:t>-0.07</w:t>
            </w:r>
          </w:p>
        </w:tc>
        <w:tc>
          <w:tcPr>
            <w:tcW w:w="259" w:type="pct"/>
            <w:tcBorders>
              <w:top w:val="nil"/>
              <w:left w:val="nil"/>
              <w:bottom w:val="nil"/>
              <w:right w:val="nil"/>
            </w:tcBorders>
            <w:shd w:val="clear" w:color="auto" w:fill="auto"/>
            <w:noWrap/>
            <w:tcMar>
              <w:left w:w="28" w:type="dxa"/>
              <w:right w:w="28" w:type="dxa"/>
            </w:tcMar>
            <w:vAlign w:val="center"/>
            <w:hideMark/>
          </w:tcPr>
          <w:p w14:paraId="7AE06318" w14:textId="28B8E2DD" w:rsidR="00E95955" w:rsidRPr="00E95955" w:rsidRDefault="00E95955" w:rsidP="00E95955">
            <w:pPr>
              <w:jc w:val="right"/>
              <w:rPr>
                <w:color w:val="000000"/>
                <w:sz w:val="20"/>
                <w:szCs w:val="20"/>
              </w:rPr>
            </w:pPr>
            <w:r w:rsidRPr="00E95955">
              <w:rPr>
                <w:color w:val="000000"/>
                <w:sz w:val="20"/>
                <w:szCs w:val="20"/>
              </w:rPr>
              <w:t>0.27</w:t>
            </w:r>
          </w:p>
        </w:tc>
        <w:tc>
          <w:tcPr>
            <w:tcW w:w="259" w:type="pct"/>
            <w:tcBorders>
              <w:top w:val="nil"/>
              <w:left w:val="nil"/>
              <w:bottom w:val="nil"/>
              <w:right w:val="nil"/>
            </w:tcBorders>
            <w:shd w:val="clear" w:color="auto" w:fill="auto"/>
            <w:noWrap/>
            <w:tcMar>
              <w:left w:w="28" w:type="dxa"/>
              <w:right w:w="28" w:type="dxa"/>
            </w:tcMar>
            <w:vAlign w:val="center"/>
            <w:hideMark/>
          </w:tcPr>
          <w:p w14:paraId="0D467A6C" w14:textId="77777777" w:rsidR="00E95955" w:rsidRPr="00E95955" w:rsidRDefault="00E95955" w:rsidP="00E95955">
            <w:pPr>
              <w:jc w:val="right"/>
              <w:rPr>
                <w:color w:val="000000"/>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63D32785"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36A0128D"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35F48104" w14:textId="77777777" w:rsidR="00E95955" w:rsidRPr="00E95955" w:rsidRDefault="00E95955" w:rsidP="00E95955">
            <w:pPr>
              <w:rPr>
                <w:sz w:val="20"/>
                <w:szCs w:val="20"/>
              </w:rPr>
            </w:pPr>
          </w:p>
        </w:tc>
      </w:tr>
      <w:tr w:rsidR="00A94550" w:rsidRPr="00E95955" w14:paraId="37A30AF5" w14:textId="77777777" w:rsidTr="00A94550">
        <w:trPr>
          <w:trHeight w:val="228"/>
        </w:trPr>
        <w:tc>
          <w:tcPr>
            <w:tcW w:w="156" w:type="pct"/>
            <w:tcBorders>
              <w:top w:val="nil"/>
              <w:left w:val="nil"/>
              <w:bottom w:val="nil"/>
              <w:right w:val="nil"/>
            </w:tcBorders>
            <w:shd w:val="clear" w:color="auto" w:fill="auto"/>
            <w:noWrap/>
            <w:tcMar>
              <w:left w:w="28" w:type="dxa"/>
              <w:right w:w="28" w:type="dxa"/>
            </w:tcMar>
            <w:vAlign w:val="center"/>
            <w:hideMark/>
          </w:tcPr>
          <w:p w14:paraId="0D238058" w14:textId="77777777" w:rsidR="00E95955" w:rsidRPr="00E95955" w:rsidRDefault="00E95955" w:rsidP="00E95955">
            <w:pPr>
              <w:jc w:val="right"/>
              <w:rPr>
                <w:color w:val="000000"/>
                <w:sz w:val="20"/>
                <w:szCs w:val="20"/>
              </w:rPr>
            </w:pPr>
            <w:r w:rsidRPr="00E95955">
              <w:rPr>
                <w:color w:val="000000"/>
                <w:sz w:val="20"/>
                <w:szCs w:val="20"/>
              </w:rPr>
              <w:t>8</w:t>
            </w:r>
          </w:p>
        </w:tc>
        <w:tc>
          <w:tcPr>
            <w:tcW w:w="944" w:type="pct"/>
            <w:tcBorders>
              <w:top w:val="nil"/>
              <w:left w:val="nil"/>
              <w:bottom w:val="nil"/>
              <w:right w:val="nil"/>
            </w:tcBorders>
            <w:shd w:val="clear" w:color="auto" w:fill="auto"/>
            <w:noWrap/>
            <w:tcMar>
              <w:left w:w="28" w:type="dxa"/>
              <w:right w:w="28" w:type="dxa"/>
            </w:tcMar>
            <w:vAlign w:val="center"/>
            <w:hideMark/>
          </w:tcPr>
          <w:p w14:paraId="25FF69F7" w14:textId="77777777" w:rsidR="00E95955" w:rsidRPr="00E95955" w:rsidRDefault="00E95955" w:rsidP="00E95955">
            <w:pPr>
              <w:rPr>
                <w:color w:val="000000"/>
                <w:sz w:val="20"/>
                <w:szCs w:val="20"/>
              </w:rPr>
            </w:pPr>
            <w:r w:rsidRPr="00E95955">
              <w:rPr>
                <w:color w:val="000000"/>
                <w:sz w:val="20"/>
                <w:szCs w:val="20"/>
              </w:rPr>
              <w:t>Product Innovation</w:t>
            </w:r>
          </w:p>
        </w:tc>
        <w:tc>
          <w:tcPr>
            <w:tcW w:w="307" w:type="pct"/>
            <w:tcBorders>
              <w:top w:val="nil"/>
              <w:left w:val="nil"/>
              <w:bottom w:val="nil"/>
              <w:right w:val="nil"/>
            </w:tcBorders>
            <w:shd w:val="clear" w:color="auto" w:fill="auto"/>
            <w:noWrap/>
            <w:tcMar>
              <w:left w:w="28" w:type="dxa"/>
              <w:right w:w="28" w:type="dxa"/>
            </w:tcMar>
            <w:vAlign w:val="center"/>
            <w:hideMark/>
          </w:tcPr>
          <w:p w14:paraId="5291007D" w14:textId="6216F8A0" w:rsidR="00E95955" w:rsidRPr="00E95955" w:rsidRDefault="00E95955" w:rsidP="00E95955">
            <w:pPr>
              <w:jc w:val="right"/>
              <w:rPr>
                <w:color w:val="000000"/>
                <w:sz w:val="20"/>
                <w:szCs w:val="20"/>
              </w:rPr>
            </w:pPr>
            <w:r w:rsidRPr="00E95955">
              <w:rPr>
                <w:color w:val="000000"/>
                <w:sz w:val="20"/>
                <w:szCs w:val="20"/>
              </w:rPr>
              <w:t>0.62</w:t>
            </w:r>
          </w:p>
        </w:tc>
        <w:tc>
          <w:tcPr>
            <w:tcW w:w="343" w:type="pct"/>
            <w:tcBorders>
              <w:top w:val="nil"/>
              <w:left w:val="nil"/>
              <w:bottom w:val="nil"/>
              <w:right w:val="nil"/>
            </w:tcBorders>
            <w:shd w:val="clear" w:color="auto" w:fill="auto"/>
            <w:noWrap/>
            <w:tcMar>
              <w:left w:w="28" w:type="dxa"/>
              <w:right w:w="28" w:type="dxa"/>
            </w:tcMar>
            <w:vAlign w:val="center"/>
            <w:hideMark/>
          </w:tcPr>
          <w:p w14:paraId="1FCCA849" w14:textId="72389B0D" w:rsidR="00E95955" w:rsidRPr="00E95955" w:rsidRDefault="00E95955" w:rsidP="00E95955">
            <w:pPr>
              <w:jc w:val="right"/>
              <w:rPr>
                <w:color w:val="000000"/>
                <w:sz w:val="20"/>
                <w:szCs w:val="20"/>
              </w:rPr>
            </w:pPr>
            <w:r w:rsidRPr="00E95955">
              <w:rPr>
                <w:color w:val="000000"/>
                <w:sz w:val="20"/>
                <w:szCs w:val="20"/>
              </w:rPr>
              <w:t>0.49</w:t>
            </w:r>
          </w:p>
        </w:tc>
        <w:tc>
          <w:tcPr>
            <w:tcW w:w="287" w:type="pct"/>
            <w:tcBorders>
              <w:top w:val="nil"/>
              <w:left w:val="nil"/>
              <w:bottom w:val="nil"/>
              <w:right w:val="nil"/>
            </w:tcBorders>
            <w:shd w:val="clear" w:color="auto" w:fill="auto"/>
            <w:noWrap/>
            <w:tcMar>
              <w:left w:w="28" w:type="dxa"/>
              <w:right w:w="28" w:type="dxa"/>
            </w:tcMar>
            <w:vAlign w:val="center"/>
            <w:hideMark/>
          </w:tcPr>
          <w:p w14:paraId="0960A914" w14:textId="4509373E" w:rsidR="00E95955" w:rsidRPr="00E95955" w:rsidRDefault="00E95955" w:rsidP="00E95955">
            <w:pPr>
              <w:jc w:val="right"/>
              <w:rPr>
                <w:color w:val="000000"/>
                <w:sz w:val="20"/>
                <w:szCs w:val="20"/>
              </w:rPr>
            </w:pPr>
            <w:r w:rsidRPr="00E95955">
              <w:rPr>
                <w:color w:val="000000"/>
                <w:sz w:val="20"/>
                <w:szCs w:val="20"/>
              </w:rPr>
              <w:t>0</w:t>
            </w:r>
          </w:p>
        </w:tc>
        <w:tc>
          <w:tcPr>
            <w:tcW w:w="380" w:type="pct"/>
            <w:tcBorders>
              <w:top w:val="nil"/>
              <w:left w:val="nil"/>
              <w:bottom w:val="nil"/>
              <w:right w:val="nil"/>
            </w:tcBorders>
            <w:shd w:val="clear" w:color="auto" w:fill="auto"/>
            <w:noWrap/>
            <w:tcMar>
              <w:left w:w="28" w:type="dxa"/>
              <w:right w:w="28" w:type="dxa"/>
            </w:tcMar>
            <w:vAlign w:val="center"/>
            <w:hideMark/>
          </w:tcPr>
          <w:p w14:paraId="5C430C5A" w14:textId="454F7BB1" w:rsidR="00E95955" w:rsidRPr="00E95955" w:rsidRDefault="00E95955" w:rsidP="00E95955">
            <w:pPr>
              <w:jc w:val="right"/>
              <w:rPr>
                <w:color w:val="000000"/>
                <w:sz w:val="20"/>
                <w:szCs w:val="20"/>
              </w:rPr>
            </w:pPr>
            <w:r w:rsidRPr="00E95955">
              <w:rPr>
                <w:color w:val="000000"/>
                <w:sz w:val="20"/>
                <w:szCs w:val="20"/>
              </w:rPr>
              <w:t>1</w:t>
            </w:r>
          </w:p>
        </w:tc>
        <w:tc>
          <w:tcPr>
            <w:tcW w:w="252" w:type="pct"/>
            <w:tcBorders>
              <w:top w:val="nil"/>
              <w:left w:val="nil"/>
              <w:bottom w:val="nil"/>
              <w:right w:val="nil"/>
            </w:tcBorders>
            <w:shd w:val="clear" w:color="auto" w:fill="auto"/>
            <w:noWrap/>
            <w:tcMar>
              <w:left w:w="28" w:type="dxa"/>
              <w:right w:w="28" w:type="dxa"/>
            </w:tcMar>
            <w:vAlign w:val="center"/>
            <w:hideMark/>
          </w:tcPr>
          <w:p w14:paraId="133DB95B" w14:textId="2C47473D" w:rsidR="00E95955" w:rsidRPr="00E95955" w:rsidRDefault="00E95955" w:rsidP="00E95955">
            <w:pPr>
              <w:jc w:val="right"/>
              <w:rPr>
                <w:color w:val="000000"/>
                <w:sz w:val="20"/>
                <w:szCs w:val="20"/>
              </w:rPr>
            </w:pPr>
            <w:r w:rsidRPr="00E95955">
              <w:rPr>
                <w:color w:val="000000"/>
                <w:sz w:val="20"/>
                <w:szCs w:val="20"/>
              </w:rPr>
              <w:t>0.08</w:t>
            </w:r>
          </w:p>
        </w:tc>
        <w:tc>
          <w:tcPr>
            <w:tcW w:w="259" w:type="pct"/>
            <w:tcBorders>
              <w:top w:val="nil"/>
              <w:left w:val="nil"/>
              <w:bottom w:val="nil"/>
              <w:right w:val="nil"/>
            </w:tcBorders>
            <w:shd w:val="clear" w:color="auto" w:fill="auto"/>
            <w:noWrap/>
            <w:tcMar>
              <w:left w:w="28" w:type="dxa"/>
              <w:right w:w="28" w:type="dxa"/>
            </w:tcMar>
            <w:vAlign w:val="center"/>
            <w:hideMark/>
          </w:tcPr>
          <w:p w14:paraId="41FC97AC" w14:textId="0F233913" w:rsidR="00E95955" w:rsidRPr="00E95955" w:rsidRDefault="00E95955" w:rsidP="00E95955">
            <w:pPr>
              <w:jc w:val="right"/>
              <w:rPr>
                <w:color w:val="000000"/>
                <w:sz w:val="20"/>
                <w:szCs w:val="20"/>
              </w:rPr>
            </w:pPr>
            <w:r w:rsidRPr="00E95955">
              <w:rPr>
                <w:color w:val="000000"/>
                <w:sz w:val="20"/>
                <w:szCs w:val="20"/>
              </w:rPr>
              <w:t>-0.16</w:t>
            </w:r>
          </w:p>
        </w:tc>
        <w:tc>
          <w:tcPr>
            <w:tcW w:w="259" w:type="pct"/>
            <w:tcBorders>
              <w:top w:val="nil"/>
              <w:left w:val="nil"/>
              <w:bottom w:val="nil"/>
              <w:right w:val="nil"/>
            </w:tcBorders>
            <w:shd w:val="clear" w:color="auto" w:fill="auto"/>
            <w:noWrap/>
            <w:tcMar>
              <w:left w:w="28" w:type="dxa"/>
              <w:right w:w="28" w:type="dxa"/>
            </w:tcMar>
            <w:vAlign w:val="center"/>
            <w:hideMark/>
          </w:tcPr>
          <w:p w14:paraId="1253837E" w14:textId="2C81D2AA" w:rsidR="00E95955" w:rsidRPr="00E95955" w:rsidRDefault="00E95955" w:rsidP="00E95955">
            <w:pPr>
              <w:jc w:val="right"/>
              <w:rPr>
                <w:color w:val="000000"/>
                <w:sz w:val="20"/>
                <w:szCs w:val="20"/>
              </w:rPr>
            </w:pPr>
            <w:r w:rsidRPr="00E95955">
              <w:rPr>
                <w:color w:val="000000"/>
                <w:sz w:val="20"/>
                <w:szCs w:val="20"/>
              </w:rPr>
              <w:t>0.07</w:t>
            </w:r>
          </w:p>
        </w:tc>
        <w:tc>
          <w:tcPr>
            <w:tcW w:w="259" w:type="pct"/>
            <w:tcBorders>
              <w:top w:val="nil"/>
              <w:left w:val="nil"/>
              <w:bottom w:val="nil"/>
              <w:right w:val="nil"/>
            </w:tcBorders>
            <w:shd w:val="clear" w:color="auto" w:fill="auto"/>
            <w:noWrap/>
            <w:tcMar>
              <w:left w:w="28" w:type="dxa"/>
              <w:right w:w="28" w:type="dxa"/>
            </w:tcMar>
            <w:vAlign w:val="center"/>
            <w:hideMark/>
          </w:tcPr>
          <w:p w14:paraId="28E842BB" w14:textId="20A484E5" w:rsidR="00E95955" w:rsidRPr="00E95955" w:rsidRDefault="00E95955" w:rsidP="00E95955">
            <w:pPr>
              <w:jc w:val="right"/>
              <w:rPr>
                <w:color w:val="000000"/>
                <w:sz w:val="20"/>
                <w:szCs w:val="20"/>
              </w:rPr>
            </w:pPr>
            <w:r w:rsidRPr="00E95955">
              <w:rPr>
                <w:color w:val="000000"/>
                <w:sz w:val="20"/>
                <w:szCs w:val="20"/>
              </w:rPr>
              <w:t>0.05</w:t>
            </w:r>
          </w:p>
        </w:tc>
        <w:tc>
          <w:tcPr>
            <w:tcW w:w="259" w:type="pct"/>
            <w:tcBorders>
              <w:top w:val="nil"/>
              <w:left w:val="nil"/>
              <w:bottom w:val="nil"/>
              <w:right w:val="nil"/>
            </w:tcBorders>
            <w:shd w:val="clear" w:color="auto" w:fill="auto"/>
            <w:noWrap/>
            <w:tcMar>
              <w:left w:w="28" w:type="dxa"/>
              <w:right w:w="28" w:type="dxa"/>
            </w:tcMar>
            <w:vAlign w:val="center"/>
            <w:hideMark/>
          </w:tcPr>
          <w:p w14:paraId="7154BE1F" w14:textId="0991FCDD" w:rsidR="00E95955" w:rsidRPr="00E95955" w:rsidRDefault="00E95955" w:rsidP="00E95955">
            <w:pPr>
              <w:jc w:val="right"/>
              <w:rPr>
                <w:color w:val="000000"/>
                <w:sz w:val="20"/>
                <w:szCs w:val="20"/>
              </w:rPr>
            </w:pPr>
            <w:r w:rsidRPr="00E95955">
              <w:rPr>
                <w:color w:val="000000"/>
                <w:sz w:val="20"/>
                <w:szCs w:val="20"/>
              </w:rPr>
              <w:t>-0.05</w:t>
            </w:r>
          </w:p>
        </w:tc>
        <w:tc>
          <w:tcPr>
            <w:tcW w:w="259" w:type="pct"/>
            <w:tcBorders>
              <w:top w:val="nil"/>
              <w:left w:val="nil"/>
              <w:bottom w:val="nil"/>
              <w:right w:val="nil"/>
            </w:tcBorders>
            <w:shd w:val="clear" w:color="auto" w:fill="auto"/>
            <w:noWrap/>
            <w:tcMar>
              <w:left w:w="28" w:type="dxa"/>
              <w:right w:w="28" w:type="dxa"/>
            </w:tcMar>
            <w:vAlign w:val="center"/>
            <w:hideMark/>
          </w:tcPr>
          <w:p w14:paraId="5B0EA252" w14:textId="17EA0338" w:rsidR="00E95955" w:rsidRPr="00E95955" w:rsidRDefault="00E95955" w:rsidP="00E95955">
            <w:pPr>
              <w:jc w:val="right"/>
              <w:rPr>
                <w:color w:val="000000"/>
                <w:sz w:val="20"/>
                <w:szCs w:val="20"/>
              </w:rPr>
            </w:pPr>
            <w:r w:rsidRPr="00E95955">
              <w:rPr>
                <w:color w:val="000000"/>
                <w:sz w:val="20"/>
                <w:szCs w:val="20"/>
              </w:rPr>
              <w:t>0.02</w:t>
            </w:r>
          </w:p>
        </w:tc>
        <w:tc>
          <w:tcPr>
            <w:tcW w:w="259" w:type="pct"/>
            <w:tcBorders>
              <w:top w:val="nil"/>
              <w:left w:val="nil"/>
              <w:bottom w:val="nil"/>
              <w:right w:val="nil"/>
            </w:tcBorders>
            <w:shd w:val="clear" w:color="auto" w:fill="auto"/>
            <w:noWrap/>
            <w:tcMar>
              <w:left w:w="28" w:type="dxa"/>
              <w:right w:w="28" w:type="dxa"/>
            </w:tcMar>
            <w:vAlign w:val="center"/>
            <w:hideMark/>
          </w:tcPr>
          <w:p w14:paraId="5B7615C1" w14:textId="5DCDE1F5" w:rsidR="00E95955" w:rsidRPr="00E95955" w:rsidRDefault="00E95955" w:rsidP="00E95955">
            <w:pPr>
              <w:jc w:val="right"/>
              <w:rPr>
                <w:color w:val="000000"/>
                <w:sz w:val="20"/>
                <w:szCs w:val="20"/>
              </w:rPr>
            </w:pPr>
            <w:r w:rsidRPr="00E95955">
              <w:rPr>
                <w:color w:val="000000"/>
                <w:sz w:val="20"/>
                <w:szCs w:val="20"/>
              </w:rPr>
              <w:t>0.12</w:t>
            </w:r>
          </w:p>
        </w:tc>
        <w:tc>
          <w:tcPr>
            <w:tcW w:w="259" w:type="pct"/>
            <w:tcBorders>
              <w:top w:val="nil"/>
              <w:left w:val="nil"/>
              <w:bottom w:val="nil"/>
              <w:right w:val="nil"/>
            </w:tcBorders>
            <w:shd w:val="clear" w:color="auto" w:fill="auto"/>
            <w:noWrap/>
            <w:tcMar>
              <w:left w:w="28" w:type="dxa"/>
              <w:right w:w="28" w:type="dxa"/>
            </w:tcMar>
            <w:vAlign w:val="center"/>
            <w:hideMark/>
          </w:tcPr>
          <w:p w14:paraId="5C2D7184" w14:textId="77777777" w:rsidR="00E95955" w:rsidRPr="00E95955" w:rsidRDefault="00E95955" w:rsidP="00E95955">
            <w:pPr>
              <w:jc w:val="right"/>
              <w:rPr>
                <w:color w:val="000000"/>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5668BE14" w14:textId="77777777" w:rsidR="00E95955" w:rsidRPr="00E95955" w:rsidRDefault="00E95955" w:rsidP="00E95955">
            <w:pPr>
              <w:rPr>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0B50D90A" w14:textId="77777777" w:rsidR="00E95955" w:rsidRPr="00E95955" w:rsidRDefault="00E95955" w:rsidP="00E95955">
            <w:pPr>
              <w:rPr>
                <w:sz w:val="20"/>
                <w:szCs w:val="20"/>
              </w:rPr>
            </w:pPr>
          </w:p>
        </w:tc>
      </w:tr>
      <w:tr w:rsidR="00A94550" w:rsidRPr="00E95955" w14:paraId="55B544E9" w14:textId="77777777" w:rsidTr="00A94550">
        <w:trPr>
          <w:trHeight w:val="228"/>
        </w:trPr>
        <w:tc>
          <w:tcPr>
            <w:tcW w:w="156" w:type="pct"/>
            <w:tcBorders>
              <w:top w:val="nil"/>
              <w:left w:val="nil"/>
              <w:bottom w:val="nil"/>
              <w:right w:val="nil"/>
            </w:tcBorders>
            <w:shd w:val="clear" w:color="auto" w:fill="auto"/>
            <w:noWrap/>
            <w:tcMar>
              <w:left w:w="28" w:type="dxa"/>
              <w:right w:w="28" w:type="dxa"/>
            </w:tcMar>
            <w:vAlign w:val="center"/>
            <w:hideMark/>
          </w:tcPr>
          <w:p w14:paraId="04E826EF" w14:textId="77777777" w:rsidR="00E95955" w:rsidRPr="00E95955" w:rsidRDefault="00E95955" w:rsidP="00E95955">
            <w:pPr>
              <w:jc w:val="right"/>
              <w:rPr>
                <w:color w:val="000000"/>
                <w:sz w:val="20"/>
                <w:szCs w:val="20"/>
              </w:rPr>
            </w:pPr>
            <w:r w:rsidRPr="00E95955">
              <w:rPr>
                <w:color w:val="000000"/>
                <w:sz w:val="20"/>
                <w:szCs w:val="20"/>
              </w:rPr>
              <w:t>9</w:t>
            </w:r>
          </w:p>
        </w:tc>
        <w:tc>
          <w:tcPr>
            <w:tcW w:w="944" w:type="pct"/>
            <w:tcBorders>
              <w:top w:val="nil"/>
              <w:left w:val="nil"/>
              <w:bottom w:val="nil"/>
              <w:right w:val="nil"/>
            </w:tcBorders>
            <w:shd w:val="clear" w:color="auto" w:fill="auto"/>
            <w:noWrap/>
            <w:tcMar>
              <w:left w:w="28" w:type="dxa"/>
              <w:right w:w="28" w:type="dxa"/>
            </w:tcMar>
            <w:vAlign w:val="center"/>
            <w:hideMark/>
          </w:tcPr>
          <w:p w14:paraId="592A4EB4" w14:textId="77777777" w:rsidR="00E95955" w:rsidRPr="00E95955" w:rsidRDefault="00E95955" w:rsidP="00E95955">
            <w:pPr>
              <w:rPr>
                <w:color w:val="000000"/>
                <w:sz w:val="20"/>
                <w:szCs w:val="20"/>
              </w:rPr>
            </w:pPr>
            <w:r w:rsidRPr="00E95955">
              <w:rPr>
                <w:color w:val="000000"/>
                <w:sz w:val="20"/>
                <w:szCs w:val="20"/>
              </w:rPr>
              <w:t>Process Innovation</w:t>
            </w:r>
          </w:p>
        </w:tc>
        <w:tc>
          <w:tcPr>
            <w:tcW w:w="307" w:type="pct"/>
            <w:tcBorders>
              <w:top w:val="nil"/>
              <w:left w:val="nil"/>
              <w:bottom w:val="nil"/>
              <w:right w:val="nil"/>
            </w:tcBorders>
            <w:shd w:val="clear" w:color="auto" w:fill="auto"/>
            <w:noWrap/>
            <w:tcMar>
              <w:left w:w="28" w:type="dxa"/>
              <w:right w:w="28" w:type="dxa"/>
            </w:tcMar>
            <w:vAlign w:val="center"/>
            <w:hideMark/>
          </w:tcPr>
          <w:p w14:paraId="471A2BDA" w14:textId="5CB2E4BE" w:rsidR="00E95955" w:rsidRPr="00E95955" w:rsidRDefault="00E95955" w:rsidP="00E95955">
            <w:pPr>
              <w:jc w:val="right"/>
              <w:rPr>
                <w:color w:val="000000"/>
                <w:sz w:val="20"/>
                <w:szCs w:val="20"/>
              </w:rPr>
            </w:pPr>
            <w:r w:rsidRPr="00E95955">
              <w:rPr>
                <w:color w:val="000000"/>
                <w:sz w:val="20"/>
                <w:szCs w:val="20"/>
              </w:rPr>
              <w:t>0.61</w:t>
            </w:r>
          </w:p>
        </w:tc>
        <w:tc>
          <w:tcPr>
            <w:tcW w:w="343" w:type="pct"/>
            <w:tcBorders>
              <w:top w:val="nil"/>
              <w:left w:val="nil"/>
              <w:bottom w:val="nil"/>
              <w:right w:val="nil"/>
            </w:tcBorders>
            <w:shd w:val="clear" w:color="auto" w:fill="auto"/>
            <w:noWrap/>
            <w:tcMar>
              <w:left w:w="28" w:type="dxa"/>
              <w:right w:w="28" w:type="dxa"/>
            </w:tcMar>
            <w:vAlign w:val="center"/>
            <w:hideMark/>
          </w:tcPr>
          <w:p w14:paraId="52112994" w14:textId="141427B7" w:rsidR="00E95955" w:rsidRPr="00E95955" w:rsidRDefault="00E95955" w:rsidP="00E95955">
            <w:pPr>
              <w:jc w:val="right"/>
              <w:rPr>
                <w:color w:val="000000"/>
                <w:sz w:val="20"/>
                <w:szCs w:val="20"/>
              </w:rPr>
            </w:pPr>
            <w:r w:rsidRPr="00E95955">
              <w:rPr>
                <w:color w:val="000000"/>
                <w:sz w:val="20"/>
                <w:szCs w:val="20"/>
              </w:rPr>
              <w:t>0.49</w:t>
            </w:r>
          </w:p>
        </w:tc>
        <w:tc>
          <w:tcPr>
            <w:tcW w:w="287" w:type="pct"/>
            <w:tcBorders>
              <w:top w:val="nil"/>
              <w:left w:val="nil"/>
              <w:bottom w:val="nil"/>
              <w:right w:val="nil"/>
            </w:tcBorders>
            <w:shd w:val="clear" w:color="auto" w:fill="auto"/>
            <w:noWrap/>
            <w:tcMar>
              <w:left w:w="28" w:type="dxa"/>
              <w:right w:w="28" w:type="dxa"/>
            </w:tcMar>
            <w:vAlign w:val="center"/>
            <w:hideMark/>
          </w:tcPr>
          <w:p w14:paraId="7774F55E" w14:textId="2DED88CB" w:rsidR="00E95955" w:rsidRPr="00E95955" w:rsidRDefault="00E95955" w:rsidP="00E95955">
            <w:pPr>
              <w:jc w:val="right"/>
              <w:rPr>
                <w:color w:val="000000"/>
                <w:sz w:val="20"/>
                <w:szCs w:val="20"/>
              </w:rPr>
            </w:pPr>
            <w:r w:rsidRPr="00E95955">
              <w:rPr>
                <w:color w:val="000000"/>
                <w:sz w:val="20"/>
                <w:szCs w:val="20"/>
              </w:rPr>
              <w:t>0</w:t>
            </w:r>
          </w:p>
        </w:tc>
        <w:tc>
          <w:tcPr>
            <w:tcW w:w="380" w:type="pct"/>
            <w:tcBorders>
              <w:top w:val="nil"/>
              <w:left w:val="nil"/>
              <w:bottom w:val="nil"/>
              <w:right w:val="nil"/>
            </w:tcBorders>
            <w:shd w:val="clear" w:color="auto" w:fill="auto"/>
            <w:noWrap/>
            <w:tcMar>
              <w:left w:w="28" w:type="dxa"/>
              <w:right w:w="28" w:type="dxa"/>
            </w:tcMar>
            <w:vAlign w:val="center"/>
            <w:hideMark/>
          </w:tcPr>
          <w:p w14:paraId="5CF618D9" w14:textId="4A1B2F83" w:rsidR="00E95955" w:rsidRPr="00E95955" w:rsidRDefault="00E95955" w:rsidP="00E95955">
            <w:pPr>
              <w:jc w:val="right"/>
              <w:rPr>
                <w:color w:val="000000"/>
                <w:sz w:val="20"/>
                <w:szCs w:val="20"/>
              </w:rPr>
            </w:pPr>
            <w:r w:rsidRPr="00E95955">
              <w:rPr>
                <w:color w:val="000000"/>
                <w:sz w:val="20"/>
                <w:szCs w:val="20"/>
              </w:rPr>
              <w:t>1</w:t>
            </w:r>
          </w:p>
        </w:tc>
        <w:tc>
          <w:tcPr>
            <w:tcW w:w="252" w:type="pct"/>
            <w:tcBorders>
              <w:top w:val="nil"/>
              <w:left w:val="nil"/>
              <w:bottom w:val="nil"/>
              <w:right w:val="nil"/>
            </w:tcBorders>
            <w:shd w:val="clear" w:color="auto" w:fill="auto"/>
            <w:noWrap/>
            <w:tcMar>
              <w:left w:w="28" w:type="dxa"/>
              <w:right w:w="28" w:type="dxa"/>
            </w:tcMar>
            <w:vAlign w:val="center"/>
            <w:hideMark/>
          </w:tcPr>
          <w:p w14:paraId="682426DA" w14:textId="17CFBF50" w:rsidR="00E95955" w:rsidRPr="00E95955" w:rsidRDefault="00E95955" w:rsidP="00E95955">
            <w:pPr>
              <w:jc w:val="right"/>
              <w:rPr>
                <w:color w:val="000000"/>
                <w:sz w:val="20"/>
                <w:szCs w:val="20"/>
              </w:rPr>
            </w:pPr>
            <w:r w:rsidRPr="00E95955">
              <w:rPr>
                <w:color w:val="000000"/>
                <w:sz w:val="20"/>
                <w:szCs w:val="20"/>
              </w:rPr>
              <w:t>0.14</w:t>
            </w:r>
          </w:p>
        </w:tc>
        <w:tc>
          <w:tcPr>
            <w:tcW w:w="259" w:type="pct"/>
            <w:tcBorders>
              <w:top w:val="nil"/>
              <w:left w:val="nil"/>
              <w:bottom w:val="nil"/>
              <w:right w:val="nil"/>
            </w:tcBorders>
            <w:shd w:val="clear" w:color="auto" w:fill="auto"/>
            <w:noWrap/>
            <w:tcMar>
              <w:left w:w="28" w:type="dxa"/>
              <w:right w:w="28" w:type="dxa"/>
            </w:tcMar>
            <w:vAlign w:val="center"/>
            <w:hideMark/>
          </w:tcPr>
          <w:p w14:paraId="4DF37A39" w14:textId="3036E85C" w:rsidR="00E95955" w:rsidRPr="00E95955" w:rsidRDefault="00E95955" w:rsidP="00E95955">
            <w:pPr>
              <w:jc w:val="right"/>
              <w:rPr>
                <w:color w:val="000000"/>
                <w:sz w:val="20"/>
                <w:szCs w:val="20"/>
              </w:rPr>
            </w:pPr>
            <w:r w:rsidRPr="00E95955">
              <w:rPr>
                <w:color w:val="000000"/>
                <w:sz w:val="20"/>
                <w:szCs w:val="20"/>
              </w:rPr>
              <w:t>-0.11</w:t>
            </w:r>
          </w:p>
        </w:tc>
        <w:tc>
          <w:tcPr>
            <w:tcW w:w="259" w:type="pct"/>
            <w:tcBorders>
              <w:top w:val="nil"/>
              <w:left w:val="nil"/>
              <w:bottom w:val="nil"/>
              <w:right w:val="nil"/>
            </w:tcBorders>
            <w:shd w:val="clear" w:color="auto" w:fill="auto"/>
            <w:noWrap/>
            <w:tcMar>
              <w:left w:w="28" w:type="dxa"/>
              <w:right w:w="28" w:type="dxa"/>
            </w:tcMar>
            <w:vAlign w:val="center"/>
            <w:hideMark/>
          </w:tcPr>
          <w:p w14:paraId="10A4AE4F" w14:textId="6032AADC" w:rsidR="00E95955" w:rsidRPr="00E95955" w:rsidRDefault="00E95955" w:rsidP="00E95955">
            <w:pPr>
              <w:jc w:val="right"/>
              <w:rPr>
                <w:color w:val="000000"/>
                <w:sz w:val="20"/>
                <w:szCs w:val="20"/>
              </w:rPr>
            </w:pPr>
            <w:r w:rsidRPr="00E95955">
              <w:rPr>
                <w:color w:val="000000"/>
                <w:sz w:val="20"/>
                <w:szCs w:val="20"/>
              </w:rPr>
              <w:t>0.12</w:t>
            </w:r>
          </w:p>
        </w:tc>
        <w:tc>
          <w:tcPr>
            <w:tcW w:w="259" w:type="pct"/>
            <w:tcBorders>
              <w:top w:val="nil"/>
              <w:left w:val="nil"/>
              <w:bottom w:val="nil"/>
              <w:right w:val="nil"/>
            </w:tcBorders>
            <w:shd w:val="clear" w:color="auto" w:fill="auto"/>
            <w:noWrap/>
            <w:tcMar>
              <w:left w:w="28" w:type="dxa"/>
              <w:right w:w="28" w:type="dxa"/>
            </w:tcMar>
            <w:vAlign w:val="center"/>
            <w:hideMark/>
          </w:tcPr>
          <w:p w14:paraId="18BFB8C3" w14:textId="115740E3" w:rsidR="00E95955" w:rsidRPr="00E95955" w:rsidRDefault="00E95955" w:rsidP="00E95955">
            <w:pPr>
              <w:jc w:val="right"/>
              <w:rPr>
                <w:color w:val="000000"/>
                <w:sz w:val="20"/>
                <w:szCs w:val="20"/>
              </w:rPr>
            </w:pPr>
            <w:r w:rsidRPr="00E95955">
              <w:rPr>
                <w:color w:val="000000"/>
                <w:sz w:val="20"/>
                <w:szCs w:val="20"/>
              </w:rPr>
              <w:t>0.14</w:t>
            </w:r>
          </w:p>
        </w:tc>
        <w:tc>
          <w:tcPr>
            <w:tcW w:w="259" w:type="pct"/>
            <w:tcBorders>
              <w:top w:val="nil"/>
              <w:left w:val="nil"/>
              <w:bottom w:val="nil"/>
              <w:right w:val="nil"/>
            </w:tcBorders>
            <w:shd w:val="clear" w:color="auto" w:fill="auto"/>
            <w:noWrap/>
            <w:tcMar>
              <w:left w:w="28" w:type="dxa"/>
              <w:right w:w="28" w:type="dxa"/>
            </w:tcMar>
            <w:vAlign w:val="center"/>
            <w:hideMark/>
          </w:tcPr>
          <w:p w14:paraId="0E1FBCD3" w14:textId="358442A6" w:rsidR="00E95955" w:rsidRPr="00E95955" w:rsidRDefault="00E95955" w:rsidP="00E95955">
            <w:pPr>
              <w:jc w:val="right"/>
              <w:rPr>
                <w:color w:val="000000"/>
                <w:sz w:val="20"/>
                <w:szCs w:val="20"/>
              </w:rPr>
            </w:pPr>
            <w:r w:rsidRPr="00E95955">
              <w:rPr>
                <w:color w:val="000000"/>
                <w:sz w:val="20"/>
                <w:szCs w:val="20"/>
              </w:rPr>
              <w:t>0.02</w:t>
            </w:r>
          </w:p>
        </w:tc>
        <w:tc>
          <w:tcPr>
            <w:tcW w:w="259" w:type="pct"/>
            <w:tcBorders>
              <w:top w:val="nil"/>
              <w:left w:val="nil"/>
              <w:bottom w:val="nil"/>
              <w:right w:val="nil"/>
            </w:tcBorders>
            <w:shd w:val="clear" w:color="auto" w:fill="auto"/>
            <w:noWrap/>
            <w:tcMar>
              <w:left w:w="28" w:type="dxa"/>
              <w:right w:w="28" w:type="dxa"/>
            </w:tcMar>
            <w:vAlign w:val="center"/>
            <w:hideMark/>
          </w:tcPr>
          <w:p w14:paraId="729BB607" w14:textId="79A1395A" w:rsidR="00E95955" w:rsidRPr="00E95955" w:rsidRDefault="00E95955" w:rsidP="00E95955">
            <w:pPr>
              <w:jc w:val="right"/>
              <w:rPr>
                <w:color w:val="000000"/>
                <w:sz w:val="20"/>
                <w:szCs w:val="20"/>
              </w:rPr>
            </w:pPr>
            <w:r w:rsidRPr="00E95955">
              <w:rPr>
                <w:color w:val="000000"/>
                <w:sz w:val="20"/>
                <w:szCs w:val="20"/>
              </w:rPr>
              <w:t>-0.07</w:t>
            </w:r>
          </w:p>
        </w:tc>
        <w:tc>
          <w:tcPr>
            <w:tcW w:w="259" w:type="pct"/>
            <w:tcBorders>
              <w:top w:val="nil"/>
              <w:left w:val="nil"/>
              <w:bottom w:val="nil"/>
              <w:right w:val="nil"/>
            </w:tcBorders>
            <w:shd w:val="clear" w:color="auto" w:fill="auto"/>
            <w:noWrap/>
            <w:tcMar>
              <w:left w:w="28" w:type="dxa"/>
              <w:right w:w="28" w:type="dxa"/>
            </w:tcMar>
            <w:vAlign w:val="center"/>
            <w:hideMark/>
          </w:tcPr>
          <w:p w14:paraId="5AA32067" w14:textId="6D407490" w:rsidR="00E95955" w:rsidRPr="00E95955" w:rsidRDefault="00E95955" w:rsidP="00E95955">
            <w:pPr>
              <w:jc w:val="right"/>
              <w:rPr>
                <w:color w:val="000000"/>
                <w:sz w:val="20"/>
                <w:szCs w:val="20"/>
              </w:rPr>
            </w:pPr>
            <w:r w:rsidRPr="00E95955">
              <w:rPr>
                <w:color w:val="000000"/>
                <w:sz w:val="20"/>
                <w:szCs w:val="20"/>
              </w:rPr>
              <w:t>0</w:t>
            </w:r>
          </w:p>
        </w:tc>
        <w:tc>
          <w:tcPr>
            <w:tcW w:w="259" w:type="pct"/>
            <w:tcBorders>
              <w:top w:val="nil"/>
              <w:left w:val="nil"/>
              <w:bottom w:val="nil"/>
              <w:right w:val="nil"/>
            </w:tcBorders>
            <w:shd w:val="clear" w:color="auto" w:fill="auto"/>
            <w:noWrap/>
            <w:tcMar>
              <w:left w:w="28" w:type="dxa"/>
              <w:right w:w="28" w:type="dxa"/>
            </w:tcMar>
            <w:vAlign w:val="center"/>
            <w:hideMark/>
          </w:tcPr>
          <w:p w14:paraId="3F1F04FB" w14:textId="7DEAFF88" w:rsidR="00E95955" w:rsidRPr="00E95955" w:rsidRDefault="00E95955" w:rsidP="00E95955">
            <w:pPr>
              <w:jc w:val="right"/>
              <w:rPr>
                <w:color w:val="000000"/>
                <w:sz w:val="20"/>
                <w:szCs w:val="20"/>
              </w:rPr>
            </w:pPr>
            <w:r w:rsidRPr="00E95955">
              <w:rPr>
                <w:color w:val="000000"/>
                <w:sz w:val="20"/>
                <w:szCs w:val="20"/>
              </w:rPr>
              <w:t>0.18</w:t>
            </w:r>
          </w:p>
        </w:tc>
        <w:tc>
          <w:tcPr>
            <w:tcW w:w="259" w:type="pct"/>
            <w:tcBorders>
              <w:top w:val="nil"/>
              <w:left w:val="nil"/>
              <w:bottom w:val="nil"/>
              <w:right w:val="nil"/>
            </w:tcBorders>
            <w:shd w:val="clear" w:color="auto" w:fill="auto"/>
            <w:noWrap/>
            <w:tcMar>
              <w:left w:w="28" w:type="dxa"/>
              <w:right w:w="28" w:type="dxa"/>
            </w:tcMar>
            <w:vAlign w:val="center"/>
            <w:hideMark/>
          </w:tcPr>
          <w:p w14:paraId="240EEACD" w14:textId="77777777" w:rsidR="00E95955" w:rsidRPr="00E95955" w:rsidRDefault="00E95955" w:rsidP="00E95955">
            <w:pPr>
              <w:jc w:val="right"/>
              <w:rPr>
                <w:color w:val="000000"/>
                <w:sz w:val="20"/>
                <w:szCs w:val="20"/>
              </w:rPr>
            </w:pPr>
          </w:p>
        </w:tc>
        <w:tc>
          <w:tcPr>
            <w:tcW w:w="259" w:type="pct"/>
            <w:tcBorders>
              <w:top w:val="nil"/>
              <w:left w:val="nil"/>
              <w:bottom w:val="nil"/>
              <w:right w:val="nil"/>
            </w:tcBorders>
            <w:shd w:val="clear" w:color="auto" w:fill="auto"/>
            <w:noWrap/>
            <w:tcMar>
              <w:left w:w="28" w:type="dxa"/>
              <w:right w:w="28" w:type="dxa"/>
            </w:tcMar>
            <w:vAlign w:val="center"/>
            <w:hideMark/>
          </w:tcPr>
          <w:p w14:paraId="6B52773D" w14:textId="77777777" w:rsidR="00E95955" w:rsidRPr="00E95955" w:rsidRDefault="00E95955" w:rsidP="00E95955">
            <w:pPr>
              <w:rPr>
                <w:sz w:val="20"/>
                <w:szCs w:val="20"/>
              </w:rPr>
            </w:pPr>
          </w:p>
        </w:tc>
      </w:tr>
      <w:tr w:rsidR="00A94550" w:rsidRPr="00E95955" w14:paraId="13E6F2D3" w14:textId="77777777" w:rsidTr="00A94550">
        <w:trPr>
          <w:trHeight w:val="228"/>
        </w:trPr>
        <w:tc>
          <w:tcPr>
            <w:tcW w:w="156" w:type="pct"/>
            <w:tcBorders>
              <w:top w:val="nil"/>
              <w:left w:val="nil"/>
              <w:right w:val="nil"/>
            </w:tcBorders>
            <w:shd w:val="clear" w:color="auto" w:fill="auto"/>
            <w:noWrap/>
            <w:tcMar>
              <w:left w:w="28" w:type="dxa"/>
              <w:right w:w="28" w:type="dxa"/>
            </w:tcMar>
            <w:vAlign w:val="center"/>
            <w:hideMark/>
          </w:tcPr>
          <w:p w14:paraId="26219243" w14:textId="77777777" w:rsidR="00E95955" w:rsidRPr="00E95955" w:rsidRDefault="00E95955" w:rsidP="00E95955">
            <w:pPr>
              <w:jc w:val="right"/>
              <w:rPr>
                <w:color w:val="000000"/>
                <w:sz w:val="20"/>
                <w:szCs w:val="20"/>
              </w:rPr>
            </w:pPr>
            <w:r w:rsidRPr="00E95955">
              <w:rPr>
                <w:color w:val="000000"/>
                <w:sz w:val="20"/>
                <w:szCs w:val="20"/>
              </w:rPr>
              <w:t>10</w:t>
            </w:r>
          </w:p>
        </w:tc>
        <w:tc>
          <w:tcPr>
            <w:tcW w:w="944" w:type="pct"/>
            <w:tcBorders>
              <w:top w:val="nil"/>
              <w:left w:val="nil"/>
              <w:right w:val="nil"/>
            </w:tcBorders>
            <w:shd w:val="clear" w:color="auto" w:fill="auto"/>
            <w:noWrap/>
            <w:tcMar>
              <w:left w:w="28" w:type="dxa"/>
              <w:right w:w="28" w:type="dxa"/>
            </w:tcMar>
            <w:vAlign w:val="center"/>
            <w:hideMark/>
          </w:tcPr>
          <w:p w14:paraId="70F4D23A" w14:textId="77777777" w:rsidR="00E95955" w:rsidRPr="00E95955" w:rsidRDefault="00E95955" w:rsidP="00E95955">
            <w:pPr>
              <w:rPr>
                <w:color w:val="000000"/>
                <w:sz w:val="20"/>
                <w:szCs w:val="20"/>
              </w:rPr>
            </w:pPr>
            <w:r w:rsidRPr="00E95955">
              <w:rPr>
                <w:color w:val="000000"/>
                <w:sz w:val="20"/>
                <w:szCs w:val="20"/>
              </w:rPr>
              <w:t>Collaboration</w:t>
            </w:r>
          </w:p>
        </w:tc>
        <w:tc>
          <w:tcPr>
            <w:tcW w:w="307" w:type="pct"/>
            <w:tcBorders>
              <w:top w:val="nil"/>
              <w:left w:val="nil"/>
              <w:right w:val="nil"/>
            </w:tcBorders>
            <w:shd w:val="clear" w:color="auto" w:fill="auto"/>
            <w:noWrap/>
            <w:tcMar>
              <w:left w:w="28" w:type="dxa"/>
              <w:right w:w="28" w:type="dxa"/>
            </w:tcMar>
            <w:vAlign w:val="center"/>
            <w:hideMark/>
          </w:tcPr>
          <w:p w14:paraId="7B31FC9E" w14:textId="0824BE5A" w:rsidR="00E95955" w:rsidRPr="00E95955" w:rsidRDefault="00E95955" w:rsidP="00E95955">
            <w:pPr>
              <w:jc w:val="right"/>
              <w:rPr>
                <w:color w:val="000000"/>
                <w:sz w:val="20"/>
                <w:szCs w:val="20"/>
              </w:rPr>
            </w:pPr>
            <w:r w:rsidRPr="00E95955">
              <w:rPr>
                <w:color w:val="000000"/>
                <w:sz w:val="20"/>
                <w:szCs w:val="20"/>
              </w:rPr>
              <w:t>0.07</w:t>
            </w:r>
          </w:p>
        </w:tc>
        <w:tc>
          <w:tcPr>
            <w:tcW w:w="343" w:type="pct"/>
            <w:tcBorders>
              <w:top w:val="nil"/>
              <w:left w:val="nil"/>
              <w:right w:val="nil"/>
            </w:tcBorders>
            <w:shd w:val="clear" w:color="auto" w:fill="auto"/>
            <w:noWrap/>
            <w:tcMar>
              <w:left w:w="28" w:type="dxa"/>
              <w:right w:w="28" w:type="dxa"/>
            </w:tcMar>
            <w:vAlign w:val="center"/>
            <w:hideMark/>
          </w:tcPr>
          <w:p w14:paraId="47B53BD9" w14:textId="1B71C335" w:rsidR="00E95955" w:rsidRPr="00E95955" w:rsidRDefault="00E95955" w:rsidP="00E95955">
            <w:pPr>
              <w:jc w:val="right"/>
              <w:rPr>
                <w:color w:val="000000"/>
                <w:sz w:val="20"/>
                <w:szCs w:val="20"/>
              </w:rPr>
            </w:pPr>
            <w:r w:rsidRPr="00E95955">
              <w:rPr>
                <w:color w:val="000000"/>
                <w:sz w:val="20"/>
                <w:szCs w:val="20"/>
              </w:rPr>
              <w:t>0.24</w:t>
            </w:r>
          </w:p>
        </w:tc>
        <w:tc>
          <w:tcPr>
            <w:tcW w:w="287" w:type="pct"/>
            <w:tcBorders>
              <w:top w:val="nil"/>
              <w:left w:val="nil"/>
              <w:right w:val="nil"/>
            </w:tcBorders>
            <w:shd w:val="clear" w:color="auto" w:fill="auto"/>
            <w:noWrap/>
            <w:tcMar>
              <w:left w:w="28" w:type="dxa"/>
              <w:right w:w="28" w:type="dxa"/>
            </w:tcMar>
            <w:vAlign w:val="center"/>
            <w:hideMark/>
          </w:tcPr>
          <w:p w14:paraId="0EC5D6D1" w14:textId="0788EF46" w:rsidR="00E95955" w:rsidRPr="00E95955" w:rsidRDefault="00E95955" w:rsidP="00E95955">
            <w:pPr>
              <w:jc w:val="right"/>
              <w:rPr>
                <w:color w:val="000000"/>
                <w:sz w:val="20"/>
                <w:szCs w:val="20"/>
              </w:rPr>
            </w:pPr>
            <w:r w:rsidRPr="00E95955">
              <w:rPr>
                <w:color w:val="000000"/>
                <w:sz w:val="20"/>
                <w:szCs w:val="20"/>
              </w:rPr>
              <w:t>0</w:t>
            </w:r>
          </w:p>
        </w:tc>
        <w:tc>
          <w:tcPr>
            <w:tcW w:w="380" w:type="pct"/>
            <w:tcBorders>
              <w:top w:val="nil"/>
              <w:left w:val="nil"/>
              <w:right w:val="nil"/>
            </w:tcBorders>
            <w:shd w:val="clear" w:color="auto" w:fill="auto"/>
            <w:noWrap/>
            <w:tcMar>
              <w:left w:w="28" w:type="dxa"/>
              <w:right w:w="28" w:type="dxa"/>
            </w:tcMar>
            <w:vAlign w:val="center"/>
            <w:hideMark/>
          </w:tcPr>
          <w:p w14:paraId="56CEC161" w14:textId="38C6A08A" w:rsidR="00E95955" w:rsidRPr="00E95955" w:rsidRDefault="00E95955" w:rsidP="00E95955">
            <w:pPr>
              <w:jc w:val="right"/>
              <w:rPr>
                <w:color w:val="000000"/>
                <w:sz w:val="20"/>
                <w:szCs w:val="20"/>
              </w:rPr>
            </w:pPr>
            <w:r w:rsidRPr="00E95955">
              <w:rPr>
                <w:color w:val="000000"/>
                <w:sz w:val="20"/>
                <w:szCs w:val="20"/>
              </w:rPr>
              <w:t>1</w:t>
            </w:r>
          </w:p>
        </w:tc>
        <w:tc>
          <w:tcPr>
            <w:tcW w:w="252" w:type="pct"/>
            <w:tcBorders>
              <w:top w:val="nil"/>
              <w:left w:val="nil"/>
              <w:right w:val="nil"/>
            </w:tcBorders>
            <w:shd w:val="clear" w:color="auto" w:fill="auto"/>
            <w:noWrap/>
            <w:tcMar>
              <w:left w:w="28" w:type="dxa"/>
              <w:right w:w="28" w:type="dxa"/>
            </w:tcMar>
            <w:vAlign w:val="center"/>
            <w:hideMark/>
          </w:tcPr>
          <w:p w14:paraId="54DD7B95" w14:textId="06A0A29A" w:rsidR="00E95955" w:rsidRPr="00E95955" w:rsidRDefault="00E95955" w:rsidP="00E95955">
            <w:pPr>
              <w:jc w:val="right"/>
              <w:rPr>
                <w:color w:val="000000"/>
                <w:sz w:val="20"/>
                <w:szCs w:val="20"/>
              </w:rPr>
            </w:pPr>
            <w:r w:rsidRPr="00E95955">
              <w:rPr>
                <w:color w:val="000000"/>
                <w:sz w:val="20"/>
                <w:szCs w:val="20"/>
              </w:rPr>
              <w:t>0.07</w:t>
            </w:r>
          </w:p>
        </w:tc>
        <w:tc>
          <w:tcPr>
            <w:tcW w:w="259" w:type="pct"/>
            <w:tcBorders>
              <w:top w:val="nil"/>
              <w:left w:val="nil"/>
              <w:right w:val="nil"/>
            </w:tcBorders>
            <w:shd w:val="clear" w:color="auto" w:fill="auto"/>
            <w:noWrap/>
            <w:tcMar>
              <w:left w:w="28" w:type="dxa"/>
              <w:right w:w="28" w:type="dxa"/>
            </w:tcMar>
            <w:vAlign w:val="center"/>
            <w:hideMark/>
          </w:tcPr>
          <w:p w14:paraId="4FDAD8B2" w14:textId="6F5709CD" w:rsidR="00E95955" w:rsidRPr="00E95955" w:rsidRDefault="00E95955" w:rsidP="00E95955">
            <w:pPr>
              <w:jc w:val="right"/>
              <w:rPr>
                <w:color w:val="000000"/>
                <w:sz w:val="20"/>
                <w:szCs w:val="20"/>
              </w:rPr>
            </w:pPr>
            <w:r w:rsidRPr="00E95955">
              <w:rPr>
                <w:color w:val="000000"/>
                <w:sz w:val="20"/>
                <w:szCs w:val="20"/>
              </w:rPr>
              <w:t>-0.05</w:t>
            </w:r>
          </w:p>
        </w:tc>
        <w:tc>
          <w:tcPr>
            <w:tcW w:w="259" w:type="pct"/>
            <w:tcBorders>
              <w:top w:val="nil"/>
              <w:left w:val="nil"/>
              <w:right w:val="nil"/>
            </w:tcBorders>
            <w:shd w:val="clear" w:color="auto" w:fill="auto"/>
            <w:noWrap/>
            <w:tcMar>
              <w:left w:w="28" w:type="dxa"/>
              <w:right w:w="28" w:type="dxa"/>
            </w:tcMar>
            <w:vAlign w:val="center"/>
            <w:hideMark/>
          </w:tcPr>
          <w:p w14:paraId="19B80F24" w14:textId="5A95F021" w:rsidR="00E95955" w:rsidRPr="00E95955" w:rsidRDefault="00E95955" w:rsidP="00E95955">
            <w:pPr>
              <w:jc w:val="right"/>
              <w:rPr>
                <w:color w:val="000000"/>
                <w:sz w:val="20"/>
                <w:szCs w:val="20"/>
              </w:rPr>
            </w:pPr>
            <w:r w:rsidRPr="00E95955">
              <w:rPr>
                <w:color w:val="000000"/>
                <w:sz w:val="20"/>
                <w:szCs w:val="20"/>
              </w:rPr>
              <w:t>0.07</w:t>
            </w:r>
          </w:p>
        </w:tc>
        <w:tc>
          <w:tcPr>
            <w:tcW w:w="259" w:type="pct"/>
            <w:tcBorders>
              <w:top w:val="nil"/>
              <w:left w:val="nil"/>
              <w:right w:val="nil"/>
            </w:tcBorders>
            <w:shd w:val="clear" w:color="auto" w:fill="auto"/>
            <w:noWrap/>
            <w:tcMar>
              <w:left w:w="28" w:type="dxa"/>
              <w:right w:w="28" w:type="dxa"/>
            </w:tcMar>
            <w:vAlign w:val="center"/>
            <w:hideMark/>
          </w:tcPr>
          <w:p w14:paraId="45298FD3" w14:textId="782FF45B" w:rsidR="00E95955" w:rsidRPr="00E95955" w:rsidRDefault="00E95955" w:rsidP="00E95955">
            <w:pPr>
              <w:jc w:val="right"/>
              <w:rPr>
                <w:color w:val="000000"/>
                <w:sz w:val="20"/>
                <w:szCs w:val="20"/>
              </w:rPr>
            </w:pPr>
            <w:r w:rsidRPr="00E95955">
              <w:rPr>
                <w:color w:val="000000"/>
                <w:sz w:val="20"/>
                <w:szCs w:val="20"/>
              </w:rPr>
              <w:t>0.04</w:t>
            </w:r>
          </w:p>
        </w:tc>
        <w:tc>
          <w:tcPr>
            <w:tcW w:w="259" w:type="pct"/>
            <w:tcBorders>
              <w:top w:val="nil"/>
              <w:left w:val="nil"/>
              <w:right w:val="nil"/>
            </w:tcBorders>
            <w:shd w:val="clear" w:color="auto" w:fill="auto"/>
            <w:noWrap/>
            <w:tcMar>
              <w:left w:w="28" w:type="dxa"/>
              <w:right w:w="28" w:type="dxa"/>
            </w:tcMar>
            <w:vAlign w:val="center"/>
            <w:hideMark/>
          </w:tcPr>
          <w:p w14:paraId="667F70E2" w14:textId="366AC1FD" w:rsidR="00E95955" w:rsidRPr="00E95955" w:rsidRDefault="00E95955" w:rsidP="00E95955">
            <w:pPr>
              <w:jc w:val="right"/>
              <w:rPr>
                <w:color w:val="000000"/>
                <w:sz w:val="20"/>
                <w:szCs w:val="20"/>
              </w:rPr>
            </w:pPr>
            <w:r w:rsidRPr="00E95955">
              <w:rPr>
                <w:color w:val="000000"/>
                <w:sz w:val="20"/>
                <w:szCs w:val="20"/>
              </w:rPr>
              <w:t>-0.08</w:t>
            </w:r>
          </w:p>
        </w:tc>
        <w:tc>
          <w:tcPr>
            <w:tcW w:w="259" w:type="pct"/>
            <w:tcBorders>
              <w:top w:val="nil"/>
              <w:left w:val="nil"/>
              <w:right w:val="nil"/>
            </w:tcBorders>
            <w:shd w:val="clear" w:color="auto" w:fill="auto"/>
            <w:noWrap/>
            <w:tcMar>
              <w:left w:w="28" w:type="dxa"/>
              <w:right w:w="28" w:type="dxa"/>
            </w:tcMar>
            <w:vAlign w:val="center"/>
            <w:hideMark/>
          </w:tcPr>
          <w:p w14:paraId="421A8922" w14:textId="0C0F37A1" w:rsidR="00E95955" w:rsidRPr="00E95955" w:rsidRDefault="00E95955" w:rsidP="00E95955">
            <w:pPr>
              <w:jc w:val="right"/>
              <w:rPr>
                <w:color w:val="000000"/>
                <w:sz w:val="20"/>
                <w:szCs w:val="20"/>
              </w:rPr>
            </w:pPr>
            <w:r w:rsidRPr="00E95955">
              <w:rPr>
                <w:color w:val="000000"/>
                <w:sz w:val="20"/>
                <w:szCs w:val="20"/>
              </w:rPr>
              <w:t>0.11</w:t>
            </w:r>
          </w:p>
        </w:tc>
        <w:tc>
          <w:tcPr>
            <w:tcW w:w="259" w:type="pct"/>
            <w:tcBorders>
              <w:top w:val="nil"/>
              <w:left w:val="nil"/>
              <w:right w:val="nil"/>
            </w:tcBorders>
            <w:shd w:val="clear" w:color="auto" w:fill="auto"/>
            <w:noWrap/>
            <w:tcMar>
              <w:left w:w="28" w:type="dxa"/>
              <w:right w:w="28" w:type="dxa"/>
            </w:tcMar>
            <w:vAlign w:val="center"/>
            <w:hideMark/>
          </w:tcPr>
          <w:p w14:paraId="0F0BC0EF" w14:textId="29ED9CDD" w:rsidR="00E95955" w:rsidRPr="00E95955" w:rsidRDefault="00E95955" w:rsidP="00E95955">
            <w:pPr>
              <w:jc w:val="right"/>
              <w:rPr>
                <w:color w:val="000000"/>
                <w:sz w:val="20"/>
                <w:szCs w:val="20"/>
              </w:rPr>
            </w:pPr>
            <w:r w:rsidRPr="00E95955">
              <w:rPr>
                <w:color w:val="000000"/>
                <w:sz w:val="20"/>
                <w:szCs w:val="20"/>
              </w:rPr>
              <w:t>0.19</w:t>
            </w:r>
          </w:p>
        </w:tc>
        <w:tc>
          <w:tcPr>
            <w:tcW w:w="259" w:type="pct"/>
            <w:tcBorders>
              <w:top w:val="nil"/>
              <w:left w:val="nil"/>
              <w:right w:val="nil"/>
            </w:tcBorders>
            <w:shd w:val="clear" w:color="auto" w:fill="auto"/>
            <w:noWrap/>
            <w:tcMar>
              <w:left w:w="28" w:type="dxa"/>
              <w:right w:w="28" w:type="dxa"/>
            </w:tcMar>
            <w:vAlign w:val="center"/>
            <w:hideMark/>
          </w:tcPr>
          <w:p w14:paraId="50F553A9" w14:textId="0661F30E" w:rsidR="00E95955" w:rsidRPr="00E95955" w:rsidRDefault="00E95955" w:rsidP="00E95955">
            <w:pPr>
              <w:jc w:val="right"/>
              <w:rPr>
                <w:color w:val="000000"/>
                <w:sz w:val="20"/>
                <w:szCs w:val="20"/>
              </w:rPr>
            </w:pPr>
            <w:r w:rsidRPr="00E95955">
              <w:rPr>
                <w:color w:val="000000"/>
                <w:sz w:val="20"/>
                <w:szCs w:val="20"/>
              </w:rPr>
              <w:t>0.16</w:t>
            </w:r>
          </w:p>
        </w:tc>
        <w:tc>
          <w:tcPr>
            <w:tcW w:w="259" w:type="pct"/>
            <w:tcBorders>
              <w:top w:val="nil"/>
              <w:left w:val="nil"/>
              <w:right w:val="nil"/>
            </w:tcBorders>
            <w:shd w:val="clear" w:color="auto" w:fill="auto"/>
            <w:noWrap/>
            <w:tcMar>
              <w:left w:w="28" w:type="dxa"/>
              <w:right w:w="28" w:type="dxa"/>
            </w:tcMar>
            <w:vAlign w:val="center"/>
            <w:hideMark/>
          </w:tcPr>
          <w:p w14:paraId="6E975521" w14:textId="423EAB4E" w:rsidR="00E95955" w:rsidRPr="00E95955" w:rsidRDefault="00E95955" w:rsidP="00E95955">
            <w:pPr>
              <w:jc w:val="right"/>
              <w:rPr>
                <w:color w:val="000000"/>
                <w:sz w:val="20"/>
                <w:szCs w:val="20"/>
              </w:rPr>
            </w:pPr>
            <w:r w:rsidRPr="00E95955">
              <w:rPr>
                <w:color w:val="000000"/>
                <w:sz w:val="20"/>
                <w:szCs w:val="20"/>
              </w:rPr>
              <w:t>0.11</w:t>
            </w:r>
          </w:p>
        </w:tc>
        <w:tc>
          <w:tcPr>
            <w:tcW w:w="259" w:type="pct"/>
            <w:tcBorders>
              <w:top w:val="nil"/>
              <w:left w:val="nil"/>
              <w:right w:val="nil"/>
            </w:tcBorders>
            <w:shd w:val="clear" w:color="auto" w:fill="auto"/>
            <w:noWrap/>
            <w:tcMar>
              <w:left w:w="28" w:type="dxa"/>
              <w:right w:w="28" w:type="dxa"/>
            </w:tcMar>
            <w:vAlign w:val="center"/>
            <w:hideMark/>
          </w:tcPr>
          <w:p w14:paraId="3EA9D1EB" w14:textId="77777777" w:rsidR="00E95955" w:rsidRPr="00E95955" w:rsidRDefault="00E95955" w:rsidP="00E95955">
            <w:pPr>
              <w:jc w:val="right"/>
              <w:rPr>
                <w:color w:val="000000"/>
                <w:sz w:val="20"/>
                <w:szCs w:val="20"/>
              </w:rPr>
            </w:pPr>
          </w:p>
        </w:tc>
      </w:tr>
      <w:tr w:rsidR="00A94550" w:rsidRPr="00E95955" w14:paraId="54528071" w14:textId="77777777" w:rsidTr="00A94550">
        <w:trPr>
          <w:trHeight w:val="228"/>
        </w:trPr>
        <w:tc>
          <w:tcPr>
            <w:tcW w:w="156" w:type="pct"/>
            <w:tcBorders>
              <w:top w:val="nil"/>
              <w:left w:val="nil"/>
              <w:bottom w:val="single" w:sz="4" w:space="0" w:color="auto"/>
              <w:right w:val="nil"/>
            </w:tcBorders>
            <w:shd w:val="clear" w:color="auto" w:fill="auto"/>
            <w:noWrap/>
            <w:tcMar>
              <w:left w:w="28" w:type="dxa"/>
              <w:right w:w="28" w:type="dxa"/>
            </w:tcMar>
            <w:vAlign w:val="center"/>
            <w:hideMark/>
          </w:tcPr>
          <w:p w14:paraId="1DFE42F3" w14:textId="77777777" w:rsidR="00E95955" w:rsidRPr="00E95955" w:rsidRDefault="00E95955" w:rsidP="00E95955">
            <w:pPr>
              <w:jc w:val="right"/>
              <w:rPr>
                <w:color w:val="000000"/>
                <w:sz w:val="20"/>
                <w:szCs w:val="20"/>
              </w:rPr>
            </w:pPr>
            <w:r w:rsidRPr="00E95955">
              <w:rPr>
                <w:color w:val="000000"/>
                <w:sz w:val="20"/>
                <w:szCs w:val="20"/>
              </w:rPr>
              <w:t>11</w:t>
            </w:r>
          </w:p>
        </w:tc>
        <w:tc>
          <w:tcPr>
            <w:tcW w:w="944" w:type="pct"/>
            <w:tcBorders>
              <w:top w:val="nil"/>
              <w:left w:val="nil"/>
              <w:bottom w:val="single" w:sz="4" w:space="0" w:color="auto"/>
              <w:right w:val="nil"/>
            </w:tcBorders>
            <w:shd w:val="clear" w:color="auto" w:fill="auto"/>
            <w:noWrap/>
            <w:tcMar>
              <w:left w:w="28" w:type="dxa"/>
              <w:right w:w="28" w:type="dxa"/>
            </w:tcMar>
            <w:vAlign w:val="center"/>
            <w:hideMark/>
          </w:tcPr>
          <w:p w14:paraId="3E5B23E4" w14:textId="77777777" w:rsidR="00E95955" w:rsidRPr="00E95955" w:rsidRDefault="00E95955" w:rsidP="00E95955">
            <w:pPr>
              <w:rPr>
                <w:color w:val="000000"/>
                <w:sz w:val="20"/>
                <w:szCs w:val="20"/>
              </w:rPr>
            </w:pPr>
            <w:r w:rsidRPr="00E95955">
              <w:rPr>
                <w:color w:val="000000"/>
                <w:sz w:val="20"/>
                <w:szCs w:val="20"/>
              </w:rPr>
              <w:t>Sectoral growth</w:t>
            </w:r>
          </w:p>
        </w:tc>
        <w:tc>
          <w:tcPr>
            <w:tcW w:w="307" w:type="pct"/>
            <w:tcBorders>
              <w:top w:val="nil"/>
              <w:left w:val="nil"/>
              <w:bottom w:val="single" w:sz="4" w:space="0" w:color="auto"/>
              <w:right w:val="nil"/>
            </w:tcBorders>
            <w:shd w:val="clear" w:color="auto" w:fill="auto"/>
            <w:noWrap/>
            <w:tcMar>
              <w:left w:w="28" w:type="dxa"/>
              <w:right w:w="28" w:type="dxa"/>
            </w:tcMar>
            <w:vAlign w:val="center"/>
            <w:hideMark/>
          </w:tcPr>
          <w:p w14:paraId="497CC3D6" w14:textId="71970FEB" w:rsidR="00E95955" w:rsidRPr="00E95955" w:rsidRDefault="00E95955" w:rsidP="00E95955">
            <w:pPr>
              <w:jc w:val="right"/>
              <w:rPr>
                <w:color w:val="000000"/>
                <w:sz w:val="20"/>
                <w:szCs w:val="20"/>
              </w:rPr>
            </w:pPr>
            <w:r w:rsidRPr="00E95955">
              <w:rPr>
                <w:color w:val="000000"/>
                <w:sz w:val="20"/>
                <w:szCs w:val="20"/>
              </w:rPr>
              <w:t>22.43</w:t>
            </w:r>
          </w:p>
        </w:tc>
        <w:tc>
          <w:tcPr>
            <w:tcW w:w="343" w:type="pct"/>
            <w:tcBorders>
              <w:top w:val="nil"/>
              <w:left w:val="nil"/>
              <w:bottom w:val="single" w:sz="4" w:space="0" w:color="auto"/>
              <w:right w:val="nil"/>
            </w:tcBorders>
            <w:shd w:val="clear" w:color="auto" w:fill="auto"/>
            <w:noWrap/>
            <w:tcMar>
              <w:left w:w="28" w:type="dxa"/>
              <w:right w:w="28" w:type="dxa"/>
            </w:tcMar>
            <w:vAlign w:val="center"/>
            <w:hideMark/>
          </w:tcPr>
          <w:p w14:paraId="5271B2B2" w14:textId="06AD4720" w:rsidR="00E95955" w:rsidRPr="00E95955" w:rsidRDefault="00E95955" w:rsidP="00E95955">
            <w:pPr>
              <w:jc w:val="right"/>
              <w:rPr>
                <w:color w:val="000000"/>
                <w:sz w:val="20"/>
                <w:szCs w:val="20"/>
              </w:rPr>
            </w:pPr>
            <w:r w:rsidRPr="00E95955">
              <w:rPr>
                <w:color w:val="000000"/>
                <w:sz w:val="20"/>
                <w:szCs w:val="20"/>
              </w:rPr>
              <w:t>499.56</w:t>
            </w:r>
          </w:p>
        </w:tc>
        <w:tc>
          <w:tcPr>
            <w:tcW w:w="287" w:type="pct"/>
            <w:tcBorders>
              <w:top w:val="nil"/>
              <w:left w:val="nil"/>
              <w:bottom w:val="single" w:sz="4" w:space="0" w:color="auto"/>
              <w:right w:val="nil"/>
            </w:tcBorders>
            <w:shd w:val="clear" w:color="auto" w:fill="auto"/>
            <w:noWrap/>
            <w:tcMar>
              <w:left w:w="28" w:type="dxa"/>
              <w:right w:w="28" w:type="dxa"/>
            </w:tcMar>
            <w:vAlign w:val="center"/>
            <w:hideMark/>
          </w:tcPr>
          <w:p w14:paraId="6EE13B37" w14:textId="2BFA4D6C" w:rsidR="00E95955" w:rsidRPr="00E95955" w:rsidRDefault="00E95955" w:rsidP="00E95955">
            <w:pPr>
              <w:jc w:val="right"/>
              <w:rPr>
                <w:color w:val="000000"/>
                <w:sz w:val="20"/>
                <w:szCs w:val="20"/>
              </w:rPr>
            </w:pPr>
            <w:r w:rsidRPr="00E95955">
              <w:rPr>
                <w:color w:val="000000"/>
                <w:sz w:val="20"/>
                <w:szCs w:val="20"/>
              </w:rPr>
              <w:t>-99.67</w:t>
            </w:r>
          </w:p>
        </w:tc>
        <w:tc>
          <w:tcPr>
            <w:tcW w:w="380" w:type="pct"/>
            <w:tcBorders>
              <w:top w:val="nil"/>
              <w:left w:val="nil"/>
              <w:bottom w:val="single" w:sz="4" w:space="0" w:color="auto"/>
              <w:right w:val="nil"/>
            </w:tcBorders>
            <w:shd w:val="clear" w:color="auto" w:fill="auto"/>
            <w:noWrap/>
            <w:tcMar>
              <w:left w:w="28" w:type="dxa"/>
              <w:right w:w="28" w:type="dxa"/>
            </w:tcMar>
            <w:vAlign w:val="center"/>
            <w:hideMark/>
          </w:tcPr>
          <w:p w14:paraId="51A9A40A" w14:textId="0879CE47" w:rsidR="00E95955" w:rsidRPr="00E95955" w:rsidRDefault="00E95955" w:rsidP="00E95955">
            <w:pPr>
              <w:jc w:val="right"/>
              <w:rPr>
                <w:color w:val="000000"/>
                <w:sz w:val="20"/>
                <w:szCs w:val="20"/>
              </w:rPr>
            </w:pPr>
            <w:r w:rsidRPr="00E95955">
              <w:rPr>
                <w:color w:val="000000"/>
                <w:sz w:val="20"/>
                <w:szCs w:val="20"/>
              </w:rPr>
              <w:t>12806.74</w:t>
            </w:r>
          </w:p>
        </w:tc>
        <w:tc>
          <w:tcPr>
            <w:tcW w:w="252" w:type="pct"/>
            <w:tcBorders>
              <w:top w:val="nil"/>
              <w:left w:val="nil"/>
              <w:bottom w:val="single" w:sz="4" w:space="0" w:color="auto"/>
              <w:right w:val="nil"/>
            </w:tcBorders>
            <w:shd w:val="clear" w:color="auto" w:fill="auto"/>
            <w:noWrap/>
            <w:tcMar>
              <w:left w:w="28" w:type="dxa"/>
              <w:right w:w="28" w:type="dxa"/>
            </w:tcMar>
            <w:vAlign w:val="center"/>
            <w:hideMark/>
          </w:tcPr>
          <w:p w14:paraId="74070599" w14:textId="30769EC4" w:rsidR="00E95955" w:rsidRPr="00E95955" w:rsidRDefault="00E95955" w:rsidP="00E95955">
            <w:pPr>
              <w:jc w:val="right"/>
              <w:rPr>
                <w:color w:val="000000"/>
                <w:sz w:val="20"/>
                <w:szCs w:val="20"/>
              </w:rPr>
            </w:pPr>
            <w:r w:rsidRPr="00E95955">
              <w:rPr>
                <w:color w:val="000000"/>
                <w:sz w:val="20"/>
                <w:szCs w:val="20"/>
              </w:rPr>
              <w:t>-0.04</w:t>
            </w:r>
          </w:p>
        </w:tc>
        <w:tc>
          <w:tcPr>
            <w:tcW w:w="259" w:type="pct"/>
            <w:tcBorders>
              <w:top w:val="nil"/>
              <w:left w:val="nil"/>
              <w:bottom w:val="single" w:sz="4" w:space="0" w:color="auto"/>
              <w:right w:val="nil"/>
            </w:tcBorders>
            <w:shd w:val="clear" w:color="auto" w:fill="auto"/>
            <w:noWrap/>
            <w:tcMar>
              <w:left w:w="28" w:type="dxa"/>
              <w:right w:w="28" w:type="dxa"/>
            </w:tcMar>
            <w:vAlign w:val="center"/>
            <w:hideMark/>
          </w:tcPr>
          <w:p w14:paraId="4C6EA2FC" w14:textId="3CDD3A9D" w:rsidR="00E95955" w:rsidRPr="00E95955" w:rsidRDefault="00E95955" w:rsidP="00E95955">
            <w:pPr>
              <w:jc w:val="right"/>
              <w:rPr>
                <w:color w:val="000000"/>
                <w:sz w:val="20"/>
                <w:szCs w:val="20"/>
              </w:rPr>
            </w:pPr>
            <w:r w:rsidRPr="00E95955">
              <w:rPr>
                <w:color w:val="000000"/>
                <w:sz w:val="20"/>
                <w:szCs w:val="20"/>
              </w:rPr>
              <w:t>0</w:t>
            </w:r>
          </w:p>
        </w:tc>
        <w:tc>
          <w:tcPr>
            <w:tcW w:w="259" w:type="pct"/>
            <w:tcBorders>
              <w:top w:val="nil"/>
              <w:left w:val="nil"/>
              <w:bottom w:val="single" w:sz="4" w:space="0" w:color="auto"/>
              <w:right w:val="nil"/>
            </w:tcBorders>
            <w:shd w:val="clear" w:color="auto" w:fill="auto"/>
            <w:noWrap/>
            <w:tcMar>
              <w:left w:w="28" w:type="dxa"/>
              <w:right w:w="28" w:type="dxa"/>
            </w:tcMar>
            <w:vAlign w:val="center"/>
            <w:hideMark/>
          </w:tcPr>
          <w:p w14:paraId="4B6F86AC" w14:textId="3E698CBB" w:rsidR="00E95955" w:rsidRPr="00E95955" w:rsidRDefault="00E95955" w:rsidP="00E95955">
            <w:pPr>
              <w:jc w:val="right"/>
              <w:rPr>
                <w:color w:val="000000"/>
                <w:sz w:val="20"/>
                <w:szCs w:val="20"/>
              </w:rPr>
            </w:pPr>
            <w:r w:rsidRPr="00E95955">
              <w:rPr>
                <w:color w:val="000000"/>
                <w:sz w:val="20"/>
                <w:szCs w:val="20"/>
              </w:rPr>
              <w:t>-0.05</w:t>
            </w:r>
          </w:p>
        </w:tc>
        <w:tc>
          <w:tcPr>
            <w:tcW w:w="259" w:type="pct"/>
            <w:tcBorders>
              <w:top w:val="nil"/>
              <w:left w:val="nil"/>
              <w:bottom w:val="single" w:sz="4" w:space="0" w:color="auto"/>
              <w:right w:val="nil"/>
            </w:tcBorders>
            <w:shd w:val="clear" w:color="auto" w:fill="auto"/>
            <w:noWrap/>
            <w:tcMar>
              <w:left w:w="28" w:type="dxa"/>
              <w:right w:w="28" w:type="dxa"/>
            </w:tcMar>
            <w:vAlign w:val="center"/>
            <w:hideMark/>
          </w:tcPr>
          <w:p w14:paraId="108E4842" w14:textId="6D1BB84C" w:rsidR="00E95955" w:rsidRPr="00E95955" w:rsidRDefault="00E95955" w:rsidP="00E95955">
            <w:pPr>
              <w:jc w:val="right"/>
              <w:rPr>
                <w:color w:val="000000"/>
                <w:sz w:val="20"/>
                <w:szCs w:val="20"/>
              </w:rPr>
            </w:pPr>
            <w:r w:rsidRPr="00E95955">
              <w:rPr>
                <w:color w:val="000000"/>
                <w:sz w:val="20"/>
                <w:szCs w:val="20"/>
              </w:rPr>
              <w:t>-0.06</w:t>
            </w:r>
          </w:p>
        </w:tc>
        <w:tc>
          <w:tcPr>
            <w:tcW w:w="259" w:type="pct"/>
            <w:tcBorders>
              <w:top w:val="nil"/>
              <w:left w:val="nil"/>
              <w:bottom w:val="single" w:sz="4" w:space="0" w:color="auto"/>
              <w:right w:val="nil"/>
            </w:tcBorders>
            <w:shd w:val="clear" w:color="auto" w:fill="auto"/>
            <w:noWrap/>
            <w:tcMar>
              <w:left w:w="28" w:type="dxa"/>
              <w:right w:w="28" w:type="dxa"/>
            </w:tcMar>
            <w:vAlign w:val="center"/>
            <w:hideMark/>
          </w:tcPr>
          <w:p w14:paraId="3D76C24D" w14:textId="764DA63F" w:rsidR="00E95955" w:rsidRPr="00E95955" w:rsidRDefault="00E95955" w:rsidP="00E95955">
            <w:pPr>
              <w:jc w:val="right"/>
              <w:rPr>
                <w:color w:val="000000"/>
                <w:sz w:val="20"/>
                <w:szCs w:val="20"/>
              </w:rPr>
            </w:pPr>
            <w:r w:rsidRPr="00E95955">
              <w:rPr>
                <w:color w:val="000000"/>
                <w:sz w:val="20"/>
                <w:szCs w:val="20"/>
              </w:rPr>
              <w:t>0.01</w:t>
            </w:r>
          </w:p>
        </w:tc>
        <w:tc>
          <w:tcPr>
            <w:tcW w:w="259" w:type="pct"/>
            <w:tcBorders>
              <w:top w:val="nil"/>
              <w:left w:val="nil"/>
              <w:bottom w:val="single" w:sz="4" w:space="0" w:color="auto"/>
              <w:right w:val="nil"/>
            </w:tcBorders>
            <w:shd w:val="clear" w:color="auto" w:fill="auto"/>
            <w:noWrap/>
            <w:tcMar>
              <w:left w:w="28" w:type="dxa"/>
              <w:right w:w="28" w:type="dxa"/>
            </w:tcMar>
            <w:vAlign w:val="center"/>
            <w:hideMark/>
          </w:tcPr>
          <w:p w14:paraId="1008D1E7" w14:textId="5374F5DD" w:rsidR="00E95955" w:rsidRPr="00E95955" w:rsidRDefault="00E95955" w:rsidP="00E95955">
            <w:pPr>
              <w:jc w:val="right"/>
              <w:rPr>
                <w:color w:val="000000"/>
                <w:sz w:val="20"/>
                <w:szCs w:val="20"/>
              </w:rPr>
            </w:pPr>
            <w:r w:rsidRPr="00E95955">
              <w:rPr>
                <w:color w:val="000000"/>
                <w:sz w:val="20"/>
                <w:szCs w:val="20"/>
              </w:rPr>
              <w:t>0.08</w:t>
            </w:r>
          </w:p>
        </w:tc>
        <w:tc>
          <w:tcPr>
            <w:tcW w:w="259" w:type="pct"/>
            <w:tcBorders>
              <w:top w:val="nil"/>
              <w:left w:val="nil"/>
              <w:bottom w:val="single" w:sz="4" w:space="0" w:color="auto"/>
              <w:right w:val="nil"/>
            </w:tcBorders>
            <w:shd w:val="clear" w:color="auto" w:fill="auto"/>
            <w:noWrap/>
            <w:tcMar>
              <w:left w:w="28" w:type="dxa"/>
              <w:right w:w="28" w:type="dxa"/>
            </w:tcMar>
            <w:vAlign w:val="center"/>
            <w:hideMark/>
          </w:tcPr>
          <w:p w14:paraId="3D693ACC" w14:textId="790AA9A1" w:rsidR="00E95955" w:rsidRPr="00E95955" w:rsidRDefault="00E95955" w:rsidP="00E95955">
            <w:pPr>
              <w:jc w:val="right"/>
              <w:rPr>
                <w:color w:val="000000"/>
                <w:sz w:val="20"/>
                <w:szCs w:val="20"/>
              </w:rPr>
            </w:pPr>
            <w:r w:rsidRPr="00E95955">
              <w:rPr>
                <w:color w:val="000000"/>
                <w:sz w:val="20"/>
                <w:szCs w:val="20"/>
              </w:rPr>
              <w:t>0.12</w:t>
            </w:r>
          </w:p>
        </w:tc>
        <w:tc>
          <w:tcPr>
            <w:tcW w:w="259" w:type="pct"/>
            <w:tcBorders>
              <w:top w:val="nil"/>
              <w:left w:val="nil"/>
              <w:bottom w:val="single" w:sz="4" w:space="0" w:color="auto"/>
              <w:right w:val="nil"/>
            </w:tcBorders>
            <w:shd w:val="clear" w:color="auto" w:fill="auto"/>
            <w:noWrap/>
            <w:tcMar>
              <w:left w:w="28" w:type="dxa"/>
              <w:right w:w="28" w:type="dxa"/>
            </w:tcMar>
            <w:vAlign w:val="center"/>
            <w:hideMark/>
          </w:tcPr>
          <w:p w14:paraId="09018093" w14:textId="785416CF" w:rsidR="00E95955" w:rsidRPr="00E95955" w:rsidRDefault="00E95955" w:rsidP="00E95955">
            <w:pPr>
              <w:jc w:val="right"/>
              <w:rPr>
                <w:color w:val="000000"/>
                <w:sz w:val="20"/>
                <w:szCs w:val="20"/>
              </w:rPr>
            </w:pPr>
            <w:r w:rsidRPr="00E95955">
              <w:rPr>
                <w:color w:val="000000"/>
                <w:sz w:val="20"/>
                <w:szCs w:val="20"/>
              </w:rPr>
              <w:t>0.04</w:t>
            </w:r>
          </w:p>
        </w:tc>
        <w:tc>
          <w:tcPr>
            <w:tcW w:w="259" w:type="pct"/>
            <w:tcBorders>
              <w:top w:val="nil"/>
              <w:left w:val="nil"/>
              <w:bottom w:val="single" w:sz="4" w:space="0" w:color="auto"/>
              <w:right w:val="nil"/>
            </w:tcBorders>
            <w:shd w:val="clear" w:color="auto" w:fill="auto"/>
            <w:noWrap/>
            <w:tcMar>
              <w:left w:w="28" w:type="dxa"/>
              <w:right w:w="28" w:type="dxa"/>
            </w:tcMar>
            <w:vAlign w:val="center"/>
            <w:hideMark/>
          </w:tcPr>
          <w:p w14:paraId="19AE406D" w14:textId="78219A82" w:rsidR="00E95955" w:rsidRPr="00E95955" w:rsidRDefault="00E95955" w:rsidP="00E95955">
            <w:pPr>
              <w:jc w:val="right"/>
              <w:rPr>
                <w:color w:val="000000"/>
                <w:sz w:val="20"/>
                <w:szCs w:val="20"/>
              </w:rPr>
            </w:pPr>
            <w:r w:rsidRPr="00E95955">
              <w:rPr>
                <w:color w:val="000000"/>
                <w:sz w:val="20"/>
                <w:szCs w:val="20"/>
              </w:rPr>
              <w:t>0.04</w:t>
            </w:r>
          </w:p>
        </w:tc>
        <w:tc>
          <w:tcPr>
            <w:tcW w:w="259" w:type="pct"/>
            <w:tcBorders>
              <w:top w:val="nil"/>
              <w:left w:val="nil"/>
              <w:bottom w:val="single" w:sz="4" w:space="0" w:color="auto"/>
              <w:right w:val="nil"/>
            </w:tcBorders>
            <w:shd w:val="clear" w:color="auto" w:fill="auto"/>
            <w:noWrap/>
            <w:tcMar>
              <w:left w:w="28" w:type="dxa"/>
              <w:right w:w="28" w:type="dxa"/>
            </w:tcMar>
            <w:vAlign w:val="center"/>
            <w:hideMark/>
          </w:tcPr>
          <w:p w14:paraId="4CEA51D7" w14:textId="4E3492CF" w:rsidR="00E95955" w:rsidRPr="00E95955" w:rsidRDefault="00E95955" w:rsidP="00E95955">
            <w:pPr>
              <w:jc w:val="right"/>
              <w:rPr>
                <w:color w:val="000000"/>
                <w:sz w:val="20"/>
                <w:szCs w:val="20"/>
              </w:rPr>
            </w:pPr>
            <w:r w:rsidRPr="00E95955">
              <w:rPr>
                <w:color w:val="000000"/>
                <w:sz w:val="20"/>
                <w:szCs w:val="20"/>
              </w:rPr>
              <w:t>-0.01</w:t>
            </w:r>
          </w:p>
        </w:tc>
      </w:tr>
    </w:tbl>
    <w:p w14:paraId="49C57A5F" w14:textId="37F46DF9" w:rsidR="006D2DE7" w:rsidRDefault="006D2DE7" w:rsidP="0046435D">
      <w:pPr>
        <w:spacing w:line="360" w:lineRule="auto"/>
        <w:rPr>
          <w:color w:val="000000"/>
          <w:lang w:eastAsia="x-none"/>
        </w:rPr>
      </w:pPr>
    </w:p>
    <w:p w14:paraId="05B7EE9D" w14:textId="77777777" w:rsidR="006D2DE7" w:rsidRDefault="006D2DE7" w:rsidP="00837407">
      <w:pPr>
        <w:sectPr w:rsidR="006D2DE7" w:rsidSect="00806AA5">
          <w:pgSz w:w="16838" w:h="11906" w:orient="landscape"/>
          <w:pgMar w:top="1304" w:right="1304" w:bottom="1304" w:left="1304" w:header="709" w:footer="709" w:gutter="0"/>
          <w:cols w:space="708"/>
          <w:docGrid w:linePitch="360"/>
        </w:sectPr>
      </w:pPr>
    </w:p>
    <w:p w14:paraId="352F40DC" w14:textId="77777777" w:rsidR="0028138C" w:rsidRDefault="0028138C" w:rsidP="0028138C">
      <w:bookmarkStart w:id="28" w:name="_Hlk48069638"/>
      <w:r w:rsidRPr="003F0AC6">
        <w:lastRenderedPageBreak/>
        <w:t xml:space="preserve">Table 2: Estimation of </w:t>
      </w:r>
      <w:bookmarkStart w:id="29" w:name="_Hlk47866035"/>
      <w:r w:rsidRPr="003F0AC6">
        <w:t>Export re-entry probability</w:t>
      </w:r>
      <w:bookmarkEnd w:id="29"/>
    </w:p>
    <w:tbl>
      <w:tblPr>
        <w:tblW w:w="8430" w:type="dxa"/>
        <w:jc w:val="center"/>
        <w:tblLayout w:type="fixed"/>
        <w:tblCellMar>
          <w:left w:w="75" w:type="dxa"/>
          <w:right w:w="75" w:type="dxa"/>
        </w:tblCellMar>
        <w:tblLook w:val="0000" w:firstRow="0" w:lastRow="0" w:firstColumn="0" w:lastColumn="0" w:noHBand="0" w:noVBand="0"/>
      </w:tblPr>
      <w:tblGrid>
        <w:gridCol w:w="4768"/>
        <w:gridCol w:w="1831"/>
        <w:gridCol w:w="1831"/>
      </w:tblGrid>
      <w:tr w:rsidR="0028138C" w14:paraId="736F2A73" w14:textId="77777777" w:rsidTr="004C15E4">
        <w:trPr>
          <w:trHeight w:val="278"/>
          <w:jc w:val="center"/>
        </w:trPr>
        <w:tc>
          <w:tcPr>
            <w:tcW w:w="4768" w:type="dxa"/>
            <w:tcBorders>
              <w:top w:val="single" w:sz="4" w:space="0" w:color="auto"/>
              <w:left w:val="nil"/>
              <w:bottom w:val="single" w:sz="6" w:space="0" w:color="auto"/>
              <w:right w:val="nil"/>
            </w:tcBorders>
          </w:tcPr>
          <w:p w14:paraId="70D7F97B" w14:textId="77777777" w:rsidR="0028138C" w:rsidRDefault="0028138C" w:rsidP="004C15E4">
            <w:pPr>
              <w:widowControl w:val="0"/>
              <w:autoSpaceDE w:val="0"/>
              <w:autoSpaceDN w:val="0"/>
              <w:adjustRightInd w:val="0"/>
            </w:pPr>
          </w:p>
        </w:tc>
        <w:tc>
          <w:tcPr>
            <w:tcW w:w="1831" w:type="dxa"/>
            <w:tcBorders>
              <w:top w:val="single" w:sz="4" w:space="0" w:color="auto"/>
              <w:left w:val="nil"/>
              <w:bottom w:val="single" w:sz="6" w:space="0" w:color="auto"/>
              <w:right w:val="nil"/>
            </w:tcBorders>
          </w:tcPr>
          <w:p w14:paraId="288AE16A" w14:textId="77777777" w:rsidR="0028138C" w:rsidRDefault="0028138C" w:rsidP="004C15E4">
            <w:pPr>
              <w:widowControl w:val="0"/>
              <w:autoSpaceDE w:val="0"/>
              <w:autoSpaceDN w:val="0"/>
              <w:adjustRightInd w:val="0"/>
              <w:jc w:val="center"/>
            </w:pPr>
            <w:r w:rsidRPr="0009380E">
              <w:t>(</w:t>
            </w:r>
            <w:r>
              <w:t>2.</w:t>
            </w:r>
            <w:r w:rsidRPr="0009380E">
              <w:t>1)</w:t>
            </w:r>
          </w:p>
        </w:tc>
        <w:tc>
          <w:tcPr>
            <w:tcW w:w="1831" w:type="dxa"/>
            <w:tcBorders>
              <w:top w:val="single" w:sz="4" w:space="0" w:color="auto"/>
              <w:left w:val="nil"/>
              <w:bottom w:val="single" w:sz="6" w:space="0" w:color="auto"/>
              <w:right w:val="nil"/>
            </w:tcBorders>
          </w:tcPr>
          <w:p w14:paraId="72F6718D" w14:textId="77777777" w:rsidR="0028138C" w:rsidRDefault="0028138C" w:rsidP="004C15E4">
            <w:pPr>
              <w:widowControl w:val="0"/>
              <w:autoSpaceDE w:val="0"/>
              <w:autoSpaceDN w:val="0"/>
              <w:adjustRightInd w:val="0"/>
              <w:jc w:val="center"/>
            </w:pPr>
            <w:r w:rsidRPr="0009380E">
              <w:t>(</w:t>
            </w:r>
            <w:r>
              <w:t>2.</w:t>
            </w:r>
            <w:r w:rsidRPr="0009380E">
              <w:t>2)</w:t>
            </w:r>
          </w:p>
        </w:tc>
      </w:tr>
      <w:tr w:rsidR="0028138C" w14:paraId="6B798493" w14:textId="77777777" w:rsidTr="004C15E4">
        <w:trPr>
          <w:trHeight w:val="278"/>
          <w:jc w:val="center"/>
        </w:trPr>
        <w:tc>
          <w:tcPr>
            <w:tcW w:w="4768" w:type="dxa"/>
            <w:tcBorders>
              <w:top w:val="nil"/>
              <w:left w:val="nil"/>
              <w:bottom w:val="nil"/>
              <w:right w:val="nil"/>
            </w:tcBorders>
          </w:tcPr>
          <w:p w14:paraId="0ABC8447" w14:textId="77777777" w:rsidR="0028138C" w:rsidRDefault="0028138C" w:rsidP="004C15E4">
            <w:pPr>
              <w:widowControl w:val="0"/>
              <w:autoSpaceDE w:val="0"/>
              <w:autoSpaceDN w:val="0"/>
              <w:adjustRightInd w:val="0"/>
            </w:pPr>
          </w:p>
        </w:tc>
        <w:tc>
          <w:tcPr>
            <w:tcW w:w="1831" w:type="dxa"/>
            <w:tcBorders>
              <w:top w:val="nil"/>
              <w:left w:val="nil"/>
              <w:bottom w:val="nil"/>
              <w:right w:val="nil"/>
            </w:tcBorders>
          </w:tcPr>
          <w:p w14:paraId="7D2B4D10" w14:textId="77777777" w:rsidR="0028138C" w:rsidRDefault="0028138C" w:rsidP="004C15E4">
            <w:pPr>
              <w:widowControl w:val="0"/>
              <w:autoSpaceDE w:val="0"/>
              <w:autoSpaceDN w:val="0"/>
              <w:adjustRightInd w:val="0"/>
              <w:jc w:val="center"/>
            </w:pPr>
          </w:p>
        </w:tc>
        <w:tc>
          <w:tcPr>
            <w:tcW w:w="1831" w:type="dxa"/>
            <w:tcBorders>
              <w:top w:val="nil"/>
              <w:left w:val="nil"/>
              <w:bottom w:val="nil"/>
              <w:right w:val="nil"/>
            </w:tcBorders>
          </w:tcPr>
          <w:p w14:paraId="013864A3" w14:textId="77777777" w:rsidR="0028138C" w:rsidRDefault="0028138C" w:rsidP="004C15E4">
            <w:pPr>
              <w:widowControl w:val="0"/>
              <w:autoSpaceDE w:val="0"/>
              <w:autoSpaceDN w:val="0"/>
              <w:adjustRightInd w:val="0"/>
              <w:jc w:val="center"/>
            </w:pPr>
          </w:p>
        </w:tc>
      </w:tr>
      <w:tr w:rsidR="00A3253C" w14:paraId="169DD798" w14:textId="77777777" w:rsidTr="004C15E4">
        <w:trPr>
          <w:trHeight w:val="278"/>
          <w:jc w:val="center"/>
        </w:trPr>
        <w:tc>
          <w:tcPr>
            <w:tcW w:w="4768" w:type="dxa"/>
            <w:tcBorders>
              <w:top w:val="nil"/>
              <w:left w:val="nil"/>
              <w:bottom w:val="nil"/>
              <w:right w:val="nil"/>
            </w:tcBorders>
          </w:tcPr>
          <w:p w14:paraId="2FDFE08F" w14:textId="1912C68C" w:rsidR="00A3253C" w:rsidRDefault="00A3253C" w:rsidP="00A3253C">
            <w:pPr>
              <w:widowControl w:val="0"/>
              <w:autoSpaceDE w:val="0"/>
              <w:autoSpaceDN w:val="0"/>
              <w:adjustRightInd w:val="0"/>
            </w:pPr>
            <w:r>
              <w:t>Time-out</w:t>
            </w:r>
          </w:p>
        </w:tc>
        <w:tc>
          <w:tcPr>
            <w:tcW w:w="1831" w:type="dxa"/>
            <w:tcBorders>
              <w:top w:val="nil"/>
              <w:left w:val="nil"/>
              <w:bottom w:val="nil"/>
              <w:right w:val="nil"/>
            </w:tcBorders>
          </w:tcPr>
          <w:p w14:paraId="3AB69535" w14:textId="1E7F01C4" w:rsidR="00A3253C" w:rsidRDefault="00A3253C" w:rsidP="00A3253C">
            <w:pPr>
              <w:widowControl w:val="0"/>
              <w:autoSpaceDE w:val="0"/>
              <w:autoSpaceDN w:val="0"/>
              <w:adjustRightInd w:val="0"/>
              <w:jc w:val="center"/>
            </w:pPr>
            <w:r w:rsidRPr="004838D2">
              <w:t>2.339***</w:t>
            </w:r>
          </w:p>
        </w:tc>
        <w:tc>
          <w:tcPr>
            <w:tcW w:w="1831" w:type="dxa"/>
            <w:tcBorders>
              <w:top w:val="nil"/>
              <w:left w:val="nil"/>
              <w:bottom w:val="nil"/>
              <w:right w:val="nil"/>
            </w:tcBorders>
          </w:tcPr>
          <w:p w14:paraId="0986E222" w14:textId="097383D7" w:rsidR="00A3253C" w:rsidRDefault="00A3253C" w:rsidP="00A3253C">
            <w:pPr>
              <w:widowControl w:val="0"/>
              <w:autoSpaceDE w:val="0"/>
              <w:autoSpaceDN w:val="0"/>
              <w:adjustRightInd w:val="0"/>
              <w:jc w:val="center"/>
            </w:pPr>
            <w:r w:rsidRPr="004838D2">
              <w:t>2.382***</w:t>
            </w:r>
          </w:p>
        </w:tc>
      </w:tr>
      <w:tr w:rsidR="00A3253C" w14:paraId="37D564D1" w14:textId="77777777" w:rsidTr="004C15E4">
        <w:trPr>
          <w:trHeight w:val="278"/>
          <w:jc w:val="center"/>
        </w:trPr>
        <w:tc>
          <w:tcPr>
            <w:tcW w:w="4768" w:type="dxa"/>
            <w:tcBorders>
              <w:top w:val="nil"/>
              <w:left w:val="nil"/>
              <w:bottom w:val="nil"/>
              <w:right w:val="nil"/>
            </w:tcBorders>
          </w:tcPr>
          <w:p w14:paraId="4064A042" w14:textId="77777777" w:rsidR="00A3253C" w:rsidRDefault="00A3253C" w:rsidP="00A3253C">
            <w:pPr>
              <w:widowControl w:val="0"/>
              <w:autoSpaceDE w:val="0"/>
              <w:autoSpaceDN w:val="0"/>
              <w:adjustRightInd w:val="0"/>
            </w:pPr>
          </w:p>
        </w:tc>
        <w:tc>
          <w:tcPr>
            <w:tcW w:w="1831" w:type="dxa"/>
            <w:tcBorders>
              <w:top w:val="nil"/>
              <w:left w:val="nil"/>
              <w:bottom w:val="nil"/>
              <w:right w:val="nil"/>
            </w:tcBorders>
          </w:tcPr>
          <w:p w14:paraId="6F64ED19" w14:textId="2F957518" w:rsidR="00A3253C" w:rsidRDefault="00A3253C" w:rsidP="00A3253C">
            <w:pPr>
              <w:widowControl w:val="0"/>
              <w:autoSpaceDE w:val="0"/>
              <w:autoSpaceDN w:val="0"/>
              <w:adjustRightInd w:val="0"/>
              <w:jc w:val="center"/>
            </w:pPr>
            <w:r w:rsidRPr="004838D2">
              <w:t>(0.368)</w:t>
            </w:r>
          </w:p>
        </w:tc>
        <w:tc>
          <w:tcPr>
            <w:tcW w:w="1831" w:type="dxa"/>
            <w:tcBorders>
              <w:top w:val="nil"/>
              <w:left w:val="nil"/>
              <w:bottom w:val="nil"/>
              <w:right w:val="nil"/>
            </w:tcBorders>
          </w:tcPr>
          <w:p w14:paraId="0DE8D238" w14:textId="13B9F715" w:rsidR="00A3253C" w:rsidRDefault="00A3253C" w:rsidP="00A3253C">
            <w:pPr>
              <w:widowControl w:val="0"/>
              <w:autoSpaceDE w:val="0"/>
              <w:autoSpaceDN w:val="0"/>
              <w:adjustRightInd w:val="0"/>
              <w:jc w:val="center"/>
            </w:pPr>
            <w:r w:rsidRPr="004838D2">
              <w:t>(0.377)</w:t>
            </w:r>
          </w:p>
        </w:tc>
      </w:tr>
      <w:tr w:rsidR="00A3253C" w14:paraId="6C464FE7" w14:textId="77777777" w:rsidTr="004C15E4">
        <w:trPr>
          <w:trHeight w:val="278"/>
          <w:jc w:val="center"/>
        </w:trPr>
        <w:tc>
          <w:tcPr>
            <w:tcW w:w="4768" w:type="dxa"/>
            <w:tcBorders>
              <w:top w:val="nil"/>
              <w:left w:val="nil"/>
              <w:bottom w:val="nil"/>
              <w:right w:val="nil"/>
            </w:tcBorders>
          </w:tcPr>
          <w:p w14:paraId="108981CB" w14:textId="6C2D7C56" w:rsidR="00A3253C" w:rsidRDefault="00A3253C" w:rsidP="00A3253C">
            <w:pPr>
              <w:widowControl w:val="0"/>
              <w:autoSpaceDE w:val="0"/>
              <w:autoSpaceDN w:val="0"/>
              <w:adjustRightInd w:val="0"/>
            </w:pPr>
            <w:r>
              <w:t>Time-out</w:t>
            </w:r>
            <w:r w:rsidRPr="0009380E">
              <w:t xml:space="preserve"> squared</w:t>
            </w:r>
          </w:p>
        </w:tc>
        <w:tc>
          <w:tcPr>
            <w:tcW w:w="1831" w:type="dxa"/>
            <w:tcBorders>
              <w:top w:val="nil"/>
              <w:left w:val="nil"/>
              <w:bottom w:val="nil"/>
              <w:right w:val="nil"/>
            </w:tcBorders>
          </w:tcPr>
          <w:p w14:paraId="0644F063" w14:textId="6048A08B" w:rsidR="00A3253C" w:rsidRDefault="00A3253C" w:rsidP="00A3253C">
            <w:pPr>
              <w:widowControl w:val="0"/>
              <w:autoSpaceDE w:val="0"/>
              <w:autoSpaceDN w:val="0"/>
              <w:adjustRightInd w:val="0"/>
              <w:jc w:val="center"/>
            </w:pPr>
            <w:r w:rsidRPr="004838D2">
              <w:t>-0.376***</w:t>
            </w:r>
          </w:p>
        </w:tc>
        <w:tc>
          <w:tcPr>
            <w:tcW w:w="1831" w:type="dxa"/>
            <w:tcBorders>
              <w:top w:val="nil"/>
              <w:left w:val="nil"/>
              <w:bottom w:val="nil"/>
              <w:right w:val="nil"/>
            </w:tcBorders>
          </w:tcPr>
          <w:p w14:paraId="1DC6BCD1" w14:textId="5D43CC03" w:rsidR="00A3253C" w:rsidRDefault="00A3253C" w:rsidP="00A3253C">
            <w:pPr>
              <w:widowControl w:val="0"/>
              <w:autoSpaceDE w:val="0"/>
              <w:autoSpaceDN w:val="0"/>
              <w:adjustRightInd w:val="0"/>
              <w:jc w:val="center"/>
            </w:pPr>
            <w:r w:rsidRPr="004838D2">
              <w:t>-0.378***</w:t>
            </w:r>
          </w:p>
        </w:tc>
      </w:tr>
      <w:tr w:rsidR="00A3253C" w14:paraId="30D93531" w14:textId="77777777" w:rsidTr="004C15E4">
        <w:trPr>
          <w:trHeight w:val="278"/>
          <w:jc w:val="center"/>
        </w:trPr>
        <w:tc>
          <w:tcPr>
            <w:tcW w:w="4768" w:type="dxa"/>
            <w:tcBorders>
              <w:top w:val="nil"/>
              <w:left w:val="nil"/>
              <w:bottom w:val="nil"/>
              <w:right w:val="nil"/>
            </w:tcBorders>
          </w:tcPr>
          <w:p w14:paraId="607430AD" w14:textId="77777777" w:rsidR="00A3253C" w:rsidRDefault="00A3253C" w:rsidP="00A3253C">
            <w:pPr>
              <w:widowControl w:val="0"/>
              <w:autoSpaceDE w:val="0"/>
              <w:autoSpaceDN w:val="0"/>
              <w:adjustRightInd w:val="0"/>
            </w:pPr>
          </w:p>
        </w:tc>
        <w:tc>
          <w:tcPr>
            <w:tcW w:w="1831" w:type="dxa"/>
            <w:tcBorders>
              <w:top w:val="nil"/>
              <w:left w:val="nil"/>
              <w:bottom w:val="nil"/>
              <w:right w:val="nil"/>
            </w:tcBorders>
          </w:tcPr>
          <w:p w14:paraId="647C3C14" w14:textId="0CF66EED" w:rsidR="00A3253C" w:rsidRDefault="00A3253C" w:rsidP="00A3253C">
            <w:pPr>
              <w:widowControl w:val="0"/>
              <w:autoSpaceDE w:val="0"/>
              <w:autoSpaceDN w:val="0"/>
              <w:adjustRightInd w:val="0"/>
              <w:jc w:val="center"/>
            </w:pPr>
            <w:r w:rsidRPr="004838D2">
              <w:t>(0.0472)</w:t>
            </w:r>
          </w:p>
        </w:tc>
        <w:tc>
          <w:tcPr>
            <w:tcW w:w="1831" w:type="dxa"/>
            <w:tcBorders>
              <w:top w:val="nil"/>
              <w:left w:val="nil"/>
              <w:bottom w:val="nil"/>
              <w:right w:val="nil"/>
            </w:tcBorders>
          </w:tcPr>
          <w:p w14:paraId="0D19C64D" w14:textId="650A39C9" w:rsidR="00A3253C" w:rsidRDefault="00A3253C" w:rsidP="00A3253C">
            <w:pPr>
              <w:widowControl w:val="0"/>
              <w:autoSpaceDE w:val="0"/>
              <w:autoSpaceDN w:val="0"/>
              <w:adjustRightInd w:val="0"/>
              <w:jc w:val="center"/>
            </w:pPr>
            <w:r w:rsidRPr="004838D2">
              <w:t>(0.0482)</w:t>
            </w:r>
          </w:p>
        </w:tc>
      </w:tr>
      <w:tr w:rsidR="00A3253C" w14:paraId="2FA96A8E" w14:textId="77777777" w:rsidTr="004C15E4">
        <w:trPr>
          <w:trHeight w:val="278"/>
          <w:jc w:val="center"/>
        </w:trPr>
        <w:tc>
          <w:tcPr>
            <w:tcW w:w="4768" w:type="dxa"/>
            <w:tcBorders>
              <w:top w:val="nil"/>
              <w:left w:val="nil"/>
              <w:bottom w:val="nil"/>
              <w:right w:val="nil"/>
            </w:tcBorders>
          </w:tcPr>
          <w:p w14:paraId="17DA5BA4" w14:textId="77777777" w:rsidR="00A3253C" w:rsidRDefault="00A3253C" w:rsidP="00A3253C">
            <w:pPr>
              <w:widowControl w:val="0"/>
              <w:autoSpaceDE w:val="0"/>
              <w:autoSpaceDN w:val="0"/>
              <w:adjustRightInd w:val="0"/>
            </w:pPr>
            <w:r w:rsidRPr="0009380E">
              <w:t>Collaboration</w:t>
            </w:r>
          </w:p>
        </w:tc>
        <w:tc>
          <w:tcPr>
            <w:tcW w:w="1831" w:type="dxa"/>
            <w:tcBorders>
              <w:top w:val="nil"/>
              <w:left w:val="nil"/>
              <w:bottom w:val="nil"/>
              <w:right w:val="nil"/>
            </w:tcBorders>
          </w:tcPr>
          <w:p w14:paraId="2EFA56F4" w14:textId="07648544" w:rsidR="00A3253C" w:rsidRDefault="00A3253C" w:rsidP="00A3253C">
            <w:pPr>
              <w:widowControl w:val="0"/>
              <w:autoSpaceDE w:val="0"/>
              <w:autoSpaceDN w:val="0"/>
              <w:adjustRightInd w:val="0"/>
              <w:jc w:val="center"/>
            </w:pPr>
            <w:r w:rsidRPr="004838D2">
              <w:t>0.515</w:t>
            </w:r>
            <w:r w:rsidR="001F7B76" w:rsidRPr="004714CE">
              <w:rPr>
                <w:vertAlign w:val="superscript"/>
              </w:rPr>
              <w:t>†</w:t>
            </w:r>
          </w:p>
        </w:tc>
        <w:tc>
          <w:tcPr>
            <w:tcW w:w="1831" w:type="dxa"/>
            <w:tcBorders>
              <w:top w:val="nil"/>
              <w:left w:val="nil"/>
              <w:bottom w:val="nil"/>
              <w:right w:val="nil"/>
            </w:tcBorders>
          </w:tcPr>
          <w:p w14:paraId="54E6A734" w14:textId="33DC867C" w:rsidR="00A3253C" w:rsidRDefault="00A3253C" w:rsidP="00A3253C">
            <w:pPr>
              <w:widowControl w:val="0"/>
              <w:autoSpaceDE w:val="0"/>
              <w:autoSpaceDN w:val="0"/>
              <w:adjustRightInd w:val="0"/>
              <w:jc w:val="center"/>
            </w:pPr>
            <w:r w:rsidRPr="004838D2">
              <w:t>-0.153</w:t>
            </w:r>
          </w:p>
        </w:tc>
      </w:tr>
      <w:tr w:rsidR="00A3253C" w14:paraId="4A6FD177" w14:textId="77777777" w:rsidTr="004C15E4">
        <w:trPr>
          <w:trHeight w:val="278"/>
          <w:jc w:val="center"/>
        </w:trPr>
        <w:tc>
          <w:tcPr>
            <w:tcW w:w="4768" w:type="dxa"/>
            <w:tcBorders>
              <w:top w:val="nil"/>
              <w:left w:val="nil"/>
              <w:bottom w:val="nil"/>
              <w:right w:val="nil"/>
            </w:tcBorders>
          </w:tcPr>
          <w:p w14:paraId="11699C4F" w14:textId="77777777" w:rsidR="00A3253C" w:rsidRDefault="00A3253C" w:rsidP="00A3253C">
            <w:pPr>
              <w:widowControl w:val="0"/>
              <w:autoSpaceDE w:val="0"/>
              <w:autoSpaceDN w:val="0"/>
              <w:adjustRightInd w:val="0"/>
            </w:pPr>
          </w:p>
        </w:tc>
        <w:tc>
          <w:tcPr>
            <w:tcW w:w="1831" w:type="dxa"/>
            <w:tcBorders>
              <w:top w:val="nil"/>
              <w:left w:val="nil"/>
              <w:bottom w:val="nil"/>
              <w:right w:val="nil"/>
            </w:tcBorders>
          </w:tcPr>
          <w:p w14:paraId="1B9E4A8F" w14:textId="21FB16E3" w:rsidR="00A3253C" w:rsidRDefault="00A3253C" w:rsidP="00A3253C">
            <w:pPr>
              <w:widowControl w:val="0"/>
              <w:autoSpaceDE w:val="0"/>
              <w:autoSpaceDN w:val="0"/>
              <w:adjustRightInd w:val="0"/>
              <w:jc w:val="center"/>
            </w:pPr>
            <w:r w:rsidRPr="004838D2">
              <w:t>(0.300)</w:t>
            </w:r>
          </w:p>
        </w:tc>
        <w:tc>
          <w:tcPr>
            <w:tcW w:w="1831" w:type="dxa"/>
            <w:tcBorders>
              <w:top w:val="nil"/>
              <w:left w:val="nil"/>
              <w:bottom w:val="nil"/>
              <w:right w:val="nil"/>
            </w:tcBorders>
          </w:tcPr>
          <w:p w14:paraId="229F0AD8" w14:textId="656765AC" w:rsidR="00A3253C" w:rsidRDefault="00A3253C" w:rsidP="00A3253C">
            <w:pPr>
              <w:widowControl w:val="0"/>
              <w:autoSpaceDE w:val="0"/>
              <w:autoSpaceDN w:val="0"/>
              <w:adjustRightInd w:val="0"/>
              <w:jc w:val="center"/>
            </w:pPr>
            <w:r w:rsidRPr="004838D2">
              <w:t>(0.454)</w:t>
            </w:r>
          </w:p>
        </w:tc>
      </w:tr>
      <w:tr w:rsidR="00A3253C" w14:paraId="2EE064E2" w14:textId="77777777" w:rsidTr="004C15E4">
        <w:trPr>
          <w:trHeight w:val="278"/>
          <w:jc w:val="center"/>
        </w:trPr>
        <w:tc>
          <w:tcPr>
            <w:tcW w:w="4768" w:type="dxa"/>
            <w:tcBorders>
              <w:top w:val="nil"/>
              <w:left w:val="nil"/>
              <w:bottom w:val="nil"/>
              <w:right w:val="nil"/>
            </w:tcBorders>
          </w:tcPr>
          <w:p w14:paraId="1BC284DC" w14:textId="674D2673" w:rsidR="00A3253C" w:rsidRDefault="00A3253C" w:rsidP="00A3253C">
            <w:pPr>
              <w:widowControl w:val="0"/>
              <w:autoSpaceDE w:val="0"/>
              <w:autoSpaceDN w:val="0"/>
              <w:adjustRightInd w:val="0"/>
            </w:pPr>
            <w:r>
              <w:t>Time-out</w:t>
            </w:r>
            <w:r w:rsidRPr="0009380E">
              <w:t xml:space="preserve"> * Collaboration</w:t>
            </w:r>
          </w:p>
        </w:tc>
        <w:tc>
          <w:tcPr>
            <w:tcW w:w="1831" w:type="dxa"/>
            <w:tcBorders>
              <w:top w:val="nil"/>
              <w:left w:val="nil"/>
              <w:bottom w:val="nil"/>
              <w:right w:val="nil"/>
            </w:tcBorders>
          </w:tcPr>
          <w:p w14:paraId="106F9C07" w14:textId="77777777" w:rsidR="00A3253C" w:rsidRDefault="00A3253C" w:rsidP="00A3253C">
            <w:pPr>
              <w:widowControl w:val="0"/>
              <w:autoSpaceDE w:val="0"/>
              <w:autoSpaceDN w:val="0"/>
              <w:adjustRightInd w:val="0"/>
              <w:jc w:val="center"/>
            </w:pPr>
          </w:p>
        </w:tc>
        <w:tc>
          <w:tcPr>
            <w:tcW w:w="1831" w:type="dxa"/>
            <w:tcBorders>
              <w:top w:val="nil"/>
              <w:left w:val="nil"/>
              <w:bottom w:val="nil"/>
              <w:right w:val="nil"/>
            </w:tcBorders>
          </w:tcPr>
          <w:p w14:paraId="24C1838C" w14:textId="365934CE" w:rsidR="00A3253C" w:rsidRDefault="00A3253C" w:rsidP="00A3253C">
            <w:pPr>
              <w:widowControl w:val="0"/>
              <w:autoSpaceDE w:val="0"/>
              <w:autoSpaceDN w:val="0"/>
              <w:adjustRightInd w:val="0"/>
              <w:jc w:val="center"/>
            </w:pPr>
            <w:r w:rsidRPr="004838D2">
              <w:t>1.236*</w:t>
            </w:r>
          </w:p>
        </w:tc>
      </w:tr>
      <w:tr w:rsidR="00A3253C" w14:paraId="6D9A7212" w14:textId="77777777" w:rsidTr="004C15E4">
        <w:trPr>
          <w:trHeight w:val="278"/>
          <w:jc w:val="center"/>
        </w:trPr>
        <w:tc>
          <w:tcPr>
            <w:tcW w:w="4768" w:type="dxa"/>
            <w:tcBorders>
              <w:top w:val="nil"/>
              <w:left w:val="nil"/>
              <w:bottom w:val="nil"/>
              <w:right w:val="nil"/>
            </w:tcBorders>
          </w:tcPr>
          <w:p w14:paraId="718AEF77" w14:textId="77777777" w:rsidR="00A3253C" w:rsidRDefault="00A3253C" w:rsidP="00A3253C">
            <w:pPr>
              <w:widowControl w:val="0"/>
              <w:autoSpaceDE w:val="0"/>
              <w:autoSpaceDN w:val="0"/>
              <w:adjustRightInd w:val="0"/>
            </w:pPr>
          </w:p>
        </w:tc>
        <w:tc>
          <w:tcPr>
            <w:tcW w:w="1831" w:type="dxa"/>
            <w:tcBorders>
              <w:top w:val="nil"/>
              <w:left w:val="nil"/>
              <w:bottom w:val="nil"/>
              <w:right w:val="nil"/>
            </w:tcBorders>
          </w:tcPr>
          <w:p w14:paraId="7A119F5D" w14:textId="77777777" w:rsidR="00A3253C" w:rsidRDefault="00A3253C" w:rsidP="00A3253C">
            <w:pPr>
              <w:widowControl w:val="0"/>
              <w:autoSpaceDE w:val="0"/>
              <w:autoSpaceDN w:val="0"/>
              <w:adjustRightInd w:val="0"/>
              <w:jc w:val="center"/>
            </w:pPr>
          </w:p>
        </w:tc>
        <w:tc>
          <w:tcPr>
            <w:tcW w:w="1831" w:type="dxa"/>
            <w:tcBorders>
              <w:top w:val="nil"/>
              <w:left w:val="nil"/>
              <w:bottom w:val="nil"/>
              <w:right w:val="nil"/>
            </w:tcBorders>
          </w:tcPr>
          <w:p w14:paraId="111BABCC" w14:textId="5B40AB6A" w:rsidR="00A3253C" w:rsidRDefault="00A3253C" w:rsidP="00A3253C">
            <w:pPr>
              <w:widowControl w:val="0"/>
              <w:autoSpaceDE w:val="0"/>
              <w:autoSpaceDN w:val="0"/>
              <w:adjustRightInd w:val="0"/>
              <w:jc w:val="center"/>
            </w:pPr>
            <w:r w:rsidRPr="004838D2">
              <w:t>(0.550)</w:t>
            </w:r>
          </w:p>
        </w:tc>
      </w:tr>
      <w:tr w:rsidR="00A3253C" w14:paraId="69D89E56" w14:textId="77777777" w:rsidTr="004C15E4">
        <w:trPr>
          <w:trHeight w:val="278"/>
          <w:jc w:val="center"/>
        </w:trPr>
        <w:tc>
          <w:tcPr>
            <w:tcW w:w="4768" w:type="dxa"/>
            <w:tcBorders>
              <w:top w:val="nil"/>
              <w:left w:val="nil"/>
              <w:bottom w:val="nil"/>
              <w:right w:val="nil"/>
            </w:tcBorders>
          </w:tcPr>
          <w:p w14:paraId="0970B8E6" w14:textId="691D4641" w:rsidR="00A3253C" w:rsidRDefault="00A3253C" w:rsidP="00A3253C">
            <w:pPr>
              <w:widowControl w:val="0"/>
              <w:autoSpaceDE w:val="0"/>
              <w:autoSpaceDN w:val="0"/>
              <w:adjustRightInd w:val="0"/>
            </w:pPr>
            <w:r>
              <w:t>Time-out</w:t>
            </w:r>
            <w:r w:rsidRPr="0009380E">
              <w:t xml:space="preserve"> squared * Collaboration</w:t>
            </w:r>
          </w:p>
        </w:tc>
        <w:tc>
          <w:tcPr>
            <w:tcW w:w="1831" w:type="dxa"/>
            <w:tcBorders>
              <w:top w:val="nil"/>
              <w:left w:val="nil"/>
              <w:bottom w:val="nil"/>
              <w:right w:val="nil"/>
            </w:tcBorders>
          </w:tcPr>
          <w:p w14:paraId="4471F7F1" w14:textId="77777777" w:rsidR="00A3253C" w:rsidRDefault="00A3253C" w:rsidP="00A3253C">
            <w:pPr>
              <w:widowControl w:val="0"/>
              <w:autoSpaceDE w:val="0"/>
              <w:autoSpaceDN w:val="0"/>
              <w:adjustRightInd w:val="0"/>
              <w:jc w:val="center"/>
            </w:pPr>
          </w:p>
        </w:tc>
        <w:tc>
          <w:tcPr>
            <w:tcW w:w="1831" w:type="dxa"/>
            <w:tcBorders>
              <w:top w:val="nil"/>
              <w:left w:val="nil"/>
              <w:bottom w:val="nil"/>
              <w:right w:val="nil"/>
            </w:tcBorders>
          </w:tcPr>
          <w:p w14:paraId="6341AEB7" w14:textId="174B9808" w:rsidR="00A3253C" w:rsidRDefault="00A3253C" w:rsidP="00A3253C">
            <w:pPr>
              <w:widowControl w:val="0"/>
              <w:autoSpaceDE w:val="0"/>
              <w:autoSpaceDN w:val="0"/>
              <w:adjustRightInd w:val="0"/>
              <w:jc w:val="center"/>
            </w:pPr>
            <w:r w:rsidRPr="004838D2">
              <w:t>-0.241</w:t>
            </w:r>
            <w:r w:rsidR="007041D6" w:rsidRPr="00204533">
              <w:rPr>
                <w:vertAlign w:val="superscript"/>
              </w:rPr>
              <w:t>†</w:t>
            </w:r>
          </w:p>
        </w:tc>
      </w:tr>
      <w:tr w:rsidR="00A3253C" w14:paraId="4894BD2B" w14:textId="77777777" w:rsidTr="004C15E4">
        <w:trPr>
          <w:trHeight w:val="278"/>
          <w:jc w:val="center"/>
        </w:trPr>
        <w:tc>
          <w:tcPr>
            <w:tcW w:w="4768" w:type="dxa"/>
            <w:tcBorders>
              <w:top w:val="nil"/>
              <w:left w:val="nil"/>
              <w:bottom w:val="nil"/>
              <w:right w:val="nil"/>
            </w:tcBorders>
          </w:tcPr>
          <w:p w14:paraId="363F2CBF" w14:textId="77777777" w:rsidR="00A3253C" w:rsidRDefault="00A3253C" w:rsidP="00A3253C">
            <w:pPr>
              <w:widowControl w:val="0"/>
              <w:autoSpaceDE w:val="0"/>
              <w:autoSpaceDN w:val="0"/>
              <w:adjustRightInd w:val="0"/>
            </w:pPr>
          </w:p>
        </w:tc>
        <w:tc>
          <w:tcPr>
            <w:tcW w:w="1831" w:type="dxa"/>
            <w:tcBorders>
              <w:top w:val="nil"/>
              <w:left w:val="nil"/>
              <w:bottom w:val="nil"/>
              <w:right w:val="nil"/>
            </w:tcBorders>
          </w:tcPr>
          <w:p w14:paraId="30A47D9E" w14:textId="77777777" w:rsidR="00A3253C" w:rsidRDefault="00A3253C" w:rsidP="00A3253C">
            <w:pPr>
              <w:widowControl w:val="0"/>
              <w:autoSpaceDE w:val="0"/>
              <w:autoSpaceDN w:val="0"/>
              <w:adjustRightInd w:val="0"/>
              <w:jc w:val="center"/>
            </w:pPr>
          </w:p>
        </w:tc>
        <w:tc>
          <w:tcPr>
            <w:tcW w:w="1831" w:type="dxa"/>
            <w:tcBorders>
              <w:top w:val="nil"/>
              <w:left w:val="nil"/>
              <w:bottom w:val="nil"/>
              <w:right w:val="nil"/>
            </w:tcBorders>
          </w:tcPr>
          <w:p w14:paraId="3173F542" w14:textId="1FEB437E" w:rsidR="00A3253C" w:rsidRDefault="00A3253C" w:rsidP="00A3253C">
            <w:pPr>
              <w:widowControl w:val="0"/>
              <w:autoSpaceDE w:val="0"/>
              <w:autoSpaceDN w:val="0"/>
              <w:adjustRightInd w:val="0"/>
              <w:jc w:val="center"/>
            </w:pPr>
            <w:r w:rsidRPr="004838D2">
              <w:t>(0.128)</w:t>
            </w:r>
          </w:p>
        </w:tc>
      </w:tr>
      <w:tr w:rsidR="00A3253C" w14:paraId="2D3D095C" w14:textId="77777777" w:rsidTr="004C15E4">
        <w:trPr>
          <w:trHeight w:val="278"/>
          <w:jc w:val="center"/>
        </w:trPr>
        <w:tc>
          <w:tcPr>
            <w:tcW w:w="4768" w:type="dxa"/>
            <w:tcBorders>
              <w:top w:val="nil"/>
              <w:left w:val="nil"/>
              <w:bottom w:val="nil"/>
              <w:right w:val="nil"/>
            </w:tcBorders>
          </w:tcPr>
          <w:p w14:paraId="591708E2" w14:textId="77777777" w:rsidR="00A3253C" w:rsidRDefault="00A3253C" w:rsidP="00A3253C">
            <w:pPr>
              <w:widowControl w:val="0"/>
              <w:autoSpaceDE w:val="0"/>
              <w:autoSpaceDN w:val="0"/>
              <w:adjustRightInd w:val="0"/>
            </w:pPr>
            <w:r w:rsidRPr="0009380E">
              <w:t>Export performance at exit</w:t>
            </w:r>
          </w:p>
        </w:tc>
        <w:tc>
          <w:tcPr>
            <w:tcW w:w="1831" w:type="dxa"/>
            <w:tcBorders>
              <w:top w:val="nil"/>
              <w:left w:val="nil"/>
              <w:bottom w:val="nil"/>
              <w:right w:val="nil"/>
            </w:tcBorders>
          </w:tcPr>
          <w:p w14:paraId="63BCB91D" w14:textId="4A14328A" w:rsidR="00A3253C" w:rsidRDefault="00A3253C" w:rsidP="00A3253C">
            <w:pPr>
              <w:widowControl w:val="0"/>
              <w:autoSpaceDE w:val="0"/>
              <w:autoSpaceDN w:val="0"/>
              <w:adjustRightInd w:val="0"/>
              <w:jc w:val="center"/>
            </w:pPr>
            <w:r w:rsidRPr="004838D2">
              <w:t>0.0640*</w:t>
            </w:r>
          </w:p>
        </w:tc>
        <w:tc>
          <w:tcPr>
            <w:tcW w:w="1831" w:type="dxa"/>
            <w:tcBorders>
              <w:top w:val="nil"/>
              <w:left w:val="nil"/>
              <w:bottom w:val="nil"/>
              <w:right w:val="nil"/>
            </w:tcBorders>
          </w:tcPr>
          <w:p w14:paraId="5A1686C5" w14:textId="03E3A47D" w:rsidR="00A3253C" w:rsidRDefault="00A3253C" w:rsidP="00A3253C">
            <w:pPr>
              <w:widowControl w:val="0"/>
              <w:autoSpaceDE w:val="0"/>
              <w:autoSpaceDN w:val="0"/>
              <w:adjustRightInd w:val="0"/>
              <w:jc w:val="center"/>
            </w:pPr>
            <w:r w:rsidRPr="004838D2">
              <w:t>0.0677*</w:t>
            </w:r>
          </w:p>
        </w:tc>
      </w:tr>
      <w:tr w:rsidR="00A3253C" w14:paraId="5AA3AAAD" w14:textId="77777777" w:rsidTr="004C15E4">
        <w:trPr>
          <w:trHeight w:val="278"/>
          <w:jc w:val="center"/>
        </w:trPr>
        <w:tc>
          <w:tcPr>
            <w:tcW w:w="4768" w:type="dxa"/>
            <w:tcBorders>
              <w:top w:val="nil"/>
              <w:left w:val="nil"/>
              <w:bottom w:val="nil"/>
              <w:right w:val="nil"/>
            </w:tcBorders>
          </w:tcPr>
          <w:p w14:paraId="199CE770" w14:textId="77777777" w:rsidR="00A3253C" w:rsidRDefault="00A3253C" w:rsidP="00A3253C">
            <w:pPr>
              <w:widowControl w:val="0"/>
              <w:autoSpaceDE w:val="0"/>
              <w:autoSpaceDN w:val="0"/>
              <w:adjustRightInd w:val="0"/>
            </w:pPr>
          </w:p>
        </w:tc>
        <w:tc>
          <w:tcPr>
            <w:tcW w:w="1831" w:type="dxa"/>
            <w:tcBorders>
              <w:top w:val="nil"/>
              <w:left w:val="nil"/>
              <w:bottom w:val="nil"/>
              <w:right w:val="nil"/>
            </w:tcBorders>
          </w:tcPr>
          <w:p w14:paraId="3367856F" w14:textId="0A5B92A5" w:rsidR="00A3253C" w:rsidRDefault="00A3253C" w:rsidP="00A3253C">
            <w:pPr>
              <w:widowControl w:val="0"/>
              <w:autoSpaceDE w:val="0"/>
              <w:autoSpaceDN w:val="0"/>
              <w:adjustRightInd w:val="0"/>
              <w:jc w:val="center"/>
            </w:pPr>
            <w:r w:rsidRPr="004838D2">
              <w:t>(0.0277)</w:t>
            </w:r>
          </w:p>
        </w:tc>
        <w:tc>
          <w:tcPr>
            <w:tcW w:w="1831" w:type="dxa"/>
            <w:tcBorders>
              <w:top w:val="nil"/>
              <w:left w:val="nil"/>
              <w:bottom w:val="nil"/>
              <w:right w:val="nil"/>
            </w:tcBorders>
          </w:tcPr>
          <w:p w14:paraId="2576D3AF" w14:textId="2F066764" w:rsidR="00A3253C" w:rsidRDefault="00A3253C" w:rsidP="00A3253C">
            <w:pPr>
              <w:widowControl w:val="0"/>
              <w:autoSpaceDE w:val="0"/>
              <w:autoSpaceDN w:val="0"/>
              <w:adjustRightInd w:val="0"/>
              <w:jc w:val="center"/>
            </w:pPr>
            <w:r w:rsidRPr="004838D2">
              <w:t>(0.0290)</w:t>
            </w:r>
          </w:p>
        </w:tc>
      </w:tr>
      <w:tr w:rsidR="00A3253C" w14:paraId="024F79C0" w14:textId="77777777" w:rsidTr="004C15E4">
        <w:trPr>
          <w:trHeight w:val="278"/>
          <w:jc w:val="center"/>
        </w:trPr>
        <w:tc>
          <w:tcPr>
            <w:tcW w:w="4768" w:type="dxa"/>
            <w:tcBorders>
              <w:top w:val="nil"/>
              <w:left w:val="nil"/>
              <w:bottom w:val="nil"/>
              <w:right w:val="nil"/>
            </w:tcBorders>
          </w:tcPr>
          <w:p w14:paraId="53D7A156" w14:textId="77777777" w:rsidR="00A3253C" w:rsidRDefault="00A3253C" w:rsidP="00A3253C">
            <w:pPr>
              <w:widowControl w:val="0"/>
              <w:autoSpaceDE w:val="0"/>
              <w:autoSpaceDN w:val="0"/>
              <w:adjustRightInd w:val="0"/>
            </w:pPr>
            <w:r w:rsidRPr="0009380E">
              <w:t>Productivity</w:t>
            </w:r>
          </w:p>
        </w:tc>
        <w:tc>
          <w:tcPr>
            <w:tcW w:w="1831" w:type="dxa"/>
            <w:tcBorders>
              <w:top w:val="nil"/>
              <w:left w:val="nil"/>
              <w:bottom w:val="nil"/>
              <w:right w:val="nil"/>
            </w:tcBorders>
          </w:tcPr>
          <w:p w14:paraId="12554F10" w14:textId="13F1ECB6" w:rsidR="00A3253C" w:rsidRDefault="00A3253C" w:rsidP="00A3253C">
            <w:pPr>
              <w:widowControl w:val="0"/>
              <w:autoSpaceDE w:val="0"/>
              <w:autoSpaceDN w:val="0"/>
              <w:adjustRightInd w:val="0"/>
              <w:jc w:val="center"/>
            </w:pPr>
            <w:r w:rsidRPr="004838D2">
              <w:t>-0.0502</w:t>
            </w:r>
          </w:p>
        </w:tc>
        <w:tc>
          <w:tcPr>
            <w:tcW w:w="1831" w:type="dxa"/>
            <w:tcBorders>
              <w:top w:val="nil"/>
              <w:left w:val="nil"/>
              <w:bottom w:val="nil"/>
              <w:right w:val="nil"/>
            </w:tcBorders>
          </w:tcPr>
          <w:p w14:paraId="6DC6E516" w14:textId="418805FA" w:rsidR="00A3253C" w:rsidRDefault="00A3253C" w:rsidP="00A3253C">
            <w:pPr>
              <w:widowControl w:val="0"/>
              <w:autoSpaceDE w:val="0"/>
              <w:autoSpaceDN w:val="0"/>
              <w:adjustRightInd w:val="0"/>
              <w:jc w:val="center"/>
            </w:pPr>
            <w:r w:rsidRPr="004838D2">
              <w:t>-0.0479</w:t>
            </w:r>
          </w:p>
        </w:tc>
      </w:tr>
      <w:tr w:rsidR="00A3253C" w14:paraId="43B0B80B" w14:textId="77777777" w:rsidTr="004C15E4">
        <w:trPr>
          <w:trHeight w:val="278"/>
          <w:jc w:val="center"/>
        </w:trPr>
        <w:tc>
          <w:tcPr>
            <w:tcW w:w="4768" w:type="dxa"/>
            <w:tcBorders>
              <w:top w:val="nil"/>
              <w:left w:val="nil"/>
              <w:bottom w:val="nil"/>
              <w:right w:val="nil"/>
            </w:tcBorders>
          </w:tcPr>
          <w:p w14:paraId="3DFE7EDC" w14:textId="77777777" w:rsidR="00A3253C" w:rsidRDefault="00A3253C" w:rsidP="00A3253C">
            <w:pPr>
              <w:widowControl w:val="0"/>
              <w:autoSpaceDE w:val="0"/>
              <w:autoSpaceDN w:val="0"/>
              <w:adjustRightInd w:val="0"/>
            </w:pPr>
          </w:p>
        </w:tc>
        <w:tc>
          <w:tcPr>
            <w:tcW w:w="1831" w:type="dxa"/>
            <w:tcBorders>
              <w:top w:val="nil"/>
              <w:left w:val="nil"/>
              <w:bottom w:val="nil"/>
              <w:right w:val="nil"/>
            </w:tcBorders>
          </w:tcPr>
          <w:p w14:paraId="67559C08" w14:textId="0B99C6CC" w:rsidR="00A3253C" w:rsidRDefault="00A3253C" w:rsidP="00A3253C">
            <w:pPr>
              <w:widowControl w:val="0"/>
              <w:autoSpaceDE w:val="0"/>
              <w:autoSpaceDN w:val="0"/>
              <w:adjustRightInd w:val="0"/>
              <w:jc w:val="center"/>
            </w:pPr>
            <w:r w:rsidRPr="004838D2">
              <w:t>(0.0539)</w:t>
            </w:r>
          </w:p>
        </w:tc>
        <w:tc>
          <w:tcPr>
            <w:tcW w:w="1831" w:type="dxa"/>
            <w:tcBorders>
              <w:top w:val="nil"/>
              <w:left w:val="nil"/>
              <w:bottom w:val="nil"/>
              <w:right w:val="nil"/>
            </w:tcBorders>
          </w:tcPr>
          <w:p w14:paraId="5A4FD524" w14:textId="45DDF251" w:rsidR="00A3253C" w:rsidRDefault="00A3253C" w:rsidP="00A3253C">
            <w:pPr>
              <w:widowControl w:val="0"/>
              <w:autoSpaceDE w:val="0"/>
              <w:autoSpaceDN w:val="0"/>
              <w:adjustRightInd w:val="0"/>
              <w:jc w:val="center"/>
            </w:pPr>
            <w:r w:rsidRPr="004838D2">
              <w:t>(0.0539)</w:t>
            </w:r>
          </w:p>
        </w:tc>
      </w:tr>
      <w:tr w:rsidR="00A3253C" w14:paraId="45102F51" w14:textId="77777777" w:rsidTr="004C15E4">
        <w:trPr>
          <w:trHeight w:val="278"/>
          <w:jc w:val="center"/>
        </w:trPr>
        <w:tc>
          <w:tcPr>
            <w:tcW w:w="4768" w:type="dxa"/>
            <w:tcBorders>
              <w:top w:val="nil"/>
              <w:left w:val="nil"/>
              <w:bottom w:val="nil"/>
              <w:right w:val="nil"/>
            </w:tcBorders>
          </w:tcPr>
          <w:p w14:paraId="6D916266" w14:textId="77777777" w:rsidR="00A3253C" w:rsidRDefault="00A3253C" w:rsidP="00A3253C">
            <w:pPr>
              <w:widowControl w:val="0"/>
              <w:autoSpaceDE w:val="0"/>
              <w:autoSpaceDN w:val="0"/>
              <w:adjustRightInd w:val="0"/>
            </w:pPr>
            <w:r w:rsidRPr="0009380E">
              <w:t>Size</w:t>
            </w:r>
          </w:p>
        </w:tc>
        <w:tc>
          <w:tcPr>
            <w:tcW w:w="1831" w:type="dxa"/>
            <w:tcBorders>
              <w:top w:val="nil"/>
              <w:left w:val="nil"/>
              <w:bottom w:val="nil"/>
              <w:right w:val="nil"/>
            </w:tcBorders>
          </w:tcPr>
          <w:p w14:paraId="7D78CC2D" w14:textId="6BF10108" w:rsidR="00A3253C" w:rsidRDefault="00A3253C" w:rsidP="00A3253C">
            <w:pPr>
              <w:widowControl w:val="0"/>
              <w:autoSpaceDE w:val="0"/>
              <w:autoSpaceDN w:val="0"/>
              <w:adjustRightInd w:val="0"/>
              <w:jc w:val="center"/>
            </w:pPr>
            <w:r w:rsidRPr="004838D2">
              <w:t>0.0525</w:t>
            </w:r>
          </w:p>
        </w:tc>
        <w:tc>
          <w:tcPr>
            <w:tcW w:w="1831" w:type="dxa"/>
            <w:tcBorders>
              <w:top w:val="nil"/>
              <w:left w:val="nil"/>
              <w:bottom w:val="nil"/>
              <w:right w:val="nil"/>
            </w:tcBorders>
          </w:tcPr>
          <w:p w14:paraId="1E3DD48F" w14:textId="73DA00EC" w:rsidR="00A3253C" w:rsidRDefault="00A3253C" w:rsidP="00A3253C">
            <w:pPr>
              <w:widowControl w:val="0"/>
              <w:autoSpaceDE w:val="0"/>
              <w:autoSpaceDN w:val="0"/>
              <w:adjustRightInd w:val="0"/>
              <w:jc w:val="center"/>
            </w:pPr>
            <w:r w:rsidRPr="004838D2">
              <w:t>0.0512</w:t>
            </w:r>
          </w:p>
        </w:tc>
      </w:tr>
      <w:tr w:rsidR="00A3253C" w14:paraId="08A0C466" w14:textId="77777777" w:rsidTr="004C15E4">
        <w:trPr>
          <w:trHeight w:val="278"/>
          <w:jc w:val="center"/>
        </w:trPr>
        <w:tc>
          <w:tcPr>
            <w:tcW w:w="4768" w:type="dxa"/>
            <w:tcBorders>
              <w:top w:val="nil"/>
              <w:left w:val="nil"/>
              <w:bottom w:val="nil"/>
              <w:right w:val="nil"/>
            </w:tcBorders>
          </w:tcPr>
          <w:p w14:paraId="18F40734" w14:textId="77777777" w:rsidR="00A3253C" w:rsidRDefault="00A3253C" w:rsidP="00A3253C">
            <w:pPr>
              <w:widowControl w:val="0"/>
              <w:autoSpaceDE w:val="0"/>
              <w:autoSpaceDN w:val="0"/>
              <w:adjustRightInd w:val="0"/>
            </w:pPr>
          </w:p>
        </w:tc>
        <w:tc>
          <w:tcPr>
            <w:tcW w:w="1831" w:type="dxa"/>
            <w:tcBorders>
              <w:top w:val="nil"/>
              <w:left w:val="nil"/>
              <w:bottom w:val="nil"/>
              <w:right w:val="nil"/>
            </w:tcBorders>
          </w:tcPr>
          <w:p w14:paraId="64C50205" w14:textId="0F284FA1" w:rsidR="00A3253C" w:rsidRDefault="00A3253C" w:rsidP="00A3253C">
            <w:pPr>
              <w:widowControl w:val="0"/>
              <w:autoSpaceDE w:val="0"/>
              <w:autoSpaceDN w:val="0"/>
              <w:adjustRightInd w:val="0"/>
              <w:jc w:val="center"/>
            </w:pPr>
            <w:r w:rsidRPr="004838D2">
              <w:t>(0.0384)</w:t>
            </w:r>
          </w:p>
        </w:tc>
        <w:tc>
          <w:tcPr>
            <w:tcW w:w="1831" w:type="dxa"/>
            <w:tcBorders>
              <w:top w:val="nil"/>
              <w:left w:val="nil"/>
              <w:bottom w:val="nil"/>
              <w:right w:val="nil"/>
            </w:tcBorders>
          </w:tcPr>
          <w:p w14:paraId="74EB797E" w14:textId="0895A6A4" w:rsidR="00A3253C" w:rsidRDefault="00A3253C" w:rsidP="00A3253C">
            <w:pPr>
              <w:widowControl w:val="0"/>
              <w:autoSpaceDE w:val="0"/>
              <w:autoSpaceDN w:val="0"/>
              <w:adjustRightInd w:val="0"/>
              <w:jc w:val="center"/>
            </w:pPr>
            <w:r w:rsidRPr="004838D2">
              <w:t>(0.0399)</w:t>
            </w:r>
          </w:p>
        </w:tc>
      </w:tr>
      <w:tr w:rsidR="00A3253C" w14:paraId="45DE137E" w14:textId="77777777" w:rsidTr="004C15E4">
        <w:trPr>
          <w:trHeight w:val="278"/>
          <w:jc w:val="center"/>
        </w:trPr>
        <w:tc>
          <w:tcPr>
            <w:tcW w:w="4768" w:type="dxa"/>
            <w:tcBorders>
              <w:top w:val="nil"/>
              <w:left w:val="nil"/>
              <w:bottom w:val="nil"/>
              <w:right w:val="nil"/>
            </w:tcBorders>
          </w:tcPr>
          <w:p w14:paraId="1A9B26A4" w14:textId="77777777" w:rsidR="00A3253C" w:rsidRDefault="00A3253C" w:rsidP="00A3253C">
            <w:pPr>
              <w:widowControl w:val="0"/>
              <w:autoSpaceDE w:val="0"/>
              <w:autoSpaceDN w:val="0"/>
              <w:adjustRightInd w:val="0"/>
            </w:pPr>
            <w:r w:rsidRPr="0009380E">
              <w:t>Age</w:t>
            </w:r>
          </w:p>
        </w:tc>
        <w:tc>
          <w:tcPr>
            <w:tcW w:w="1831" w:type="dxa"/>
            <w:tcBorders>
              <w:top w:val="nil"/>
              <w:left w:val="nil"/>
              <w:bottom w:val="nil"/>
              <w:right w:val="nil"/>
            </w:tcBorders>
          </w:tcPr>
          <w:p w14:paraId="4D263426" w14:textId="1151015C" w:rsidR="00A3253C" w:rsidRDefault="00A3253C" w:rsidP="00A3253C">
            <w:pPr>
              <w:widowControl w:val="0"/>
              <w:autoSpaceDE w:val="0"/>
              <w:autoSpaceDN w:val="0"/>
              <w:adjustRightInd w:val="0"/>
              <w:jc w:val="center"/>
            </w:pPr>
            <w:r w:rsidRPr="004838D2">
              <w:t>-0.00113</w:t>
            </w:r>
          </w:p>
        </w:tc>
        <w:tc>
          <w:tcPr>
            <w:tcW w:w="1831" w:type="dxa"/>
            <w:tcBorders>
              <w:top w:val="nil"/>
              <w:left w:val="nil"/>
              <w:bottom w:val="nil"/>
              <w:right w:val="nil"/>
            </w:tcBorders>
          </w:tcPr>
          <w:p w14:paraId="4DAB7616" w14:textId="0725A2E3" w:rsidR="00A3253C" w:rsidRDefault="00A3253C" w:rsidP="00A3253C">
            <w:pPr>
              <w:widowControl w:val="0"/>
              <w:autoSpaceDE w:val="0"/>
              <w:autoSpaceDN w:val="0"/>
              <w:adjustRightInd w:val="0"/>
              <w:jc w:val="center"/>
            </w:pPr>
            <w:r w:rsidRPr="004838D2">
              <w:t>-0.00108</w:t>
            </w:r>
          </w:p>
        </w:tc>
      </w:tr>
      <w:tr w:rsidR="00A3253C" w14:paraId="4495B674" w14:textId="77777777" w:rsidTr="004C15E4">
        <w:trPr>
          <w:trHeight w:val="278"/>
          <w:jc w:val="center"/>
        </w:trPr>
        <w:tc>
          <w:tcPr>
            <w:tcW w:w="4768" w:type="dxa"/>
            <w:tcBorders>
              <w:top w:val="nil"/>
              <w:left w:val="nil"/>
              <w:bottom w:val="nil"/>
              <w:right w:val="nil"/>
            </w:tcBorders>
          </w:tcPr>
          <w:p w14:paraId="739E9905" w14:textId="77777777" w:rsidR="00A3253C" w:rsidRDefault="00A3253C" w:rsidP="00A3253C">
            <w:pPr>
              <w:widowControl w:val="0"/>
              <w:autoSpaceDE w:val="0"/>
              <w:autoSpaceDN w:val="0"/>
              <w:adjustRightInd w:val="0"/>
            </w:pPr>
          </w:p>
        </w:tc>
        <w:tc>
          <w:tcPr>
            <w:tcW w:w="1831" w:type="dxa"/>
            <w:tcBorders>
              <w:top w:val="nil"/>
              <w:left w:val="nil"/>
              <w:bottom w:val="nil"/>
              <w:right w:val="nil"/>
            </w:tcBorders>
          </w:tcPr>
          <w:p w14:paraId="26614343" w14:textId="2CAAA589" w:rsidR="00A3253C" w:rsidRDefault="00A3253C" w:rsidP="00A3253C">
            <w:pPr>
              <w:widowControl w:val="0"/>
              <w:autoSpaceDE w:val="0"/>
              <w:autoSpaceDN w:val="0"/>
              <w:adjustRightInd w:val="0"/>
              <w:jc w:val="center"/>
            </w:pPr>
            <w:r w:rsidRPr="004838D2">
              <w:t>(0.00319)</w:t>
            </w:r>
          </w:p>
        </w:tc>
        <w:tc>
          <w:tcPr>
            <w:tcW w:w="1831" w:type="dxa"/>
            <w:tcBorders>
              <w:top w:val="nil"/>
              <w:left w:val="nil"/>
              <w:bottom w:val="nil"/>
              <w:right w:val="nil"/>
            </w:tcBorders>
          </w:tcPr>
          <w:p w14:paraId="7C5E3149" w14:textId="11DECEB6" w:rsidR="00A3253C" w:rsidRDefault="00A3253C" w:rsidP="00A3253C">
            <w:pPr>
              <w:widowControl w:val="0"/>
              <w:autoSpaceDE w:val="0"/>
              <w:autoSpaceDN w:val="0"/>
              <w:adjustRightInd w:val="0"/>
              <w:jc w:val="center"/>
            </w:pPr>
            <w:r w:rsidRPr="004838D2">
              <w:t>(0.00333)</w:t>
            </w:r>
          </w:p>
        </w:tc>
      </w:tr>
      <w:tr w:rsidR="00A3253C" w14:paraId="4D30A758" w14:textId="77777777" w:rsidTr="004C15E4">
        <w:trPr>
          <w:trHeight w:val="278"/>
          <w:jc w:val="center"/>
        </w:trPr>
        <w:tc>
          <w:tcPr>
            <w:tcW w:w="4768" w:type="dxa"/>
            <w:tcBorders>
              <w:top w:val="nil"/>
              <w:left w:val="nil"/>
              <w:bottom w:val="nil"/>
              <w:right w:val="nil"/>
            </w:tcBorders>
          </w:tcPr>
          <w:p w14:paraId="3E856093" w14:textId="77777777" w:rsidR="00A3253C" w:rsidRDefault="00A3253C" w:rsidP="00A3253C">
            <w:pPr>
              <w:widowControl w:val="0"/>
              <w:autoSpaceDE w:val="0"/>
              <w:autoSpaceDN w:val="0"/>
              <w:adjustRightInd w:val="0"/>
            </w:pPr>
            <w:r w:rsidRPr="0009380E">
              <w:t>Human Capital</w:t>
            </w:r>
          </w:p>
        </w:tc>
        <w:tc>
          <w:tcPr>
            <w:tcW w:w="1831" w:type="dxa"/>
            <w:tcBorders>
              <w:top w:val="nil"/>
              <w:left w:val="nil"/>
              <w:bottom w:val="nil"/>
              <w:right w:val="nil"/>
            </w:tcBorders>
          </w:tcPr>
          <w:p w14:paraId="1DD6B87A" w14:textId="21093BDB" w:rsidR="00A3253C" w:rsidRDefault="00A3253C" w:rsidP="00A3253C">
            <w:pPr>
              <w:widowControl w:val="0"/>
              <w:autoSpaceDE w:val="0"/>
              <w:autoSpaceDN w:val="0"/>
              <w:adjustRightInd w:val="0"/>
              <w:jc w:val="center"/>
            </w:pPr>
            <w:r w:rsidRPr="004838D2">
              <w:t>0.00786***</w:t>
            </w:r>
          </w:p>
        </w:tc>
        <w:tc>
          <w:tcPr>
            <w:tcW w:w="1831" w:type="dxa"/>
            <w:tcBorders>
              <w:top w:val="nil"/>
              <w:left w:val="nil"/>
              <w:bottom w:val="nil"/>
              <w:right w:val="nil"/>
            </w:tcBorders>
          </w:tcPr>
          <w:p w14:paraId="516FE853" w14:textId="05FAE2B7" w:rsidR="00A3253C" w:rsidRDefault="00A3253C" w:rsidP="00A3253C">
            <w:pPr>
              <w:widowControl w:val="0"/>
              <w:autoSpaceDE w:val="0"/>
              <w:autoSpaceDN w:val="0"/>
              <w:adjustRightInd w:val="0"/>
              <w:jc w:val="center"/>
            </w:pPr>
            <w:r w:rsidRPr="004838D2">
              <w:t>0.00816***</w:t>
            </w:r>
          </w:p>
        </w:tc>
      </w:tr>
      <w:tr w:rsidR="00A3253C" w14:paraId="1F88754E" w14:textId="77777777" w:rsidTr="004C15E4">
        <w:trPr>
          <w:trHeight w:val="278"/>
          <w:jc w:val="center"/>
        </w:trPr>
        <w:tc>
          <w:tcPr>
            <w:tcW w:w="4768" w:type="dxa"/>
            <w:tcBorders>
              <w:top w:val="nil"/>
              <w:left w:val="nil"/>
              <w:bottom w:val="nil"/>
              <w:right w:val="nil"/>
            </w:tcBorders>
          </w:tcPr>
          <w:p w14:paraId="5E90CA16" w14:textId="77777777" w:rsidR="00A3253C" w:rsidRDefault="00A3253C" w:rsidP="00A3253C">
            <w:pPr>
              <w:widowControl w:val="0"/>
              <w:autoSpaceDE w:val="0"/>
              <w:autoSpaceDN w:val="0"/>
              <w:adjustRightInd w:val="0"/>
            </w:pPr>
          </w:p>
        </w:tc>
        <w:tc>
          <w:tcPr>
            <w:tcW w:w="1831" w:type="dxa"/>
            <w:tcBorders>
              <w:top w:val="nil"/>
              <w:left w:val="nil"/>
              <w:bottom w:val="nil"/>
              <w:right w:val="nil"/>
            </w:tcBorders>
          </w:tcPr>
          <w:p w14:paraId="73A59624" w14:textId="77A42D1E" w:rsidR="00A3253C" w:rsidRDefault="00A3253C" w:rsidP="00A3253C">
            <w:pPr>
              <w:widowControl w:val="0"/>
              <w:autoSpaceDE w:val="0"/>
              <w:autoSpaceDN w:val="0"/>
              <w:adjustRightInd w:val="0"/>
              <w:jc w:val="center"/>
            </w:pPr>
            <w:r w:rsidRPr="004838D2">
              <w:t>(0.00224)</w:t>
            </w:r>
          </w:p>
        </w:tc>
        <w:tc>
          <w:tcPr>
            <w:tcW w:w="1831" w:type="dxa"/>
            <w:tcBorders>
              <w:top w:val="nil"/>
              <w:left w:val="nil"/>
              <w:bottom w:val="nil"/>
              <w:right w:val="nil"/>
            </w:tcBorders>
          </w:tcPr>
          <w:p w14:paraId="327DCF5A" w14:textId="42C4DF6A" w:rsidR="00A3253C" w:rsidRDefault="00A3253C" w:rsidP="00A3253C">
            <w:pPr>
              <w:widowControl w:val="0"/>
              <w:autoSpaceDE w:val="0"/>
              <w:autoSpaceDN w:val="0"/>
              <w:adjustRightInd w:val="0"/>
              <w:jc w:val="center"/>
            </w:pPr>
            <w:r w:rsidRPr="004838D2">
              <w:t>(0.00233)</w:t>
            </w:r>
          </w:p>
        </w:tc>
      </w:tr>
      <w:tr w:rsidR="00A3253C" w14:paraId="1E1F90EB" w14:textId="77777777" w:rsidTr="004C15E4">
        <w:trPr>
          <w:trHeight w:val="278"/>
          <w:jc w:val="center"/>
        </w:trPr>
        <w:tc>
          <w:tcPr>
            <w:tcW w:w="4768" w:type="dxa"/>
            <w:tcBorders>
              <w:top w:val="nil"/>
              <w:left w:val="nil"/>
              <w:bottom w:val="nil"/>
              <w:right w:val="nil"/>
            </w:tcBorders>
          </w:tcPr>
          <w:p w14:paraId="5109015C" w14:textId="77777777" w:rsidR="00A3253C" w:rsidRDefault="00A3253C" w:rsidP="00A3253C">
            <w:pPr>
              <w:widowControl w:val="0"/>
              <w:autoSpaceDE w:val="0"/>
              <w:autoSpaceDN w:val="0"/>
              <w:adjustRightInd w:val="0"/>
            </w:pPr>
            <w:r w:rsidRPr="0009380E">
              <w:t>R&amp;D intensity</w:t>
            </w:r>
          </w:p>
        </w:tc>
        <w:tc>
          <w:tcPr>
            <w:tcW w:w="1831" w:type="dxa"/>
            <w:tcBorders>
              <w:top w:val="nil"/>
              <w:left w:val="nil"/>
              <w:bottom w:val="nil"/>
              <w:right w:val="nil"/>
            </w:tcBorders>
          </w:tcPr>
          <w:p w14:paraId="6185FFF6" w14:textId="5F0A469B" w:rsidR="00A3253C" w:rsidRDefault="00A3253C" w:rsidP="00A3253C">
            <w:pPr>
              <w:widowControl w:val="0"/>
              <w:autoSpaceDE w:val="0"/>
              <w:autoSpaceDN w:val="0"/>
              <w:adjustRightInd w:val="0"/>
              <w:jc w:val="center"/>
            </w:pPr>
            <w:r w:rsidRPr="004838D2">
              <w:t>-5.677</w:t>
            </w:r>
          </w:p>
        </w:tc>
        <w:tc>
          <w:tcPr>
            <w:tcW w:w="1831" w:type="dxa"/>
            <w:tcBorders>
              <w:top w:val="nil"/>
              <w:left w:val="nil"/>
              <w:bottom w:val="nil"/>
              <w:right w:val="nil"/>
            </w:tcBorders>
          </w:tcPr>
          <w:p w14:paraId="6CB95C87" w14:textId="42D3273C" w:rsidR="00A3253C" w:rsidRDefault="00A3253C" w:rsidP="00A3253C">
            <w:pPr>
              <w:widowControl w:val="0"/>
              <w:autoSpaceDE w:val="0"/>
              <w:autoSpaceDN w:val="0"/>
              <w:adjustRightInd w:val="0"/>
              <w:jc w:val="center"/>
            </w:pPr>
            <w:r w:rsidRPr="004838D2">
              <w:t>-6.429</w:t>
            </w:r>
          </w:p>
        </w:tc>
      </w:tr>
      <w:tr w:rsidR="00A3253C" w14:paraId="2FE7CE60" w14:textId="77777777" w:rsidTr="004C15E4">
        <w:trPr>
          <w:trHeight w:val="278"/>
          <w:jc w:val="center"/>
        </w:trPr>
        <w:tc>
          <w:tcPr>
            <w:tcW w:w="4768" w:type="dxa"/>
            <w:tcBorders>
              <w:top w:val="nil"/>
              <w:left w:val="nil"/>
              <w:bottom w:val="nil"/>
              <w:right w:val="nil"/>
            </w:tcBorders>
          </w:tcPr>
          <w:p w14:paraId="3C07542C" w14:textId="77777777" w:rsidR="00A3253C" w:rsidRDefault="00A3253C" w:rsidP="00A3253C">
            <w:pPr>
              <w:widowControl w:val="0"/>
              <w:autoSpaceDE w:val="0"/>
              <w:autoSpaceDN w:val="0"/>
              <w:adjustRightInd w:val="0"/>
            </w:pPr>
          </w:p>
        </w:tc>
        <w:tc>
          <w:tcPr>
            <w:tcW w:w="1831" w:type="dxa"/>
            <w:tcBorders>
              <w:top w:val="nil"/>
              <w:left w:val="nil"/>
              <w:bottom w:val="nil"/>
              <w:right w:val="nil"/>
            </w:tcBorders>
          </w:tcPr>
          <w:p w14:paraId="0034FCCC" w14:textId="21C45938" w:rsidR="00A3253C" w:rsidRDefault="00A3253C" w:rsidP="00A3253C">
            <w:pPr>
              <w:widowControl w:val="0"/>
              <w:autoSpaceDE w:val="0"/>
              <w:autoSpaceDN w:val="0"/>
              <w:adjustRightInd w:val="0"/>
              <w:jc w:val="center"/>
            </w:pPr>
            <w:r w:rsidRPr="004838D2">
              <w:t>(13.06)</w:t>
            </w:r>
          </w:p>
        </w:tc>
        <w:tc>
          <w:tcPr>
            <w:tcW w:w="1831" w:type="dxa"/>
            <w:tcBorders>
              <w:top w:val="nil"/>
              <w:left w:val="nil"/>
              <w:bottom w:val="nil"/>
              <w:right w:val="nil"/>
            </w:tcBorders>
          </w:tcPr>
          <w:p w14:paraId="0BD2C54D" w14:textId="77F84E17" w:rsidR="00A3253C" w:rsidRDefault="00A3253C" w:rsidP="00A3253C">
            <w:pPr>
              <w:widowControl w:val="0"/>
              <w:autoSpaceDE w:val="0"/>
              <w:autoSpaceDN w:val="0"/>
              <w:adjustRightInd w:val="0"/>
              <w:jc w:val="center"/>
            </w:pPr>
            <w:r w:rsidRPr="004838D2">
              <w:t>(13.84)</w:t>
            </w:r>
          </w:p>
        </w:tc>
      </w:tr>
      <w:tr w:rsidR="00A3253C" w14:paraId="0083023E" w14:textId="77777777" w:rsidTr="004C15E4">
        <w:trPr>
          <w:trHeight w:val="278"/>
          <w:jc w:val="center"/>
        </w:trPr>
        <w:tc>
          <w:tcPr>
            <w:tcW w:w="4768" w:type="dxa"/>
            <w:tcBorders>
              <w:top w:val="nil"/>
              <w:left w:val="nil"/>
              <w:bottom w:val="nil"/>
              <w:right w:val="nil"/>
            </w:tcBorders>
          </w:tcPr>
          <w:p w14:paraId="6AE511F4" w14:textId="77777777" w:rsidR="00A3253C" w:rsidRDefault="00A3253C" w:rsidP="00A3253C">
            <w:pPr>
              <w:widowControl w:val="0"/>
              <w:autoSpaceDE w:val="0"/>
              <w:autoSpaceDN w:val="0"/>
              <w:adjustRightInd w:val="0"/>
            </w:pPr>
            <w:r w:rsidRPr="0009380E">
              <w:t>Product Innovation</w:t>
            </w:r>
          </w:p>
        </w:tc>
        <w:tc>
          <w:tcPr>
            <w:tcW w:w="1831" w:type="dxa"/>
            <w:tcBorders>
              <w:top w:val="nil"/>
              <w:left w:val="nil"/>
              <w:bottom w:val="nil"/>
              <w:right w:val="nil"/>
            </w:tcBorders>
          </w:tcPr>
          <w:p w14:paraId="70EEAD78" w14:textId="142BC360" w:rsidR="00A3253C" w:rsidRDefault="00A3253C" w:rsidP="00A3253C">
            <w:pPr>
              <w:widowControl w:val="0"/>
              <w:autoSpaceDE w:val="0"/>
              <w:autoSpaceDN w:val="0"/>
              <w:adjustRightInd w:val="0"/>
              <w:jc w:val="center"/>
            </w:pPr>
            <w:r w:rsidRPr="004838D2">
              <w:t>0.451***</w:t>
            </w:r>
          </w:p>
        </w:tc>
        <w:tc>
          <w:tcPr>
            <w:tcW w:w="1831" w:type="dxa"/>
            <w:tcBorders>
              <w:top w:val="nil"/>
              <w:left w:val="nil"/>
              <w:bottom w:val="nil"/>
              <w:right w:val="nil"/>
            </w:tcBorders>
          </w:tcPr>
          <w:p w14:paraId="0F81C584" w14:textId="1C713CE5" w:rsidR="00A3253C" w:rsidRDefault="00A3253C" w:rsidP="00A3253C">
            <w:pPr>
              <w:widowControl w:val="0"/>
              <w:autoSpaceDE w:val="0"/>
              <w:autoSpaceDN w:val="0"/>
              <w:adjustRightInd w:val="0"/>
              <w:jc w:val="center"/>
            </w:pPr>
            <w:r w:rsidRPr="004838D2">
              <w:t>0.452***</w:t>
            </w:r>
          </w:p>
        </w:tc>
      </w:tr>
      <w:tr w:rsidR="00A3253C" w14:paraId="56571888" w14:textId="77777777" w:rsidTr="004C15E4">
        <w:trPr>
          <w:trHeight w:val="278"/>
          <w:jc w:val="center"/>
        </w:trPr>
        <w:tc>
          <w:tcPr>
            <w:tcW w:w="4768" w:type="dxa"/>
            <w:tcBorders>
              <w:top w:val="nil"/>
              <w:left w:val="nil"/>
              <w:bottom w:val="nil"/>
              <w:right w:val="nil"/>
            </w:tcBorders>
          </w:tcPr>
          <w:p w14:paraId="3CF9BB39" w14:textId="77777777" w:rsidR="00A3253C" w:rsidRDefault="00A3253C" w:rsidP="00A3253C">
            <w:pPr>
              <w:widowControl w:val="0"/>
              <w:autoSpaceDE w:val="0"/>
              <w:autoSpaceDN w:val="0"/>
              <w:adjustRightInd w:val="0"/>
            </w:pPr>
          </w:p>
        </w:tc>
        <w:tc>
          <w:tcPr>
            <w:tcW w:w="1831" w:type="dxa"/>
            <w:tcBorders>
              <w:top w:val="nil"/>
              <w:left w:val="nil"/>
              <w:bottom w:val="nil"/>
              <w:right w:val="nil"/>
            </w:tcBorders>
          </w:tcPr>
          <w:p w14:paraId="5390441C" w14:textId="29B06EA8" w:rsidR="00A3253C" w:rsidRDefault="00A3253C" w:rsidP="00A3253C">
            <w:pPr>
              <w:widowControl w:val="0"/>
              <w:autoSpaceDE w:val="0"/>
              <w:autoSpaceDN w:val="0"/>
              <w:adjustRightInd w:val="0"/>
              <w:jc w:val="center"/>
            </w:pPr>
            <w:r w:rsidRPr="004838D2">
              <w:t>(0.119)</w:t>
            </w:r>
          </w:p>
        </w:tc>
        <w:tc>
          <w:tcPr>
            <w:tcW w:w="1831" w:type="dxa"/>
            <w:tcBorders>
              <w:top w:val="nil"/>
              <w:left w:val="nil"/>
              <w:bottom w:val="nil"/>
              <w:right w:val="nil"/>
            </w:tcBorders>
          </w:tcPr>
          <w:p w14:paraId="6091D9A2" w14:textId="266344F4" w:rsidR="00A3253C" w:rsidRDefault="00A3253C" w:rsidP="00A3253C">
            <w:pPr>
              <w:widowControl w:val="0"/>
              <w:autoSpaceDE w:val="0"/>
              <w:autoSpaceDN w:val="0"/>
              <w:adjustRightInd w:val="0"/>
              <w:jc w:val="center"/>
            </w:pPr>
            <w:r w:rsidRPr="004838D2">
              <w:t>(0.121)</w:t>
            </w:r>
          </w:p>
        </w:tc>
      </w:tr>
      <w:tr w:rsidR="00A3253C" w14:paraId="4AF44DC9" w14:textId="77777777" w:rsidTr="004C15E4">
        <w:trPr>
          <w:trHeight w:val="278"/>
          <w:jc w:val="center"/>
        </w:trPr>
        <w:tc>
          <w:tcPr>
            <w:tcW w:w="4768" w:type="dxa"/>
            <w:tcBorders>
              <w:top w:val="nil"/>
              <w:left w:val="nil"/>
              <w:bottom w:val="nil"/>
              <w:right w:val="nil"/>
            </w:tcBorders>
          </w:tcPr>
          <w:p w14:paraId="6654FCD6" w14:textId="77777777" w:rsidR="00A3253C" w:rsidRDefault="00A3253C" w:rsidP="00A3253C">
            <w:pPr>
              <w:widowControl w:val="0"/>
              <w:autoSpaceDE w:val="0"/>
              <w:autoSpaceDN w:val="0"/>
              <w:adjustRightInd w:val="0"/>
            </w:pPr>
            <w:r w:rsidRPr="0009380E">
              <w:t>Process Innovation</w:t>
            </w:r>
          </w:p>
        </w:tc>
        <w:tc>
          <w:tcPr>
            <w:tcW w:w="1831" w:type="dxa"/>
            <w:tcBorders>
              <w:top w:val="nil"/>
              <w:left w:val="nil"/>
              <w:bottom w:val="nil"/>
              <w:right w:val="nil"/>
            </w:tcBorders>
          </w:tcPr>
          <w:p w14:paraId="65747901" w14:textId="4F2A0668" w:rsidR="00A3253C" w:rsidRDefault="00A3253C" w:rsidP="00A3253C">
            <w:pPr>
              <w:widowControl w:val="0"/>
              <w:autoSpaceDE w:val="0"/>
              <w:autoSpaceDN w:val="0"/>
              <w:adjustRightInd w:val="0"/>
              <w:jc w:val="center"/>
            </w:pPr>
            <w:r w:rsidRPr="004838D2">
              <w:t>0.193</w:t>
            </w:r>
            <w:r w:rsidR="0096161E" w:rsidRPr="00204533">
              <w:rPr>
                <w:vertAlign w:val="superscript"/>
              </w:rPr>
              <w:t>†</w:t>
            </w:r>
          </w:p>
        </w:tc>
        <w:tc>
          <w:tcPr>
            <w:tcW w:w="1831" w:type="dxa"/>
            <w:tcBorders>
              <w:top w:val="nil"/>
              <w:left w:val="nil"/>
              <w:bottom w:val="nil"/>
              <w:right w:val="nil"/>
            </w:tcBorders>
          </w:tcPr>
          <w:p w14:paraId="4052FE58" w14:textId="6A722199" w:rsidR="00A3253C" w:rsidRDefault="00A3253C" w:rsidP="00A3253C">
            <w:pPr>
              <w:widowControl w:val="0"/>
              <w:autoSpaceDE w:val="0"/>
              <w:autoSpaceDN w:val="0"/>
              <w:adjustRightInd w:val="0"/>
              <w:jc w:val="center"/>
            </w:pPr>
            <w:r w:rsidRPr="004838D2">
              <w:t>0.200</w:t>
            </w:r>
            <w:r w:rsidR="007041D6" w:rsidRPr="00204533">
              <w:rPr>
                <w:vertAlign w:val="superscript"/>
              </w:rPr>
              <w:t>†</w:t>
            </w:r>
          </w:p>
        </w:tc>
      </w:tr>
      <w:tr w:rsidR="00A3253C" w14:paraId="344F08BB" w14:textId="77777777" w:rsidTr="004C15E4">
        <w:trPr>
          <w:trHeight w:val="278"/>
          <w:jc w:val="center"/>
        </w:trPr>
        <w:tc>
          <w:tcPr>
            <w:tcW w:w="4768" w:type="dxa"/>
            <w:tcBorders>
              <w:top w:val="nil"/>
              <w:left w:val="nil"/>
              <w:bottom w:val="nil"/>
              <w:right w:val="nil"/>
            </w:tcBorders>
          </w:tcPr>
          <w:p w14:paraId="1958ED5E" w14:textId="77777777" w:rsidR="00A3253C" w:rsidRDefault="00A3253C" w:rsidP="00A3253C">
            <w:pPr>
              <w:widowControl w:val="0"/>
              <w:autoSpaceDE w:val="0"/>
              <w:autoSpaceDN w:val="0"/>
              <w:adjustRightInd w:val="0"/>
            </w:pPr>
          </w:p>
        </w:tc>
        <w:tc>
          <w:tcPr>
            <w:tcW w:w="1831" w:type="dxa"/>
            <w:tcBorders>
              <w:top w:val="nil"/>
              <w:left w:val="nil"/>
              <w:bottom w:val="nil"/>
              <w:right w:val="nil"/>
            </w:tcBorders>
          </w:tcPr>
          <w:p w14:paraId="0396DE5B" w14:textId="1530606D" w:rsidR="00A3253C" w:rsidRDefault="00A3253C" w:rsidP="00A3253C">
            <w:pPr>
              <w:widowControl w:val="0"/>
              <w:autoSpaceDE w:val="0"/>
              <w:autoSpaceDN w:val="0"/>
              <w:adjustRightInd w:val="0"/>
              <w:jc w:val="center"/>
            </w:pPr>
            <w:r w:rsidRPr="004838D2">
              <w:t>(0.106)</w:t>
            </w:r>
          </w:p>
        </w:tc>
        <w:tc>
          <w:tcPr>
            <w:tcW w:w="1831" w:type="dxa"/>
            <w:tcBorders>
              <w:top w:val="nil"/>
              <w:left w:val="nil"/>
              <w:bottom w:val="nil"/>
              <w:right w:val="nil"/>
            </w:tcBorders>
          </w:tcPr>
          <w:p w14:paraId="4DDD0D2B" w14:textId="3FE6D764" w:rsidR="00A3253C" w:rsidRDefault="00A3253C" w:rsidP="00A3253C">
            <w:pPr>
              <w:widowControl w:val="0"/>
              <w:autoSpaceDE w:val="0"/>
              <w:autoSpaceDN w:val="0"/>
              <w:adjustRightInd w:val="0"/>
              <w:jc w:val="center"/>
            </w:pPr>
            <w:r w:rsidRPr="004838D2">
              <w:t>(0.110)</w:t>
            </w:r>
          </w:p>
        </w:tc>
      </w:tr>
      <w:tr w:rsidR="00A3253C" w14:paraId="73326123" w14:textId="77777777" w:rsidTr="004C15E4">
        <w:trPr>
          <w:trHeight w:val="278"/>
          <w:jc w:val="center"/>
        </w:trPr>
        <w:tc>
          <w:tcPr>
            <w:tcW w:w="4768" w:type="dxa"/>
            <w:tcBorders>
              <w:top w:val="nil"/>
              <w:left w:val="nil"/>
              <w:bottom w:val="nil"/>
              <w:right w:val="nil"/>
            </w:tcBorders>
          </w:tcPr>
          <w:p w14:paraId="570ECD2B" w14:textId="77777777" w:rsidR="00A3253C" w:rsidRDefault="00A3253C" w:rsidP="00A3253C">
            <w:pPr>
              <w:widowControl w:val="0"/>
              <w:autoSpaceDE w:val="0"/>
              <w:autoSpaceDN w:val="0"/>
              <w:adjustRightInd w:val="0"/>
            </w:pPr>
            <w:r w:rsidRPr="0009380E">
              <w:t>Competition</w:t>
            </w:r>
          </w:p>
        </w:tc>
        <w:tc>
          <w:tcPr>
            <w:tcW w:w="1831" w:type="dxa"/>
            <w:tcBorders>
              <w:top w:val="nil"/>
              <w:left w:val="nil"/>
              <w:bottom w:val="nil"/>
              <w:right w:val="nil"/>
            </w:tcBorders>
          </w:tcPr>
          <w:p w14:paraId="6DE1BF4A" w14:textId="377FD7FA" w:rsidR="00A3253C" w:rsidRDefault="00A3253C" w:rsidP="00A3253C">
            <w:pPr>
              <w:widowControl w:val="0"/>
              <w:autoSpaceDE w:val="0"/>
              <w:autoSpaceDN w:val="0"/>
              <w:adjustRightInd w:val="0"/>
              <w:jc w:val="center"/>
            </w:pPr>
            <w:r w:rsidRPr="004838D2">
              <w:t>-0.0220**</w:t>
            </w:r>
          </w:p>
        </w:tc>
        <w:tc>
          <w:tcPr>
            <w:tcW w:w="1831" w:type="dxa"/>
            <w:tcBorders>
              <w:top w:val="nil"/>
              <w:left w:val="nil"/>
              <w:bottom w:val="nil"/>
              <w:right w:val="nil"/>
            </w:tcBorders>
          </w:tcPr>
          <w:p w14:paraId="08745D77" w14:textId="3E8D7327" w:rsidR="00A3253C" w:rsidRDefault="00A3253C" w:rsidP="00A3253C">
            <w:pPr>
              <w:widowControl w:val="0"/>
              <w:autoSpaceDE w:val="0"/>
              <w:autoSpaceDN w:val="0"/>
              <w:adjustRightInd w:val="0"/>
              <w:jc w:val="center"/>
            </w:pPr>
            <w:r w:rsidRPr="004838D2">
              <w:t>-0.0225**</w:t>
            </w:r>
          </w:p>
        </w:tc>
      </w:tr>
      <w:tr w:rsidR="00A3253C" w14:paraId="49D9045A" w14:textId="77777777" w:rsidTr="004C15E4">
        <w:trPr>
          <w:trHeight w:val="278"/>
          <w:jc w:val="center"/>
        </w:trPr>
        <w:tc>
          <w:tcPr>
            <w:tcW w:w="4768" w:type="dxa"/>
            <w:tcBorders>
              <w:top w:val="nil"/>
              <w:left w:val="nil"/>
              <w:bottom w:val="nil"/>
              <w:right w:val="nil"/>
            </w:tcBorders>
          </w:tcPr>
          <w:p w14:paraId="6EC583C8" w14:textId="77777777" w:rsidR="00A3253C" w:rsidRDefault="00A3253C" w:rsidP="00A3253C">
            <w:pPr>
              <w:widowControl w:val="0"/>
              <w:autoSpaceDE w:val="0"/>
              <w:autoSpaceDN w:val="0"/>
              <w:adjustRightInd w:val="0"/>
            </w:pPr>
          </w:p>
        </w:tc>
        <w:tc>
          <w:tcPr>
            <w:tcW w:w="1831" w:type="dxa"/>
            <w:tcBorders>
              <w:top w:val="nil"/>
              <w:left w:val="nil"/>
              <w:bottom w:val="nil"/>
              <w:right w:val="nil"/>
            </w:tcBorders>
          </w:tcPr>
          <w:p w14:paraId="2A5D8A77" w14:textId="3EE4BC91" w:rsidR="00A3253C" w:rsidRDefault="00A3253C" w:rsidP="00A3253C">
            <w:pPr>
              <w:widowControl w:val="0"/>
              <w:autoSpaceDE w:val="0"/>
              <w:autoSpaceDN w:val="0"/>
              <w:adjustRightInd w:val="0"/>
              <w:jc w:val="center"/>
            </w:pPr>
            <w:r w:rsidRPr="004838D2">
              <w:t>(0.00713)</w:t>
            </w:r>
          </w:p>
        </w:tc>
        <w:tc>
          <w:tcPr>
            <w:tcW w:w="1831" w:type="dxa"/>
            <w:tcBorders>
              <w:top w:val="nil"/>
              <w:left w:val="nil"/>
              <w:bottom w:val="nil"/>
              <w:right w:val="nil"/>
            </w:tcBorders>
          </w:tcPr>
          <w:p w14:paraId="6195C5FA" w14:textId="1C9BDEAC" w:rsidR="00A3253C" w:rsidRDefault="00A3253C" w:rsidP="00A3253C">
            <w:pPr>
              <w:widowControl w:val="0"/>
              <w:autoSpaceDE w:val="0"/>
              <w:autoSpaceDN w:val="0"/>
              <w:adjustRightInd w:val="0"/>
              <w:jc w:val="center"/>
            </w:pPr>
            <w:r w:rsidRPr="004838D2">
              <w:t>(0.00740)</w:t>
            </w:r>
          </w:p>
        </w:tc>
      </w:tr>
      <w:tr w:rsidR="00A3253C" w14:paraId="0BB50C85" w14:textId="77777777" w:rsidTr="004C15E4">
        <w:trPr>
          <w:trHeight w:val="278"/>
          <w:jc w:val="center"/>
        </w:trPr>
        <w:tc>
          <w:tcPr>
            <w:tcW w:w="4768" w:type="dxa"/>
            <w:tcBorders>
              <w:top w:val="nil"/>
              <w:left w:val="nil"/>
              <w:bottom w:val="nil"/>
              <w:right w:val="nil"/>
            </w:tcBorders>
          </w:tcPr>
          <w:p w14:paraId="2588C631" w14:textId="77777777" w:rsidR="00A3253C" w:rsidRDefault="00A3253C" w:rsidP="00A3253C">
            <w:pPr>
              <w:widowControl w:val="0"/>
              <w:autoSpaceDE w:val="0"/>
              <w:autoSpaceDN w:val="0"/>
              <w:adjustRightInd w:val="0"/>
            </w:pPr>
            <w:r w:rsidRPr="0009380E">
              <w:t>Sectoral growth</w:t>
            </w:r>
          </w:p>
        </w:tc>
        <w:tc>
          <w:tcPr>
            <w:tcW w:w="1831" w:type="dxa"/>
            <w:tcBorders>
              <w:top w:val="nil"/>
              <w:left w:val="nil"/>
              <w:bottom w:val="nil"/>
              <w:right w:val="nil"/>
            </w:tcBorders>
          </w:tcPr>
          <w:p w14:paraId="0B2802F2" w14:textId="5A6E8645" w:rsidR="00A3253C" w:rsidRDefault="00A3253C" w:rsidP="00A3253C">
            <w:pPr>
              <w:widowControl w:val="0"/>
              <w:autoSpaceDE w:val="0"/>
              <w:autoSpaceDN w:val="0"/>
              <w:adjustRightInd w:val="0"/>
              <w:jc w:val="center"/>
            </w:pPr>
            <w:r w:rsidRPr="004838D2">
              <w:t>9.55e-05</w:t>
            </w:r>
          </w:p>
        </w:tc>
        <w:tc>
          <w:tcPr>
            <w:tcW w:w="1831" w:type="dxa"/>
            <w:tcBorders>
              <w:top w:val="nil"/>
              <w:left w:val="nil"/>
              <w:bottom w:val="nil"/>
              <w:right w:val="nil"/>
            </w:tcBorders>
          </w:tcPr>
          <w:p w14:paraId="1905B9C9" w14:textId="78AA8DDA" w:rsidR="00A3253C" w:rsidRDefault="00A3253C" w:rsidP="00A3253C">
            <w:pPr>
              <w:widowControl w:val="0"/>
              <w:autoSpaceDE w:val="0"/>
              <w:autoSpaceDN w:val="0"/>
              <w:adjustRightInd w:val="0"/>
              <w:jc w:val="center"/>
            </w:pPr>
            <w:r w:rsidRPr="004838D2">
              <w:t>9.74e-05</w:t>
            </w:r>
          </w:p>
        </w:tc>
      </w:tr>
      <w:tr w:rsidR="00A3253C" w14:paraId="589BE41A" w14:textId="77777777" w:rsidTr="004C15E4">
        <w:trPr>
          <w:trHeight w:val="278"/>
          <w:jc w:val="center"/>
        </w:trPr>
        <w:tc>
          <w:tcPr>
            <w:tcW w:w="4768" w:type="dxa"/>
            <w:tcBorders>
              <w:top w:val="nil"/>
              <w:left w:val="nil"/>
              <w:bottom w:val="nil"/>
              <w:right w:val="nil"/>
            </w:tcBorders>
          </w:tcPr>
          <w:p w14:paraId="3BADFC25" w14:textId="77777777" w:rsidR="00A3253C" w:rsidRDefault="00A3253C" w:rsidP="00A3253C">
            <w:pPr>
              <w:widowControl w:val="0"/>
              <w:autoSpaceDE w:val="0"/>
              <w:autoSpaceDN w:val="0"/>
              <w:adjustRightInd w:val="0"/>
            </w:pPr>
          </w:p>
        </w:tc>
        <w:tc>
          <w:tcPr>
            <w:tcW w:w="1831" w:type="dxa"/>
            <w:tcBorders>
              <w:top w:val="nil"/>
              <w:left w:val="nil"/>
              <w:bottom w:val="nil"/>
              <w:right w:val="nil"/>
            </w:tcBorders>
          </w:tcPr>
          <w:p w14:paraId="1CAEE944" w14:textId="1EB1FC63" w:rsidR="00A3253C" w:rsidRDefault="00A3253C" w:rsidP="00A3253C">
            <w:pPr>
              <w:widowControl w:val="0"/>
              <w:autoSpaceDE w:val="0"/>
              <w:autoSpaceDN w:val="0"/>
              <w:adjustRightInd w:val="0"/>
              <w:jc w:val="center"/>
            </w:pPr>
            <w:r w:rsidRPr="004838D2">
              <w:t>(0.000124)</w:t>
            </w:r>
          </w:p>
        </w:tc>
        <w:tc>
          <w:tcPr>
            <w:tcW w:w="1831" w:type="dxa"/>
            <w:tcBorders>
              <w:top w:val="nil"/>
              <w:left w:val="nil"/>
              <w:bottom w:val="nil"/>
              <w:right w:val="nil"/>
            </w:tcBorders>
          </w:tcPr>
          <w:p w14:paraId="7D3796AA" w14:textId="0F31025F" w:rsidR="00A3253C" w:rsidRDefault="00A3253C" w:rsidP="00A3253C">
            <w:pPr>
              <w:widowControl w:val="0"/>
              <w:autoSpaceDE w:val="0"/>
              <w:autoSpaceDN w:val="0"/>
              <w:adjustRightInd w:val="0"/>
              <w:jc w:val="center"/>
            </w:pPr>
            <w:r w:rsidRPr="004838D2">
              <w:t>(0.000128)</w:t>
            </w:r>
          </w:p>
        </w:tc>
      </w:tr>
      <w:tr w:rsidR="00A3253C" w14:paraId="6C4D27E5" w14:textId="77777777" w:rsidTr="004C15E4">
        <w:trPr>
          <w:trHeight w:val="278"/>
          <w:jc w:val="center"/>
        </w:trPr>
        <w:tc>
          <w:tcPr>
            <w:tcW w:w="4768" w:type="dxa"/>
            <w:tcBorders>
              <w:top w:val="nil"/>
              <w:left w:val="nil"/>
              <w:bottom w:val="nil"/>
              <w:right w:val="nil"/>
            </w:tcBorders>
          </w:tcPr>
          <w:p w14:paraId="6F8AAC75" w14:textId="77777777" w:rsidR="00A3253C" w:rsidRDefault="00A3253C" w:rsidP="00A3253C">
            <w:pPr>
              <w:widowControl w:val="0"/>
              <w:autoSpaceDE w:val="0"/>
              <w:autoSpaceDN w:val="0"/>
              <w:adjustRightInd w:val="0"/>
            </w:pPr>
            <w:r>
              <w:t>Domestic market growth</w:t>
            </w:r>
          </w:p>
        </w:tc>
        <w:tc>
          <w:tcPr>
            <w:tcW w:w="1831" w:type="dxa"/>
            <w:tcBorders>
              <w:top w:val="nil"/>
              <w:left w:val="nil"/>
              <w:bottom w:val="nil"/>
              <w:right w:val="nil"/>
            </w:tcBorders>
          </w:tcPr>
          <w:p w14:paraId="3606FDBD" w14:textId="106F5DCC" w:rsidR="00A3253C" w:rsidRDefault="00A3253C" w:rsidP="00A3253C">
            <w:pPr>
              <w:widowControl w:val="0"/>
              <w:autoSpaceDE w:val="0"/>
              <w:autoSpaceDN w:val="0"/>
              <w:adjustRightInd w:val="0"/>
              <w:jc w:val="center"/>
            </w:pPr>
            <w:r w:rsidRPr="004838D2">
              <w:t>0.186***</w:t>
            </w:r>
          </w:p>
        </w:tc>
        <w:tc>
          <w:tcPr>
            <w:tcW w:w="1831" w:type="dxa"/>
            <w:tcBorders>
              <w:top w:val="nil"/>
              <w:left w:val="nil"/>
              <w:bottom w:val="nil"/>
              <w:right w:val="nil"/>
            </w:tcBorders>
          </w:tcPr>
          <w:p w14:paraId="4541119A" w14:textId="68B97C15" w:rsidR="00A3253C" w:rsidRDefault="00A3253C" w:rsidP="00A3253C">
            <w:pPr>
              <w:widowControl w:val="0"/>
              <w:autoSpaceDE w:val="0"/>
              <w:autoSpaceDN w:val="0"/>
              <w:adjustRightInd w:val="0"/>
              <w:jc w:val="center"/>
            </w:pPr>
            <w:r w:rsidRPr="004838D2">
              <w:t>0.195***</w:t>
            </w:r>
          </w:p>
        </w:tc>
      </w:tr>
      <w:tr w:rsidR="00A3253C" w14:paraId="1CE7AF43" w14:textId="77777777" w:rsidTr="004C15E4">
        <w:trPr>
          <w:trHeight w:val="278"/>
          <w:jc w:val="center"/>
        </w:trPr>
        <w:tc>
          <w:tcPr>
            <w:tcW w:w="4768" w:type="dxa"/>
            <w:tcBorders>
              <w:top w:val="nil"/>
              <w:left w:val="nil"/>
              <w:bottom w:val="nil"/>
              <w:right w:val="nil"/>
            </w:tcBorders>
          </w:tcPr>
          <w:p w14:paraId="67006C0F" w14:textId="77777777" w:rsidR="00A3253C" w:rsidRDefault="00A3253C" w:rsidP="00A3253C">
            <w:pPr>
              <w:widowControl w:val="0"/>
              <w:autoSpaceDE w:val="0"/>
              <w:autoSpaceDN w:val="0"/>
              <w:adjustRightInd w:val="0"/>
            </w:pPr>
          </w:p>
        </w:tc>
        <w:tc>
          <w:tcPr>
            <w:tcW w:w="1831" w:type="dxa"/>
            <w:tcBorders>
              <w:top w:val="nil"/>
              <w:left w:val="nil"/>
              <w:bottom w:val="nil"/>
              <w:right w:val="nil"/>
            </w:tcBorders>
          </w:tcPr>
          <w:p w14:paraId="163E5CA2" w14:textId="035D6E10" w:rsidR="00A3253C" w:rsidRDefault="00A3253C" w:rsidP="00A3253C">
            <w:pPr>
              <w:widowControl w:val="0"/>
              <w:autoSpaceDE w:val="0"/>
              <w:autoSpaceDN w:val="0"/>
              <w:adjustRightInd w:val="0"/>
              <w:jc w:val="center"/>
            </w:pPr>
            <w:r w:rsidRPr="004838D2">
              <w:t>(0.0318)</w:t>
            </w:r>
          </w:p>
        </w:tc>
        <w:tc>
          <w:tcPr>
            <w:tcW w:w="1831" w:type="dxa"/>
            <w:tcBorders>
              <w:top w:val="nil"/>
              <w:left w:val="nil"/>
              <w:bottom w:val="nil"/>
              <w:right w:val="nil"/>
            </w:tcBorders>
          </w:tcPr>
          <w:p w14:paraId="71747CE1" w14:textId="5FAFE679" w:rsidR="00A3253C" w:rsidRDefault="00A3253C" w:rsidP="00A3253C">
            <w:pPr>
              <w:widowControl w:val="0"/>
              <w:autoSpaceDE w:val="0"/>
              <w:autoSpaceDN w:val="0"/>
              <w:adjustRightInd w:val="0"/>
              <w:jc w:val="center"/>
            </w:pPr>
            <w:r w:rsidRPr="004838D2">
              <w:t>(0.0337)</w:t>
            </w:r>
          </w:p>
        </w:tc>
      </w:tr>
      <w:tr w:rsidR="00A3253C" w14:paraId="65EB1B8D" w14:textId="77777777" w:rsidTr="004C15E4">
        <w:trPr>
          <w:trHeight w:val="278"/>
          <w:jc w:val="center"/>
        </w:trPr>
        <w:tc>
          <w:tcPr>
            <w:tcW w:w="4768" w:type="dxa"/>
            <w:tcBorders>
              <w:top w:val="nil"/>
              <w:left w:val="nil"/>
              <w:bottom w:val="nil"/>
              <w:right w:val="nil"/>
            </w:tcBorders>
          </w:tcPr>
          <w:p w14:paraId="7F3B69FD" w14:textId="77777777" w:rsidR="00A3253C" w:rsidRDefault="00A3253C" w:rsidP="00A3253C">
            <w:pPr>
              <w:widowControl w:val="0"/>
              <w:autoSpaceDE w:val="0"/>
              <w:autoSpaceDN w:val="0"/>
              <w:adjustRightInd w:val="0"/>
            </w:pPr>
            <w:r>
              <w:t>Domestic market growth at exit</w:t>
            </w:r>
          </w:p>
        </w:tc>
        <w:tc>
          <w:tcPr>
            <w:tcW w:w="1831" w:type="dxa"/>
            <w:tcBorders>
              <w:top w:val="nil"/>
              <w:left w:val="nil"/>
              <w:bottom w:val="nil"/>
              <w:right w:val="nil"/>
            </w:tcBorders>
          </w:tcPr>
          <w:p w14:paraId="255E0825" w14:textId="29586919" w:rsidR="00A3253C" w:rsidRDefault="00A3253C" w:rsidP="00A3253C">
            <w:pPr>
              <w:widowControl w:val="0"/>
              <w:autoSpaceDE w:val="0"/>
              <w:autoSpaceDN w:val="0"/>
              <w:adjustRightInd w:val="0"/>
              <w:jc w:val="center"/>
            </w:pPr>
            <w:r w:rsidRPr="004838D2">
              <w:t>0.0520</w:t>
            </w:r>
          </w:p>
        </w:tc>
        <w:tc>
          <w:tcPr>
            <w:tcW w:w="1831" w:type="dxa"/>
            <w:tcBorders>
              <w:top w:val="nil"/>
              <w:left w:val="nil"/>
              <w:bottom w:val="nil"/>
              <w:right w:val="nil"/>
            </w:tcBorders>
          </w:tcPr>
          <w:p w14:paraId="236B4963" w14:textId="77D3EE21" w:rsidR="00A3253C" w:rsidRDefault="00A3253C" w:rsidP="00A3253C">
            <w:pPr>
              <w:widowControl w:val="0"/>
              <w:autoSpaceDE w:val="0"/>
              <w:autoSpaceDN w:val="0"/>
              <w:adjustRightInd w:val="0"/>
              <w:jc w:val="center"/>
            </w:pPr>
            <w:r w:rsidRPr="004838D2">
              <w:t>0.0523</w:t>
            </w:r>
          </w:p>
        </w:tc>
      </w:tr>
      <w:tr w:rsidR="00A3253C" w14:paraId="0E9DC988" w14:textId="77777777" w:rsidTr="004C15E4">
        <w:trPr>
          <w:trHeight w:val="278"/>
          <w:jc w:val="center"/>
        </w:trPr>
        <w:tc>
          <w:tcPr>
            <w:tcW w:w="4768" w:type="dxa"/>
            <w:tcBorders>
              <w:top w:val="nil"/>
              <w:left w:val="nil"/>
              <w:bottom w:val="nil"/>
              <w:right w:val="nil"/>
            </w:tcBorders>
          </w:tcPr>
          <w:p w14:paraId="078CE018" w14:textId="77777777" w:rsidR="00A3253C" w:rsidRDefault="00A3253C" w:rsidP="00A3253C">
            <w:pPr>
              <w:widowControl w:val="0"/>
              <w:autoSpaceDE w:val="0"/>
              <w:autoSpaceDN w:val="0"/>
              <w:adjustRightInd w:val="0"/>
            </w:pPr>
          </w:p>
        </w:tc>
        <w:tc>
          <w:tcPr>
            <w:tcW w:w="1831" w:type="dxa"/>
            <w:tcBorders>
              <w:top w:val="nil"/>
              <w:left w:val="nil"/>
              <w:bottom w:val="nil"/>
              <w:right w:val="nil"/>
            </w:tcBorders>
          </w:tcPr>
          <w:p w14:paraId="427DB376" w14:textId="38D4AF38" w:rsidR="00A3253C" w:rsidRDefault="00A3253C" w:rsidP="00A3253C">
            <w:pPr>
              <w:widowControl w:val="0"/>
              <w:autoSpaceDE w:val="0"/>
              <w:autoSpaceDN w:val="0"/>
              <w:adjustRightInd w:val="0"/>
              <w:jc w:val="center"/>
            </w:pPr>
            <w:r w:rsidRPr="004838D2">
              <w:t>(0.0317)</w:t>
            </w:r>
          </w:p>
        </w:tc>
        <w:tc>
          <w:tcPr>
            <w:tcW w:w="1831" w:type="dxa"/>
            <w:tcBorders>
              <w:top w:val="nil"/>
              <w:left w:val="nil"/>
              <w:bottom w:val="nil"/>
              <w:right w:val="nil"/>
            </w:tcBorders>
          </w:tcPr>
          <w:p w14:paraId="6B5A9F4A" w14:textId="4F8B9A19" w:rsidR="00A3253C" w:rsidRDefault="00A3253C" w:rsidP="00A3253C">
            <w:pPr>
              <w:widowControl w:val="0"/>
              <w:autoSpaceDE w:val="0"/>
              <w:autoSpaceDN w:val="0"/>
              <w:adjustRightInd w:val="0"/>
              <w:jc w:val="center"/>
            </w:pPr>
            <w:r w:rsidRPr="004838D2">
              <w:t>(0.0331)</w:t>
            </w:r>
          </w:p>
        </w:tc>
      </w:tr>
      <w:tr w:rsidR="00A3253C" w14:paraId="3D70E884" w14:textId="77777777" w:rsidTr="004C15E4">
        <w:trPr>
          <w:trHeight w:val="278"/>
          <w:jc w:val="center"/>
        </w:trPr>
        <w:tc>
          <w:tcPr>
            <w:tcW w:w="4768" w:type="dxa"/>
            <w:tcBorders>
              <w:top w:val="nil"/>
              <w:left w:val="nil"/>
              <w:bottom w:val="nil"/>
              <w:right w:val="nil"/>
            </w:tcBorders>
          </w:tcPr>
          <w:p w14:paraId="56490C65" w14:textId="77777777" w:rsidR="00A3253C" w:rsidRDefault="00A3253C" w:rsidP="00A3253C">
            <w:pPr>
              <w:widowControl w:val="0"/>
              <w:autoSpaceDE w:val="0"/>
              <w:autoSpaceDN w:val="0"/>
              <w:adjustRightInd w:val="0"/>
            </w:pPr>
            <w:r>
              <w:t>Constant</w:t>
            </w:r>
          </w:p>
        </w:tc>
        <w:tc>
          <w:tcPr>
            <w:tcW w:w="1831" w:type="dxa"/>
            <w:tcBorders>
              <w:top w:val="nil"/>
              <w:left w:val="nil"/>
              <w:bottom w:val="nil"/>
              <w:right w:val="nil"/>
            </w:tcBorders>
          </w:tcPr>
          <w:p w14:paraId="4B6D5C0D" w14:textId="280664FC" w:rsidR="00A3253C" w:rsidRDefault="00A3253C" w:rsidP="00A3253C">
            <w:pPr>
              <w:widowControl w:val="0"/>
              <w:autoSpaceDE w:val="0"/>
              <w:autoSpaceDN w:val="0"/>
              <w:adjustRightInd w:val="0"/>
              <w:jc w:val="center"/>
            </w:pPr>
            <w:r w:rsidRPr="004838D2">
              <w:t>-6.719***</w:t>
            </w:r>
          </w:p>
        </w:tc>
        <w:tc>
          <w:tcPr>
            <w:tcW w:w="1831" w:type="dxa"/>
            <w:tcBorders>
              <w:top w:val="nil"/>
              <w:left w:val="nil"/>
              <w:bottom w:val="nil"/>
              <w:right w:val="nil"/>
            </w:tcBorders>
          </w:tcPr>
          <w:p w14:paraId="3D714500" w14:textId="3FC4FEB9" w:rsidR="00A3253C" w:rsidRDefault="00A3253C" w:rsidP="00A3253C">
            <w:pPr>
              <w:widowControl w:val="0"/>
              <w:autoSpaceDE w:val="0"/>
              <w:autoSpaceDN w:val="0"/>
              <w:adjustRightInd w:val="0"/>
              <w:jc w:val="center"/>
            </w:pPr>
            <w:r w:rsidRPr="004838D2">
              <w:t>-6.928***</w:t>
            </w:r>
          </w:p>
        </w:tc>
      </w:tr>
      <w:tr w:rsidR="00A3253C" w14:paraId="58E674DC" w14:textId="77777777" w:rsidTr="004C15E4">
        <w:trPr>
          <w:trHeight w:val="278"/>
          <w:jc w:val="center"/>
        </w:trPr>
        <w:tc>
          <w:tcPr>
            <w:tcW w:w="4768" w:type="dxa"/>
            <w:tcBorders>
              <w:top w:val="nil"/>
              <w:left w:val="nil"/>
              <w:bottom w:val="nil"/>
              <w:right w:val="nil"/>
            </w:tcBorders>
          </w:tcPr>
          <w:p w14:paraId="2F94EFCA" w14:textId="77777777" w:rsidR="00A3253C" w:rsidRDefault="00A3253C" w:rsidP="00A3253C">
            <w:pPr>
              <w:widowControl w:val="0"/>
              <w:autoSpaceDE w:val="0"/>
              <w:autoSpaceDN w:val="0"/>
              <w:adjustRightInd w:val="0"/>
            </w:pPr>
          </w:p>
        </w:tc>
        <w:tc>
          <w:tcPr>
            <w:tcW w:w="1831" w:type="dxa"/>
            <w:tcBorders>
              <w:top w:val="nil"/>
              <w:left w:val="nil"/>
              <w:bottom w:val="nil"/>
              <w:right w:val="nil"/>
            </w:tcBorders>
          </w:tcPr>
          <w:p w14:paraId="7FBFD811" w14:textId="03EBDAB9" w:rsidR="00A3253C" w:rsidRDefault="00A3253C" w:rsidP="00A3253C">
            <w:pPr>
              <w:widowControl w:val="0"/>
              <w:autoSpaceDE w:val="0"/>
              <w:autoSpaceDN w:val="0"/>
              <w:adjustRightInd w:val="0"/>
              <w:jc w:val="center"/>
            </w:pPr>
            <w:r w:rsidRPr="004838D2">
              <w:t>(1.299)</w:t>
            </w:r>
          </w:p>
        </w:tc>
        <w:tc>
          <w:tcPr>
            <w:tcW w:w="1831" w:type="dxa"/>
            <w:tcBorders>
              <w:top w:val="nil"/>
              <w:left w:val="nil"/>
              <w:bottom w:val="nil"/>
              <w:right w:val="nil"/>
            </w:tcBorders>
          </w:tcPr>
          <w:p w14:paraId="7DD11383" w14:textId="51CDBEF4" w:rsidR="00A3253C" w:rsidRDefault="00A3253C" w:rsidP="00A3253C">
            <w:pPr>
              <w:widowControl w:val="0"/>
              <w:autoSpaceDE w:val="0"/>
              <w:autoSpaceDN w:val="0"/>
              <w:adjustRightInd w:val="0"/>
              <w:jc w:val="center"/>
            </w:pPr>
            <w:r w:rsidRPr="004838D2">
              <w:t>(1.348)</w:t>
            </w:r>
          </w:p>
        </w:tc>
      </w:tr>
      <w:tr w:rsidR="00A3253C" w14:paraId="1CA0317B" w14:textId="77777777" w:rsidTr="004C15E4">
        <w:trPr>
          <w:trHeight w:val="278"/>
          <w:jc w:val="center"/>
        </w:trPr>
        <w:tc>
          <w:tcPr>
            <w:tcW w:w="4768" w:type="dxa"/>
            <w:tcBorders>
              <w:top w:val="nil"/>
              <w:left w:val="nil"/>
              <w:bottom w:val="nil"/>
              <w:right w:val="nil"/>
            </w:tcBorders>
          </w:tcPr>
          <w:p w14:paraId="1C1E07E5" w14:textId="77777777" w:rsidR="00A3253C" w:rsidRDefault="00A3253C" w:rsidP="00A3253C">
            <w:pPr>
              <w:widowControl w:val="0"/>
              <w:autoSpaceDE w:val="0"/>
              <w:autoSpaceDN w:val="0"/>
              <w:adjustRightInd w:val="0"/>
            </w:pPr>
          </w:p>
        </w:tc>
        <w:tc>
          <w:tcPr>
            <w:tcW w:w="1831" w:type="dxa"/>
            <w:tcBorders>
              <w:top w:val="nil"/>
              <w:left w:val="nil"/>
              <w:bottom w:val="nil"/>
              <w:right w:val="nil"/>
            </w:tcBorders>
          </w:tcPr>
          <w:p w14:paraId="4721AC37" w14:textId="77777777" w:rsidR="00A3253C" w:rsidRDefault="00A3253C" w:rsidP="00A3253C">
            <w:pPr>
              <w:widowControl w:val="0"/>
              <w:autoSpaceDE w:val="0"/>
              <w:autoSpaceDN w:val="0"/>
              <w:adjustRightInd w:val="0"/>
              <w:jc w:val="center"/>
            </w:pPr>
          </w:p>
        </w:tc>
        <w:tc>
          <w:tcPr>
            <w:tcW w:w="1831" w:type="dxa"/>
            <w:tcBorders>
              <w:top w:val="nil"/>
              <w:left w:val="nil"/>
              <w:bottom w:val="nil"/>
              <w:right w:val="nil"/>
            </w:tcBorders>
          </w:tcPr>
          <w:p w14:paraId="71D89384" w14:textId="77777777" w:rsidR="00A3253C" w:rsidRDefault="00A3253C" w:rsidP="00A3253C">
            <w:pPr>
              <w:widowControl w:val="0"/>
              <w:autoSpaceDE w:val="0"/>
              <w:autoSpaceDN w:val="0"/>
              <w:adjustRightInd w:val="0"/>
              <w:jc w:val="center"/>
            </w:pPr>
          </w:p>
        </w:tc>
      </w:tr>
      <w:tr w:rsidR="00A3253C" w14:paraId="7F269B32" w14:textId="77777777" w:rsidTr="004C15E4">
        <w:trPr>
          <w:trHeight w:val="278"/>
          <w:jc w:val="center"/>
        </w:trPr>
        <w:tc>
          <w:tcPr>
            <w:tcW w:w="4768" w:type="dxa"/>
            <w:tcBorders>
              <w:top w:val="nil"/>
              <w:left w:val="nil"/>
              <w:bottom w:val="nil"/>
              <w:right w:val="nil"/>
            </w:tcBorders>
          </w:tcPr>
          <w:p w14:paraId="4896FF58" w14:textId="77777777" w:rsidR="00A3253C" w:rsidRDefault="00A3253C" w:rsidP="00A3253C">
            <w:pPr>
              <w:widowControl w:val="0"/>
              <w:autoSpaceDE w:val="0"/>
              <w:autoSpaceDN w:val="0"/>
              <w:adjustRightInd w:val="0"/>
            </w:pPr>
            <w:r>
              <w:t>Observations</w:t>
            </w:r>
          </w:p>
        </w:tc>
        <w:tc>
          <w:tcPr>
            <w:tcW w:w="1831" w:type="dxa"/>
            <w:tcBorders>
              <w:top w:val="nil"/>
              <w:left w:val="nil"/>
              <w:bottom w:val="nil"/>
              <w:right w:val="nil"/>
            </w:tcBorders>
          </w:tcPr>
          <w:p w14:paraId="63CEADA1" w14:textId="77777777" w:rsidR="00A3253C" w:rsidRDefault="00A3253C" w:rsidP="00A3253C">
            <w:pPr>
              <w:widowControl w:val="0"/>
              <w:autoSpaceDE w:val="0"/>
              <w:autoSpaceDN w:val="0"/>
              <w:adjustRightInd w:val="0"/>
              <w:jc w:val="center"/>
            </w:pPr>
            <w:r>
              <w:t>3,981</w:t>
            </w:r>
          </w:p>
        </w:tc>
        <w:tc>
          <w:tcPr>
            <w:tcW w:w="1831" w:type="dxa"/>
            <w:tcBorders>
              <w:top w:val="nil"/>
              <w:left w:val="nil"/>
              <w:bottom w:val="nil"/>
              <w:right w:val="nil"/>
            </w:tcBorders>
          </w:tcPr>
          <w:p w14:paraId="0AE7F174" w14:textId="77777777" w:rsidR="00A3253C" w:rsidRDefault="00A3253C" w:rsidP="00A3253C">
            <w:pPr>
              <w:widowControl w:val="0"/>
              <w:autoSpaceDE w:val="0"/>
              <w:autoSpaceDN w:val="0"/>
              <w:adjustRightInd w:val="0"/>
              <w:jc w:val="center"/>
            </w:pPr>
            <w:r>
              <w:t>3,981</w:t>
            </w:r>
          </w:p>
        </w:tc>
      </w:tr>
      <w:tr w:rsidR="00A3253C" w14:paraId="4B1FC433" w14:textId="77777777" w:rsidTr="004C15E4">
        <w:trPr>
          <w:trHeight w:val="278"/>
          <w:jc w:val="center"/>
        </w:trPr>
        <w:tc>
          <w:tcPr>
            <w:tcW w:w="4768" w:type="dxa"/>
            <w:tcBorders>
              <w:top w:val="nil"/>
              <w:left w:val="nil"/>
              <w:bottom w:val="nil"/>
              <w:right w:val="nil"/>
            </w:tcBorders>
          </w:tcPr>
          <w:p w14:paraId="071CC5E1" w14:textId="77777777" w:rsidR="00A3253C" w:rsidRDefault="00A3253C" w:rsidP="00A3253C">
            <w:pPr>
              <w:widowControl w:val="0"/>
              <w:autoSpaceDE w:val="0"/>
              <w:autoSpaceDN w:val="0"/>
              <w:adjustRightInd w:val="0"/>
            </w:pPr>
            <w:r>
              <w:t>Number of firms</w:t>
            </w:r>
          </w:p>
        </w:tc>
        <w:tc>
          <w:tcPr>
            <w:tcW w:w="1831" w:type="dxa"/>
            <w:tcBorders>
              <w:top w:val="nil"/>
              <w:left w:val="nil"/>
              <w:bottom w:val="nil"/>
              <w:right w:val="nil"/>
            </w:tcBorders>
          </w:tcPr>
          <w:p w14:paraId="75DFEDD3" w14:textId="77777777" w:rsidR="00A3253C" w:rsidRDefault="00A3253C" w:rsidP="00A3253C">
            <w:pPr>
              <w:widowControl w:val="0"/>
              <w:autoSpaceDE w:val="0"/>
              <w:autoSpaceDN w:val="0"/>
              <w:adjustRightInd w:val="0"/>
              <w:jc w:val="center"/>
            </w:pPr>
            <w:r>
              <w:t>1,393</w:t>
            </w:r>
          </w:p>
        </w:tc>
        <w:tc>
          <w:tcPr>
            <w:tcW w:w="1831" w:type="dxa"/>
            <w:tcBorders>
              <w:top w:val="nil"/>
              <w:left w:val="nil"/>
              <w:bottom w:val="nil"/>
              <w:right w:val="nil"/>
            </w:tcBorders>
          </w:tcPr>
          <w:p w14:paraId="2AB3B47C" w14:textId="77777777" w:rsidR="00A3253C" w:rsidRDefault="00A3253C" w:rsidP="00A3253C">
            <w:pPr>
              <w:widowControl w:val="0"/>
              <w:autoSpaceDE w:val="0"/>
              <w:autoSpaceDN w:val="0"/>
              <w:adjustRightInd w:val="0"/>
              <w:jc w:val="center"/>
            </w:pPr>
            <w:r>
              <w:t>1,393</w:t>
            </w:r>
          </w:p>
        </w:tc>
      </w:tr>
      <w:tr w:rsidR="00A3253C" w14:paraId="45E3EAB3" w14:textId="77777777" w:rsidTr="004C15E4">
        <w:trPr>
          <w:trHeight w:val="278"/>
          <w:jc w:val="center"/>
        </w:trPr>
        <w:tc>
          <w:tcPr>
            <w:tcW w:w="4768" w:type="dxa"/>
            <w:tcBorders>
              <w:top w:val="nil"/>
              <w:left w:val="nil"/>
              <w:bottom w:val="nil"/>
              <w:right w:val="nil"/>
            </w:tcBorders>
          </w:tcPr>
          <w:p w14:paraId="1CB6B97D" w14:textId="77777777" w:rsidR="00A3253C" w:rsidRDefault="00A3253C" w:rsidP="00A3253C">
            <w:pPr>
              <w:widowControl w:val="0"/>
              <w:autoSpaceDE w:val="0"/>
              <w:autoSpaceDN w:val="0"/>
              <w:adjustRightInd w:val="0"/>
            </w:pPr>
            <w:r>
              <w:t>Number of re-entries</w:t>
            </w:r>
          </w:p>
        </w:tc>
        <w:tc>
          <w:tcPr>
            <w:tcW w:w="1831" w:type="dxa"/>
            <w:tcBorders>
              <w:top w:val="nil"/>
              <w:left w:val="nil"/>
              <w:bottom w:val="nil"/>
              <w:right w:val="nil"/>
            </w:tcBorders>
          </w:tcPr>
          <w:p w14:paraId="28F6A589" w14:textId="77777777" w:rsidR="00A3253C" w:rsidRDefault="00A3253C" w:rsidP="00A3253C">
            <w:pPr>
              <w:widowControl w:val="0"/>
              <w:autoSpaceDE w:val="0"/>
              <w:autoSpaceDN w:val="0"/>
              <w:adjustRightInd w:val="0"/>
              <w:jc w:val="center"/>
            </w:pPr>
            <w:r>
              <w:t>725</w:t>
            </w:r>
          </w:p>
        </w:tc>
        <w:tc>
          <w:tcPr>
            <w:tcW w:w="1831" w:type="dxa"/>
            <w:tcBorders>
              <w:top w:val="nil"/>
              <w:left w:val="nil"/>
              <w:bottom w:val="nil"/>
              <w:right w:val="nil"/>
            </w:tcBorders>
          </w:tcPr>
          <w:p w14:paraId="19394A4B" w14:textId="77777777" w:rsidR="00A3253C" w:rsidRDefault="00A3253C" w:rsidP="00A3253C">
            <w:pPr>
              <w:widowControl w:val="0"/>
              <w:autoSpaceDE w:val="0"/>
              <w:autoSpaceDN w:val="0"/>
              <w:adjustRightInd w:val="0"/>
              <w:jc w:val="center"/>
            </w:pPr>
            <w:r>
              <w:t>725</w:t>
            </w:r>
          </w:p>
        </w:tc>
      </w:tr>
      <w:tr w:rsidR="00A3253C" w14:paraId="2DC8FCD0" w14:textId="77777777" w:rsidTr="004C15E4">
        <w:tblPrEx>
          <w:tblBorders>
            <w:bottom w:val="single" w:sz="6" w:space="0" w:color="auto"/>
          </w:tblBorders>
        </w:tblPrEx>
        <w:trPr>
          <w:trHeight w:val="278"/>
          <w:jc w:val="center"/>
        </w:trPr>
        <w:tc>
          <w:tcPr>
            <w:tcW w:w="4768" w:type="dxa"/>
            <w:tcBorders>
              <w:top w:val="nil"/>
              <w:left w:val="nil"/>
              <w:bottom w:val="single" w:sz="6" w:space="0" w:color="auto"/>
              <w:right w:val="nil"/>
            </w:tcBorders>
          </w:tcPr>
          <w:p w14:paraId="53AFAB7E" w14:textId="77777777" w:rsidR="00A3253C" w:rsidRDefault="00A3253C" w:rsidP="00A3253C">
            <w:pPr>
              <w:widowControl w:val="0"/>
              <w:autoSpaceDE w:val="0"/>
              <w:autoSpaceDN w:val="0"/>
              <w:adjustRightInd w:val="0"/>
            </w:pPr>
            <w:r>
              <w:t>chi2</w:t>
            </w:r>
          </w:p>
        </w:tc>
        <w:tc>
          <w:tcPr>
            <w:tcW w:w="1831" w:type="dxa"/>
            <w:tcBorders>
              <w:top w:val="nil"/>
              <w:left w:val="nil"/>
              <w:bottom w:val="single" w:sz="6" w:space="0" w:color="auto"/>
              <w:right w:val="nil"/>
            </w:tcBorders>
          </w:tcPr>
          <w:p w14:paraId="1552F225" w14:textId="23EFE5D1" w:rsidR="00A3253C" w:rsidRDefault="00A3253C" w:rsidP="00A3253C">
            <w:pPr>
              <w:widowControl w:val="0"/>
              <w:autoSpaceDE w:val="0"/>
              <w:autoSpaceDN w:val="0"/>
              <w:adjustRightInd w:val="0"/>
              <w:jc w:val="center"/>
            </w:pPr>
            <w:r w:rsidRPr="00A3253C">
              <w:t>140.0</w:t>
            </w:r>
            <w:r>
              <w:t>***</w:t>
            </w:r>
          </w:p>
        </w:tc>
        <w:tc>
          <w:tcPr>
            <w:tcW w:w="1831" w:type="dxa"/>
            <w:tcBorders>
              <w:top w:val="nil"/>
              <w:left w:val="nil"/>
              <w:bottom w:val="single" w:sz="6" w:space="0" w:color="auto"/>
              <w:right w:val="nil"/>
            </w:tcBorders>
          </w:tcPr>
          <w:p w14:paraId="2A20221A" w14:textId="0A511ADC" w:rsidR="00A3253C" w:rsidRDefault="00A3253C" w:rsidP="00A3253C">
            <w:pPr>
              <w:widowControl w:val="0"/>
              <w:autoSpaceDE w:val="0"/>
              <w:autoSpaceDN w:val="0"/>
              <w:adjustRightInd w:val="0"/>
              <w:jc w:val="center"/>
            </w:pPr>
            <w:r w:rsidRPr="00A3253C">
              <w:t>137.6</w:t>
            </w:r>
            <w:r>
              <w:t>***</w:t>
            </w:r>
          </w:p>
        </w:tc>
      </w:tr>
    </w:tbl>
    <w:p w14:paraId="12978857" w14:textId="77777777" w:rsidR="0028138C" w:rsidRDefault="0028138C" w:rsidP="0028138C">
      <w:pPr>
        <w:widowControl w:val="0"/>
        <w:autoSpaceDE w:val="0"/>
        <w:autoSpaceDN w:val="0"/>
        <w:adjustRightInd w:val="0"/>
        <w:jc w:val="center"/>
      </w:pPr>
      <w:r>
        <w:t>Standard errors in parentheses</w:t>
      </w:r>
    </w:p>
    <w:p w14:paraId="5A561DBD" w14:textId="55D92B72" w:rsidR="0028138C" w:rsidRDefault="0028138C" w:rsidP="0028138C">
      <w:pPr>
        <w:widowControl w:val="0"/>
        <w:autoSpaceDE w:val="0"/>
        <w:autoSpaceDN w:val="0"/>
        <w:adjustRightInd w:val="0"/>
        <w:jc w:val="center"/>
      </w:pPr>
      <w:r>
        <w:t>*** p&lt;</w:t>
      </w:r>
      <w:r w:rsidR="00FA3F7A">
        <w:t>0.001</w:t>
      </w:r>
      <w:r>
        <w:t>, ** p&lt;</w:t>
      </w:r>
      <w:r w:rsidR="00FA3F7A">
        <w:t>0.01</w:t>
      </w:r>
      <w:r>
        <w:t>, * p&lt;</w:t>
      </w:r>
      <w:r w:rsidR="00FA3F7A">
        <w:t xml:space="preserve">0.05, </w:t>
      </w:r>
      <w:r w:rsidR="00FA3F7A" w:rsidRPr="00204533">
        <w:rPr>
          <w:vertAlign w:val="superscript"/>
        </w:rPr>
        <w:t>†</w:t>
      </w:r>
      <w:r w:rsidR="00FA3F7A">
        <w:t xml:space="preserve"> p&lt;0.1</w:t>
      </w:r>
    </w:p>
    <w:p w14:paraId="79389E00" w14:textId="77777777" w:rsidR="00A57080" w:rsidRDefault="00A57080" w:rsidP="00837407"/>
    <w:p w14:paraId="0F88D245" w14:textId="77777777" w:rsidR="00A57080" w:rsidRDefault="00A57080" w:rsidP="00837407"/>
    <w:p w14:paraId="2AC91CC4" w14:textId="77777777" w:rsidR="00BB73B7" w:rsidRDefault="00BB73B7" w:rsidP="0028138C">
      <w:pPr>
        <w:sectPr w:rsidR="00BB73B7" w:rsidSect="00806AA5">
          <w:pgSz w:w="11906" w:h="16838"/>
          <w:pgMar w:top="1304" w:right="1304" w:bottom="1304" w:left="1304" w:header="709" w:footer="709" w:gutter="0"/>
          <w:cols w:space="708"/>
          <w:docGrid w:linePitch="360"/>
        </w:sectPr>
      </w:pPr>
    </w:p>
    <w:p w14:paraId="5A56E01A" w14:textId="63126064" w:rsidR="0028138C" w:rsidRPr="00A62F62" w:rsidRDefault="0028138C" w:rsidP="0028138C">
      <w:r w:rsidRPr="00A62F62">
        <w:lastRenderedPageBreak/>
        <w:t xml:space="preserve">Table 3: Estimated marginal effects of </w:t>
      </w:r>
      <w:r w:rsidR="009B73EF">
        <w:t>time-out</w:t>
      </w:r>
      <w:r w:rsidRPr="00A62F62">
        <w:t xml:space="preserve"> period for the baseline model (model 2.1 in table 2)</w:t>
      </w:r>
    </w:p>
    <w:tbl>
      <w:tblPr>
        <w:tblStyle w:val="TableGrid"/>
        <w:tblW w:w="11624" w:type="dxa"/>
        <w:tblLook w:val="04A0" w:firstRow="1" w:lastRow="0" w:firstColumn="1" w:lastColumn="0" w:noHBand="0" w:noVBand="1"/>
      </w:tblPr>
      <w:tblGrid>
        <w:gridCol w:w="1868"/>
        <w:gridCol w:w="2283"/>
        <w:gridCol w:w="1868"/>
        <w:gridCol w:w="1868"/>
        <w:gridCol w:w="1868"/>
        <w:gridCol w:w="1869"/>
      </w:tblGrid>
      <w:tr w:rsidR="00092333" w:rsidRPr="00A62F62" w14:paraId="4B515E6B" w14:textId="00513E19" w:rsidTr="00092333">
        <w:trPr>
          <w:trHeight w:val="388"/>
        </w:trPr>
        <w:tc>
          <w:tcPr>
            <w:tcW w:w="1868" w:type="dxa"/>
            <w:hideMark/>
          </w:tcPr>
          <w:p w14:paraId="51E03CF5" w14:textId="11F2C8C7" w:rsidR="00092333" w:rsidRPr="00A62F62" w:rsidRDefault="00092333" w:rsidP="004C15E4">
            <w:r>
              <w:t>time-out</w:t>
            </w:r>
            <w:r w:rsidRPr="00A62F62">
              <w:t xml:space="preserve"> period</w:t>
            </w:r>
          </w:p>
        </w:tc>
        <w:tc>
          <w:tcPr>
            <w:tcW w:w="2283" w:type="dxa"/>
            <w:hideMark/>
          </w:tcPr>
          <w:p w14:paraId="228F51FB" w14:textId="77777777" w:rsidR="00092333" w:rsidRPr="00A62F62" w:rsidRDefault="00092333" w:rsidP="004C15E4">
            <w:r w:rsidRPr="00A62F62">
              <w:t>marginal effect (dy/dx)</w:t>
            </w:r>
          </w:p>
        </w:tc>
        <w:tc>
          <w:tcPr>
            <w:tcW w:w="1868" w:type="dxa"/>
            <w:hideMark/>
          </w:tcPr>
          <w:p w14:paraId="6F48CEE4" w14:textId="77777777" w:rsidR="00092333" w:rsidRPr="00A62F62" w:rsidRDefault="00092333" w:rsidP="004C15E4">
            <w:r w:rsidRPr="00A62F62">
              <w:t>Std. Err.</w:t>
            </w:r>
          </w:p>
        </w:tc>
        <w:tc>
          <w:tcPr>
            <w:tcW w:w="1868" w:type="dxa"/>
            <w:hideMark/>
          </w:tcPr>
          <w:p w14:paraId="5735F052" w14:textId="77777777" w:rsidR="00092333" w:rsidRPr="00A62F62" w:rsidRDefault="00092333" w:rsidP="004C15E4">
            <w:r w:rsidRPr="00A62F62">
              <w:t>p value</w:t>
            </w:r>
          </w:p>
        </w:tc>
        <w:tc>
          <w:tcPr>
            <w:tcW w:w="3737" w:type="dxa"/>
            <w:gridSpan w:val="2"/>
          </w:tcPr>
          <w:p w14:paraId="5CF93EBC" w14:textId="611B5089" w:rsidR="00092333" w:rsidRPr="00A62F62" w:rsidRDefault="00092333" w:rsidP="004C15E4">
            <w:r w:rsidRPr="00BB73B7">
              <w:rPr>
                <w:color w:val="000000"/>
                <w:sz w:val="20"/>
                <w:szCs w:val="20"/>
              </w:rPr>
              <w:t>Confidence Interval</w:t>
            </w:r>
          </w:p>
        </w:tc>
      </w:tr>
      <w:tr w:rsidR="00092333" w:rsidRPr="00A62F62" w14:paraId="43043F95" w14:textId="60E8968D" w:rsidTr="00092333">
        <w:trPr>
          <w:trHeight w:val="288"/>
        </w:trPr>
        <w:tc>
          <w:tcPr>
            <w:tcW w:w="1868" w:type="dxa"/>
            <w:hideMark/>
          </w:tcPr>
          <w:p w14:paraId="0BA0068A" w14:textId="77777777" w:rsidR="00092333" w:rsidRPr="00A62F62" w:rsidRDefault="00092333" w:rsidP="00092333">
            <w:r w:rsidRPr="00A62F62">
              <w:t>1</w:t>
            </w:r>
          </w:p>
        </w:tc>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27A38B" w14:textId="7026D03E" w:rsidR="00092333" w:rsidRPr="00E830CF" w:rsidRDefault="00092333" w:rsidP="00092333">
            <w:r w:rsidRPr="00E830CF">
              <w:rPr>
                <w:color w:val="000000"/>
              </w:rPr>
              <w:t>0.254</w:t>
            </w:r>
          </w:p>
        </w:tc>
        <w:tc>
          <w:tcPr>
            <w:tcW w:w="1868" w:type="dxa"/>
            <w:tcBorders>
              <w:top w:val="single" w:sz="4" w:space="0" w:color="000000"/>
              <w:left w:val="nil"/>
              <w:bottom w:val="single" w:sz="4" w:space="0" w:color="000000"/>
              <w:right w:val="single" w:sz="4" w:space="0" w:color="000000"/>
            </w:tcBorders>
            <w:shd w:val="clear" w:color="auto" w:fill="auto"/>
            <w:vAlign w:val="center"/>
            <w:hideMark/>
          </w:tcPr>
          <w:p w14:paraId="2CB9C2F2" w14:textId="271325A6" w:rsidR="00092333" w:rsidRPr="00E830CF" w:rsidRDefault="00092333" w:rsidP="00092333">
            <w:r w:rsidRPr="00E830CF">
              <w:rPr>
                <w:color w:val="000000"/>
              </w:rPr>
              <w:t>0.013</w:t>
            </w:r>
          </w:p>
        </w:tc>
        <w:tc>
          <w:tcPr>
            <w:tcW w:w="1868" w:type="dxa"/>
            <w:tcBorders>
              <w:top w:val="single" w:sz="4" w:space="0" w:color="000000"/>
              <w:left w:val="nil"/>
              <w:bottom w:val="single" w:sz="4" w:space="0" w:color="000000"/>
              <w:right w:val="single" w:sz="4" w:space="0" w:color="000000"/>
            </w:tcBorders>
            <w:shd w:val="clear" w:color="auto" w:fill="auto"/>
            <w:vAlign w:val="center"/>
            <w:hideMark/>
          </w:tcPr>
          <w:p w14:paraId="6D788146" w14:textId="77949779" w:rsidR="00092333" w:rsidRPr="00E830CF" w:rsidRDefault="00092333" w:rsidP="00092333">
            <w:r w:rsidRPr="00E830CF">
              <w:rPr>
                <w:color w:val="000000"/>
              </w:rPr>
              <w:t>0.000</w:t>
            </w:r>
          </w:p>
        </w:tc>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47A69" w14:textId="50688709" w:rsidR="00092333" w:rsidRPr="00092333" w:rsidRDefault="00092333" w:rsidP="00092333">
            <w:pPr>
              <w:rPr>
                <w:color w:val="000000"/>
              </w:rPr>
            </w:pPr>
            <w:r w:rsidRPr="00092333">
              <w:rPr>
                <w:color w:val="000000"/>
              </w:rPr>
              <w:t>0.233</w:t>
            </w:r>
          </w:p>
        </w:tc>
        <w:tc>
          <w:tcPr>
            <w:tcW w:w="1868" w:type="dxa"/>
            <w:tcBorders>
              <w:top w:val="single" w:sz="4" w:space="0" w:color="000000"/>
              <w:left w:val="nil"/>
              <w:bottom w:val="single" w:sz="4" w:space="0" w:color="000000"/>
              <w:right w:val="single" w:sz="4" w:space="0" w:color="000000"/>
            </w:tcBorders>
            <w:shd w:val="clear" w:color="auto" w:fill="auto"/>
            <w:vAlign w:val="center"/>
          </w:tcPr>
          <w:p w14:paraId="3938EA28" w14:textId="551145C0" w:rsidR="00092333" w:rsidRPr="00092333" w:rsidRDefault="00092333" w:rsidP="00092333">
            <w:pPr>
              <w:rPr>
                <w:color w:val="000000"/>
              </w:rPr>
            </w:pPr>
            <w:r w:rsidRPr="00092333">
              <w:rPr>
                <w:color w:val="000000"/>
              </w:rPr>
              <w:t>0.275</w:t>
            </w:r>
          </w:p>
        </w:tc>
      </w:tr>
      <w:tr w:rsidR="00092333" w:rsidRPr="00A62F62" w14:paraId="4C1F0A5D" w14:textId="577BDC78" w:rsidTr="00092333">
        <w:trPr>
          <w:trHeight w:val="288"/>
        </w:trPr>
        <w:tc>
          <w:tcPr>
            <w:tcW w:w="1868" w:type="dxa"/>
            <w:hideMark/>
          </w:tcPr>
          <w:p w14:paraId="1508195D" w14:textId="77777777" w:rsidR="00092333" w:rsidRPr="00A62F62" w:rsidRDefault="00092333" w:rsidP="00092333">
            <w:r w:rsidRPr="00A62F62">
              <w:t>2</w:t>
            </w:r>
          </w:p>
        </w:tc>
        <w:tc>
          <w:tcPr>
            <w:tcW w:w="2283" w:type="dxa"/>
            <w:tcBorders>
              <w:top w:val="nil"/>
              <w:left w:val="single" w:sz="4" w:space="0" w:color="000000"/>
              <w:bottom w:val="single" w:sz="4" w:space="0" w:color="000000"/>
              <w:right w:val="single" w:sz="4" w:space="0" w:color="000000"/>
            </w:tcBorders>
            <w:shd w:val="clear" w:color="auto" w:fill="auto"/>
            <w:vAlign w:val="center"/>
            <w:hideMark/>
          </w:tcPr>
          <w:p w14:paraId="72C1BD47" w14:textId="50862E67" w:rsidR="00092333" w:rsidRPr="00E830CF" w:rsidRDefault="00092333" w:rsidP="00092333">
            <w:r w:rsidRPr="00E830CF">
              <w:rPr>
                <w:color w:val="000000"/>
              </w:rPr>
              <w:t>0.162</w:t>
            </w:r>
          </w:p>
        </w:tc>
        <w:tc>
          <w:tcPr>
            <w:tcW w:w="1868" w:type="dxa"/>
            <w:tcBorders>
              <w:top w:val="nil"/>
              <w:left w:val="nil"/>
              <w:bottom w:val="single" w:sz="4" w:space="0" w:color="000000"/>
              <w:right w:val="single" w:sz="4" w:space="0" w:color="000000"/>
            </w:tcBorders>
            <w:shd w:val="clear" w:color="auto" w:fill="auto"/>
            <w:vAlign w:val="center"/>
            <w:hideMark/>
          </w:tcPr>
          <w:p w14:paraId="0D874B5A" w14:textId="4343EFFC" w:rsidR="00092333" w:rsidRPr="00E830CF" w:rsidRDefault="00092333" w:rsidP="00092333">
            <w:r w:rsidRPr="00E830CF">
              <w:rPr>
                <w:color w:val="000000"/>
              </w:rPr>
              <w:t>0.014</w:t>
            </w:r>
          </w:p>
        </w:tc>
        <w:tc>
          <w:tcPr>
            <w:tcW w:w="1868" w:type="dxa"/>
            <w:tcBorders>
              <w:top w:val="nil"/>
              <w:left w:val="nil"/>
              <w:bottom w:val="single" w:sz="4" w:space="0" w:color="000000"/>
              <w:right w:val="single" w:sz="4" w:space="0" w:color="000000"/>
            </w:tcBorders>
            <w:shd w:val="clear" w:color="auto" w:fill="auto"/>
            <w:vAlign w:val="center"/>
            <w:hideMark/>
          </w:tcPr>
          <w:p w14:paraId="1A62673B" w14:textId="4762C579" w:rsidR="00092333" w:rsidRPr="00E830CF" w:rsidRDefault="00092333" w:rsidP="00092333">
            <w:r w:rsidRPr="00E830CF">
              <w:rPr>
                <w:color w:val="000000"/>
              </w:rPr>
              <w:t>0.000</w:t>
            </w:r>
          </w:p>
        </w:tc>
        <w:tc>
          <w:tcPr>
            <w:tcW w:w="1868" w:type="dxa"/>
            <w:tcBorders>
              <w:top w:val="nil"/>
              <w:left w:val="single" w:sz="4" w:space="0" w:color="000000"/>
              <w:bottom w:val="single" w:sz="4" w:space="0" w:color="000000"/>
              <w:right w:val="single" w:sz="4" w:space="0" w:color="000000"/>
            </w:tcBorders>
            <w:shd w:val="clear" w:color="auto" w:fill="auto"/>
            <w:vAlign w:val="center"/>
          </w:tcPr>
          <w:p w14:paraId="45C5BC90" w14:textId="12ADBCA8" w:rsidR="00092333" w:rsidRPr="00092333" w:rsidRDefault="00092333" w:rsidP="00092333">
            <w:pPr>
              <w:rPr>
                <w:color w:val="000000"/>
              </w:rPr>
            </w:pPr>
            <w:r w:rsidRPr="00092333">
              <w:rPr>
                <w:color w:val="000000"/>
              </w:rPr>
              <w:t>0.139</w:t>
            </w:r>
          </w:p>
        </w:tc>
        <w:tc>
          <w:tcPr>
            <w:tcW w:w="1868" w:type="dxa"/>
            <w:tcBorders>
              <w:top w:val="nil"/>
              <w:left w:val="nil"/>
              <w:bottom w:val="single" w:sz="4" w:space="0" w:color="000000"/>
              <w:right w:val="single" w:sz="4" w:space="0" w:color="000000"/>
            </w:tcBorders>
            <w:shd w:val="clear" w:color="auto" w:fill="auto"/>
            <w:vAlign w:val="center"/>
          </w:tcPr>
          <w:p w14:paraId="4DDFB967" w14:textId="2E2B2DB5" w:rsidR="00092333" w:rsidRPr="00092333" w:rsidRDefault="00092333" w:rsidP="00092333">
            <w:pPr>
              <w:rPr>
                <w:color w:val="000000"/>
              </w:rPr>
            </w:pPr>
            <w:r w:rsidRPr="00092333">
              <w:rPr>
                <w:color w:val="000000"/>
              </w:rPr>
              <w:t>0.185</w:t>
            </w:r>
          </w:p>
        </w:tc>
      </w:tr>
      <w:tr w:rsidR="00092333" w:rsidRPr="00A62F62" w14:paraId="1508132C" w14:textId="1AD87D23" w:rsidTr="00092333">
        <w:trPr>
          <w:trHeight w:val="288"/>
        </w:trPr>
        <w:tc>
          <w:tcPr>
            <w:tcW w:w="1868" w:type="dxa"/>
            <w:hideMark/>
          </w:tcPr>
          <w:p w14:paraId="5DDD7A02" w14:textId="77777777" w:rsidR="00092333" w:rsidRPr="00A62F62" w:rsidRDefault="00092333" w:rsidP="00092333">
            <w:r w:rsidRPr="00A62F62">
              <w:t>3</w:t>
            </w:r>
          </w:p>
        </w:tc>
        <w:tc>
          <w:tcPr>
            <w:tcW w:w="2283" w:type="dxa"/>
            <w:tcBorders>
              <w:top w:val="nil"/>
              <w:left w:val="single" w:sz="4" w:space="0" w:color="000000"/>
              <w:bottom w:val="single" w:sz="4" w:space="0" w:color="000000"/>
              <w:right w:val="single" w:sz="4" w:space="0" w:color="000000"/>
            </w:tcBorders>
            <w:shd w:val="clear" w:color="auto" w:fill="auto"/>
            <w:vAlign w:val="center"/>
            <w:hideMark/>
          </w:tcPr>
          <w:p w14:paraId="149E91F8" w14:textId="04723FD7" w:rsidR="00092333" w:rsidRPr="00E830CF" w:rsidRDefault="00092333" w:rsidP="00092333">
            <w:r w:rsidRPr="00E830CF">
              <w:rPr>
                <w:color w:val="000000"/>
              </w:rPr>
              <w:t>0.016</w:t>
            </w:r>
          </w:p>
        </w:tc>
        <w:tc>
          <w:tcPr>
            <w:tcW w:w="1868" w:type="dxa"/>
            <w:tcBorders>
              <w:top w:val="nil"/>
              <w:left w:val="nil"/>
              <w:bottom w:val="single" w:sz="4" w:space="0" w:color="000000"/>
              <w:right w:val="single" w:sz="4" w:space="0" w:color="000000"/>
            </w:tcBorders>
            <w:shd w:val="clear" w:color="auto" w:fill="auto"/>
            <w:vAlign w:val="center"/>
            <w:hideMark/>
          </w:tcPr>
          <w:p w14:paraId="22529882" w14:textId="7F2ABDAA" w:rsidR="00092333" w:rsidRPr="00E830CF" w:rsidRDefault="00092333" w:rsidP="00092333">
            <w:r w:rsidRPr="00E830CF">
              <w:rPr>
                <w:color w:val="000000"/>
              </w:rPr>
              <w:t>0.018</w:t>
            </w:r>
          </w:p>
        </w:tc>
        <w:tc>
          <w:tcPr>
            <w:tcW w:w="1868" w:type="dxa"/>
            <w:tcBorders>
              <w:top w:val="nil"/>
              <w:left w:val="nil"/>
              <w:bottom w:val="single" w:sz="4" w:space="0" w:color="000000"/>
              <w:right w:val="single" w:sz="4" w:space="0" w:color="000000"/>
            </w:tcBorders>
            <w:shd w:val="clear" w:color="auto" w:fill="auto"/>
            <w:vAlign w:val="center"/>
            <w:hideMark/>
          </w:tcPr>
          <w:p w14:paraId="55B17CA8" w14:textId="16FCABE8" w:rsidR="00092333" w:rsidRPr="00E830CF" w:rsidRDefault="00092333" w:rsidP="00092333">
            <w:r w:rsidRPr="00E830CF">
              <w:rPr>
                <w:color w:val="000000"/>
              </w:rPr>
              <w:t>0.374</w:t>
            </w:r>
          </w:p>
        </w:tc>
        <w:tc>
          <w:tcPr>
            <w:tcW w:w="1868" w:type="dxa"/>
            <w:tcBorders>
              <w:top w:val="nil"/>
              <w:left w:val="single" w:sz="4" w:space="0" w:color="000000"/>
              <w:bottom w:val="single" w:sz="4" w:space="0" w:color="000000"/>
              <w:right w:val="single" w:sz="4" w:space="0" w:color="000000"/>
            </w:tcBorders>
            <w:shd w:val="clear" w:color="auto" w:fill="auto"/>
            <w:vAlign w:val="center"/>
          </w:tcPr>
          <w:p w14:paraId="7E455D96" w14:textId="498546D4" w:rsidR="00092333" w:rsidRPr="00092333" w:rsidRDefault="00092333" w:rsidP="00092333">
            <w:pPr>
              <w:rPr>
                <w:color w:val="000000"/>
              </w:rPr>
            </w:pPr>
            <w:r w:rsidRPr="00092333">
              <w:rPr>
                <w:color w:val="000000"/>
              </w:rPr>
              <w:t>-0.013</w:t>
            </w:r>
          </w:p>
        </w:tc>
        <w:tc>
          <w:tcPr>
            <w:tcW w:w="1868" w:type="dxa"/>
            <w:tcBorders>
              <w:top w:val="nil"/>
              <w:left w:val="nil"/>
              <w:bottom w:val="single" w:sz="4" w:space="0" w:color="000000"/>
              <w:right w:val="single" w:sz="4" w:space="0" w:color="000000"/>
            </w:tcBorders>
            <w:shd w:val="clear" w:color="auto" w:fill="auto"/>
            <w:vAlign w:val="center"/>
          </w:tcPr>
          <w:p w14:paraId="46243456" w14:textId="18FB1733" w:rsidR="00092333" w:rsidRPr="00092333" w:rsidRDefault="00092333" w:rsidP="00092333">
            <w:pPr>
              <w:rPr>
                <w:color w:val="000000"/>
              </w:rPr>
            </w:pPr>
            <w:r w:rsidRPr="00092333">
              <w:rPr>
                <w:color w:val="000000"/>
              </w:rPr>
              <w:t>0.045</w:t>
            </w:r>
          </w:p>
        </w:tc>
      </w:tr>
      <w:tr w:rsidR="00092333" w:rsidRPr="00A62F62" w14:paraId="462586D7" w14:textId="75F88FFF" w:rsidTr="00092333">
        <w:trPr>
          <w:trHeight w:val="288"/>
        </w:trPr>
        <w:tc>
          <w:tcPr>
            <w:tcW w:w="1868" w:type="dxa"/>
            <w:hideMark/>
          </w:tcPr>
          <w:p w14:paraId="71D4462A" w14:textId="77777777" w:rsidR="00092333" w:rsidRPr="00A62F62" w:rsidRDefault="00092333" w:rsidP="00092333">
            <w:r w:rsidRPr="00A62F62">
              <w:t>4</w:t>
            </w:r>
          </w:p>
        </w:tc>
        <w:tc>
          <w:tcPr>
            <w:tcW w:w="2283" w:type="dxa"/>
            <w:tcBorders>
              <w:top w:val="nil"/>
              <w:left w:val="single" w:sz="4" w:space="0" w:color="000000"/>
              <w:bottom w:val="single" w:sz="4" w:space="0" w:color="000000"/>
              <w:right w:val="single" w:sz="4" w:space="0" w:color="000000"/>
            </w:tcBorders>
            <w:shd w:val="clear" w:color="auto" w:fill="auto"/>
            <w:vAlign w:val="center"/>
            <w:hideMark/>
          </w:tcPr>
          <w:p w14:paraId="7794A886" w14:textId="363159EE" w:rsidR="00092333" w:rsidRPr="00E830CF" w:rsidRDefault="00092333" w:rsidP="00092333">
            <w:r w:rsidRPr="00E830CF">
              <w:rPr>
                <w:color w:val="000000"/>
              </w:rPr>
              <w:t>-0.129</w:t>
            </w:r>
          </w:p>
        </w:tc>
        <w:tc>
          <w:tcPr>
            <w:tcW w:w="1868" w:type="dxa"/>
            <w:tcBorders>
              <w:top w:val="nil"/>
              <w:left w:val="nil"/>
              <w:bottom w:val="single" w:sz="4" w:space="0" w:color="000000"/>
              <w:right w:val="single" w:sz="4" w:space="0" w:color="000000"/>
            </w:tcBorders>
            <w:shd w:val="clear" w:color="auto" w:fill="auto"/>
            <w:vAlign w:val="center"/>
            <w:hideMark/>
          </w:tcPr>
          <w:p w14:paraId="1D1212D8" w14:textId="0F5D0C53" w:rsidR="00092333" w:rsidRPr="00E830CF" w:rsidRDefault="00092333" w:rsidP="00092333">
            <w:r w:rsidRPr="00E830CF">
              <w:rPr>
                <w:color w:val="000000"/>
              </w:rPr>
              <w:t>0.025</w:t>
            </w:r>
          </w:p>
        </w:tc>
        <w:tc>
          <w:tcPr>
            <w:tcW w:w="1868" w:type="dxa"/>
            <w:tcBorders>
              <w:top w:val="nil"/>
              <w:left w:val="nil"/>
              <w:bottom w:val="single" w:sz="4" w:space="0" w:color="000000"/>
              <w:right w:val="single" w:sz="4" w:space="0" w:color="000000"/>
            </w:tcBorders>
            <w:shd w:val="clear" w:color="auto" w:fill="auto"/>
            <w:vAlign w:val="center"/>
            <w:hideMark/>
          </w:tcPr>
          <w:p w14:paraId="5969AD2D" w14:textId="644096B6" w:rsidR="00092333" w:rsidRPr="00E830CF" w:rsidRDefault="00092333" w:rsidP="00092333">
            <w:r w:rsidRPr="00E830CF">
              <w:rPr>
                <w:color w:val="000000"/>
              </w:rPr>
              <w:t>0.000</w:t>
            </w:r>
          </w:p>
        </w:tc>
        <w:tc>
          <w:tcPr>
            <w:tcW w:w="1868" w:type="dxa"/>
            <w:tcBorders>
              <w:top w:val="nil"/>
              <w:left w:val="single" w:sz="4" w:space="0" w:color="000000"/>
              <w:bottom w:val="single" w:sz="4" w:space="0" w:color="000000"/>
              <w:right w:val="single" w:sz="4" w:space="0" w:color="000000"/>
            </w:tcBorders>
            <w:shd w:val="clear" w:color="auto" w:fill="auto"/>
            <w:vAlign w:val="center"/>
          </w:tcPr>
          <w:p w14:paraId="5BB911C9" w14:textId="73B5AD61" w:rsidR="00092333" w:rsidRPr="00092333" w:rsidRDefault="00092333" w:rsidP="00092333">
            <w:pPr>
              <w:rPr>
                <w:color w:val="000000"/>
              </w:rPr>
            </w:pPr>
            <w:r w:rsidRPr="00092333">
              <w:rPr>
                <w:color w:val="000000"/>
              </w:rPr>
              <w:t>-0.171</w:t>
            </w:r>
          </w:p>
        </w:tc>
        <w:tc>
          <w:tcPr>
            <w:tcW w:w="1868" w:type="dxa"/>
            <w:tcBorders>
              <w:top w:val="nil"/>
              <w:left w:val="nil"/>
              <w:bottom w:val="single" w:sz="4" w:space="0" w:color="000000"/>
              <w:right w:val="single" w:sz="4" w:space="0" w:color="000000"/>
            </w:tcBorders>
            <w:shd w:val="clear" w:color="auto" w:fill="auto"/>
            <w:vAlign w:val="center"/>
          </w:tcPr>
          <w:p w14:paraId="65EC3870" w14:textId="1BC968BD" w:rsidR="00092333" w:rsidRPr="00092333" w:rsidRDefault="00092333" w:rsidP="00092333">
            <w:pPr>
              <w:rPr>
                <w:color w:val="000000"/>
              </w:rPr>
            </w:pPr>
            <w:r w:rsidRPr="00092333">
              <w:rPr>
                <w:color w:val="000000"/>
              </w:rPr>
              <w:t>-0.088</w:t>
            </w:r>
          </w:p>
        </w:tc>
      </w:tr>
      <w:tr w:rsidR="00092333" w:rsidRPr="00A62F62" w14:paraId="27396647" w14:textId="323E1A86" w:rsidTr="00092333">
        <w:trPr>
          <w:trHeight w:val="288"/>
        </w:trPr>
        <w:tc>
          <w:tcPr>
            <w:tcW w:w="1868" w:type="dxa"/>
            <w:hideMark/>
          </w:tcPr>
          <w:p w14:paraId="28B2CABC" w14:textId="77777777" w:rsidR="00092333" w:rsidRPr="00A62F62" w:rsidRDefault="00092333" w:rsidP="00092333">
            <w:r w:rsidRPr="00A62F62">
              <w:t>5</w:t>
            </w:r>
          </w:p>
        </w:tc>
        <w:tc>
          <w:tcPr>
            <w:tcW w:w="2283" w:type="dxa"/>
            <w:tcBorders>
              <w:top w:val="nil"/>
              <w:left w:val="single" w:sz="4" w:space="0" w:color="000000"/>
              <w:bottom w:val="single" w:sz="4" w:space="0" w:color="000000"/>
              <w:right w:val="single" w:sz="4" w:space="0" w:color="000000"/>
            </w:tcBorders>
            <w:shd w:val="clear" w:color="auto" w:fill="auto"/>
            <w:vAlign w:val="center"/>
            <w:hideMark/>
          </w:tcPr>
          <w:p w14:paraId="6E1865F6" w14:textId="3E707F0E" w:rsidR="00092333" w:rsidRPr="00E830CF" w:rsidRDefault="00092333" w:rsidP="00092333">
            <w:r w:rsidRPr="00E830CF">
              <w:rPr>
                <w:color w:val="000000"/>
              </w:rPr>
              <w:t>-0.248</w:t>
            </w:r>
          </w:p>
        </w:tc>
        <w:tc>
          <w:tcPr>
            <w:tcW w:w="1868" w:type="dxa"/>
            <w:tcBorders>
              <w:top w:val="nil"/>
              <w:left w:val="nil"/>
              <w:bottom w:val="single" w:sz="4" w:space="0" w:color="000000"/>
              <w:right w:val="single" w:sz="4" w:space="0" w:color="000000"/>
            </w:tcBorders>
            <w:shd w:val="clear" w:color="auto" w:fill="auto"/>
            <w:vAlign w:val="center"/>
            <w:hideMark/>
          </w:tcPr>
          <w:p w14:paraId="390C7C23" w14:textId="79DDD695" w:rsidR="00092333" w:rsidRPr="00E830CF" w:rsidRDefault="00092333" w:rsidP="00092333">
            <w:r w:rsidRPr="00E830CF">
              <w:rPr>
                <w:color w:val="000000"/>
              </w:rPr>
              <w:t>0.012</w:t>
            </w:r>
          </w:p>
        </w:tc>
        <w:tc>
          <w:tcPr>
            <w:tcW w:w="1868" w:type="dxa"/>
            <w:tcBorders>
              <w:top w:val="nil"/>
              <w:left w:val="nil"/>
              <w:bottom w:val="single" w:sz="4" w:space="0" w:color="000000"/>
              <w:right w:val="single" w:sz="4" w:space="0" w:color="000000"/>
            </w:tcBorders>
            <w:shd w:val="clear" w:color="auto" w:fill="auto"/>
            <w:vAlign w:val="center"/>
            <w:hideMark/>
          </w:tcPr>
          <w:p w14:paraId="2F03289A" w14:textId="5233BF6C" w:rsidR="00092333" w:rsidRPr="00E830CF" w:rsidRDefault="00092333" w:rsidP="00092333">
            <w:r w:rsidRPr="00E830CF">
              <w:rPr>
                <w:color w:val="000000"/>
              </w:rPr>
              <w:t>0.000</w:t>
            </w:r>
          </w:p>
        </w:tc>
        <w:tc>
          <w:tcPr>
            <w:tcW w:w="1868" w:type="dxa"/>
            <w:tcBorders>
              <w:top w:val="nil"/>
              <w:left w:val="single" w:sz="4" w:space="0" w:color="000000"/>
              <w:bottom w:val="single" w:sz="4" w:space="0" w:color="000000"/>
              <w:right w:val="single" w:sz="4" w:space="0" w:color="000000"/>
            </w:tcBorders>
            <w:shd w:val="clear" w:color="auto" w:fill="auto"/>
            <w:vAlign w:val="center"/>
          </w:tcPr>
          <w:p w14:paraId="138C477F" w14:textId="18C3CFF0" w:rsidR="00092333" w:rsidRPr="00092333" w:rsidRDefault="00092333" w:rsidP="00092333">
            <w:pPr>
              <w:rPr>
                <w:color w:val="000000"/>
              </w:rPr>
            </w:pPr>
            <w:r w:rsidRPr="00092333">
              <w:rPr>
                <w:color w:val="000000"/>
              </w:rPr>
              <w:t>-0.269</w:t>
            </w:r>
          </w:p>
        </w:tc>
        <w:tc>
          <w:tcPr>
            <w:tcW w:w="1868" w:type="dxa"/>
            <w:tcBorders>
              <w:top w:val="nil"/>
              <w:left w:val="nil"/>
              <w:bottom w:val="single" w:sz="4" w:space="0" w:color="000000"/>
              <w:right w:val="single" w:sz="4" w:space="0" w:color="000000"/>
            </w:tcBorders>
            <w:shd w:val="clear" w:color="auto" w:fill="auto"/>
            <w:vAlign w:val="center"/>
          </w:tcPr>
          <w:p w14:paraId="079F8B30" w14:textId="2B0CE349" w:rsidR="00092333" w:rsidRPr="00092333" w:rsidRDefault="00092333" w:rsidP="00092333">
            <w:pPr>
              <w:rPr>
                <w:color w:val="000000"/>
              </w:rPr>
            </w:pPr>
            <w:r w:rsidRPr="00092333">
              <w:rPr>
                <w:color w:val="000000"/>
              </w:rPr>
              <w:t>-0.228</w:t>
            </w:r>
          </w:p>
        </w:tc>
      </w:tr>
      <w:tr w:rsidR="00092333" w:rsidRPr="00A62F62" w14:paraId="6CFB8273" w14:textId="0EAB5ED2" w:rsidTr="00092333">
        <w:trPr>
          <w:trHeight w:val="288"/>
        </w:trPr>
        <w:tc>
          <w:tcPr>
            <w:tcW w:w="1868" w:type="dxa"/>
            <w:hideMark/>
          </w:tcPr>
          <w:p w14:paraId="60156C76" w14:textId="77777777" w:rsidR="00092333" w:rsidRPr="00A62F62" w:rsidRDefault="00092333" w:rsidP="00092333">
            <w:r w:rsidRPr="00A62F62">
              <w:t>6</w:t>
            </w:r>
          </w:p>
        </w:tc>
        <w:tc>
          <w:tcPr>
            <w:tcW w:w="2283" w:type="dxa"/>
            <w:tcBorders>
              <w:top w:val="nil"/>
              <w:left w:val="single" w:sz="4" w:space="0" w:color="000000"/>
              <w:bottom w:val="single" w:sz="4" w:space="0" w:color="000000"/>
              <w:right w:val="single" w:sz="4" w:space="0" w:color="000000"/>
            </w:tcBorders>
            <w:shd w:val="clear" w:color="auto" w:fill="auto"/>
            <w:vAlign w:val="center"/>
            <w:hideMark/>
          </w:tcPr>
          <w:p w14:paraId="30EECD53" w14:textId="05DD6C53" w:rsidR="00092333" w:rsidRPr="00E830CF" w:rsidRDefault="00092333" w:rsidP="00092333">
            <w:r w:rsidRPr="00E830CF">
              <w:rPr>
                <w:color w:val="000000"/>
              </w:rPr>
              <w:t>-0.173</w:t>
            </w:r>
          </w:p>
        </w:tc>
        <w:tc>
          <w:tcPr>
            <w:tcW w:w="1868" w:type="dxa"/>
            <w:tcBorders>
              <w:top w:val="nil"/>
              <w:left w:val="nil"/>
              <w:bottom w:val="single" w:sz="4" w:space="0" w:color="000000"/>
              <w:right w:val="single" w:sz="4" w:space="0" w:color="000000"/>
            </w:tcBorders>
            <w:shd w:val="clear" w:color="auto" w:fill="auto"/>
            <w:vAlign w:val="center"/>
            <w:hideMark/>
          </w:tcPr>
          <w:p w14:paraId="5447B68D" w14:textId="5719C922" w:rsidR="00092333" w:rsidRPr="00E830CF" w:rsidRDefault="00092333" w:rsidP="00092333">
            <w:r w:rsidRPr="00E830CF">
              <w:rPr>
                <w:color w:val="000000"/>
              </w:rPr>
              <w:t>0.049</w:t>
            </w:r>
          </w:p>
        </w:tc>
        <w:tc>
          <w:tcPr>
            <w:tcW w:w="1868" w:type="dxa"/>
            <w:tcBorders>
              <w:top w:val="nil"/>
              <w:left w:val="nil"/>
              <w:bottom w:val="single" w:sz="4" w:space="0" w:color="000000"/>
              <w:right w:val="single" w:sz="4" w:space="0" w:color="000000"/>
            </w:tcBorders>
            <w:shd w:val="clear" w:color="auto" w:fill="auto"/>
            <w:vAlign w:val="center"/>
            <w:hideMark/>
          </w:tcPr>
          <w:p w14:paraId="5E333169" w14:textId="7E260499" w:rsidR="00092333" w:rsidRPr="00E830CF" w:rsidRDefault="00092333" w:rsidP="00092333">
            <w:r w:rsidRPr="00E830CF">
              <w:rPr>
                <w:color w:val="000000"/>
              </w:rPr>
              <w:t>0.000</w:t>
            </w:r>
          </w:p>
        </w:tc>
        <w:tc>
          <w:tcPr>
            <w:tcW w:w="1868" w:type="dxa"/>
            <w:tcBorders>
              <w:top w:val="nil"/>
              <w:left w:val="single" w:sz="4" w:space="0" w:color="000000"/>
              <w:bottom w:val="single" w:sz="4" w:space="0" w:color="000000"/>
              <w:right w:val="single" w:sz="4" w:space="0" w:color="000000"/>
            </w:tcBorders>
            <w:shd w:val="clear" w:color="auto" w:fill="auto"/>
            <w:vAlign w:val="center"/>
          </w:tcPr>
          <w:p w14:paraId="5F616279" w14:textId="28782ABB" w:rsidR="00092333" w:rsidRPr="00092333" w:rsidRDefault="00092333" w:rsidP="00092333">
            <w:pPr>
              <w:rPr>
                <w:color w:val="000000"/>
              </w:rPr>
            </w:pPr>
            <w:r w:rsidRPr="00092333">
              <w:rPr>
                <w:color w:val="000000"/>
              </w:rPr>
              <w:t>-0.253</w:t>
            </w:r>
          </w:p>
        </w:tc>
        <w:tc>
          <w:tcPr>
            <w:tcW w:w="1868" w:type="dxa"/>
            <w:tcBorders>
              <w:top w:val="nil"/>
              <w:left w:val="nil"/>
              <w:bottom w:val="single" w:sz="4" w:space="0" w:color="000000"/>
              <w:right w:val="single" w:sz="4" w:space="0" w:color="000000"/>
            </w:tcBorders>
            <w:shd w:val="clear" w:color="auto" w:fill="auto"/>
            <w:vAlign w:val="center"/>
          </w:tcPr>
          <w:p w14:paraId="360BA109" w14:textId="250C1F27" w:rsidR="00092333" w:rsidRPr="00092333" w:rsidRDefault="00092333" w:rsidP="00092333">
            <w:pPr>
              <w:rPr>
                <w:color w:val="000000"/>
              </w:rPr>
            </w:pPr>
            <w:r w:rsidRPr="00092333">
              <w:rPr>
                <w:color w:val="000000"/>
              </w:rPr>
              <w:t>-0.093</w:t>
            </w:r>
          </w:p>
        </w:tc>
      </w:tr>
    </w:tbl>
    <w:p w14:paraId="07C878E8" w14:textId="77777777" w:rsidR="0028138C" w:rsidRPr="00A62F62" w:rsidRDefault="0028138C" w:rsidP="0028138C"/>
    <w:p w14:paraId="5B518DFB" w14:textId="77777777" w:rsidR="0028138C" w:rsidRPr="00A62F62" w:rsidRDefault="0028138C" w:rsidP="0028138C"/>
    <w:p w14:paraId="0FB3C49F" w14:textId="244668A9" w:rsidR="00BB73B7" w:rsidRPr="00A62F62" w:rsidRDefault="0028138C" w:rsidP="0028138C">
      <w:r w:rsidRPr="00A62F62">
        <w:t xml:space="preserve">Table 4: Estimated marginal effects of </w:t>
      </w:r>
      <w:r w:rsidR="009B73EF">
        <w:t>time-out</w:t>
      </w:r>
      <w:r w:rsidRPr="00A62F62">
        <w:t xml:space="preserve"> period for different levels of collaboration (model 2.2 in table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855"/>
        <w:gridCol w:w="845"/>
        <w:gridCol w:w="845"/>
        <w:gridCol w:w="1055"/>
        <w:gridCol w:w="865"/>
        <w:gridCol w:w="856"/>
        <w:gridCol w:w="845"/>
        <w:gridCol w:w="845"/>
        <w:gridCol w:w="1055"/>
        <w:gridCol w:w="862"/>
        <w:gridCol w:w="856"/>
        <w:gridCol w:w="845"/>
        <w:gridCol w:w="845"/>
        <w:gridCol w:w="1055"/>
        <w:gridCol w:w="859"/>
      </w:tblGrid>
      <w:tr w:rsidR="00BB73B7" w:rsidRPr="00FA5930" w14:paraId="2BE2D204" w14:textId="77777777" w:rsidTr="00BB73B7">
        <w:trPr>
          <w:trHeight w:val="258"/>
        </w:trPr>
        <w:tc>
          <w:tcPr>
            <w:tcW w:w="293" w:type="pct"/>
            <w:shd w:val="clear" w:color="auto" w:fill="auto"/>
            <w:tcMar>
              <w:left w:w="57" w:type="dxa"/>
              <w:right w:w="57" w:type="dxa"/>
            </w:tcMar>
            <w:vAlign w:val="center"/>
          </w:tcPr>
          <w:p w14:paraId="7DD07C5C" w14:textId="77777777" w:rsidR="00BB73B7" w:rsidRPr="00FA5930" w:rsidRDefault="00BB73B7" w:rsidP="00BB73B7">
            <w:pPr>
              <w:rPr>
                <w:color w:val="000000"/>
                <w:sz w:val="20"/>
                <w:szCs w:val="20"/>
              </w:rPr>
            </w:pPr>
          </w:p>
        </w:tc>
        <w:tc>
          <w:tcPr>
            <w:tcW w:w="1570" w:type="pct"/>
            <w:gridSpan w:val="5"/>
            <w:shd w:val="clear" w:color="auto" w:fill="auto"/>
            <w:tcMar>
              <w:left w:w="57" w:type="dxa"/>
              <w:right w:w="57" w:type="dxa"/>
            </w:tcMar>
          </w:tcPr>
          <w:p w14:paraId="37AAAB93" w14:textId="00BB2EE9" w:rsidR="00BB73B7" w:rsidRPr="00FA5930" w:rsidRDefault="00BB73B7" w:rsidP="00BB73B7">
            <w:pPr>
              <w:rPr>
                <w:color w:val="000000"/>
                <w:sz w:val="20"/>
                <w:szCs w:val="20"/>
              </w:rPr>
            </w:pPr>
            <w:r w:rsidRPr="00FA5930">
              <w:t>collaboration=0</w:t>
            </w:r>
          </w:p>
        </w:tc>
        <w:tc>
          <w:tcPr>
            <w:tcW w:w="1569" w:type="pct"/>
            <w:gridSpan w:val="5"/>
            <w:shd w:val="clear" w:color="auto" w:fill="auto"/>
            <w:tcMar>
              <w:left w:w="57" w:type="dxa"/>
              <w:right w:w="57" w:type="dxa"/>
            </w:tcMar>
          </w:tcPr>
          <w:p w14:paraId="6D8205AA" w14:textId="28034596" w:rsidR="00BB73B7" w:rsidRPr="00FA5930" w:rsidRDefault="00BB73B7" w:rsidP="00BB73B7">
            <w:pPr>
              <w:rPr>
                <w:color w:val="000000"/>
                <w:sz w:val="20"/>
                <w:szCs w:val="20"/>
              </w:rPr>
            </w:pPr>
            <w:r w:rsidRPr="00FA5930">
              <w:t>collaboration=0.5</w:t>
            </w:r>
          </w:p>
        </w:tc>
        <w:tc>
          <w:tcPr>
            <w:tcW w:w="1568" w:type="pct"/>
            <w:gridSpan w:val="5"/>
            <w:shd w:val="clear" w:color="auto" w:fill="auto"/>
            <w:tcMar>
              <w:left w:w="57" w:type="dxa"/>
              <w:right w:w="57" w:type="dxa"/>
            </w:tcMar>
          </w:tcPr>
          <w:p w14:paraId="350F6D59" w14:textId="20915407" w:rsidR="00BB73B7" w:rsidRPr="00FA5930" w:rsidRDefault="00BB73B7" w:rsidP="00BB73B7">
            <w:pPr>
              <w:rPr>
                <w:color w:val="000000"/>
                <w:sz w:val="20"/>
                <w:szCs w:val="20"/>
              </w:rPr>
            </w:pPr>
            <w:r w:rsidRPr="00FA5930">
              <w:t>collaboration=1</w:t>
            </w:r>
          </w:p>
        </w:tc>
      </w:tr>
      <w:tr w:rsidR="00BB73B7" w:rsidRPr="00FA5930" w14:paraId="406B2B09" w14:textId="77777777" w:rsidTr="00BB73B7">
        <w:trPr>
          <w:trHeight w:val="840"/>
        </w:trPr>
        <w:tc>
          <w:tcPr>
            <w:tcW w:w="293" w:type="pct"/>
            <w:shd w:val="clear" w:color="auto" w:fill="auto"/>
            <w:tcMar>
              <w:left w:w="57" w:type="dxa"/>
              <w:right w:w="57" w:type="dxa"/>
            </w:tcMar>
            <w:vAlign w:val="center"/>
            <w:hideMark/>
          </w:tcPr>
          <w:p w14:paraId="32BA7BB8" w14:textId="77777777" w:rsidR="00BB73B7" w:rsidRPr="00FA5930" w:rsidRDefault="00BB73B7" w:rsidP="00BB73B7">
            <w:pPr>
              <w:rPr>
                <w:color w:val="000000"/>
                <w:sz w:val="20"/>
                <w:szCs w:val="20"/>
              </w:rPr>
            </w:pPr>
            <w:r w:rsidRPr="00FA5930">
              <w:rPr>
                <w:color w:val="000000"/>
                <w:sz w:val="20"/>
                <w:szCs w:val="20"/>
              </w:rPr>
              <w:t>time-out period</w:t>
            </w:r>
          </w:p>
        </w:tc>
        <w:tc>
          <w:tcPr>
            <w:tcW w:w="301" w:type="pct"/>
            <w:shd w:val="clear" w:color="auto" w:fill="auto"/>
            <w:tcMar>
              <w:left w:w="57" w:type="dxa"/>
              <w:right w:w="57" w:type="dxa"/>
            </w:tcMar>
            <w:vAlign w:val="center"/>
            <w:hideMark/>
          </w:tcPr>
          <w:p w14:paraId="37290594" w14:textId="77777777" w:rsidR="00BB73B7" w:rsidRPr="00FA5930" w:rsidRDefault="00BB73B7" w:rsidP="00BB73B7">
            <w:pPr>
              <w:rPr>
                <w:color w:val="000000"/>
                <w:sz w:val="20"/>
                <w:szCs w:val="20"/>
              </w:rPr>
            </w:pPr>
            <w:r w:rsidRPr="00FA5930">
              <w:rPr>
                <w:color w:val="000000"/>
                <w:sz w:val="20"/>
                <w:szCs w:val="20"/>
              </w:rPr>
              <w:t>marginal effect (dy/dx)</w:t>
            </w:r>
          </w:p>
        </w:tc>
        <w:tc>
          <w:tcPr>
            <w:tcW w:w="297" w:type="pct"/>
            <w:shd w:val="clear" w:color="auto" w:fill="auto"/>
            <w:tcMar>
              <w:left w:w="57" w:type="dxa"/>
              <w:right w:w="57" w:type="dxa"/>
            </w:tcMar>
            <w:vAlign w:val="center"/>
            <w:hideMark/>
          </w:tcPr>
          <w:p w14:paraId="3BC7E066" w14:textId="77777777" w:rsidR="00BB73B7" w:rsidRPr="00FA5930" w:rsidRDefault="00BB73B7" w:rsidP="00BB73B7">
            <w:pPr>
              <w:rPr>
                <w:color w:val="000000"/>
                <w:sz w:val="20"/>
                <w:szCs w:val="20"/>
              </w:rPr>
            </w:pPr>
            <w:r w:rsidRPr="00FA5930">
              <w:rPr>
                <w:color w:val="000000"/>
                <w:sz w:val="20"/>
                <w:szCs w:val="20"/>
              </w:rPr>
              <w:t>Std. Err.</w:t>
            </w:r>
          </w:p>
        </w:tc>
        <w:tc>
          <w:tcPr>
            <w:tcW w:w="297" w:type="pct"/>
            <w:shd w:val="clear" w:color="auto" w:fill="auto"/>
            <w:tcMar>
              <w:left w:w="57" w:type="dxa"/>
              <w:right w:w="57" w:type="dxa"/>
            </w:tcMar>
            <w:vAlign w:val="center"/>
            <w:hideMark/>
          </w:tcPr>
          <w:p w14:paraId="7DF87687" w14:textId="77777777" w:rsidR="00BB73B7" w:rsidRPr="00FA5930" w:rsidRDefault="00BB73B7" w:rsidP="00BB73B7">
            <w:pPr>
              <w:rPr>
                <w:color w:val="000000"/>
                <w:sz w:val="20"/>
                <w:szCs w:val="20"/>
              </w:rPr>
            </w:pPr>
            <w:r w:rsidRPr="00FA5930">
              <w:rPr>
                <w:color w:val="000000"/>
                <w:sz w:val="20"/>
                <w:szCs w:val="20"/>
              </w:rPr>
              <w:t>p value</w:t>
            </w:r>
          </w:p>
        </w:tc>
        <w:tc>
          <w:tcPr>
            <w:tcW w:w="675" w:type="pct"/>
            <w:gridSpan w:val="2"/>
            <w:shd w:val="clear" w:color="auto" w:fill="auto"/>
            <w:tcMar>
              <w:left w:w="57" w:type="dxa"/>
              <w:right w:w="57" w:type="dxa"/>
            </w:tcMar>
            <w:vAlign w:val="center"/>
            <w:hideMark/>
          </w:tcPr>
          <w:p w14:paraId="450F23CA" w14:textId="511770B4" w:rsidR="00BB73B7" w:rsidRPr="00FA5930" w:rsidRDefault="00BB73B7" w:rsidP="00BB73B7">
            <w:pPr>
              <w:rPr>
                <w:color w:val="000000"/>
                <w:sz w:val="20"/>
                <w:szCs w:val="20"/>
              </w:rPr>
            </w:pPr>
            <w:r w:rsidRPr="00FA5930">
              <w:rPr>
                <w:color w:val="000000"/>
                <w:sz w:val="20"/>
                <w:szCs w:val="20"/>
              </w:rPr>
              <w:t>Confidence Interval</w:t>
            </w:r>
          </w:p>
        </w:tc>
        <w:tc>
          <w:tcPr>
            <w:tcW w:w="301" w:type="pct"/>
            <w:shd w:val="clear" w:color="auto" w:fill="auto"/>
            <w:tcMar>
              <w:left w:w="57" w:type="dxa"/>
              <w:right w:w="57" w:type="dxa"/>
            </w:tcMar>
            <w:vAlign w:val="center"/>
            <w:hideMark/>
          </w:tcPr>
          <w:p w14:paraId="70DCE07C" w14:textId="77777777" w:rsidR="00BB73B7" w:rsidRPr="00FA5930" w:rsidRDefault="00BB73B7" w:rsidP="00BB73B7">
            <w:pPr>
              <w:rPr>
                <w:color w:val="000000"/>
                <w:sz w:val="20"/>
                <w:szCs w:val="20"/>
              </w:rPr>
            </w:pPr>
            <w:r w:rsidRPr="00FA5930">
              <w:rPr>
                <w:color w:val="000000"/>
                <w:sz w:val="20"/>
                <w:szCs w:val="20"/>
              </w:rPr>
              <w:t>marginal effect (dy/dx)</w:t>
            </w:r>
          </w:p>
        </w:tc>
        <w:tc>
          <w:tcPr>
            <w:tcW w:w="297" w:type="pct"/>
            <w:shd w:val="clear" w:color="auto" w:fill="auto"/>
            <w:tcMar>
              <w:left w:w="57" w:type="dxa"/>
              <w:right w:w="57" w:type="dxa"/>
            </w:tcMar>
            <w:vAlign w:val="center"/>
            <w:hideMark/>
          </w:tcPr>
          <w:p w14:paraId="649CE8A9" w14:textId="77777777" w:rsidR="00BB73B7" w:rsidRPr="00FA5930" w:rsidRDefault="00BB73B7" w:rsidP="00BB73B7">
            <w:pPr>
              <w:rPr>
                <w:color w:val="000000"/>
                <w:sz w:val="20"/>
                <w:szCs w:val="20"/>
              </w:rPr>
            </w:pPr>
            <w:r w:rsidRPr="00FA5930">
              <w:rPr>
                <w:color w:val="000000"/>
                <w:sz w:val="20"/>
                <w:szCs w:val="20"/>
              </w:rPr>
              <w:t>Std. Err.</w:t>
            </w:r>
          </w:p>
        </w:tc>
        <w:tc>
          <w:tcPr>
            <w:tcW w:w="297" w:type="pct"/>
            <w:shd w:val="clear" w:color="auto" w:fill="auto"/>
            <w:tcMar>
              <w:left w:w="57" w:type="dxa"/>
              <w:right w:w="57" w:type="dxa"/>
            </w:tcMar>
            <w:vAlign w:val="center"/>
            <w:hideMark/>
          </w:tcPr>
          <w:p w14:paraId="72967FB9" w14:textId="77777777" w:rsidR="00BB73B7" w:rsidRPr="00FA5930" w:rsidRDefault="00BB73B7" w:rsidP="00BB73B7">
            <w:pPr>
              <w:rPr>
                <w:color w:val="000000"/>
                <w:sz w:val="20"/>
                <w:szCs w:val="20"/>
              </w:rPr>
            </w:pPr>
            <w:r w:rsidRPr="00FA5930">
              <w:rPr>
                <w:color w:val="000000"/>
                <w:sz w:val="20"/>
                <w:szCs w:val="20"/>
              </w:rPr>
              <w:t>p value</w:t>
            </w:r>
          </w:p>
        </w:tc>
        <w:tc>
          <w:tcPr>
            <w:tcW w:w="674" w:type="pct"/>
            <w:gridSpan w:val="2"/>
            <w:shd w:val="clear" w:color="auto" w:fill="auto"/>
            <w:tcMar>
              <w:left w:w="57" w:type="dxa"/>
              <w:right w:w="57" w:type="dxa"/>
            </w:tcMar>
            <w:vAlign w:val="center"/>
            <w:hideMark/>
          </w:tcPr>
          <w:p w14:paraId="54C9CDD3" w14:textId="6C09D4E2" w:rsidR="00BB73B7" w:rsidRPr="00FA5930" w:rsidRDefault="00BB73B7" w:rsidP="00BB73B7">
            <w:pPr>
              <w:rPr>
                <w:color w:val="000000"/>
                <w:sz w:val="20"/>
                <w:szCs w:val="20"/>
              </w:rPr>
            </w:pPr>
            <w:r w:rsidRPr="00FA5930">
              <w:rPr>
                <w:color w:val="000000"/>
                <w:sz w:val="20"/>
                <w:szCs w:val="20"/>
              </w:rPr>
              <w:t>Confidence Interval</w:t>
            </w:r>
          </w:p>
        </w:tc>
        <w:tc>
          <w:tcPr>
            <w:tcW w:w="301" w:type="pct"/>
            <w:shd w:val="clear" w:color="auto" w:fill="auto"/>
            <w:tcMar>
              <w:left w:w="57" w:type="dxa"/>
              <w:right w:w="57" w:type="dxa"/>
            </w:tcMar>
            <w:vAlign w:val="center"/>
            <w:hideMark/>
          </w:tcPr>
          <w:p w14:paraId="5CEA01E6" w14:textId="77777777" w:rsidR="00BB73B7" w:rsidRPr="00FA5930" w:rsidRDefault="00BB73B7" w:rsidP="00BB73B7">
            <w:pPr>
              <w:rPr>
                <w:color w:val="000000"/>
                <w:sz w:val="20"/>
                <w:szCs w:val="20"/>
              </w:rPr>
            </w:pPr>
            <w:r w:rsidRPr="00FA5930">
              <w:rPr>
                <w:color w:val="000000"/>
                <w:sz w:val="20"/>
                <w:szCs w:val="20"/>
              </w:rPr>
              <w:t>marginal effect (dy/dx)</w:t>
            </w:r>
          </w:p>
        </w:tc>
        <w:tc>
          <w:tcPr>
            <w:tcW w:w="297" w:type="pct"/>
            <w:shd w:val="clear" w:color="auto" w:fill="auto"/>
            <w:tcMar>
              <w:left w:w="57" w:type="dxa"/>
              <w:right w:w="57" w:type="dxa"/>
            </w:tcMar>
            <w:vAlign w:val="center"/>
            <w:hideMark/>
          </w:tcPr>
          <w:p w14:paraId="1857C420" w14:textId="77777777" w:rsidR="00BB73B7" w:rsidRPr="00FA5930" w:rsidRDefault="00BB73B7" w:rsidP="00BB73B7">
            <w:pPr>
              <w:rPr>
                <w:color w:val="000000"/>
                <w:sz w:val="20"/>
                <w:szCs w:val="20"/>
              </w:rPr>
            </w:pPr>
            <w:r w:rsidRPr="00FA5930">
              <w:rPr>
                <w:color w:val="000000"/>
                <w:sz w:val="20"/>
                <w:szCs w:val="20"/>
              </w:rPr>
              <w:t>Std. Err.</w:t>
            </w:r>
          </w:p>
        </w:tc>
        <w:tc>
          <w:tcPr>
            <w:tcW w:w="297" w:type="pct"/>
            <w:shd w:val="clear" w:color="auto" w:fill="auto"/>
            <w:tcMar>
              <w:left w:w="57" w:type="dxa"/>
              <w:right w:w="57" w:type="dxa"/>
            </w:tcMar>
            <w:vAlign w:val="center"/>
            <w:hideMark/>
          </w:tcPr>
          <w:p w14:paraId="7A0BC4DB" w14:textId="77777777" w:rsidR="00BB73B7" w:rsidRPr="00FA5930" w:rsidRDefault="00BB73B7" w:rsidP="00BB73B7">
            <w:pPr>
              <w:rPr>
                <w:color w:val="000000"/>
                <w:sz w:val="20"/>
                <w:szCs w:val="20"/>
              </w:rPr>
            </w:pPr>
            <w:r w:rsidRPr="00FA5930">
              <w:rPr>
                <w:color w:val="000000"/>
                <w:sz w:val="20"/>
                <w:szCs w:val="20"/>
              </w:rPr>
              <w:t>p value</w:t>
            </w:r>
          </w:p>
        </w:tc>
        <w:tc>
          <w:tcPr>
            <w:tcW w:w="673" w:type="pct"/>
            <w:gridSpan w:val="2"/>
            <w:shd w:val="clear" w:color="auto" w:fill="auto"/>
            <w:tcMar>
              <w:left w:w="57" w:type="dxa"/>
              <w:right w:w="57" w:type="dxa"/>
            </w:tcMar>
            <w:vAlign w:val="center"/>
            <w:hideMark/>
          </w:tcPr>
          <w:p w14:paraId="05D46674" w14:textId="5F0FBDED" w:rsidR="00BB73B7" w:rsidRPr="00FA5930" w:rsidRDefault="00BB73B7" w:rsidP="00BB73B7">
            <w:pPr>
              <w:rPr>
                <w:color w:val="000000"/>
                <w:sz w:val="20"/>
                <w:szCs w:val="20"/>
              </w:rPr>
            </w:pPr>
            <w:r w:rsidRPr="00FA5930">
              <w:rPr>
                <w:color w:val="000000"/>
                <w:sz w:val="20"/>
                <w:szCs w:val="20"/>
              </w:rPr>
              <w:t>Confidence Interval</w:t>
            </w:r>
          </w:p>
        </w:tc>
      </w:tr>
      <w:tr w:rsidR="00FA5930" w:rsidRPr="00FA5930" w14:paraId="765A4AB1" w14:textId="77777777" w:rsidTr="004543B2">
        <w:trPr>
          <w:trHeight w:val="300"/>
        </w:trPr>
        <w:tc>
          <w:tcPr>
            <w:tcW w:w="293" w:type="pct"/>
            <w:shd w:val="clear" w:color="auto" w:fill="auto"/>
            <w:tcMar>
              <w:left w:w="57" w:type="dxa"/>
              <w:right w:w="57" w:type="dxa"/>
            </w:tcMar>
            <w:vAlign w:val="center"/>
            <w:hideMark/>
          </w:tcPr>
          <w:p w14:paraId="6A5EC944" w14:textId="77777777" w:rsidR="00FA5930" w:rsidRPr="00FA5930" w:rsidRDefault="00FA5930" w:rsidP="00FA5930">
            <w:pPr>
              <w:jc w:val="right"/>
              <w:rPr>
                <w:color w:val="000000"/>
                <w:sz w:val="20"/>
                <w:szCs w:val="20"/>
              </w:rPr>
            </w:pPr>
            <w:r w:rsidRPr="00FA5930">
              <w:rPr>
                <w:color w:val="000000"/>
                <w:sz w:val="20"/>
                <w:szCs w:val="20"/>
              </w:rPr>
              <w:t>1</w:t>
            </w:r>
          </w:p>
        </w:tc>
        <w:tc>
          <w:tcPr>
            <w:tcW w:w="301" w:type="pc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hideMark/>
          </w:tcPr>
          <w:p w14:paraId="515C1D1A" w14:textId="0E1A1E70" w:rsidR="00FA5930" w:rsidRPr="00FA5930" w:rsidRDefault="00FA5930" w:rsidP="00FA5930">
            <w:pPr>
              <w:jc w:val="right"/>
              <w:rPr>
                <w:color w:val="000000"/>
                <w:sz w:val="20"/>
                <w:szCs w:val="20"/>
              </w:rPr>
            </w:pPr>
            <w:r w:rsidRPr="00FA5930">
              <w:rPr>
                <w:color w:val="000000"/>
              </w:rPr>
              <w:t>0.249</w:t>
            </w:r>
          </w:p>
        </w:tc>
        <w:tc>
          <w:tcPr>
            <w:tcW w:w="297" w:type="pct"/>
            <w:tcBorders>
              <w:top w:val="single" w:sz="4" w:space="0" w:color="000000"/>
              <w:left w:val="nil"/>
              <w:bottom w:val="single" w:sz="4" w:space="0" w:color="000000"/>
              <w:right w:val="single" w:sz="4" w:space="0" w:color="000000"/>
            </w:tcBorders>
            <w:shd w:val="clear" w:color="auto" w:fill="auto"/>
            <w:tcMar>
              <w:left w:w="57" w:type="dxa"/>
              <w:right w:w="57" w:type="dxa"/>
            </w:tcMar>
            <w:vAlign w:val="center"/>
            <w:hideMark/>
          </w:tcPr>
          <w:p w14:paraId="55D561C2" w14:textId="13C720B0" w:rsidR="00FA5930" w:rsidRPr="00FA5930" w:rsidRDefault="00FA5930" w:rsidP="00FA5930">
            <w:pPr>
              <w:jc w:val="right"/>
              <w:rPr>
                <w:color w:val="000000"/>
                <w:sz w:val="20"/>
                <w:szCs w:val="20"/>
              </w:rPr>
            </w:pPr>
            <w:r w:rsidRPr="00FA5930">
              <w:rPr>
                <w:color w:val="000000"/>
              </w:rPr>
              <w:t>0.012</w:t>
            </w:r>
          </w:p>
        </w:tc>
        <w:tc>
          <w:tcPr>
            <w:tcW w:w="297" w:type="pct"/>
            <w:tcBorders>
              <w:top w:val="single" w:sz="4" w:space="0" w:color="000000"/>
              <w:left w:val="nil"/>
              <w:bottom w:val="single" w:sz="4" w:space="0" w:color="000000"/>
              <w:right w:val="single" w:sz="4" w:space="0" w:color="000000"/>
            </w:tcBorders>
            <w:shd w:val="clear" w:color="auto" w:fill="auto"/>
            <w:tcMar>
              <w:left w:w="57" w:type="dxa"/>
              <w:right w:w="57" w:type="dxa"/>
            </w:tcMar>
            <w:vAlign w:val="center"/>
            <w:hideMark/>
          </w:tcPr>
          <w:p w14:paraId="76143E38" w14:textId="3209D94C" w:rsidR="00FA5930" w:rsidRPr="00FA5930" w:rsidRDefault="00FA5930" w:rsidP="00FA5930">
            <w:pPr>
              <w:jc w:val="right"/>
              <w:rPr>
                <w:color w:val="000000"/>
                <w:sz w:val="20"/>
                <w:szCs w:val="20"/>
              </w:rPr>
            </w:pPr>
            <w:r w:rsidRPr="00FA5930">
              <w:rPr>
                <w:color w:val="000000"/>
              </w:rPr>
              <w:t>0.000</w:t>
            </w:r>
          </w:p>
        </w:tc>
        <w:tc>
          <w:tcPr>
            <w:tcW w:w="371" w:type="pct"/>
            <w:tcBorders>
              <w:top w:val="single" w:sz="4" w:space="0" w:color="000000"/>
              <w:left w:val="nil"/>
              <w:bottom w:val="single" w:sz="4" w:space="0" w:color="000000"/>
              <w:right w:val="single" w:sz="4" w:space="0" w:color="000000"/>
            </w:tcBorders>
            <w:shd w:val="clear" w:color="auto" w:fill="auto"/>
            <w:tcMar>
              <w:left w:w="57" w:type="dxa"/>
              <w:right w:w="57" w:type="dxa"/>
            </w:tcMar>
            <w:vAlign w:val="center"/>
            <w:hideMark/>
          </w:tcPr>
          <w:p w14:paraId="01A3D605" w14:textId="0104A1CD" w:rsidR="00FA5930" w:rsidRPr="00FA5930" w:rsidRDefault="00FA5930" w:rsidP="00FA5930">
            <w:pPr>
              <w:jc w:val="right"/>
              <w:rPr>
                <w:color w:val="000000"/>
                <w:sz w:val="20"/>
                <w:szCs w:val="20"/>
              </w:rPr>
            </w:pPr>
            <w:r w:rsidRPr="00FA5930">
              <w:rPr>
                <w:color w:val="000000"/>
              </w:rPr>
              <w:t>0.228</w:t>
            </w:r>
          </w:p>
        </w:tc>
        <w:tc>
          <w:tcPr>
            <w:tcW w:w="304" w:type="pct"/>
            <w:tcBorders>
              <w:top w:val="single" w:sz="4" w:space="0" w:color="000000"/>
              <w:left w:val="nil"/>
              <w:bottom w:val="single" w:sz="4" w:space="0" w:color="000000"/>
              <w:right w:val="single" w:sz="4" w:space="0" w:color="000000"/>
            </w:tcBorders>
            <w:shd w:val="clear" w:color="auto" w:fill="auto"/>
            <w:tcMar>
              <w:left w:w="57" w:type="dxa"/>
              <w:right w:w="57" w:type="dxa"/>
            </w:tcMar>
            <w:vAlign w:val="center"/>
            <w:hideMark/>
          </w:tcPr>
          <w:p w14:paraId="0556320C" w14:textId="3FF15FA0" w:rsidR="00FA5930" w:rsidRPr="00FA5930" w:rsidRDefault="00FA5930" w:rsidP="00FA5930">
            <w:pPr>
              <w:jc w:val="right"/>
              <w:rPr>
                <w:color w:val="000000"/>
                <w:sz w:val="20"/>
                <w:szCs w:val="20"/>
              </w:rPr>
            </w:pPr>
            <w:r w:rsidRPr="00FA5930">
              <w:rPr>
                <w:color w:val="000000"/>
              </w:rPr>
              <w:t>0.269</w:t>
            </w:r>
          </w:p>
        </w:tc>
        <w:tc>
          <w:tcPr>
            <w:tcW w:w="301" w:type="pct"/>
            <w:tcBorders>
              <w:top w:val="single" w:sz="4" w:space="0" w:color="000000"/>
              <w:left w:val="nil"/>
              <w:bottom w:val="single" w:sz="4" w:space="0" w:color="000000"/>
              <w:right w:val="single" w:sz="4" w:space="0" w:color="000000"/>
            </w:tcBorders>
            <w:shd w:val="clear" w:color="auto" w:fill="auto"/>
            <w:tcMar>
              <w:left w:w="57" w:type="dxa"/>
              <w:right w:w="57" w:type="dxa"/>
            </w:tcMar>
            <w:vAlign w:val="center"/>
            <w:hideMark/>
          </w:tcPr>
          <w:p w14:paraId="56CA9AA0" w14:textId="3921D124" w:rsidR="00FA5930" w:rsidRPr="00FA5930" w:rsidRDefault="00FA5930" w:rsidP="00FA5930">
            <w:pPr>
              <w:jc w:val="right"/>
              <w:rPr>
                <w:color w:val="000000"/>
                <w:sz w:val="20"/>
                <w:szCs w:val="20"/>
              </w:rPr>
            </w:pPr>
            <w:r w:rsidRPr="00FA5930">
              <w:rPr>
                <w:color w:val="000000"/>
              </w:rPr>
              <w:t>0.340</w:t>
            </w:r>
          </w:p>
        </w:tc>
        <w:tc>
          <w:tcPr>
            <w:tcW w:w="297" w:type="pct"/>
            <w:tcBorders>
              <w:top w:val="single" w:sz="4" w:space="0" w:color="000000"/>
              <w:left w:val="nil"/>
              <w:bottom w:val="single" w:sz="4" w:space="0" w:color="000000"/>
              <w:right w:val="single" w:sz="4" w:space="0" w:color="000000"/>
            </w:tcBorders>
            <w:shd w:val="clear" w:color="auto" w:fill="auto"/>
            <w:tcMar>
              <w:left w:w="57" w:type="dxa"/>
              <w:right w:w="57" w:type="dxa"/>
            </w:tcMar>
            <w:vAlign w:val="center"/>
            <w:hideMark/>
          </w:tcPr>
          <w:p w14:paraId="359ACE2A" w14:textId="672C700F" w:rsidR="00FA5930" w:rsidRPr="00FA5930" w:rsidRDefault="00FA5930" w:rsidP="00FA5930">
            <w:pPr>
              <w:jc w:val="right"/>
              <w:rPr>
                <w:color w:val="000000"/>
                <w:sz w:val="20"/>
                <w:szCs w:val="20"/>
              </w:rPr>
            </w:pPr>
            <w:r w:rsidRPr="00FA5930">
              <w:rPr>
                <w:color w:val="000000"/>
              </w:rPr>
              <w:t>0.034</w:t>
            </w:r>
          </w:p>
        </w:tc>
        <w:tc>
          <w:tcPr>
            <w:tcW w:w="297" w:type="pct"/>
            <w:tcBorders>
              <w:top w:val="single" w:sz="4" w:space="0" w:color="000000"/>
              <w:left w:val="nil"/>
              <w:bottom w:val="single" w:sz="4" w:space="0" w:color="000000"/>
              <w:right w:val="single" w:sz="4" w:space="0" w:color="000000"/>
            </w:tcBorders>
            <w:shd w:val="clear" w:color="auto" w:fill="auto"/>
            <w:tcMar>
              <w:left w:w="57" w:type="dxa"/>
              <w:right w:w="57" w:type="dxa"/>
            </w:tcMar>
            <w:vAlign w:val="center"/>
            <w:hideMark/>
          </w:tcPr>
          <w:p w14:paraId="0EE3FA47" w14:textId="1198429F" w:rsidR="00FA5930" w:rsidRPr="00FA5930" w:rsidRDefault="00FA5930" w:rsidP="00FA5930">
            <w:pPr>
              <w:jc w:val="right"/>
              <w:rPr>
                <w:color w:val="000000"/>
                <w:sz w:val="20"/>
                <w:szCs w:val="20"/>
              </w:rPr>
            </w:pPr>
            <w:r w:rsidRPr="00FA5930">
              <w:rPr>
                <w:color w:val="000000"/>
              </w:rPr>
              <w:t>0.000</w:t>
            </w:r>
          </w:p>
        </w:tc>
        <w:tc>
          <w:tcPr>
            <w:tcW w:w="371" w:type="pct"/>
            <w:tcBorders>
              <w:top w:val="single" w:sz="4" w:space="0" w:color="000000"/>
              <w:left w:val="nil"/>
              <w:bottom w:val="single" w:sz="4" w:space="0" w:color="000000"/>
              <w:right w:val="single" w:sz="4" w:space="0" w:color="000000"/>
            </w:tcBorders>
            <w:shd w:val="clear" w:color="auto" w:fill="auto"/>
            <w:tcMar>
              <w:left w:w="57" w:type="dxa"/>
              <w:right w:w="57" w:type="dxa"/>
            </w:tcMar>
            <w:vAlign w:val="center"/>
            <w:hideMark/>
          </w:tcPr>
          <w:p w14:paraId="5B05212D" w14:textId="5C87FD5D" w:rsidR="00FA5930" w:rsidRPr="00FA5930" w:rsidRDefault="00FA5930" w:rsidP="00FA5930">
            <w:pPr>
              <w:jc w:val="right"/>
              <w:rPr>
                <w:color w:val="000000"/>
                <w:sz w:val="20"/>
                <w:szCs w:val="20"/>
              </w:rPr>
            </w:pPr>
            <w:r w:rsidRPr="00FA5930">
              <w:rPr>
                <w:color w:val="000000"/>
              </w:rPr>
              <w:t>0.284</w:t>
            </w:r>
          </w:p>
        </w:tc>
        <w:tc>
          <w:tcPr>
            <w:tcW w:w="303" w:type="pct"/>
            <w:tcBorders>
              <w:top w:val="single" w:sz="4" w:space="0" w:color="000000"/>
              <w:left w:val="nil"/>
              <w:bottom w:val="single" w:sz="4" w:space="0" w:color="000000"/>
              <w:right w:val="single" w:sz="4" w:space="0" w:color="000000"/>
            </w:tcBorders>
            <w:shd w:val="clear" w:color="auto" w:fill="auto"/>
            <w:tcMar>
              <w:left w:w="57" w:type="dxa"/>
              <w:right w:w="57" w:type="dxa"/>
            </w:tcMar>
            <w:vAlign w:val="center"/>
            <w:hideMark/>
          </w:tcPr>
          <w:p w14:paraId="6ED69BB4" w14:textId="3E2A6B74" w:rsidR="00FA5930" w:rsidRPr="00FA5930" w:rsidRDefault="00FA5930" w:rsidP="00FA5930">
            <w:pPr>
              <w:jc w:val="right"/>
              <w:rPr>
                <w:color w:val="000000"/>
                <w:sz w:val="20"/>
                <w:szCs w:val="20"/>
              </w:rPr>
            </w:pPr>
            <w:r w:rsidRPr="00FA5930">
              <w:rPr>
                <w:color w:val="000000"/>
              </w:rPr>
              <w:t>0.396</w:t>
            </w:r>
          </w:p>
        </w:tc>
        <w:tc>
          <w:tcPr>
            <w:tcW w:w="301" w:type="pct"/>
            <w:tcBorders>
              <w:top w:val="single" w:sz="4" w:space="0" w:color="000000"/>
              <w:left w:val="nil"/>
              <w:bottom w:val="single" w:sz="4" w:space="0" w:color="000000"/>
              <w:right w:val="single" w:sz="4" w:space="0" w:color="000000"/>
            </w:tcBorders>
            <w:shd w:val="clear" w:color="auto" w:fill="auto"/>
            <w:tcMar>
              <w:left w:w="57" w:type="dxa"/>
              <w:right w:w="57" w:type="dxa"/>
            </w:tcMar>
            <w:vAlign w:val="center"/>
            <w:hideMark/>
          </w:tcPr>
          <w:p w14:paraId="3A2038DC" w14:textId="63C1C8F2" w:rsidR="00FA5930" w:rsidRPr="00FA5930" w:rsidRDefault="00FA5930" w:rsidP="00FA5930">
            <w:pPr>
              <w:jc w:val="right"/>
              <w:rPr>
                <w:color w:val="000000"/>
                <w:sz w:val="20"/>
                <w:szCs w:val="20"/>
              </w:rPr>
            </w:pPr>
            <w:r w:rsidRPr="00FA5930">
              <w:rPr>
                <w:color w:val="000000"/>
              </w:rPr>
              <w:t>0.432</w:t>
            </w:r>
          </w:p>
        </w:tc>
        <w:tc>
          <w:tcPr>
            <w:tcW w:w="297" w:type="pct"/>
            <w:tcBorders>
              <w:top w:val="single" w:sz="4" w:space="0" w:color="000000"/>
              <w:left w:val="nil"/>
              <w:bottom w:val="single" w:sz="4" w:space="0" w:color="000000"/>
              <w:right w:val="single" w:sz="4" w:space="0" w:color="000000"/>
            </w:tcBorders>
            <w:shd w:val="clear" w:color="auto" w:fill="auto"/>
            <w:tcMar>
              <w:left w:w="57" w:type="dxa"/>
              <w:right w:w="57" w:type="dxa"/>
            </w:tcMar>
            <w:vAlign w:val="center"/>
            <w:hideMark/>
          </w:tcPr>
          <w:p w14:paraId="01321C21" w14:textId="63C6BBA5" w:rsidR="00FA5930" w:rsidRPr="00FA5930" w:rsidRDefault="00FA5930" w:rsidP="00FA5930">
            <w:pPr>
              <w:jc w:val="right"/>
              <w:rPr>
                <w:color w:val="000000"/>
                <w:sz w:val="20"/>
                <w:szCs w:val="20"/>
              </w:rPr>
            </w:pPr>
            <w:r w:rsidRPr="00FA5930">
              <w:rPr>
                <w:color w:val="000000"/>
              </w:rPr>
              <w:t>0.067</w:t>
            </w:r>
          </w:p>
        </w:tc>
        <w:tc>
          <w:tcPr>
            <w:tcW w:w="297" w:type="pct"/>
            <w:tcBorders>
              <w:top w:val="single" w:sz="4" w:space="0" w:color="000000"/>
              <w:left w:val="nil"/>
              <w:bottom w:val="single" w:sz="4" w:space="0" w:color="000000"/>
              <w:right w:val="single" w:sz="4" w:space="0" w:color="000000"/>
            </w:tcBorders>
            <w:shd w:val="clear" w:color="auto" w:fill="auto"/>
            <w:tcMar>
              <w:left w:w="57" w:type="dxa"/>
              <w:right w:w="57" w:type="dxa"/>
            </w:tcMar>
            <w:vAlign w:val="center"/>
            <w:hideMark/>
          </w:tcPr>
          <w:p w14:paraId="7A6DC70C" w14:textId="203F3E62" w:rsidR="00FA5930" w:rsidRPr="00FA5930" w:rsidRDefault="00FA5930" w:rsidP="00FA5930">
            <w:pPr>
              <w:jc w:val="right"/>
              <w:rPr>
                <w:color w:val="000000"/>
                <w:sz w:val="20"/>
                <w:szCs w:val="20"/>
              </w:rPr>
            </w:pPr>
            <w:r w:rsidRPr="00FA5930">
              <w:rPr>
                <w:color w:val="000000"/>
              </w:rPr>
              <w:t>0.000</w:t>
            </w:r>
          </w:p>
        </w:tc>
        <w:tc>
          <w:tcPr>
            <w:tcW w:w="371" w:type="pct"/>
            <w:tcBorders>
              <w:top w:val="single" w:sz="4" w:space="0" w:color="000000"/>
              <w:left w:val="nil"/>
              <w:bottom w:val="single" w:sz="4" w:space="0" w:color="000000"/>
              <w:right w:val="single" w:sz="4" w:space="0" w:color="000000"/>
            </w:tcBorders>
            <w:shd w:val="clear" w:color="auto" w:fill="auto"/>
            <w:tcMar>
              <w:left w:w="57" w:type="dxa"/>
              <w:right w:w="57" w:type="dxa"/>
            </w:tcMar>
            <w:vAlign w:val="center"/>
            <w:hideMark/>
          </w:tcPr>
          <w:p w14:paraId="607A05E1" w14:textId="496772D5" w:rsidR="00FA5930" w:rsidRPr="00FA5930" w:rsidRDefault="00FA5930" w:rsidP="00FA5930">
            <w:pPr>
              <w:jc w:val="right"/>
              <w:rPr>
                <w:color w:val="000000"/>
                <w:sz w:val="20"/>
                <w:szCs w:val="20"/>
              </w:rPr>
            </w:pPr>
            <w:r w:rsidRPr="00FA5930">
              <w:rPr>
                <w:color w:val="000000"/>
              </w:rPr>
              <w:t>0.321</w:t>
            </w:r>
          </w:p>
        </w:tc>
        <w:tc>
          <w:tcPr>
            <w:tcW w:w="302" w:type="pct"/>
            <w:tcBorders>
              <w:top w:val="single" w:sz="4" w:space="0" w:color="000000"/>
              <w:left w:val="nil"/>
              <w:bottom w:val="single" w:sz="4" w:space="0" w:color="000000"/>
              <w:right w:val="single" w:sz="4" w:space="0" w:color="000000"/>
            </w:tcBorders>
            <w:shd w:val="clear" w:color="auto" w:fill="auto"/>
            <w:tcMar>
              <w:left w:w="57" w:type="dxa"/>
              <w:right w:w="57" w:type="dxa"/>
            </w:tcMar>
            <w:vAlign w:val="center"/>
            <w:hideMark/>
          </w:tcPr>
          <w:p w14:paraId="44406B1F" w14:textId="3154EDDC" w:rsidR="00FA5930" w:rsidRPr="00FA5930" w:rsidRDefault="00FA5930" w:rsidP="00FA5930">
            <w:pPr>
              <w:jc w:val="right"/>
              <w:rPr>
                <w:color w:val="000000"/>
                <w:sz w:val="20"/>
                <w:szCs w:val="20"/>
              </w:rPr>
            </w:pPr>
            <w:r w:rsidRPr="00FA5930">
              <w:rPr>
                <w:color w:val="000000"/>
              </w:rPr>
              <w:t>0.542</w:t>
            </w:r>
          </w:p>
        </w:tc>
      </w:tr>
      <w:tr w:rsidR="00FA5930" w:rsidRPr="00FA5930" w14:paraId="62B139EC" w14:textId="77777777" w:rsidTr="004543B2">
        <w:trPr>
          <w:trHeight w:val="300"/>
        </w:trPr>
        <w:tc>
          <w:tcPr>
            <w:tcW w:w="293" w:type="pct"/>
            <w:shd w:val="clear" w:color="auto" w:fill="auto"/>
            <w:tcMar>
              <w:left w:w="57" w:type="dxa"/>
              <w:right w:w="57" w:type="dxa"/>
            </w:tcMar>
            <w:vAlign w:val="center"/>
            <w:hideMark/>
          </w:tcPr>
          <w:p w14:paraId="00F05E9E" w14:textId="77777777" w:rsidR="00FA5930" w:rsidRPr="00FA5930" w:rsidRDefault="00FA5930" w:rsidP="00FA5930">
            <w:pPr>
              <w:jc w:val="right"/>
              <w:rPr>
                <w:color w:val="000000"/>
                <w:sz w:val="20"/>
                <w:szCs w:val="20"/>
              </w:rPr>
            </w:pPr>
            <w:r w:rsidRPr="00FA5930">
              <w:rPr>
                <w:color w:val="000000"/>
                <w:sz w:val="20"/>
                <w:szCs w:val="20"/>
              </w:rPr>
              <w:t>2</w:t>
            </w:r>
          </w:p>
        </w:tc>
        <w:tc>
          <w:tcPr>
            <w:tcW w:w="301" w:type="pct"/>
            <w:tcBorders>
              <w:top w:val="nil"/>
              <w:left w:val="single" w:sz="4" w:space="0" w:color="000000"/>
              <w:bottom w:val="single" w:sz="4" w:space="0" w:color="000000"/>
              <w:right w:val="single" w:sz="4" w:space="0" w:color="000000"/>
            </w:tcBorders>
            <w:shd w:val="clear" w:color="auto" w:fill="auto"/>
            <w:tcMar>
              <w:left w:w="57" w:type="dxa"/>
              <w:right w:w="57" w:type="dxa"/>
            </w:tcMar>
            <w:vAlign w:val="center"/>
            <w:hideMark/>
          </w:tcPr>
          <w:p w14:paraId="206A7FAF" w14:textId="0634B247" w:rsidR="00FA5930" w:rsidRPr="00FA5930" w:rsidRDefault="00FA5930" w:rsidP="00FA5930">
            <w:pPr>
              <w:jc w:val="right"/>
              <w:rPr>
                <w:color w:val="000000"/>
                <w:sz w:val="20"/>
                <w:szCs w:val="20"/>
              </w:rPr>
            </w:pPr>
            <w:r w:rsidRPr="00FA5930">
              <w:rPr>
                <w:color w:val="000000"/>
              </w:rPr>
              <w:t>0.162</w:t>
            </w:r>
          </w:p>
        </w:tc>
        <w:tc>
          <w:tcPr>
            <w:tcW w:w="297"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30B11D77" w14:textId="0050AE35" w:rsidR="00FA5930" w:rsidRPr="00FA5930" w:rsidRDefault="00FA5930" w:rsidP="00FA5930">
            <w:pPr>
              <w:jc w:val="right"/>
              <w:rPr>
                <w:color w:val="000000"/>
                <w:sz w:val="20"/>
                <w:szCs w:val="20"/>
              </w:rPr>
            </w:pPr>
            <w:r w:rsidRPr="00FA5930">
              <w:rPr>
                <w:color w:val="000000"/>
              </w:rPr>
              <w:t>0.013</w:t>
            </w:r>
          </w:p>
        </w:tc>
        <w:tc>
          <w:tcPr>
            <w:tcW w:w="297"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15C428C0" w14:textId="20932EDB" w:rsidR="00FA5930" w:rsidRPr="00FA5930" w:rsidRDefault="00FA5930" w:rsidP="00FA5930">
            <w:pPr>
              <w:jc w:val="right"/>
              <w:rPr>
                <w:color w:val="000000"/>
                <w:sz w:val="20"/>
                <w:szCs w:val="20"/>
              </w:rPr>
            </w:pPr>
            <w:r w:rsidRPr="00FA5930">
              <w:rPr>
                <w:color w:val="000000"/>
              </w:rPr>
              <w:t>0.000</w:t>
            </w:r>
          </w:p>
        </w:tc>
        <w:tc>
          <w:tcPr>
            <w:tcW w:w="371"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215C06A9" w14:textId="4C954606" w:rsidR="00FA5930" w:rsidRPr="00FA5930" w:rsidRDefault="00FA5930" w:rsidP="00FA5930">
            <w:pPr>
              <w:jc w:val="right"/>
              <w:rPr>
                <w:color w:val="000000"/>
                <w:sz w:val="20"/>
                <w:szCs w:val="20"/>
              </w:rPr>
            </w:pPr>
            <w:r w:rsidRPr="00FA5930">
              <w:rPr>
                <w:color w:val="000000"/>
              </w:rPr>
              <w:t>0.140</w:t>
            </w:r>
          </w:p>
        </w:tc>
        <w:tc>
          <w:tcPr>
            <w:tcW w:w="304"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6278465D" w14:textId="0BFDAA01" w:rsidR="00FA5930" w:rsidRPr="00FA5930" w:rsidRDefault="00FA5930" w:rsidP="00FA5930">
            <w:pPr>
              <w:jc w:val="right"/>
              <w:rPr>
                <w:color w:val="000000"/>
                <w:sz w:val="20"/>
                <w:szCs w:val="20"/>
              </w:rPr>
            </w:pPr>
            <w:r w:rsidRPr="00FA5930">
              <w:rPr>
                <w:color w:val="000000"/>
              </w:rPr>
              <w:t>0.184</w:t>
            </w:r>
          </w:p>
        </w:tc>
        <w:tc>
          <w:tcPr>
            <w:tcW w:w="301"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3B30527D" w14:textId="609477ED" w:rsidR="00FA5930" w:rsidRPr="00FA5930" w:rsidRDefault="00FA5930" w:rsidP="00FA5930">
            <w:pPr>
              <w:jc w:val="right"/>
              <w:rPr>
                <w:color w:val="000000"/>
                <w:sz w:val="20"/>
                <w:szCs w:val="20"/>
              </w:rPr>
            </w:pPr>
            <w:r w:rsidRPr="00FA5930">
              <w:rPr>
                <w:color w:val="000000"/>
              </w:rPr>
              <w:t>0.181</w:t>
            </w:r>
          </w:p>
        </w:tc>
        <w:tc>
          <w:tcPr>
            <w:tcW w:w="297"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47D94865" w14:textId="6707D24D" w:rsidR="00FA5930" w:rsidRPr="00FA5930" w:rsidRDefault="00FA5930" w:rsidP="00FA5930">
            <w:pPr>
              <w:jc w:val="right"/>
              <w:rPr>
                <w:color w:val="000000"/>
                <w:sz w:val="20"/>
                <w:szCs w:val="20"/>
              </w:rPr>
            </w:pPr>
            <w:r w:rsidRPr="00FA5930">
              <w:rPr>
                <w:color w:val="000000"/>
              </w:rPr>
              <w:t>0.025</w:t>
            </w:r>
          </w:p>
        </w:tc>
        <w:tc>
          <w:tcPr>
            <w:tcW w:w="297"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75BB335D" w14:textId="6CB98148" w:rsidR="00FA5930" w:rsidRPr="00FA5930" w:rsidRDefault="00FA5930" w:rsidP="00FA5930">
            <w:pPr>
              <w:jc w:val="right"/>
              <w:rPr>
                <w:color w:val="000000"/>
                <w:sz w:val="20"/>
                <w:szCs w:val="20"/>
              </w:rPr>
            </w:pPr>
            <w:r w:rsidRPr="00FA5930">
              <w:rPr>
                <w:color w:val="000000"/>
              </w:rPr>
              <w:t>0.000</w:t>
            </w:r>
          </w:p>
        </w:tc>
        <w:tc>
          <w:tcPr>
            <w:tcW w:w="371"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29AE6D79" w14:textId="093CE197" w:rsidR="00FA5930" w:rsidRPr="00FA5930" w:rsidRDefault="00FA5930" w:rsidP="00FA5930">
            <w:pPr>
              <w:jc w:val="right"/>
              <w:rPr>
                <w:color w:val="000000"/>
                <w:sz w:val="20"/>
                <w:szCs w:val="20"/>
              </w:rPr>
            </w:pPr>
            <w:r w:rsidRPr="00FA5930">
              <w:rPr>
                <w:color w:val="000000"/>
              </w:rPr>
              <w:t>0.139</w:t>
            </w:r>
          </w:p>
        </w:tc>
        <w:tc>
          <w:tcPr>
            <w:tcW w:w="303"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23AA8A02" w14:textId="46FD5F4D" w:rsidR="00FA5930" w:rsidRPr="00FA5930" w:rsidRDefault="00FA5930" w:rsidP="00FA5930">
            <w:pPr>
              <w:jc w:val="right"/>
              <w:rPr>
                <w:color w:val="000000"/>
                <w:sz w:val="20"/>
                <w:szCs w:val="20"/>
              </w:rPr>
            </w:pPr>
            <w:r w:rsidRPr="00FA5930">
              <w:rPr>
                <w:color w:val="000000"/>
              </w:rPr>
              <w:t>0.222</w:t>
            </w:r>
          </w:p>
        </w:tc>
        <w:tc>
          <w:tcPr>
            <w:tcW w:w="301"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607D3A67" w14:textId="3F67C440" w:rsidR="00FA5930" w:rsidRPr="00FA5930" w:rsidRDefault="00FA5930" w:rsidP="00FA5930">
            <w:pPr>
              <w:jc w:val="right"/>
              <w:rPr>
                <w:color w:val="000000"/>
                <w:sz w:val="20"/>
                <w:szCs w:val="20"/>
              </w:rPr>
            </w:pPr>
            <w:r w:rsidRPr="00FA5930">
              <w:rPr>
                <w:color w:val="000000"/>
              </w:rPr>
              <w:t>0.179</w:t>
            </w:r>
          </w:p>
        </w:tc>
        <w:tc>
          <w:tcPr>
            <w:tcW w:w="297"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3F366CCA" w14:textId="683E3413" w:rsidR="00FA5930" w:rsidRPr="00FA5930" w:rsidRDefault="00FA5930" w:rsidP="00FA5930">
            <w:pPr>
              <w:jc w:val="right"/>
              <w:rPr>
                <w:color w:val="000000"/>
                <w:sz w:val="20"/>
                <w:szCs w:val="20"/>
              </w:rPr>
            </w:pPr>
            <w:r w:rsidRPr="00FA5930">
              <w:rPr>
                <w:color w:val="000000"/>
              </w:rPr>
              <w:t>0.036</w:t>
            </w:r>
          </w:p>
        </w:tc>
        <w:tc>
          <w:tcPr>
            <w:tcW w:w="297"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25F86663" w14:textId="5832C9C9" w:rsidR="00FA5930" w:rsidRPr="00FA5930" w:rsidRDefault="00FA5930" w:rsidP="00FA5930">
            <w:pPr>
              <w:jc w:val="right"/>
              <w:rPr>
                <w:color w:val="000000"/>
                <w:sz w:val="20"/>
                <w:szCs w:val="20"/>
              </w:rPr>
            </w:pPr>
            <w:r w:rsidRPr="00FA5930">
              <w:rPr>
                <w:color w:val="000000"/>
              </w:rPr>
              <w:t>0.000</w:t>
            </w:r>
          </w:p>
        </w:tc>
        <w:tc>
          <w:tcPr>
            <w:tcW w:w="371"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457CB81C" w14:textId="11AD7DC7" w:rsidR="00FA5930" w:rsidRPr="00FA5930" w:rsidRDefault="00FA5930" w:rsidP="00FA5930">
            <w:pPr>
              <w:jc w:val="right"/>
              <w:rPr>
                <w:color w:val="000000"/>
                <w:sz w:val="20"/>
                <w:szCs w:val="20"/>
              </w:rPr>
            </w:pPr>
            <w:r w:rsidRPr="00FA5930">
              <w:rPr>
                <w:color w:val="000000"/>
              </w:rPr>
              <w:t>0.119</w:t>
            </w:r>
          </w:p>
        </w:tc>
        <w:tc>
          <w:tcPr>
            <w:tcW w:w="302"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5CAFE356" w14:textId="0117818C" w:rsidR="00FA5930" w:rsidRPr="00FA5930" w:rsidRDefault="00FA5930" w:rsidP="00FA5930">
            <w:pPr>
              <w:jc w:val="right"/>
              <w:rPr>
                <w:color w:val="000000"/>
                <w:sz w:val="20"/>
                <w:szCs w:val="20"/>
              </w:rPr>
            </w:pPr>
            <w:r w:rsidRPr="00FA5930">
              <w:rPr>
                <w:color w:val="000000"/>
              </w:rPr>
              <w:t>0.239</w:t>
            </w:r>
          </w:p>
        </w:tc>
      </w:tr>
      <w:tr w:rsidR="00FA5930" w:rsidRPr="00FA5930" w14:paraId="5A8579FD" w14:textId="77777777" w:rsidTr="004543B2">
        <w:trPr>
          <w:trHeight w:val="300"/>
        </w:trPr>
        <w:tc>
          <w:tcPr>
            <w:tcW w:w="293" w:type="pct"/>
            <w:shd w:val="clear" w:color="auto" w:fill="auto"/>
            <w:tcMar>
              <w:left w:w="57" w:type="dxa"/>
              <w:right w:w="57" w:type="dxa"/>
            </w:tcMar>
            <w:vAlign w:val="center"/>
            <w:hideMark/>
          </w:tcPr>
          <w:p w14:paraId="44081137" w14:textId="77777777" w:rsidR="00FA5930" w:rsidRPr="00FA5930" w:rsidRDefault="00FA5930" w:rsidP="00FA5930">
            <w:pPr>
              <w:jc w:val="right"/>
              <w:rPr>
                <w:color w:val="000000"/>
                <w:sz w:val="20"/>
                <w:szCs w:val="20"/>
              </w:rPr>
            </w:pPr>
            <w:r w:rsidRPr="00FA5930">
              <w:rPr>
                <w:color w:val="000000"/>
                <w:sz w:val="20"/>
                <w:szCs w:val="20"/>
              </w:rPr>
              <w:t>3</w:t>
            </w:r>
          </w:p>
        </w:tc>
        <w:tc>
          <w:tcPr>
            <w:tcW w:w="301" w:type="pct"/>
            <w:tcBorders>
              <w:top w:val="nil"/>
              <w:left w:val="single" w:sz="4" w:space="0" w:color="000000"/>
              <w:bottom w:val="single" w:sz="4" w:space="0" w:color="000000"/>
              <w:right w:val="single" w:sz="4" w:space="0" w:color="000000"/>
            </w:tcBorders>
            <w:shd w:val="clear" w:color="auto" w:fill="auto"/>
            <w:tcMar>
              <w:left w:w="57" w:type="dxa"/>
              <w:right w:w="57" w:type="dxa"/>
            </w:tcMar>
            <w:vAlign w:val="center"/>
            <w:hideMark/>
          </w:tcPr>
          <w:p w14:paraId="048935D6" w14:textId="6A039D9D" w:rsidR="00FA5930" w:rsidRPr="00FA5930" w:rsidRDefault="00FA5930" w:rsidP="00FA5930">
            <w:pPr>
              <w:jc w:val="right"/>
              <w:rPr>
                <w:color w:val="000000"/>
                <w:sz w:val="20"/>
                <w:szCs w:val="20"/>
              </w:rPr>
            </w:pPr>
            <w:r w:rsidRPr="00FA5930">
              <w:rPr>
                <w:color w:val="000000"/>
              </w:rPr>
              <w:t>0.021</w:t>
            </w:r>
          </w:p>
        </w:tc>
        <w:tc>
          <w:tcPr>
            <w:tcW w:w="297"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1EE317D4" w14:textId="6A643106" w:rsidR="00FA5930" w:rsidRPr="00FA5930" w:rsidRDefault="00FA5930" w:rsidP="00FA5930">
            <w:pPr>
              <w:jc w:val="right"/>
              <w:rPr>
                <w:color w:val="000000"/>
                <w:sz w:val="20"/>
                <w:szCs w:val="20"/>
              </w:rPr>
            </w:pPr>
            <w:r w:rsidRPr="00FA5930">
              <w:rPr>
                <w:color w:val="000000"/>
              </w:rPr>
              <w:t>0.017</w:t>
            </w:r>
          </w:p>
        </w:tc>
        <w:tc>
          <w:tcPr>
            <w:tcW w:w="297"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0915E5A1" w14:textId="0E601112" w:rsidR="00FA5930" w:rsidRPr="00FA5930" w:rsidRDefault="00FA5930" w:rsidP="00FA5930">
            <w:pPr>
              <w:jc w:val="right"/>
              <w:rPr>
                <w:color w:val="000000"/>
                <w:sz w:val="20"/>
                <w:szCs w:val="20"/>
              </w:rPr>
            </w:pPr>
            <w:r w:rsidRPr="00FA5930">
              <w:rPr>
                <w:color w:val="000000"/>
              </w:rPr>
              <w:t>0.215</w:t>
            </w:r>
          </w:p>
        </w:tc>
        <w:tc>
          <w:tcPr>
            <w:tcW w:w="371"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2816FB26" w14:textId="1F72FEBA" w:rsidR="00FA5930" w:rsidRPr="00FA5930" w:rsidRDefault="00FA5930" w:rsidP="00FA5930">
            <w:pPr>
              <w:jc w:val="right"/>
              <w:rPr>
                <w:color w:val="000000"/>
                <w:sz w:val="20"/>
                <w:szCs w:val="20"/>
              </w:rPr>
            </w:pPr>
            <w:r w:rsidRPr="00FA5930">
              <w:rPr>
                <w:color w:val="000000"/>
              </w:rPr>
              <w:t>-0.007</w:t>
            </w:r>
          </w:p>
        </w:tc>
        <w:tc>
          <w:tcPr>
            <w:tcW w:w="304"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14ADBA59" w14:textId="1C753919" w:rsidR="00FA5930" w:rsidRPr="00FA5930" w:rsidRDefault="00FA5930" w:rsidP="00FA5930">
            <w:pPr>
              <w:jc w:val="right"/>
              <w:rPr>
                <w:color w:val="000000"/>
                <w:sz w:val="20"/>
                <w:szCs w:val="20"/>
              </w:rPr>
            </w:pPr>
            <w:r w:rsidRPr="00FA5930">
              <w:rPr>
                <w:color w:val="000000"/>
              </w:rPr>
              <w:t>0.049</w:t>
            </w:r>
          </w:p>
        </w:tc>
        <w:tc>
          <w:tcPr>
            <w:tcW w:w="301"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67D29E21" w14:textId="4A5D33AC" w:rsidR="00FA5930" w:rsidRPr="00FA5930" w:rsidRDefault="00FA5930" w:rsidP="00FA5930">
            <w:pPr>
              <w:jc w:val="right"/>
              <w:rPr>
                <w:color w:val="000000"/>
                <w:sz w:val="20"/>
                <w:szCs w:val="20"/>
              </w:rPr>
            </w:pPr>
            <w:r w:rsidRPr="00FA5930">
              <w:rPr>
                <w:color w:val="000000"/>
              </w:rPr>
              <w:t>0.002</w:t>
            </w:r>
          </w:p>
        </w:tc>
        <w:tc>
          <w:tcPr>
            <w:tcW w:w="297"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160941DD" w14:textId="75A0CB32" w:rsidR="00FA5930" w:rsidRPr="00FA5930" w:rsidRDefault="00FA5930" w:rsidP="00FA5930">
            <w:pPr>
              <w:jc w:val="right"/>
              <w:rPr>
                <w:color w:val="000000"/>
                <w:sz w:val="20"/>
                <w:szCs w:val="20"/>
              </w:rPr>
            </w:pPr>
            <w:r w:rsidRPr="00FA5930">
              <w:rPr>
                <w:color w:val="000000"/>
              </w:rPr>
              <w:t>0.038</w:t>
            </w:r>
          </w:p>
        </w:tc>
        <w:tc>
          <w:tcPr>
            <w:tcW w:w="297"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7C308802" w14:textId="02BB0CC3" w:rsidR="00FA5930" w:rsidRPr="00FA5930" w:rsidRDefault="00FA5930" w:rsidP="00FA5930">
            <w:pPr>
              <w:jc w:val="right"/>
              <w:rPr>
                <w:color w:val="000000"/>
                <w:sz w:val="20"/>
                <w:szCs w:val="20"/>
              </w:rPr>
            </w:pPr>
            <w:r w:rsidRPr="00FA5930">
              <w:rPr>
                <w:color w:val="000000"/>
              </w:rPr>
              <w:t>0.961</w:t>
            </w:r>
          </w:p>
        </w:tc>
        <w:tc>
          <w:tcPr>
            <w:tcW w:w="371"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6CDEB4ED" w14:textId="618A4ED1" w:rsidR="00FA5930" w:rsidRPr="00FA5930" w:rsidRDefault="00FA5930" w:rsidP="00FA5930">
            <w:pPr>
              <w:jc w:val="right"/>
              <w:rPr>
                <w:color w:val="000000"/>
                <w:sz w:val="20"/>
                <w:szCs w:val="20"/>
              </w:rPr>
            </w:pPr>
            <w:r w:rsidRPr="00FA5930">
              <w:rPr>
                <w:color w:val="000000"/>
              </w:rPr>
              <w:t>-0.061</w:t>
            </w:r>
          </w:p>
        </w:tc>
        <w:tc>
          <w:tcPr>
            <w:tcW w:w="303"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36CFE035" w14:textId="6D8579B3" w:rsidR="00FA5930" w:rsidRPr="00FA5930" w:rsidRDefault="00FA5930" w:rsidP="00FA5930">
            <w:pPr>
              <w:jc w:val="right"/>
              <w:rPr>
                <w:color w:val="000000"/>
                <w:sz w:val="20"/>
                <w:szCs w:val="20"/>
              </w:rPr>
            </w:pPr>
            <w:r w:rsidRPr="00FA5930">
              <w:rPr>
                <w:color w:val="000000"/>
              </w:rPr>
              <w:t>0.064</w:t>
            </w:r>
          </w:p>
        </w:tc>
        <w:tc>
          <w:tcPr>
            <w:tcW w:w="301"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5FD931AF" w14:textId="2C93C423" w:rsidR="00FA5930" w:rsidRPr="00FA5930" w:rsidRDefault="00FA5930" w:rsidP="00FA5930">
            <w:pPr>
              <w:jc w:val="right"/>
              <w:rPr>
                <w:color w:val="000000"/>
                <w:sz w:val="20"/>
                <w:szCs w:val="20"/>
              </w:rPr>
            </w:pPr>
            <w:r w:rsidRPr="00FA5930">
              <w:rPr>
                <w:color w:val="000000"/>
              </w:rPr>
              <w:t>-0.012</w:t>
            </w:r>
          </w:p>
        </w:tc>
        <w:tc>
          <w:tcPr>
            <w:tcW w:w="297"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2A53FE03" w14:textId="711536C0" w:rsidR="00FA5930" w:rsidRPr="00FA5930" w:rsidRDefault="00FA5930" w:rsidP="00FA5930">
            <w:pPr>
              <w:jc w:val="right"/>
              <w:rPr>
                <w:color w:val="000000"/>
                <w:sz w:val="20"/>
                <w:szCs w:val="20"/>
              </w:rPr>
            </w:pPr>
            <w:r w:rsidRPr="00FA5930">
              <w:rPr>
                <w:color w:val="000000"/>
              </w:rPr>
              <w:t>0.060</w:t>
            </w:r>
          </w:p>
        </w:tc>
        <w:tc>
          <w:tcPr>
            <w:tcW w:w="297"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73448118" w14:textId="680A8601" w:rsidR="00FA5930" w:rsidRPr="00FA5930" w:rsidRDefault="00FA5930" w:rsidP="00FA5930">
            <w:pPr>
              <w:jc w:val="right"/>
              <w:rPr>
                <w:color w:val="000000"/>
                <w:sz w:val="20"/>
                <w:szCs w:val="20"/>
              </w:rPr>
            </w:pPr>
            <w:r w:rsidRPr="00FA5930">
              <w:rPr>
                <w:color w:val="000000"/>
              </w:rPr>
              <w:t>0.838</w:t>
            </w:r>
          </w:p>
        </w:tc>
        <w:tc>
          <w:tcPr>
            <w:tcW w:w="371"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261964EA" w14:textId="506E3F7A" w:rsidR="00FA5930" w:rsidRPr="00FA5930" w:rsidRDefault="00FA5930" w:rsidP="00FA5930">
            <w:pPr>
              <w:jc w:val="right"/>
              <w:rPr>
                <w:color w:val="000000"/>
                <w:sz w:val="20"/>
                <w:szCs w:val="20"/>
              </w:rPr>
            </w:pPr>
            <w:r w:rsidRPr="00FA5930">
              <w:rPr>
                <w:color w:val="000000"/>
              </w:rPr>
              <w:t>-0.110</w:t>
            </w:r>
          </w:p>
        </w:tc>
        <w:tc>
          <w:tcPr>
            <w:tcW w:w="302"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37412DC4" w14:textId="23B6E295" w:rsidR="00FA5930" w:rsidRPr="00FA5930" w:rsidRDefault="00FA5930" w:rsidP="00FA5930">
            <w:pPr>
              <w:jc w:val="right"/>
              <w:rPr>
                <w:color w:val="000000"/>
                <w:sz w:val="20"/>
                <w:szCs w:val="20"/>
              </w:rPr>
            </w:pPr>
            <w:r w:rsidRPr="00FA5930">
              <w:rPr>
                <w:color w:val="000000"/>
              </w:rPr>
              <w:t>0.086</w:t>
            </w:r>
          </w:p>
        </w:tc>
      </w:tr>
      <w:tr w:rsidR="00FA5930" w:rsidRPr="00FA5930" w14:paraId="09D63B83" w14:textId="77777777" w:rsidTr="004543B2">
        <w:trPr>
          <w:trHeight w:val="300"/>
        </w:trPr>
        <w:tc>
          <w:tcPr>
            <w:tcW w:w="293" w:type="pct"/>
            <w:shd w:val="clear" w:color="auto" w:fill="auto"/>
            <w:tcMar>
              <w:left w:w="57" w:type="dxa"/>
              <w:right w:w="57" w:type="dxa"/>
            </w:tcMar>
            <w:vAlign w:val="center"/>
            <w:hideMark/>
          </w:tcPr>
          <w:p w14:paraId="4DA5CB2E" w14:textId="77777777" w:rsidR="00FA5930" w:rsidRPr="00FA5930" w:rsidRDefault="00FA5930" w:rsidP="00FA5930">
            <w:pPr>
              <w:jc w:val="right"/>
              <w:rPr>
                <w:color w:val="000000"/>
                <w:sz w:val="20"/>
                <w:szCs w:val="20"/>
              </w:rPr>
            </w:pPr>
            <w:r w:rsidRPr="00FA5930">
              <w:rPr>
                <w:color w:val="000000"/>
                <w:sz w:val="20"/>
                <w:szCs w:val="20"/>
              </w:rPr>
              <w:t>4</w:t>
            </w:r>
          </w:p>
        </w:tc>
        <w:tc>
          <w:tcPr>
            <w:tcW w:w="301" w:type="pct"/>
            <w:tcBorders>
              <w:top w:val="nil"/>
              <w:left w:val="single" w:sz="4" w:space="0" w:color="000000"/>
              <w:bottom w:val="single" w:sz="4" w:space="0" w:color="000000"/>
              <w:right w:val="single" w:sz="4" w:space="0" w:color="000000"/>
            </w:tcBorders>
            <w:shd w:val="clear" w:color="auto" w:fill="auto"/>
            <w:tcMar>
              <w:left w:w="57" w:type="dxa"/>
              <w:right w:w="57" w:type="dxa"/>
            </w:tcMar>
            <w:vAlign w:val="center"/>
            <w:hideMark/>
          </w:tcPr>
          <w:p w14:paraId="6C708F9B" w14:textId="58DFF764" w:rsidR="00FA5930" w:rsidRPr="00FA5930" w:rsidRDefault="00FA5930" w:rsidP="00FA5930">
            <w:pPr>
              <w:jc w:val="right"/>
              <w:rPr>
                <w:color w:val="000000"/>
                <w:sz w:val="20"/>
                <w:szCs w:val="20"/>
              </w:rPr>
            </w:pPr>
            <w:r w:rsidRPr="00FA5930">
              <w:rPr>
                <w:color w:val="000000"/>
              </w:rPr>
              <w:t>-0.119</w:t>
            </w:r>
          </w:p>
        </w:tc>
        <w:tc>
          <w:tcPr>
            <w:tcW w:w="297"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35421CBA" w14:textId="02559735" w:rsidR="00FA5930" w:rsidRPr="00FA5930" w:rsidRDefault="00FA5930" w:rsidP="00FA5930">
            <w:pPr>
              <w:jc w:val="right"/>
              <w:rPr>
                <w:color w:val="000000"/>
                <w:sz w:val="20"/>
                <w:szCs w:val="20"/>
              </w:rPr>
            </w:pPr>
            <w:r w:rsidRPr="00FA5930">
              <w:rPr>
                <w:color w:val="000000"/>
              </w:rPr>
              <w:t>0.025</w:t>
            </w:r>
          </w:p>
        </w:tc>
        <w:tc>
          <w:tcPr>
            <w:tcW w:w="297"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4454E94E" w14:textId="318970C8" w:rsidR="00FA5930" w:rsidRPr="00FA5930" w:rsidRDefault="00FA5930" w:rsidP="00FA5930">
            <w:pPr>
              <w:jc w:val="right"/>
              <w:rPr>
                <w:color w:val="000000"/>
                <w:sz w:val="20"/>
                <w:szCs w:val="20"/>
              </w:rPr>
            </w:pPr>
            <w:r w:rsidRPr="00FA5930">
              <w:rPr>
                <w:color w:val="000000"/>
              </w:rPr>
              <w:t>0.000</w:t>
            </w:r>
          </w:p>
        </w:tc>
        <w:tc>
          <w:tcPr>
            <w:tcW w:w="371"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08873818" w14:textId="3E2319F6" w:rsidR="00FA5930" w:rsidRPr="00FA5930" w:rsidRDefault="00FA5930" w:rsidP="00FA5930">
            <w:pPr>
              <w:jc w:val="right"/>
              <w:rPr>
                <w:color w:val="000000"/>
                <w:sz w:val="20"/>
                <w:szCs w:val="20"/>
              </w:rPr>
            </w:pPr>
            <w:r w:rsidRPr="00FA5930">
              <w:rPr>
                <w:color w:val="000000"/>
              </w:rPr>
              <w:t>-0.160</w:t>
            </w:r>
          </w:p>
        </w:tc>
        <w:tc>
          <w:tcPr>
            <w:tcW w:w="304"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467FB3A1" w14:textId="35779FBB" w:rsidR="00FA5930" w:rsidRPr="00FA5930" w:rsidRDefault="00FA5930" w:rsidP="00FA5930">
            <w:pPr>
              <w:jc w:val="right"/>
              <w:rPr>
                <w:color w:val="000000"/>
                <w:sz w:val="20"/>
                <w:szCs w:val="20"/>
              </w:rPr>
            </w:pPr>
            <w:r w:rsidRPr="00FA5930">
              <w:rPr>
                <w:color w:val="000000"/>
              </w:rPr>
              <w:t>-0.078</w:t>
            </w:r>
          </w:p>
        </w:tc>
        <w:tc>
          <w:tcPr>
            <w:tcW w:w="301"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2C1B0932" w14:textId="73923873" w:rsidR="00FA5930" w:rsidRPr="00FA5930" w:rsidRDefault="00FA5930" w:rsidP="00FA5930">
            <w:pPr>
              <w:jc w:val="right"/>
              <w:rPr>
                <w:color w:val="000000"/>
                <w:sz w:val="20"/>
                <w:szCs w:val="20"/>
              </w:rPr>
            </w:pPr>
            <w:r w:rsidRPr="00FA5930">
              <w:rPr>
                <w:color w:val="000000"/>
              </w:rPr>
              <w:t>-0.176</w:t>
            </w:r>
          </w:p>
        </w:tc>
        <w:tc>
          <w:tcPr>
            <w:tcW w:w="297"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243C979C" w14:textId="66E8860A" w:rsidR="00FA5930" w:rsidRPr="00FA5930" w:rsidRDefault="00FA5930" w:rsidP="00FA5930">
            <w:pPr>
              <w:jc w:val="right"/>
              <w:rPr>
                <w:color w:val="000000"/>
                <w:sz w:val="20"/>
                <w:szCs w:val="20"/>
              </w:rPr>
            </w:pPr>
            <w:r w:rsidRPr="00FA5930">
              <w:rPr>
                <w:color w:val="000000"/>
              </w:rPr>
              <w:t>0.073</w:t>
            </w:r>
          </w:p>
        </w:tc>
        <w:tc>
          <w:tcPr>
            <w:tcW w:w="297"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43910A59" w14:textId="02CB15F8" w:rsidR="00FA5930" w:rsidRPr="00FA5930" w:rsidRDefault="00FA5930" w:rsidP="00FA5930">
            <w:pPr>
              <w:jc w:val="right"/>
              <w:rPr>
                <w:color w:val="000000"/>
                <w:sz w:val="20"/>
                <w:szCs w:val="20"/>
              </w:rPr>
            </w:pPr>
            <w:r w:rsidRPr="00FA5930">
              <w:rPr>
                <w:color w:val="000000"/>
              </w:rPr>
              <w:t>0.016</w:t>
            </w:r>
          </w:p>
        </w:tc>
        <w:tc>
          <w:tcPr>
            <w:tcW w:w="371"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2E46C788" w14:textId="2CCEF20D" w:rsidR="00FA5930" w:rsidRPr="00FA5930" w:rsidRDefault="00FA5930" w:rsidP="00FA5930">
            <w:pPr>
              <w:jc w:val="right"/>
              <w:rPr>
                <w:color w:val="000000"/>
                <w:sz w:val="20"/>
                <w:szCs w:val="20"/>
              </w:rPr>
            </w:pPr>
            <w:r w:rsidRPr="00FA5930">
              <w:rPr>
                <w:color w:val="000000"/>
              </w:rPr>
              <w:t>-0.296</w:t>
            </w:r>
          </w:p>
        </w:tc>
        <w:tc>
          <w:tcPr>
            <w:tcW w:w="303"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6C618605" w14:textId="22B7B49D" w:rsidR="00FA5930" w:rsidRPr="00FA5930" w:rsidRDefault="00FA5930" w:rsidP="00FA5930">
            <w:pPr>
              <w:jc w:val="right"/>
              <w:rPr>
                <w:color w:val="000000"/>
                <w:sz w:val="20"/>
                <w:szCs w:val="20"/>
              </w:rPr>
            </w:pPr>
            <w:r w:rsidRPr="00FA5930">
              <w:rPr>
                <w:color w:val="000000"/>
              </w:rPr>
              <w:t>-0.056</w:t>
            </w:r>
          </w:p>
        </w:tc>
        <w:tc>
          <w:tcPr>
            <w:tcW w:w="301"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745F50F2" w14:textId="0833802D" w:rsidR="00FA5930" w:rsidRPr="00FA5930" w:rsidRDefault="00FA5930" w:rsidP="00FA5930">
            <w:pPr>
              <w:jc w:val="right"/>
              <w:rPr>
                <w:color w:val="000000"/>
                <w:sz w:val="20"/>
                <w:szCs w:val="20"/>
              </w:rPr>
            </w:pPr>
            <w:r w:rsidRPr="00FA5930">
              <w:rPr>
                <w:color w:val="000000"/>
              </w:rPr>
              <w:t>-0.218</w:t>
            </w:r>
          </w:p>
        </w:tc>
        <w:tc>
          <w:tcPr>
            <w:tcW w:w="297"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07B139BF" w14:textId="4ACC737F" w:rsidR="00FA5930" w:rsidRPr="00FA5930" w:rsidRDefault="00FA5930" w:rsidP="00FA5930">
            <w:pPr>
              <w:jc w:val="right"/>
              <w:rPr>
                <w:color w:val="000000"/>
                <w:sz w:val="20"/>
                <w:szCs w:val="20"/>
              </w:rPr>
            </w:pPr>
            <w:r w:rsidRPr="00FA5930">
              <w:rPr>
                <w:color w:val="000000"/>
              </w:rPr>
              <w:t>0.155</w:t>
            </w:r>
          </w:p>
        </w:tc>
        <w:tc>
          <w:tcPr>
            <w:tcW w:w="297"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3501022B" w14:textId="28979C22" w:rsidR="00FA5930" w:rsidRPr="00FA5930" w:rsidRDefault="00FA5930" w:rsidP="00FA5930">
            <w:pPr>
              <w:jc w:val="right"/>
              <w:rPr>
                <w:color w:val="000000"/>
                <w:sz w:val="20"/>
                <w:szCs w:val="20"/>
              </w:rPr>
            </w:pPr>
            <w:r w:rsidRPr="00FA5930">
              <w:rPr>
                <w:color w:val="000000"/>
              </w:rPr>
              <w:t>0.160</w:t>
            </w:r>
          </w:p>
        </w:tc>
        <w:tc>
          <w:tcPr>
            <w:tcW w:w="371"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02BD04CA" w14:textId="49C0A63C" w:rsidR="00FA5930" w:rsidRPr="00FA5930" w:rsidRDefault="00FA5930" w:rsidP="00FA5930">
            <w:pPr>
              <w:jc w:val="right"/>
              <w:rPr>
                <w:color w:val="000000"/>
                <w:sz w:val="20"/>
                <w:szCs w:val="20"/>
              </w:rPr>
            </w:pPr>
            <w:r w:rsidRPr="00FA5930">
              <w:rPr>
                <w:color w:val="000000"/>
              </w:rPr>
              <w:t>-0.474</w:t>
            </w:r>
          </w:p>
        </w:tc>
        <w:tc>
          <w:tcPr>
            <w:tcW w:w="302"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286D72B4" w14:textId="2C3376DF" w:rsidR="00FA5930" w:rsidRPr="00FA5930" w:rsidRDefault="00FA5930" w:rsidP="00FA5930">
            <w:pPr>
              <w:jc w:val="right"/>
              <w:rPr>
                <w:color w:val="000000"/>
                <w:sz w:val="20"/>
                <w:szCs w:val="20"/>
              </w:rPr>
            </w:pPr>
            <w:r w:rsidRPr="00FA5930">
              <w:rPr>
                <w:color w:val="000000"/>
              </w:rPr>
              <w:t>0.037</w:t>
            </w:r>
          </w:p>
        </w:tc>
      </w:tr>
      <w:tr w:rsidR="00FA5930" w:rsidRPr="00FA5930" w14:paraId="23C8EF4D" w14:textId="77777777" w:rsidTr="004543B2">
        <w:trPr>
          <w:trHeight w:val="300"/>
        </w:trPr>
        <w:tc>
          <w:tcPr>
            <w:tcW w:w="293" w:type="pct"/>
            <w:shd w:val="clear" w:color="auto" w:fill="auto"/>
            <w:tcMar>
              <w:left w:w="57" w:type="dxa"/>
              <w:right w:w="57" w:type="dxa"/>
            </w:tcMar>
            <w:vAlign w:val="center"/>
            <w:hideMark/>
          </w:tcPr>
          <w:p w14:paraId="7AB5CC14" w14:textId="77777777" w:rsidR="00FA5930" w:rsidRPr="00FA5930" w:rsidRDefault="00FA5930" w:rsidP="00FA5930">
            <w:pPr>
              <w:jc w:val="right"/>
              <w:rPr>
                <w:color w:val="000000"/>
                <w:sz w:val="20"/>
                <w:szCs w:val="20"/>
              </w:rPr>
            </w:pPr>
            <w:r w:rsidRPr="00FA5930">
              <w:rPr>
                <w:color w:val="000000"/>
                <w:sz w:val="20"/>
                <w:szCs w:val="20"/>
              </w:rPr>
              <w:t>5</w:t>
            </w:r>
          </w:p>
        </w:tc>
        <w:tc>
          <w:tcPr>
            <w:tcW w:w="301" w:type="pct"/>
            <w:tcBorders>
              <w:top w:val="nil"/>
              <w:left w:val="single" w:sz="4" w:space="0" w:color="000000"/>
              <w:bottom w:val="single" w:sz="4" w:space="0" w:color="000000"/>
              <w:right w:val="single" w:sz="4" w:space="0" w:color="000000"/>
            </w:tcBorders>
            <w:shd w:val="clear" w:color="auto" w:fill="auto"/>
            <w:tcMar>
              <w:left w:w="57" w:type="dxa"/>
              <w:right w:w="57" w:type="dxa"/>
            </w:tcMar>
            <w:vAlign w:val="center"/>
            <w:hideMark/>
          </w:tcPr>
          <w:p w14:paraId="2B632403" w14:textId="146364D6" w:rsidR="00FA5930" w:rsidRPr="00FA5930" w:rsidRDefault="00FA5930" w:rsidP="00FA5930">
            <w:pPr>
              <w:jc w:val="right"/>
              <w:rPr>
                <w:color w:val="000000"/>
                <w:sz w:val="20"/>
                <w:szCs w:val="20"/>
              </w:rPr>
            </w:pPr>
            <w:r w:rsidRPr="00FA5930">
              <w:rPr>
                <w:color w:val="000000"/>
              </w:rPr>
              <w:t>-0.239</w:t>
            </w:r>
          </w:p>
        </w:tc>
        <w:tc>
          <w:tcPr>
            <w:tcW w:w="297"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15694D9A" w14:textId="21D863F6" w:rsidR="00FA5930" w:rsidRPr="00FA5930" w:rsidRDefault="00FA5930" w:rsidP="00FA5930">
            <w:pPr>
              <w:jc w:val="right"/>
              <w:rPr>
                <w:color w:val="000000"/>
                <w:sz w:val="20"/>
                <w:szCs w:val="20"/>
              </w:rPr>
            </w:pPr>
            <w:r w:rsidRPr="00FA5930">
              <w:rPr>
                <w:color w:val="000000"/>
              </w:rPr>
              <w:t>0.014</w:t>
            </w:r>
          </w:p>
        </w:tc>
        <w:tc>
          <w:tcPr>
            <w:tcW w:w="297"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03D2BD81" w14:textId="0BB016EF" w:rsidR="00FA5930" w:rsidRPr="00FA5930" w:rsidRDefault="00FA5930" w:rsidP="00FA5930">
            <w:pPr>
              <w:jc w:val="right"/>
              <w:rPr>
                <w:color w:val="000000"/>
                <w:sz w:val="20"/>
                <w:szCs w:val="20"/>
              </w:rPr>
            </w:pPr>
            <w:r w:rsidRPr="00FA5930">
              <w:rPr>
                <w:color w:val="000000"/>
              </w:rPr>
              <w:t>0.000</w:t>
            </w:r>
          </w:p>
        </w:tc>
        <w:tc>
          <w:tcPr>
            <w:tcW w:w="371"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46BCA5F3" w14:textId="464B5B98" w:rsidR="00FA5930" w:rsidRPr="00FA5930" w:rsidRDefault="00FA5930" w:rsidP="00FA5930">
            <w:pPr>
              <w:jc w:val="right"/>
              <w:rPr>
                <w:color w:val="000000"/>
                <w:sz w:val="20"/>
                <w:szCs w:val="20"/>
              </w:rPr>
            </w:pPr>
            <w:r w:rsidRPr="00FA5930">
              <w:rPr>
                <w:color w:val="000000"/>
              </w:rPr>
              <w:t>-0.263</w:t>
            </w:r>
          </w:p>
        </w:tc>
        <w:tc>
          <w:tcPr>
            <w:tcW w:w="304"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4E373BEF" w14:textId="78D885C6" w:rsidR="00FA5930" w:rsidRPr="00FA5930" w:rsidRDefault="00FA5930" w:rsidP="00FA5930">
            <w:pPr>
              <w:jc w:val="right"/>
              <w:rPr>
                <w:color w:val="000000"/>
                <w:sz w:val="20"/>
                <w:szCs w:val="20"/>
              </w:rPr>
            </w:pPr>
            <w:r w:rsidRPr="00FA5930">
              <w:rPr>
                <w:color w:val="000000"/>
              </w:rPr>
              <w:t>-0.215</w:t>
            </w:r>
          </w:p>
        </w:tc>
        <w:tc>
          <w:tcPr>
            <w:tcW w:w="301"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380325CD" w14:textId="45771CAB" w:rsidR="00FA5930" w:rsidRPr="00FA5930" w:rsidRDefault="00FA5930" w:rsidP="00FA5930">
            <w:pPr>
              <w:jc w:val="right"/>
              <w:rPr>
                <w:color w:val="000000"/>
                <w:sz w:val="20"/>
                <w:szCs w:val="20"/>
              </w:rPr>
            </w:pPr>
            <w:r w:rsidRPr="00FA5930">
              <w:rPr>
                <w:color w:val="000000"/>
              </w:rPr>
              <w:t>-0.339</w:t>
            </w:r>
          </w:p>
        </w:tc>
        <w:tc>
          <w:tcPr>
            <w:tcW w:w="297"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6BCE0B7A" w14:textId="0D01F827" w:rsidR="00FA5930" w:rsidRPr="00FA5930" w:rsidRDefault="00FA5930" w:rsidP="00FA5930">
            <w:pPr>
              <w:jc w:val="right"/>
              <w:rPr>
                <w:color w:val="000000"/>
                <w:sz w:val="20"/>
                <w:szCs w:val="20"/>
              </w:rPr>
            </w:pPr>
            <w:r w:rsidRPr="00FA5930">
              <w:rPr>
                <w:color w:val="000000"/>
              </w:rPr>
              <w:t>0.036</w:t>
            </w:r>
          </w:p>
        </w:tc>
        <w:tc>
          <w:tcPr>
            <w:tcW w:w="297"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5A9B37A3" w14:textId="66A8C5C6" w:rsidR="00FA5930" w:rsidRPr="00FA5930" w:rsidRDefault="00FA5930" w:rsidP="00FA5930">
            <w:pPr>
              <w:jc w:val="right"/>
              <w:rPr>
                <w:color w:val="000000"/>
                <w:sz w:val="20"/>
                <w:szCs w:val="20"/>
              </w:rPr>
            </w:pPr>
            <w:r w:rsidRPr="00FA5930">
              <w:rPr>
                <w:color w:val="000000"/>
              </w:rPr>
              <w:t>0.000</w:t>
            </w:r>
          </w:p>
        </w:tc>
        <w:tc>
          <w:tcPr>
            <w:tcW w:w="371"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0FB24CD9" w14:textId="787F3309" w:rsidR="00FA5930" w:rsidRPr="00FA5930" w:rsidRDefault="00FA5930" w:rsidP="00FA5930">
            <w:pPr>
              <w:jc w:val="right"/>
              <w:rPr>
                <w:color w:val="000000"/>
                <w:sz w:val="20"/>
                <w:szCs w:val="20"/>
              </w:rPr>
            </w:pPr>
            <w:r w:rsidRPr="00FA5930">
              <w:rPr>
                <w:color w:val="000000"/>
              </w:rPr>
              <w:t>-0.399</w:t>
            </w:r>
          </w:p>
        </w:tc>
        <w:tc>
          <w:tcPr>
            <w:tcW w:w="303"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463AD223" w14:textId="2302C8D8" w:rsidR="00FA5930" w:rsidRPr="00FA5930" w:rsidRDefault="00FA5930" w:rsidP="00FA5930">
            <w:pPr>
              <w:jc w:val="right"/>
              <w:rPr>
                <w:color w:val="000000"/>
                <w:sz w:val="20"/>
                <w:szCs w:val="20"/>
              </w:rPr>
            </w:pPr>
            <w:r w:rsidRPr="00FA5930">
              <w:rPr>
                <w:color w:val="000000"/>
              </w:rPr>
              <w:t>-0.280</w:t>
            </w:r>
          </w:p>
        </w:tc>
        <w:tc>
          <w:tcPr>
            <w:tcW w:w="301"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599C501F" w14:textId="6EC4E0E2" w:rsidR="00FA5930" w:rsidRPr="00FA5930" w:rsidRDefault="00FA5930" w:rsidP="00FA5930">
            <w:pPr>
              <w:jc w:val="right"/>
              <w:rPr>
                <w:color w:val="000000"/>
                <w:sz w:val="20"/>
                <w:szCs w:val="20"/>
              </w:rPr>
            </w:pPr>
            <w:r w:rsidRPr="00FA5930">
              <w:rPr>
                <w:color w:val="000000"/>
              </w:rPr>
              <w:t>-0.440</w:t>
            </w:r>
          </w:p>
        </w:tc>
        <w:tc>
          <w:tcPr>
            <w:tcW w:w="297"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5CBA9312" w14:textId="61A26C88" w:rsidR="00FA5930" w:rsidRPr="00FA5930" w:rsidRDefault="00FA5930" w:rsidP="00FA5930">
            <w:pPr>
              <w:jc w:val="right"/>
              <w:rPr>
                <w:color w:val="000000"/>
                <w:sz w:val="20"/>
                <w:szCs w:val="20"/>
              </w:rPr>
            </w:pPr>
            <w:r w:rsidRPr="00FA5930">
              <w:rPr>
                <w:color w:val="000000"/>
              </w:rPr>
              <w:t>0.071</w:t>
            </w:r>
          </w:p>
        </w:tc>
        <w:tc>
          <w:tcPr>
            <w:tcW w:w="297"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7CA90342" w14:textId="0F7A6C08" w:rsidR="00FA5930" w:rsidRPr="00FA5930" w:rsidRDefault="00FA5930" w:rsidP="00FA5930">
            <w:pPr>
              <w:jc w:val="right"/>
              <w:rPr>
                <w:color w:val="000000"/>
                <w:sz w:val="20"/>
                <w:szCs w:val="20"/>
              </w:rPr>
            </w:pPr>
            <w:r w:rsidRPr="00FA5930">
              <w:rPr>
                <w:color w:val="000000"/>
              </w:rPr>
              <w:t>0.000</w:t>
            </w:r>
          </w:p>
        </w:tc>
        <w:tc>
          <w:tcPr>
            <w:tcW w:w="371"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7AEF067D" w14:textId="1B43C57E" w:rsidR="00FA5930" w:rsidRPr="00FA5930" w:rsidRDefault="00FA5930" w:rsidP="00FA5930">
            <w:pPr>
              <w:jc w:val="right"/>
              <w:rPr>
                <w:color w:val="000000"/>
                <w:sz w:val="20"/>
                <w:szCs w:val="20"/>
              </w:rPr>
            </w:pPr>
            <w:r w:rsidRPr="00FA5930">
              <w:rPr>
                <w:color w:val="000000"/>
              </w:rPr>
              <w:t>-0.556</w:t>
            </w:r>
          </w:p>
        </w:tc>
        <w:tc>
          <w:tcPr>
            <w:tcW w:w="302"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3ED8F201" w14:textId="140EB780" w:rsidR="00FA5930" w:rsidRPr="00FA5930" w:rsidRDefault="00FA5930" w:rsidP="00FA5930">
            <w:pPr>
              <w:jc w:val="right"/>
              <w:rPr>
                <w:color w:val="000000"/>
                <w:sz w:val="20"/>
                <w:szCs w:val="20"/>
              </w:rPr>
            </w:pPr>
            <w:r w:rsidRPr="00FA5930">
              <w:rPr>
                <w:color w:val="000000"/>
              </w:rPr>
              <w:t>-0.324</w:t>
            </w:r>
          </w:p>
        </w:tc>
      </w:tr>
      <w:tr w:rsidR="00FA5930" w:rsidRPr="00FA5930" w14:paraId="0D2D1F9B" w14:textId="77777777" w:rsidTr="004543B2">
        <w:trPr>
          <w:trHeight w:val="300"/>
        </w:trPr>
        <w:tc>
          <w:tcPr>
            <w:tcW w:w="293" w:type="pct"/>
            <w:shd w:val="clear" w:color="auto" w:fill="auto"/>
            <w:tcMar>
              <w:left w:w="57" w:type="dxa"/>
              <w:right w:w="57" w:type="dxa"/>
            </w:tcMar>
            <w:vAlign w:val="center"/>
            <w:hideMark/>
          </w:tcPr>
          <w:p w14:paraId="6E9115C4" w14:textId="77777777" w:rsidR="00FA5930" w:rsidRPr="00FA5930" w:rsidRDefault="00FA5930" w:rsidP="00FA5930">
            <w:pPr>
              <w:jc w:val="right"/>
              <w:rPr>
                <w:color w:val="000000"/>
                <w:sz w:val="20"/>
                <w:szCs w:val="20"/>
              </w:rPr>
            </w:pPr>
            <w:r w:rsidRPr="00FA5930">
              <w:rPr>
                <w:color w:val="000000"/>
                <w:sz w:val="20"/>
                <w:szCs w:val="20"/>
              </w:rPr>
              <w:t>6</w:t>
            </w:r>
          </w:p>
        </w:tc>
        <w:tc>
          <w:tcPr>
            <w:tcW w:w="301" w:type="pct"/>
            <w:tcBorders>
              <w:top w:val="nil"/>
              <w:left w:val="single" w:sz="4" w:space="0" w:color="000000"/>
              <w:bottom w:val="single" w:sz="4" w:space="0" w:color="000000"/>
              <w:right w:val="single" w:sz="4" w:space="0" w:color="000000"/>
            </w:tcBorders>
            <w:shd w:val="clear" w:color="auto" w:fill="auto"/>
            <w:tcMar>
              <w:left w:w="57" w:type="dxa"/>
              <w:right w:w="57" w:type="dxa"/>
            </w:tcMar>
            <w:vAlign w:val="center"/>
            <w:hideMark/>
          </w:tcPr>
          <w:p w14:paraId="4EFCF444" w14:textId="562C1C1F" w:rsidR="00FA5930" w:rsidRPr="00FA5930" w:rsidRDefault="00FA5930" w:rsidP="00FA5930">
            <w:pPr>
              <w:jc w:val="right"/>
              <w:rPr>
                <w:color w:val="000000"/>
                <w:sz w:val="20"/>
                <w:szCs w:val="20"/>
              </w:rPr>
            </w:pPr>
            <w:r w:rsidRPr="00FA5930">
              <w:rPr>
                <w:color w:val="000000"/>
              </w:rPr>
              <w:t>-0.184</w:t>
            </w:r>
          </w:p>
        </w:tc>
        <w:tc>
          <w:tcPr>
            <w:tcW w:w="297"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5933BC7A" w14:textId="2873E086" w:rsidR="00FA5930" w:rsidRPr="00FA5930" w:rsidRDefault="00FA5930" w:rsidP="00FA5930">
            <w:pPr>
              <w:jc w:val="right"/>
              <w:rPr>
                <w:color w:val="000000"/>
                <w:sz w:val="20"/>
                <w:szCs w:val="20"/>
              </w:rPr>
            </w:pPr>
            <w:r w:rsidRPr="00FA5930">
              <w:rPr>
                <w:color w:val="000000"/>
              </w:rPr>
              <w:t>0.045</w:t>
            </w:r>
          </w:p>
        </w:tc>
        <w:tc>
          <w:tcPr>
            <w:tcW w:w="297"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30D2841D" w14:textId="435114D7" w:rsidR="00FA5930" w:rsidRPr="00FA5930" w:rsidRDefault="00FA5930" w:rsidP="00FA5930">
            <w:pPr>
              <w:jc w:val="right"/>
              <w:rPr>
                <w:color w:val="000000"/>
                <w:sz w:val="20"/>
                <w:szCs w:val="20"/>
              </w:rPr>
            </w:pPr>
            <w:r w:rsidRPr="00FA5930">
              <w:rPr>
                <w:color w:val="000000"/>
              </w:rPr>
              <w:t>0.000</w:t>
            </w:r>
          </w:p>
        </w:tc>
        <w:tc>
          <w:tcPr>
            <w:tcW w:w="371"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172326AD" w14:textId="4EA2751E" w:rsidR="00FA5930" w:rsidRPr="00FA5930" w:rsidRDefault="00FA5930" w:rsidP="00FA5930">
            <w:pPr>
              <w:jc w:val="right"/>
              <w:rPr>
                <w:color w:val="000000"/>
                <w:sz w:val="20"/>
                <w:szCs w:val="20"/>
              </w:rPr>
            </w:pPr>
            <w:r w:rsidRPr="00FA5930">
              <w:rPr>
                <w:color w:val="000000"/>
              </w:rPr>
              <w:t>-0.258</w:t>
            </w:r>
          </w:p>
        </w:tc>
        <w:tc>
          <w:tcPr>
            <w:tcW w:w="304"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3A8F8208" w14:textId="7CAB96DF" w:rsidR="00FA5930" w:rsidRPr="00FA5930" w:rsidRDefault="00FA5930" w:rsidP="00FA5930">
            <w:pPr>
              <w:jc w:val="right"/>
              <w:rPr>
                <w:color w:val="000000"/>
                <w:sz w:val="20"/>
                <w:szCs w:val="20"/>
              </w:rPr>
            </w:pPr>
            <w:r w:rsidRPr="00FA5930">
              <w:rPr>
                <w:color w:val="000000"/>
              </w:rPr>
              <w:t>-0.111</w:t>
            </w:r>
          </w:p>
        </w:tc>
        <w:tc>
          <w:tcPr>
            <w:tcW w:w="301"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2E7C35D0" w14:textId="58FD1825" w:rsidR="00FA5930" w:rsidRPr="00FA5930" w:rsidRDefault="00FA5930" w:rsidP="00FA5930">
            <w:pPr>
              <w:jc w:val="right"/>
              <w:rPr>
                <w:color w:val="000000"/>
                <w:sz w:val="20"/>
                <w:szCs w:val="20"/>
              </w:rPr>
            </w:pPr>
            <w:r w:rsidRPr="00FA5930">
              <w:rPr>
                <w:color w:val="000000"/>
              </w:rPr>
              <w:t>-0.160</w:t>
            </w:r>
          </w:p>
        </w:tc>
        <w:tc>
          <w:tcPr>
            <w:tcW w:w="297"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6E293C49" w14:textId="4C904C33" w:rsidR="00FA5930" w:rsidRPr="00FA5930" w:rsidRDefault="00FA5930" w:rsidP="00FA5930">
            <w:pPr>
              <w:jc w:val="right"/>
              <w:rPr>
                <w:color w:val="000000"/>
                <w:sz w:val="20"/>
                <w:szCs w:val="20"/>
              </w:rPr>
            </w:pPr>
            <w:r w:rsidRPr="00FA5930">
              <w:rPr>
                <w:color w:val="000000"/>
              </w:rPr>
              <w:t>0.141</w:t>
            </w:r>
          </w:p>
        </w:tc>
        <w:tc>
          <w:tcPr>
            <w:tcW w:w="297"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3EFAA08D" w14:textId="564C3DE9" w:rsidR="00FA5930" w:rsidRPr="00FA5930" w:rsidRDefault="00FA5930" w:rsidP="00FA5930">
            <w:pPr>
              <w:jc w:val="right"/>
              <w:rPr>
                <w:color w:val="000000"/>
                <w:sz w:val="20"/>
                <w:szCs w:val="20"/>
              </w:rPr>
            </w:pPr>
            <w:r w:rsidRPr="00FA5930">
              <w:rPr>
                <w:color w:val="000000"/>
              </w:rPr>
              <w:t>0.256</w:t>
            </w:r>
          </w:p>
        </w:tc>
        <w:tc>
          <w:tcPr>
            <w:tcW w:w="371"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2FEE0795" w14:textId="243C5444" w:rsidR="00FA5930" w:rsidRPr="00FA5930" w:rsidRDefault="00FA5930" w:rsidP="00FA5930">
            <w:pPr>
              <w:jc w:val="right"/>
              <w:rPr>
                <w:color w:val="000000"/>
                <w:sz w:val="20"/>
                <w:szCs w:val="20"/>
              </w:rPr>
            </w:pPr>
            <w:r w:rsidRPr="00FA5930">
              <w:rPr>
                <w:color w:val="000000"/>
              </w:rPr>
              <w:t>-0.392</w:t>
            </w:r>
          </w:p>
        </w:tc>
        <w:tc>
          <w:tcPr>
            <w:tcW w:w="303"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59A5A81C" w14:textId="06C30328" w:rsidR="00FA5930" w:rsidRPr="00FA5930" w:rsidRDefault="00FA5930" w:rsidP="00FA5930">
            <w:pPr>
              <w:jc w:val="right"/>
              <w:rPr>
                <w:color w:val="000000"/>
                <w:sz w:val="20"/>
                <w:szCs w:val="20"/>
              </w:rPr>
            </w:pPr>
            <w:r w:rsidRPr="00FA5930">
              <w:rPr>
                <w:color w:val="000000"/>
              </w:rPr>
              <w:t>0.072</w:t>
            </w:r>
          </w:p>
        </w:tc>
        <w:tc>
          <w:tcPr>
            <w:tcW w:w="301"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432F10DD" w14:textId="3B61B15E" w:rsidR="00FA5930" w:rsidRPr="00FA5930" w:rsidRDefault="00FA5930" w:rsidP="00FA5930">
            <w:pPr>
              <w:jc w:val="right"/>
              <w:rPr>
                <w:color w:val="000000"/>
                <w:sz w:val="20"/>
                <w:szCs w:val="20"/>
              </w:rPr>
            </w:pPr>
            <w:r w:rsidRPr="00FA5930">
              <w:rPr>
                <w:color w:val="000000"/>
              </w:rPr>
              <w:t>-0.115</w:t>
            </w:r>
          </w:p>
        </w:tc>
        <w:tc>
          <w:tcPr>
            <w:tcW w:w="297"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7FA6CE31" w14:textId="3F7AF9BE" w:rsidR="00FA5930" w:rsidRPr="00FA5930" w:rsidRDefault="00FA5930" w:rsidP="00FA5930">
            <w:pPr>
              <w:jc w:val="right"/>
              <w:rPr>
                <w:color w:val="000000"/>
                <w:sz w:val="20"/>
                <w:szCs w:val="20"/>
              </w:rPr>
            </w:pPr>
            <w:r w:rsidRPr="00FA5930">
              <w:rPr>
                <w:color w:val="000000"/>
              </w:rPr>
              <w:t>0.246</w:t>
            </w:r>
          </w:p>
        </w:tc>
        <w:tc>
          <w:tcPr>
            <w:tcW w:w="297"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3D411AD2" w14:textId="05884666" w:rsidR="00FA5930" w:rsidRPr="00FA5930" w:rsidRDefault="00FA5930" w:rsidP="00FA5930">
            <w:pPr>
              <w:jc w:val="right"/>
              <w:rPr>
                <w:color w:val="000000"/>
                <w:sz w:val="20"/>
                <w:szCs w:val="20"/>
              </w:rPr>
            </w:pPr>
            <w:r w:rsidRPr="00FA5930">
              <w:rPr>
                <w:color w:val="000000"/>
              </w:rPr>
              <w:t>0.641</w:t>
            </w:r>
          </w:p>
        </w:tc>
        <w:tc>
          <w:tcPr>
            <w:tcW w:w="371"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05AECF39" w14:textId="48DC7B07" w:rsidR="00FA5930" w:rsidRPr="00FA5930" w:rsidRDefault="00FA5930" w:rsidP="00FA5930">
            <w:pPr>
              <w:jc w:val="right"/>
              <w:rPr>
                <w:color w:val="000000"/>
                <w:sz w:val="20"/>
                <w:szCs w:val="20"/>
              </w:rPr>
            </w:pPr>
            <w:r w:rsidRPr="00FA5930">
              <w:rPr>
                <w:color w:val="000000"/>
              </w:rPr>
              <w:t>-0.520</w:t>
            </w:r>
          </w:p>
        </w:tc>
        <w:tc>
          <w:tcPr>
            <w:tcW w:w="302" w:type="pct"/>
            <w:tcBorders>
              <w:top w:val="nil"/>
              <w:left w:val="nil"/>
              <w:bottom w:val="single" w:sz="4" w:space="0" w:color="000000"/>
              <w:right w:val="single" w:sz="4" w:space="0" w:color="000000"/>
            </w:tcBorders>
            <w:shd w:val="clear" w:color="auto" w:fill="auto"/>
            <w:tcMar>
              <w:left w:w="57" w:type="dxa"/>
              <w:right w:w="57" w:type="dxa"/>
            </w:tcMar>
            <w:vAlign w:val="center"/>
            <w:hideMark/>
          </w:tcPr>
          <w:p w14:paraId="1E506486" w14:textId="3FD026EE" w:rsidR="00FA5930" w:rsidRPr="00FA5930" w:rsidRDefault="00FA5930" w:rsidP="00FA5930">
            <w:pPr>
              <w:jc w:val="right"/>
              <w:rPr>
                <w:color w:val="000000"/>
                <w:sz w:val="20"/>
                <w:szCs w:val="20"/>
              </w:rPr>
            </w:pPr>
            <w:r w:rsidRPr="00FA5930">
              <w:rPr>
                <w:color w:val="000000"/>
              </w:rPr>
              <w:t>0.290</w:t>
            </w:r>
          </w:p>
        </w:tc>
      </w:tr>
    </w:tbl>
    <w:p w14:paraId="220BE456" w14:textId="29402A9B" w:rsidR="00F0357E" w:rsidRDefault="00F0357E" w:rsidP="00837407"/>
    <w:p w14:paraId="1DAF5553" w14:textId="0AF2281E" w:rsidR="00F0357E" w:rsidRDefault="00F0357E" w:rsidP="00837407"/>
    <w:p w14:paraId="06F9ACAB" w14:textId="543B8A5E" w:rsidR="00F0357E" w:rsidRDefault="00F0357E" w:rsidP="00837407"/>
    <w:bookmarkEnd w:id="28"/>
    <w:p w14:paraId="1BB61C52" w14:textId="77777777" w:rsidR="008724C3" w:rsidRDefault="008724C3" w:rsidP="00837407">
      <w:pPr>
        <w:sectPr w:rsidR="008724C3" w:rsidSect="00806AA5">
          <w:pgSz w:w="16838" w:h="11906" w:orient="landscape"/>
          <w:pgMar w:top="1304" w:right="1304" w:bottom="1304" w:left="1304" w:header="709" w:footer="709" w:gutter="0"/>
          <w:cols w:space="708"/>
          <w:docGrid w:linePitch="360"/>
        </w:sectPr>
      </w:pPr>
    </w:p>
    <w:p w14:paraId="38F48515" w14:textId="16E64A1E" w:rsidR="00837407" w:rsidRDefault="00837407" w:rsidP="00837407">
      <w:r w:rsidRPr="003F0AC6">
        <w:lastRenderedPageBreak/>
        <w:t xml:space="preserve">Table </w:t>
      </w:r>
      <w:r w:rsidR="00A44BE1">
        <w:t>5</w:t>
      </w:r>
      <w:r w:rsidRPr="003F0AC6">
        <w:t>: Export performance after re-entry</w:t>
      </w:r>
    </w:p>
    <w:tbl>
      <w:tblPr>
        <w:tblW w:w="7130" w:type="dxa"/>
        <w:jc w:val="center"/>
        <w:tblLayout w:type="fixed"/>
        <w:tblCellMar>
          <w:left w:w="75" w:type="dxa"/>
          <w:right w:w="75" w:type="dxa"/>
        </w:tblCellMar>
        <w:tblLook w:val="0000" w:firstRow="0" w:lastRow="0" w:firstColumn="0" w:lastColumn="0" w:noHBand="0" w:noVBand="0"/>
      </w:tblPr>
      <w:tblGrid>
        <w:gridCol w:w="3674"/>
        <w:gridCol w:w="1728"/>
        <w:gridCol w:w="1728"/>
      </w:tblGrid>
      <w:tr w:rsidR="005E69E7" w:rsidRPr="0067463F" w14:paraId="358B30FA" w14:textId="77777777" w:rsidTr="00955A25">
        <w:trPr>
          <w:jc w:val="center"/>
        </w:trPr>
        <w:tc>
          <w:tcPr>
            <w:tcW w:w="3674" w:type="dxa"/>
            <w:tcBorders>
              <w:top w:val="single" w:sz="6" w:space="0" w:color="auto"/>
              <w:left w:val="nil"/>
              <w:bottom w:val="single" w:sz="4" w:space="0" w:color="auto"/>
              <w:right w:val="nil"/>
            </w:tcBorders>
          </w:tcPr>
          <w:p w14:paraId="2E1BD5EB" w14:textId="77777777" w:rsidR="005E69E7" w:rsidRPr="0067463F" w:rsidRDefault="005E69E7" w:rsidP="00955A25">
            <w:pPr>
              <w:widowControl w:val="0"/>
              <w:autoSpaceDE w:val="0"/>
              <w:autoSpaceDN w:val="0"/>
              <w:adjustRightInd w:val="0"/>
            </w:pPr>
          </w:p>
        </w:tc>
        <w:tc>
          <w:tcPr>
            <w:tcW w:w="1728" w:type="dxa"/>
            <w:tcBorders>
              <w:top w:val="single" w:sz="6" w:space="0" w:color="auto"/>
              <w:left w:val="nil"/>
              <w:bottom w:val="single" w:sz="4" w:space="0" w:color="auto"/>
              <w:right w:val="nil"/>
            </w:tcBorders>
          </w:tcPr>
          <w:p w14:paraId="7CEA52E3" w14:textId="55B34A09" w:rsidR="005E69E7" w:rsidRPr="0067463F" w:rsidRDefault="005E69E7" w:rsidP="00955A25">
            <w:pPr>
              <w:widowControl w:val="0"/>
              <w:autoSpaceDE w:val="0"/>
              <w:autoSpaceDN w:val="0"/>
              <w:adjustRightInd w:val="0"/>
              <w:jc w:val="center"/>
            </w:pPr>
            <w:r w:rsidRPr="0067463F">
              <w:t>(</w:t>
            </w:r>
            <w:r w:rsidR="00E35434">
              <w:t>5</w:t>
            </w:r>
            <w:r w:rsidR="00285C7A">
              <w:t>.</w:t>
            </w:r>
            <w:r w:rsidRPr="0067463F">
              <w:t>1)</w:t>
            </w:r>
          </w:p>
        </w:tc>
        <w:tc>
          <w:tcPr>
            <w:tcW w:w="1728" w:type="dxa"/>
            <w:tcBorders>
              <w:top w:val="single" w:sz="6" w:space="0" w:color="auto"/>
              <w:left w:val="nil"/>
              <w:bottom w:val="single" w:sz="4" w:space="0" w:color="auto"/>
              <w:right w:val="nil"/>
            </w:tcBorders>
          </w:tcPr>
          <w:p w14:paraId="447AC959" w14:textId="756BC704" w:rsidR="005E69E7" w:rsidRPr="0067463F" w:rsidRDefault="005E69E7" w:rsidP="00955A25">
            <w:pPr>
              <w:widowControl w:val="0"/>
              <w:autoSpaceDE w:val="0"/>
              <w:autoSpaceDN w:val="0"/>
              <w:adjustRightInd w:val="0"/>
              <w:jc w:val="center"/>
            </w:pPr>
            <w:r w:rsidRPr="0067463F">
              <w:t>(</w:t>
            </w:r>
            <w:r w:rsidR="00E35434">
              <w:t>5</w:t>
            </w:r>
            <w:r w:rsidR="00285C7A">
              <w:t>.</w:t>
            </w:r>
            <w:r>
              <w:t>2</w:t>
            </w:r>
            <w:r w:rsidRPr="0067463F">
              <w:t>)</w:t>
            </w:r>
          </w:p>
        </w:tc>
      </w:tr>
      <w:tr w:rsidR="005E69E7" w:rsidRPr="0067463F" w14:paraId="41B04EF5" w14:textId="77777777" w:rsidTr="00955A25">
        <w:trPr>
          <w:jc w:val="center"/>
        </w:trPr>
        <w:tc>
          <w:tcPr>
            <w:tcW w:w="3674" w:type="dxa"/>
            <w:tcBorders>
              <w:top w:val="single" w:sz="4" w:space="0" w:color="auto"/>
              <w:left w:val="nil"/>
              <w:bottom w:val="nil"/>
              <w:right w:val="nil"/>
            </w:tcBorders>
          </w:tcPr>
          <w:p w14:paraId="37E2B1E6" w14:textId="77777777" w:rsidR="005E69E7" w:rsidRPr="0067463F" w:rsidRDefault="005E69E7" w:rsidP="00955A25">
            <w:pPr>
              <w:widowControl w:val="0"/>
              <w:autoSpaceDE w:val="0"/>
              <w:autoSpaceDN w:val="0"/>
              <w:adjustRightInd w:val="0"/>
            </w:pPr>
          </w:p>
        </w:tc>
        <w:tc>
          <w:tcPr>
            <w:tcW w:w="1728" w:type="dxa"/>
            <w:tcBorders>
              <w:top w:val="single" w:sz="4" w:space="0" w:color="auto"/>
              <w:left w:val="nil"/>
              <w:bottom w:val="nil"/>
              <w:right w:val="nil"/>
            </w:tcBorders>
          </w:tcPr>
          <w:p w14:paraId="0ECF9E8C" w14:textId="77777777" w:rsidR="005E69E7" w:rsidRPr="0067463F" w:rsidRDefault="005E69E7" w:rsidP="00955A25">
            <w:pPr>
              <w:widowControl w:val="0"/>
              <w:autoSpaceDE w:val="0"/>
              <w:autoSpaceDN w:val="0"/>
              <w:adjustRightInd w:val="0"/>
              <w:jc w:val="center"/>
            </w:pPr>
          </w:p>
        </w:tc>
        <w:tc>
          <w:tcPr>
            <w:tcW w:w="1728" w:type="dxa"/>
            <w:tcBorders>
              <w:top w:val="single" w:sz="4" w:space="0" w:color="auto"/>
              <w:left w:val="nil"/>
              <w:bottom w:val="nil"/>
              <w:right w:val="nil"/>
            </w:tcBorders>
          </w:tcPr>
          <w:p w14:paraId="4E021A1B" w14:textId="77777777" w:rsidR="005E69E7" w:rsidRPr="0067463F" w:rsidRDefault="005E69E7" w:rsidP="00955A25">
            <w:pPr>
              <w:widowControl w:val="0"/>
              <w:autoSpaceDE w:val="0"/>
              <w:autoSpaceDN w:val="0"/>
              <w:adjustRightInd w:val="0"/>
              <w:jc w:val="center"/>
            </w:pPr>
          </w:p>
        </w:tc>
      </w:tr>
      <w:tr w:rsidR="004F37AB" w:rsidRPr="0067463F" w14:paraId="0B6E106C" w14:textId="77777777" w:rsidTr="00955A25">
        <w:trPr>
          <w:jc w:val="center"/>
        </w:trPr>
        <w:tc>
          <w:tcPr>
            <w:tcW w:w="3674" w:type="dxa"/>
            <w:tcBorders>
              <w:top w:val="nil"/>
              <w:left w:val="nil"/>
              <w:bottom w:val="nil"/>
              <w:right w:val="nil"/>
            </w:tcBorders>
          </w:tcPr>
          <w:p w14:paraId="23D1DBFB" w14:textId="0AE61029" w:rsidR="004F37AB" w:rsidRPr="0067463F" w:rsidRDefault="004F37AB" w:rsidP="004F37AB">
            <w:pPr>
              <w:widowControl w:val="0"/>
              <w:autoSpaceDE w:val="0"/>
              <w:autoSpaceDN w:val="0"/>
              <w:adjustRightInd w:val="0"/>
            </w:pPr>
            <w:r>
              <w:t>Time-out</w:t>
            </w:r>
          </w:p>
        </w:tc>
        <w:tc>
          <w:tcPr>
            <w:tcW w:w="1728" w:type="dxa"/>
            <w:tcBorders>
              <w:top w:val="nil"/>
              <w:left w:val="nil"/>
              <w:bottom w:val="nil"/>
              <w:right w:val="nil"/>
            </w:tcBorders>
          </w:tcPr>
          <w:p w14:paraId="44F0F0E5" w14:textId="1E786F04" w:rsidR="004F37AB" w:rsidRPr="0067463F" w:rsidRDefault="004F37AB" w:rsidP="004F37AB">
            <w:pPr>
              <w:widowControl w:val="0"/>
              <w:autoSpaceDE w:val="0"/>
              <w:autoSpaceDN w:val="0"/>
              <w:adjustRightInd w:val="0"/>
              <w:jc w:val="center"/>
            </w:pPr>
            <w:r>
              <w:t>-0.608**</w:t>
            </w:r>
          </w:p>
        </w:tc>
        <w:tc>
          <w:tcPr>
            <w:tcW w:w="1728" w:type="dxa"/>
            <w:tcBorders>
              <w:top w:val="nil"/>
              <w:left w:val="nil"/>
              <w:bottom w:val="nil"/>
              <w:right w:val="nil"/>
            </w:tcBorders>
          </w:tcPr>
          <w:p w14:paraId="6A564A52" w14:textId="2CCD35F2" w:rsidR="004F37AB" w:rsidRPr="0067463F" w:rsidRDefault="004F37AB" w:rsidP="004F37AB">
            <w:pPr>
              <w:widowControl w:val="0"/>
              <w:autoSpaceDE w:val="0"/>
              <w:autoSpaceDN w:val="0"/>
              <w:adjustRightInd w:val="0"/>
              <w:jc w:val="center"/>
            </w:pPr>
            <w:r>
              <w:t>-0.566*</w:t>
            </w:r>
          </w:p>
        </w:tc>
      </w:tr>
      <w:tr w:rsidR="004F37AB" w:rsidRPr="0067463F" w14:paraId="1083D347" w14:textId="77777777" w:rsidTr="00955A25">
        <w:trPr>
          <w:jc w:val="center"/>
        </w:trPr>
        <w:tc>
          <w:tcPr>
            <w:tcW w:w="3674" w:type="dxa"/>
            <w:tcBorders>
              <w:top w:val="nil"/>
              <w:left w:val="nil"/>
              <w:bottom w:val="nil"/>
              <w:right w:val="nil"/>
            </w:tcBorders>
          </w:tcPr>
          <w:p w14:paraId="1878B08A" w14:textId="77777777" w:rsidR="004F37AB" w:rsidRPr="0067463F" w:rsidRDefault="004F37AB" w:rsidP="004F37AB">
            <w:pPr>
              <w:widowControl w:val="0"/>
              <w:autoSpaceDE w:val="0"/>
              <w:autoSpaceDN w:val="0"/>
              <w:adjustRightInd w:val="0"/>
            </w:pPr>
          </w:p>
        </w:tc>
        <w:tc>
          <w:tcPr>
            <w:tcW w:w="1728" w:type="dxa"/>
            <w:tcBorders>
              <w:top w:val="nil"/>
              <w:left w:val="nil"/>
              <w:bottom w:val="nil"/>
              <w:right w:val="nil"/>
            </w:tcBorders>
          </w:tcPr>
          <w:p w14:paraId="6919658A" w14:textId="276F3866" w:rsidR="004F37AB" w:rsidRPr="0067463F" w:rsidRDefault="004F37AB" w:rsidP="004F37AB">
            <w:pPr>
              <w:widowControl w:val="0"/>
              <w:autoSpaceDE w:val="0"/>
              <w:autoSpaceDN w:val="0"/>
              <w:adjustRightInd w:val="0"/>
              <w:jc w:val="center"/>
            </w:pPr>
            <w:r>
              <w:t>(0.225)</w:t>
            </w:r>
          </w:p>
        </w:tc>
        <w:tc>
          <w:tcPr>
            <w:tcW w:w="1728" w:type="dxa"/>
            <w:tcBorders>
              <w:top w:val="nil"/>
              <w:left w:val="nil"/>
              <w:bottom w:val="nil"/>
              <w:right w:val="nil"/>
            </w:tcBorders>
          </w:tcPr>
          <w:p w14:paraId="0E593CF2" w14:textId="77616B70" w:rsidR="004F37AB" w:rsidRPr="0067463F" w:rsidRDefault="004F37AB" w:rsidP="004F37AB">
            <w:pPr>
              <w:widowControl w:val="0"/>
              <w:autoSpaceDE w:val="0"/>
              <w:autoSpaceDN w:val="0"/>
              <w:adjustRightInd w:val="0"/>
              <w:jc w:val="center"/>
            </w:pPr>
            <w:r>
              <w:t>(0.229)</w:t>
            </w:r>
          </w:p>
        </w:tc>
      </w:tr>
      <w:tr w:rsidR="004F37AB" w:rsidRPr="0067463F" w14:paraId="1B366991" w14:textId="77777777" w:rsidTr="00955A25">
        <w:trPr>
          <w:jc w:val="center"/>
        </w:trPr>
        <w:tc>
          <w:tcPr>
            <w:tcW w:w="3674" w:type="dxa"/>
            <w:tcBorders>
              <w:top w:val="nil"/>
              <w:left w:val="nil"/>
              <w:bottom w:val="nil"/>
              <w:right w:val="nil"/>
            </w:tcBorders>
          </w:tcPr>
          <w:p w14:paraId="2C4D0996" w14:textId="49998CA1" w:rsidR="004F37AB" w:rsidRPr="0067463F" w:rsidRDefault="004F37AB" w:rsidP="004F37AB">
            <w:pPr>
              <w:widowControl w:val="0"/>
              <w:autoSpaceDE w:val="0"/>
              <w:autoSpaceDN w:val="0"/>
              <w:adjustRightInd w:val="0"/>
            </w:pPr>
            <w:r>
              <w:t>Time-out</w:t>
            </w:r>
            <w:r w:rsidRPr="0067463F">
              <w:t xml:space="preserve"> squared</w:t>
            </w:r>
          </w:p>
        </w:tc>
        <w:tc>
          <w:tcPr>
            <w:tcW w:w="1728" w:type="dxa"/>
            <w:tcBorders>
              <w:top w:val="nil"/>
              <w:left w:val="nil"/>
              <w:bottom w:val="nil"/>
              <w:right w:val="nil"/>
            </w:tcBorders>
          </w:tcPr>
          <w:p w14:paraId="22757B36" w14:textId="4D1BE616" w:rsidR="004F37AB" w:rsidRPr="0067463F" w:rsidRDefault="004F37AB" w:rsidP="004F37AB">
            <w:pPr>
              <w:widowControl w:val="0"/>
              <w:autoSpaceDE w:val="0"/>
              <w:autoSpaceDN w:val="0"/>
              <w:adjustRightInd w:val="0"/>
              <w:jc w:val="center"/>
            </w:pPr>
            <w:r>
              <w:t>0.105*</w:t>
            </w:r>
          </w:p>
        </w:tc>
        <w:tc>
          <w:tcPr>
            <w:tcW w:w="1728" w:type="dxa"/>
            <w:tcBorders>
              <w:top w:val="nil"/>
              <w:left w:val="nil"/>
              <w:bottom w:val="nil"/>
              <w:right w:val="nil"/>
            </w:tcBorders>
          </w:tcPr>
          <w:p w14:paraId="1004978B" w14:textId="4256B57B" w:rsidR="004F37AB" w:rsidRPr="0067463F" w:rsidRDefault="004F37AB" w:rsidP="004F37AB">
            <w:pPr>
              <w:widowControl w:val="0"/>
              <w:autoSpaceDE w:val="0"/>
              <w:autoSpaceDN w:val="0"/>
              <w:adjustRightInd w:val="0"/>
              <w:jc w:val="center"/>
            </w:pPr>
            <w:r>
              <w:t>0.0923*</w:t>
            </w:r>
          </w:p>
        </w:tc>
      </w:tr>
      <w:tr w:rsidR="004F37AB" w:rsidRPr="0067463F" w14:paraId="34775375" w14:textId="77777777" w:rsidTr="00955A25">
        <w:trPr>
          <w:jc w:val="center"/>
        </w:trPr>
        <w:tc>
          <w:tcPr>
            <w:tcW w:w="3674" w:type="dxa"/>
            <w:tcBorders>
              <w:top w:val="nil"/>
              <w:left w:val="nil"/>
              <w:bottom w:val="nil"/>
              <w:right w:val="nil"/>
            </w:tcBorders>
          </w:tcPr>
          <w:p w14:paraId="117CB0C0" w14:textId="77777777" w:rsidR="004F37AB" w:rsidRPr="0067463F" w:rsidRDefault="004F37AB" w:rsidP="004F37AB">
            <w:pPr>
              <w:widowControl w:val="0"/>
              <w:autoSpaceDE w:val="0"/>
              <w:autoSpaceDN w:val="0"/>
              <w:adjustRightInd w:val="0"/>
            </w:pPr>
          </w:p>
        </w:tc>
        <w:tc>
          <w:tcPr>
            <w:tcW w:w="1728" w:type="dxa"/>
            <w:tcBorders>
              <w:top w:val="nil"/>
              <w:left w:val="nil"/>
              <w:bottom w:val="nil"/>
              <w:right w:val="nil"/>
            </w:tcBorders>
          </w:tcPr>
          <w:p w14:paraId="77957DC1" w14:textId="4BCC0736" w:rsidR="004F37AB" w:rsidRPr="0067463F" w:rsidRDefault="004F37AB" w:rsidP="004F37AB">
            <w:pPr>
              <w:widowControl w:val="0"/>
              <w:autoSpaceDE w:val="0"/>
              <w:autoSpaceDN w:val="0"/>
              <w:adjustRightInd w:val="0"/>
              <w:jc w:val="center"/>
            </w:pPr>
            <w:r>
              <w:t>(0.0406)</w:t>
            </w:r>
          </w:p>
        </w:tc>
        <w:tc>
          <w:tcPr>
            <w:tcW w:w="1728" w:type="dxa"/>
            <w:tcBorders>
              <w:top w:val="nil"/>
              <w:left w:val="nil"/>
              <w:bottom w:val="nil"/>
              <w:right w:val="nil"/>
            </w:tcBorders>
          </w:tcPr>
          <w:p w14:paraId="3D06444F" w14:textId="6E1840ED" w:rsidR="004F37AB" w:rsidRPr="0067463F" w:rsidRDefault="004F37AB" w:rsidP="004F37AB">
            <w:pPr>
              <w:widowControl w:val="0"/>
              <w:autoSpaceDE w:val="0"/>
              <w:autoSpaceDN w:val="0"/>
              <w:adjustRightInd w:val="0"/>
              <w:jc w:val="center"/>
            </w:pPr>
            <w:r>
              <w:t>(0.0412)</w:t>
            </w:r>
          </w:p>
        </w:tc>
      </w:tr>
      <w:tr w:rsidR="004F37AB" w:rsidRPr="0067463F" w14:paraId="47B39C3B" w14:textId="77777777" w:rsidTr="00A52735">
        <w:trPr>
          <w:jc w:val="center"/>
        </w:trPr>
        <w:tc>
          <w:tcPr>
            <w:tcW w:w="3674" w:type="dxa"/>
            <w:tcBorders>
              <w:top w:val="nil"/>
              <w:left w:val="nil"/>
              <w:bottom w:val="nil"/>
              <w:right w:val="nil"/>
            </w:tcBorders>
          </w:tcPr>
          <w:p w14:paraId="22104EBA" w14:textId="77777777" w:rsidR="004F37AB" w:rsidRPr="0067463F" w:rsidRDefault="004F37AB" w:rsidP="004F37AB">
            <w:pPr>
              <w:widowControl w:val="0"/>
              <w:autoSpaceDE w:val="0"/>
              <w:autoSpaceDN w:val="0"/>
              <w:adjustRightInd w:val="0"/>
            </w:pPr>
            <w:r w:rsidRPr="0067463F">
              <w:t>Collaboration</w:t>
            </w:r>
          </w:p>
        </w:tc>
        <w:tc>
          <w:tcPr>
            <w:tcW w:w="1728" w:type="dxa"/>
            <w:tcBorders>
              <w:top w:val="nil"/>
              <w:left w:val="nil"/>
              <w:bottom w:val="nil"/>
              <w:right w:val="nil"/>
            </w:tcBorders>
          </w:tcPr>
          <w:p w14:paraId="66A90272" w14:textId="47EB0C19" w:rsidR="004F37AB" w:rsidRPr="0067463F" w:rsidRDefault="004F37AB" w:rsidP="004F37AB">
            <w:pPr>
              <w:widowControl w:val="0"/>
              <w:autoSpaceDE w:val="0"/>
              <w:autoSpaceDN w:val="0"/>
              <w:adjustRightInd w:val="0"/>
              <w:jc w:val="center"/>
            </w:pPr>
            <w:r>
              <w:t>0.0876</w:t>
            </w:r>
          </w:p>
        </w:tc>
        <w:tc>
          <w:tcPr>
            <w:tcW w:w="1728" w:type="dxa"/>
            <w:tcBorders>
              <w:top w:val="nil"/>
              <w:left w:val="nil"/>
              <w:bottom w:val="nil"/>
              <w:right w:val="nil"/>
            </w:tcBorders>
          </w:tcPr>
          <w:p w14:paraId="7CCFB730" w14:textId="5B1E68AC" w:rsidR="004F37AB" w:rsidRPr="0067463F" w:rsidRDefault="004F37AB" w:rsidP="004F37AB">
            <w:pPr>
              <w:widowControl w:val="0"/>
              <w:autoSpaceDE w:val="0"/>
              <w:autoSpaceDN w:val="0"/>
              <w:adjustRightInd w:val="0"/>
              <w:jc w:val="center"/>
            </w:pPr>
            <w:r>
              <w:t>1.887</w:t>
            </w:r>
          </w:p>
        </w:tc>
      </w:tr>
      <w:tr w:rsidR="004F37AB" w:rsidRPr="0067463F" w14:paraId="0F61FEDB" w14:textId="77777777" w:rsidTr="00A52735">
        <w:trPr>
          <w:jc w:val="center"/>
        </w:trPr>
        <w:tc>
          <w:tcPr>
            <w:tcW w:w="3674" w:type="dxa"/>
            <w:tcBorders>
              <w:top w:val="nil"/>
              <w:left w:val="nil"/>
              <w:bottom w:val="nil"/>
              <w:right w:val="nil"/>
            </w:tcBorders>
          </w:tcPr>
          <w:p w14:paraId="507D5D92" w14:textId="77777777" w:rsidR="004F37AB" w:rsidRPr="0067463F" w:rsidRDefault="004F37AB" w:rsidP="004F37AB">
            <w:pPr>
              <w:widowControl w:val="0"/>
              <w:autoSpaceDE w:val="0"/>
              <w:autoSpaceDN w:val="0"/>
              <w:adjustRightInd w:val="0"/>
            </w:pPr>
          </w:p>
        </w:tc>
        <w:tc>
          <w:tcPr>
            <w:tcW w:w="1728" w:type="dxa"/>
            <w:tcBorders>
              <w:top w:val="nil"/>
              <w:left w:val="nil"/>
              <w:bottom w:val="nil"/>
              <w:right w:val="nil"/>
            </w:tcBorders>
          </w:tcPr>
          <w:p w14:paraId="747B9795" w14:textId="49F3650A" w:rsidR="004F37AB" w:rsidRPr="0067463F" w:rsidRDefault="004F37AB" w:rsidP="004F37AB">
            <w:pPr>
              <w:widowControl w:val="0"/>
              <w:autoSpaceDE w:val="0"/>
              <w:autoSpaceDN w:val="0"/>
              <w:adjustRightInd w:val="0"/>
              <w:jc w:val="center"/>
            </w:pPr>
            <w:r>
              <w:t>(0.234)</w:t>
            </w:r>
          </w:p>
        </w:tc>
        <w:tc>
          <w:tcPr>
            <w:tcW w:w="1728" w:type="dxa"/>
            <w:tcBorders>
              <w:top w:val="nil"/>
              <w:left w:val="nil"/>
              <w:bottom w:val="nil"/>
              <w:right w:val="nil"/>
            </w:tcBorders>
          </w:tcPr>
          <w:p w14:paraId="44731E66" w14:textId="2D4AB4BA" w:rsidR="004F37AB" w:rsidRPr="0067463F" w:rsidRDefault="004F37AB" w:rsidP="004F37AB">
            <w:pPr>
              <w:widowControl w:val="0"/>
              <w:autoSpaceDE w:val="0"/>
              <w:autoSpaceDN w:val="0"/>
              <w:adjustRightInd w:val="0"/>
              <w:jc w:val="center"/>
            </w:pPr>
            <w:r>
              <w:t>(1.285)</w:t>
            </w:r>
          </w:p>
        </w:tc>
      </w:tr>
      <w:tr w:rsidR="004F37AB" w:rsidRPr="0067463F" w14:paraId="5E41193B" w14:textId="77777777" w:rsidTr="00955A25">
        <w:trPr>
          <w:jc w:val="center"/>
        </w:trPr>
        <w:tc>
          <w:tcPr>
            <w:tcW w:w="3674" w:type="dxa"/>
            <w:tcBorders>
              <w:top w:val="nil"/>
              <w:left w:val="nil"/>
              <w:bottom w:val="nil"/>
              <w:right w:val="nil"/>
            </w:tcBorders>
          </w:tcPr>
          <w:p w14:paraId="60C9714A" w14:textId="1DF0CA50" w:rsidR="004F37AB" w:rsidRPr="0067463F" w:rsidRDefault="004F37AB" w:rsidP="004F37AB">
            <w:pPr>
              <w:widowControl w:val="0"/>
              <w:autoSpaceDE w:val="0"/>
              <w:autoSpaceDN w:val="0"/>
              <w:adjustRightInd w:val="0"/>
            </w:pPr>
            <w:r>
              <w:t>Time-out</w:t>
            </w:r>
            <w:r w:rsidRPr="0067463F">
              <w:t xml:space="preserve"> * Collaboration</w:t>
            </w:r>
          </w:p>
        </w:tc>
        <w:tc>
          <w:tcPr>
            <w:tcW w:w="1728" w:type="dxa"/>
            <w:tcBorders>
              <w:top w:val="nil"/>
              <w:left w:val="nil"/>
              <w:bottom w:val="nil"/>
              <w:right w:val="nil"/>
            </w:tcBorders>
          </w:tcPr>
          <w:p w14:paraId="2B0C1028" w14:textId="77777777" w:rsidR="004F37AB" w:rsidRPr="0067463F" w:rsidRDefault="004F37AB" w:rsidP="004F37AB">
            <w:pPr>
              <w:widowControl w:val="0"/>
              <w:autoSpaceDE w:val="0"/>
              <w:autoSpaceDN w:val="0"/>
              <w:adjustRightInd w:val="0"/>
              <w:jc w:val="center"/>
            </w:pPr>
          </w:p>
        </w:tc>
        <w:tc>
          <w:tcPr>
            <w:tcW w:w="1728" w:type="dxa"/>
            <w:tcBorders>
              <w:top w:val="nil"/>
              <w:left w:val="nil"/>
              <w:bottom w:val="nil"/>
              <w:right w:val="nil"/>
            </w:tcBorders>
          </w:tcPr>
          <w:p w14:paraId="08D49412" w14:textId="02852963" w:rsidR="004F37AB" w:rsidRPr="0067463F" w:rsidRDefault="004F37AB" w:rsidP="004F37AB">
            <w:pPr>
              <w:widowControl w:val="0"/>
              <w:autoSpaceDE w:val="0"/>
              <w:autoSpaceDN w:val="0"/>
              <w:adjustRightInd w:val="0"/>
              <w:jc w:val="center"/>
            </w:pPr>
            <w:r>
              <w:t>-2.369</w:t>
            </w:r>
          </w:p>
        </w:tc>
      </w:tr>
      <w:tr w:rsidR="004F37AB" w:rsidRPr="0067463F" w14:paraId="2132DC50" w14:textId="77777777" w:rsidTr="00955A25">
        <w:trPr>
          <w:jc w:val="center"/>
        </w:trPr>
        <w:tc>
          <w:tcPr>
            <w:tcW w:w="3674" w:type="dxa"/>
            <w:tcBorders>
              <w:top w:val="nil"/>
              <w:left w:val="nil"/>
              <w:bottom w:val="nil"/>
              <w:right w:val="nil"/>
            </w:tcBorders>
          </w:tcPr>
          <w:p w14:paraId="0271CA19" w14:textId="77777777" w:rsidR="004F37AB" w:rsidRPr="0067463F" w:rsidRDefault="004F37AB" w:rsidP="004F37AB">
            <w:pPr>
              <w:widowControl w:val="0"/>
              <w:autoSpaceDE w:val="0"/>
              <w:autoSpaceDN w:val="0"/>
              <w:adjustRightInd w:val="0"/>
            </w:pPr>
          </w:p>
        </w:tc>
        <w:tc>
          <w:tcPr>
            <w:tcW w:w="1728" w:type="dxa"/>
            <w:tcBorders>
              <w:top w:val="nil"/>
              <w:left w:val="nil"/>
              <w:bottom w:val="nil"/>
              <w:right w:val="nil"/>
            </w:tcBorders>
          </w:tcPr>
          <w:p w14:paraId="6262D681" w14:textId="77777777" w:rsidR="004F37AB" w:rsidRPr="0067463F" w:rsidRDefault="004F37AB" w:rsidP="004F37AB">
            <w:pPr>
              <w:widowControl w:val="0"/>
              <w:autoSpaceDE w:val="0"/>
              <w:autoSpaceDN w:val="0"/>
              <w:adjustRightInd w:val="0"/>
              <w:jc w:val="center"/>
            </w:pPr>
          </w:p>
        </w:tc>
        <w:tc>
          <w:tcPr>
            <w:tcW w:w="1728" w:type="dxa"/>
            <w:tcBorders>
              <w:top w:val="nil"/>
              <w:left w:val="nil"/>
              <w:bottom w:val="nil"/>
              <w:right w:val="nil"/>
            </w:tcBorders>
          </w:tcPr>
          <w:p w14:paraId="04CC0044" w14:textId="6B38575F" w:rsidR="004F37AB" w:rsidRPr="0067463F" w:rsidRDefault="004F37AB" w:rsidP="004F37AB">
            <w:pPr>
              <w:widowControl w:val="0"/>
              <w:autoSpaceDE w:val="0"/>
              <w:autoSpaceDN w:val="0"/>
              <w:adjustRightInd w:val="0"/>
              <w:jc w:val="center"/>
            </w:pPr>
            <w:r>
              <w:t>(1.486)</w:t>
            </w:r>
          </w:p>
        </w:tc>
      </w:tr>
      <w:tr w:rsidR="004F37AB" w:rsidRPr="0067463F" w14:paraId="6976C481" w14:textId="77777777" w:rsidTr="00955A25">
        <w:trPr>
          <w:jc w:val="center"/>
        </w:trPr>
        <w:tc>
          <w:tcPr>
            <w:tcW w:w="3674" w:type="dxa"/>
            <w:tcBorders>
              <w:top w:val="nil"/>
              <w:left w:val="nil"/>
              <w:bottom w:val="nil"/>
              <w:right w:val="nil"/>
            </w:tcBorders>
          </w:tcPr>
          <w:p w14:paraId="373AB7F6" w14:textId="590594BD" w:rsidR="004F37AB" w:rsidRPr="0067463F" w:rsidRDefault="004F37AB" w:rsidP="004F37AB">
            <w:pPr>
              <w:widowControl w:val="0"/>
              <w:autoSpaceDE w:val="0"/>
              <w:autoSpaceDN w:val="0"/>
              <w:adjustRightInd w:val="0"/>
            </w:pPr>
            <w:r>
              <w:t>Time-out</w:t>
            </w:r>
            <w:r w:rsidRPr="0067463F">
              <w:t xml:space="preserve"> squared * Collaboration</w:t>
            </w:r>
          </w:p>
        </w:tc>
        <w:tc>
          <w:tcPr>
            <w:tcW w:w="1728" w:type="dxa"/>
            <w:tcBorders>
              <w:top w:val="nil"/>
              <w:left w:val="nil"/>
              <w:bottom w:val="nil"/>
              <w:right w:val="nil"/>
            </w:tcBorders>
          </w:tcPr>
          <w:p w14:paraId="62B03C78" w14:textId="77777777" w:rsidR="004F37AB" w:rsidRPr="0067463F" w:rsidRDefault="004F37AB" w:rsidP="004F37AB">
            <w:pPr>
              <w:widowControl w:val="0"/>
              <w:autoSpaceDE w:val="0"/>
              <w:autoSpaceDN w:val="0"/>
              <w:adjustRightInd w:val="0"/>
              <w:jc w:val="center"/>
            </w:pPr>
          </w:p>
        </w:tc>
        <w:tc>
          <w:tcPr>
            <w:tcW w:w="1728" w:type="dxa"/>
            <w:tcBorders>
              <w:top w:val="nil"/>
              <w:left w:val="nil"/>
              <w:bottom w:val="nil"/>
              <w:right w:val="nil"/>
            </w:tcBorders>
          </w:tcPr>
          <w:p w14:paraId="1E0CBB36" w14:textId="137D0135" w:rsidR="004F37AB" w:rsidRPr="0067463F" w:rsidRDefault="004F37AB" w:rsidP="004F37AB">
            <w:pPr>
              <w:widowControl w:val="0"/>
              <w:autoSpaceDE w:val="0"/>
              <w:autoSpaceDN w:val="0"/>
              <w:adjustRightInd w:val="0"/>
              <w:jc w:val="center"/>
            </w:pPr>
            <w:r>
              <w:t>0.569</w:t>
            </w:r>
            <w:r w:rsidR="00021791" w:rsidRPr="00204533">
              <w:rPr>
                <w:vertAlign w:val="superscript"/>
              </w:rPr>
              <w:t>†</w:t>
            </w:r>
          </w:p>
        </w:tc>
      </w:tr>
      <w:tr w:rsidR="004F37AB" w:rsidRPr="0067463F" w14:paraId="2776D4A9" w14:textId="77777777" w:rsidTr="00955A25">
        <w:trPr>
          <w:jc w:val="center"/>
        </w:trPr>
        <w:tc>
          <w:tcPr>
            <w:tcW w:w="3674" w:type="dxa"/>
            <w:tcBorders>
              <w:top w:val="nil"/>
              <w:left w:val="nil"/>
              <w:bottom w:val="nil"/>
              <w:right w:val="nil"/>
            </w:tcBorders>
          </w:tcPr>
          <w:p w14:paraId="0C5D8A6B" w14:textId="77777777" w:rsidR="004F37AB" w:rsidRPr="0067463F" w:rsidRDefault="004F37AB" w:rsidP="004F37AB">
            <w:pPr>
              <w:widowControl w:val="0"/>
              <w:autoSpaceDE w:val="0"/>
              <w:autoSpaceDN w:val="0"/>
              <w:adjustRightInd w:val="0"/>
            </w:pPr>
          </w:p>
        </w:tc>
        <w:tc>
          <w:tcPr>
            <w:tcW w:w="1728" w:type="dxa"/>
            <w:tcBorders>
              <w:top w:val="nil"/>
              <w:left w:val="nil"/>
              <w:bottom w:val="nil"/>
              <w:right w:val="nil"/>
            </w:tcBorders>
          </w:tcPr>
          <w:p w14:paraId="7B93E084" w14:textId="77777777" w:rsidR="004F37AB" w:rsidRPr="0067463F" w:rsidRDefault="004F37AB" w:rsidP="004F37AB">
            <w:pPr>
              <w:widowControl w:val="0"/>
              <w:autoSpaceDE w:val="0"/>
              <w:autoSpaceDN w:val="0"/>
              <w:adjustRightInd w:val="0"/>
              <w:jc w:val="center"/>
            </w:pPr>
          </w:p>
        </w:tc>
        <w:tc>
          <w:tcPr>
            <w:tcW w:w="1728" w:type="dxa"/>
            <w:tcBorders>
              <w:top w:val="nil"/>
              <w:left w:val="nil"/>
              <w:bottom w:val="nil"/>
              <w:right w:val="nil"/>
            </w:tcBorders>
          </w:tcPr>
          <w:p w14:paraId="73192A40" w14:textId="00B6591A" w:rsidR="004F37AB" w:rsidRPr="0067463F" w:rsidRDefault="004F37AB" w:rsidP="004F37AB">
            <w:pPr>
              <w:widowControl w:val="0"/>
              <w:autoSpaceDE w:val="0"/>
              <w:autoSpaceDN w:val="0"/>
              <w:adjustRightInd w:val="0"/>
              <w:jc w:val="center"/>
            </w:pPr>
            <w:r>
              <w:t>(0.296)</w:t>
            </w:r>
          </w:p>
        </w:tc>
      </w:tr>
      <w:tr w:rsidR="004F37AB" w:rsidRPr="0067463F" w14:paraId="4D6FFAFD" w14:textId="77777777" w:rsidTr="00955A25">
        <w:trPr>
          <w:jc w:val="center"/>
        </w:trPr>
        <w:tc>
          <w:tcPr>
            <w:tcW w:w="3674" w:type="dxa"/>
            <w:tcBorders>
              <w:top w:val="nil"/>
              <w:left w:val="nil"/>
              <w:bottom w:val="nil"/>
              <w:right w:val="nil"/>
            </w:tcBorders>
          </w:tcPr>
          <w:p w14:paraId="14C9112B" w14:textId="77777777" w:rsidR="004F37AB" w:rsidRPr="0067463F" w:rsidRDefault="004F37AB" w:rsidP="004F37AB">
            <w:pPr>
              <w:widowControl w:val="0"/>
              <w:autoSpaceDE w:val="0"/>
              <w:autoSpaceDN w:val="0"/>
              <w:adjustRightInd w:val="0"/>
            </w:pPr>
            <w:r w:rsidRPr="0067463F">
              <w:t>Export performance at exit</w:t>
            </w:r>
          </w:p>
        </w:tc>
        <w:tc>
          <w:tcPr>
            <w:tcW w:w="1728" w:type="dxa"/>
            <w:tcBorders>
              <w:top w:val="nil"/>
              <w:left w:val="nil"/>
              <w:bottom w:val="nil"/>
              <w:right w:val="nil"/>
            </w:tcBorders>
          </w:tcPr>
          <w:p w14:paraId="00A453D3" w14:textId="62578EAF" w:rsidR="004F37AB" w:rsidRPr="0067463F" w:rsidRDefault="004F37AB" w:rsidP="004F37AB">
            <w:pPr>
              <w:widowControl w:val="0"/>
              <w:autoSpaceDE w:val="0"/>
              <w:autoSpaceDN w:val="0"/>
              <w:adjustRightInd w:val="0"/>
              <w:jc w:val="center"/>
            </w:pPr>
            <w:r>
              <w:t>0.600***</w:t>
            </w:r>
          </w:p>
        </w:tc>
        <w:tc>
          <w:tcPr>
            <w:tcW w:w="1728" w:type="dxa"/>
            <w:tcBorders>
              <w:top w:val="nil"/>
              <w:left w:val="nil"/>
              <w:bottom w:val="nil"/>
              <w:right w:val="nil"/>
            </w:tcBorders>
          </w:tcPr>
          <w:p w14:paraId="3B3077C8" w14:textId="16D0FE57" w:rsidR="004F37AB" w:rsidRPr="0067463F" w:rsidRDefault="004F37AB" w:rsidP="004F37AB">
            <w:pPr>
              <w:widowControl w:val="0"/>
              <w:autoSpaceDE w:val="0"/>
              <w:autoSpaceDN w:val="0"/>
              <w:adjustRightInd w:val="0"/>
              <w:jc w:val="center"/>
            </w:pPr>
            <w:r>
              <w:t>0.598***</w:t>
            </w:r>
          </w:p>
        </w:tc>
      </w:tr>
      <w:tr w:rsidR="004F37AB" w:rsidRPr="0067463F" w14:paraId="59098F43" w14:textId="77777777" w:rsidTr="00955A25">
        <w:trPr>
          <w:jc w:val="center"/>
        </w:trPr>
        <w:tc>
          <w:tcPr>
            <w:tcW w:w="3674" w:type="dxa"/>
            <w:tcBorders>
              <w:top w:val="nil"/>
              <w:left w:val="nil"/>
              <w:bottom w:val="nil"/>
              <w:right w:val="nil"/>
            </w:tcBorders>
          </w:tcPr>
          <w:p w14:paraId="5BFC9E37" w14:textId="77777777" w:rsidR="004F37AB" w:rsidRPr="0067463F" w:rsidRDefault="004F37AB" w:rsidP="004F37AB">
            <w:pPr>
              <w:widowControl w:val="0"/>
              <w:autoSpaceDE w:val="0"/>
              <w:autoSpaceDN w:val="0"/>
              <w:adjustRightInd w:val="0"/>
            </w:pPr>
          </w:p>
        </w:tc>
        <w:tc>
          <w:tcPr>
            <w:tcW w:w="1728" w:type="dxa"/>
            <w:tcBorders>
              <w:top w:val="nil"/>
              <w:left w:val="nil"/>
              <w:bottom w:val="nil"/>
              <w:right w:val="nil"/>
            </w:tcBorders>
          </w:tcPr>
          <w:p w14:paraId="054E89D0" w14:textId="7DB8E6ED" w:rsidR="004F37AB" w:rsidRPr="0067463F" w:rsidRDefault="004F37AB" w:rsidP="004F37AB">
            <w:pPr>
              <w:widowControl w:val="0"/>
              <w:autoSpaceDE w:val="0"/>
              <w:autoSpaceDN w:val="0"/>
              <w:adjustRightInd w:val="0"/>
              <w:jc w:val="center"/>
            </w:pPr>
            <w:r>
              <w:t>(0.0273)</w:t>
            </w:r>
          </w:p>
        </w:tc>
        <w:tc>
          <w:tcPr>
            <w:tcW w:w="1728" w:type="dxa"/>
            <w:tcBorders>
              <w:top w:val="nil"/>
              <w:left w:val="nil"/>
              <w:bottom w:val="nil"/>
              <w:right w:val="nil"/>
            </w:tcBorders>
          </w:tcPr>
          <w:p w14:paraId="31099E45" w14:textId="00848EB9" w:rsidR="004F37AB" w:rsidRPr="0067463F" w:rsidRDefault="004F37AB" w:rsidP="004F37AB">
            <w:pPr>
              <w:widowControl w:val="0"/>
              <w:autoSpaceDE w:val="0"/>
              <w:autoSpaceDN w:val="0"/>
              <w:adjustRightInd w:val="0"/>
              <w:jc w:val="center"/>
            </w:pPr>
            <w:r>
              <w:t>(0.0273)</w:t>
            </w:r>
          </w:p>
        </w:tc>
      </w:tr>
      <w:tr w:rsidR="004F37AB" w:rsidRPr="0067463F" w14:paraId="19CA0A79" w14:textId="77777777" w:rsidTr="00955A25">
        <w:trPr>
          <w:jc w:val="center"/>
        </w:trPr>
        <w:tc>
          <w:tcPr>
            <w:tcW w:w="3674" w:type="dxa"/>
            <w:tcBorders>
              <w:top w:val="nil"/>
              <w:left w:val="nil"/>
              <w:bottom w:val="nil"/>
              <w:right w:val="nil"/>
            </w:tcBorders>
          </w:tcPr>
          <w:p w14:paraId="5EC9E125" w14:textId="77777777" w:rsidR="004F37AB" w:rsidRPr="0067463F" w:rsidRDefault="004F37AB" w:rsidP="004F37AB">
            <w:pPr>
              <w:widowControl w:val="0"/>
              <w:autoSpaceDE w:val="0"/>
              <w:autoSpaceDN w:val="0"/>
              <w:adjustRightInd w:val="0"/>
            </w:pPr>
            <w:r w:rsidRPr="0067463F">
              <w:t>Size</w:t>
            </w:r>
          </w:p>
        </w:tc>
        <w:tc>
          <w:tcPr>
            <w:tcW w:w="1728" w:type="dxa"/>
            <w:tcBorders>
              <w:top w:val="nil"/>
              <w:left w:val="nil"/>
              <w:bottom w:val="nil"/>
              <w:right w:val="nil"/>
            </w:tcBorders>
          </w:tcPr>
          <w:p w14:paraId="01CF2030" w14:textId="2E6BF4E6" w:rsidR="004F37AB" w:rsidRPr="0067463F" w:rsidRDefault="004F37AB" w:rsidP="004F37AB">
            <w:pPr>
              <w:widowControl w:val="0"/>
              <w:autoSpaceDE w:val="0"/>
              <w:autoSpaceDN w:val="0"/>
              <w:adjustRightInd w:val="0"/>
              <w:jc w:val="center"/>
            </w:pPr>
            <w:r>
              <w:t>0.368***</w:t>
            </w:r>
          </w:p>
        </w:tc>
        <w:tc>
          <w:tcPr>
            <w:tcW w:w="1728" w:type="dxa"/>
            <w:tcBorders>
              <w:top w:val="nil"/>
              <w:left w:val="nil"/>
              <w:bottom w:val="nil"/>
              <w:right w:val="nil"/>
            </w:tcBorders>
          </w:tcPr>
          <w:p w14:paraId="02127974" w14:textId="2F22A470" w:rsidR="004F37AB" w:rsidRPr="0067463F" w:rsidRDefault="004F37AB" w:rsidP="004F37AB">
            <w:pPr>
              <w:widowControl w:val="0"/>
              <w:autoSpaceDE w:val="0"/>
              <w:autoSpaceDN w:val="0"/>
              <w:adjustRightInd w:val="0"/>
              <w:jc w:val="center"/>
            </w:pPr>
            <w:r>
              <w:t>0.375***</w:t>
            </w:r>
          </w:p>
        </w:tc>
      </w:tr>
      <w:tr w:rsidR="004F37AB" w:rsidRPr="0067463F" w14:paraId="7140D4B5" w14:textId="77777777" w:rsidTr="00955A25">
        <w:trPr>
          <w:jc w:val="center"/>
        </w:trPr>
        <w:tc>
          <w:tcPr>
            <w:tcW w:w="3674" w:type="dxa"/>
            <w:tcBorders>
              <w:top w:val="nil"/>
              <w:left w:val="nil"/>
              <w:bottom w:val="nil"/>
              <w:right w:val="nil"/>
            </w:tcBorders>
          </w:tcPr>
          <w:p w14:paraId="77007853" w14:textId="77777777" w:rsidR="004F37AB" w:rsidRPr="0067463F" w:rsidRDefault="004F37AB" w:rsidP="004F37AB">
            <w:pPr>
              <w:widowControl w:val="0"/>
              <w:autoSpaceDE w:val="0"/>
              <w:autoSpaceDN w:val="0"/>
              <w:adjustRightInd w:val="0"/>
            </w:pPr>
          </w:p>
        </w:tc>
        <w:tc>
          <w:tcPr>
            <w:tcW w:w="1728" w:type="dxa"/>
            <w:tcBorders>
              <w:top w:val="nil"/>
              <w:left w:val="nil"/>
              <w:bottom w:val="nil"/>
              <w:right w:val="nil"/>
            </w:tcBorders>
          </w:tcPr>
          <w:p w14:paraId="6814FF74" w14:textId="4CC1A482" w:rsidR="004F37AB" w:rsidRPr="0067463F" w:rsidRDefault="004F37AB" w:rsidP="004F37AB">
            <w:pPr>
              <w:widowControl w:val="0"/>
              <w:autoSpaceDE w:val="0"/>
              <w:autoSpaceDN w:val="0"/>
              <w:adjustRightInd w:val="0"/>
              <w:jc w:val="center"/>
            </w:pPr>
            <w:r>
              <w:t>(0.0409)</w:t>
            </w:r>
          </w:p>
        </w:tc>
        <w:tc>
          <w:tcPr>
            <w:tcW w:w="1728" w:type="dxa"/>
            <w:tcBorders>
              <w:top w:val="nil"/>
              <w:left w:val="nil"/>
              <w:bottom w:val="nil"/>
              <w:right w:val="nil"/>
            </w:tcBorders>
          </w:tcPr>
          <w:p w14:paraId="08990426" w14:textId="5792CDF8" w:rsidR="004F37AB" w:rsidRPr="0067463F" w:rsidRDefault="004F37AB" w:rsidP="004F37AB">
            <w:pPr>
              <w:widowControl w:val="0"/>
              <w:autoSpaceDE w:val="0"/>
              <w:autoSpaceDN w:val="0"/>
              <w:adjustRightInd w:val="0"/>
              <w:jc w:val="center"/>
            </w:pPr>
            <w:r>
              <w:t>(0.0410)</w:t>
            </w:r>
          </w:p>
        </w:tc>
      </w:tr>
      <w:tr w:rsidR="004F37AB" w:rsidRPr="0067463F" w14:paraId="14A4C2DD" w14:textId="77777777" w:rsidTr="00955A25">
        <w:trPr>
          <w:jc w:val="center"/>
        </w:trPr>
        <w:tc>
          <w:tcPr>
            <w:tcW w:w="3674" w:type="dxa"/>
            <w:tcBorders>
              <w:top w:val="nil"/>
              <w:left w:val="nil"/>
              <w:bottom w:val="nil"/>
              <w:right w:val="nil"/>
            </w:tcBorders>
          </w:tcPr>
          <w:p w14:paraId="5F2D18B7" w14:textId="77777777" w:rsidR="004F37AB" w:rsidRPr="0067463F" w:rsidRDefault="004F37AB" w:rsidP="004F37AB">
            <w:pPr>
              <w:widowControl w:val="0"/>
              <w:autoSpaceDE w:val="0"/>
              <w:autoSpaceDN w:val="0"/>
              <w:adjustRightInd w:val="0"/>
            </w:pPr>
            <w:r w:rsidRPr="0067463F">
              <w:t>Age</w:t>
            </w:r>
          </w:p>
        </w:tc>
        <w:tc>
          <w:tcPr>
            <w:tcW w:w="1728" w:type="dxa"/>
            <w:tcBorders>
              <w:top w:val="nil"/>
              <w:left w:val="nil"/>
              <w:bottom w:val="nil"/>
              <w:right w:val="nil"/>
            </w:tcBorders>
          </w:tcPr>
          <w:p w14:paraId="601A1326" w14:textId="00B71F80" w:rsidR="004F37AB" w:rsidRPr="0067463F" w:rsidRDefault="004F37AB" w:rsidP="004F37AB">
            <w:pPr>
              <w:widowControl w:val="0"/>
              <w:autoSpaceDE w:val="0"/>
              <w:autoSpaceDN w:val="0"/>
              <w:adjustRightInd w:val="0"/>
              <w:jc w:val="center"/>
            </w:pPr>
            <w:r>
              <w:t>0.00369</w:t>
            </w:r>
          </w:p>
        </w:tc>
        <w:tc>
          <w:tcPr>
            <w:tcW w:w="1728" w:type="dxa"/>
            <w:tcBorders>
              <w:top w:val="nil"/>
              <w:left w:val="nil"/>
              <w:bottom w:val="nil"/>
              <w:right w:val="nil"/>
            </w:tcBorders>
          </w:tcPr>
          <w:p w14:paraId="635D7D82" w14:textId="111FBBCB" w:rsidR="004F37AB" w:rsidRPr="0067463F" w:rsidRDefault="004F37AB" w:rsidP="004F37AB">
            <w:pPr>
              <w:widowControl w:val="0"/>
              <w:autoSpaceDE w:val="0"/>
              <w:autoSpaceDN w:val="0"/>
              <w:adjustRightInd w:val="0"/>
              <w:jc w:val="center"/>
            </w:pPr>
            <w:r>
              <w:t>0.00367</w:t>
            </w:r>
          </w:p>
        </w:tc>
      </w:tr>
      <w:tr w:rsidR="004F37AB" w:rsidRPr="0067463F" w14:paraId="4E222931" w14:textId="77777777" w:rsidTr="00955A25">
        <w:trPr>
          <w:jc w:val="center"/>
        </w:trPr>
        <w:tc>
          <w:tcPr>
            <w:tcW w:w="3674" w:type="dxa"/>
            <w:tcBorders>
              <w:top w:val="nil"/>
              <w:left w:val="nil"/>
              <w:bottom w:val="nil"/>
              <w:right w:val="nil"/>
            </w:tcBorders>
          </w:tcPr>
          <w:p w14:paraId="0FD45B93" w14:textId="77777777" w:rsidR="004F37AB" w:rsidRPr="0067463F" w:rsidRDefault="004F37AB" w:rsidP="004F37AB">
            <w:pPr>
              <w:widowControl w:val="0"/>
              <w:autoSpaceDE w:val="0"/>
              <w:autoSpaceDN w:val="0"/>
              <w:adjustRightInd w:val="0"/>
            </w:pPr>
          </w:p>
        </w:tc>
        <w:tc>
          <w:tcPr>
            <w:tcW w:w="1728" w:type="dxa"/>
            <w:tcBorders>
              <w:top w:val="nil"/>
              <w:left w:val="nil"/>
              <w:bottom w:val="nil"/>
              <w:right w:val="nil"/>
            </w:tcBorders>
          </w:tcPr>
          <w:p w14:paraId="60C9CE39" w14:textId="45F4AF90" w:rsidR="004F37AB" w:rsidRPr="0067463F" w:rsidRDefault="004F37AB" w:rsidP="004F37AB">
            <w:pPr>
              <w:widowControl w:val="0"/>
              <w:autoSpaceDE w:val="0"/>
              <w:autoSpaceDN w:val="0"/>
              <w:adjustRightInd w:val="0"/>
              <w:jc w:val="center"/>
            </w:pPr>
            <w:r>
              <w:t>(0.00305)</w:t>
            </w:r>
          </w:p>
        </w:tc>
        <w:tc>
          <w:tcPr>
            <w:tcW w:w="1728" w:type="dxa"/>
            <w:tcBorders>
              <w:top w:val="nil"/>
              <w:left w:val="nil"/>
              <w:bottom w:val="nil"/>
              <w:right w:val="nil"/>
            </w:tcBorders>
          </w:tcPr>
          <w:p w14:paraId="38F946E9" w14:textId="3568A041" w:rsidR="004F37AB" w:rsidRPr="0067463F" w:rsidRDefault="004F37AB" w:rsidP="004F37AB">
            <w:pPr>
              <w:widowControl w:val="0"/>
              <w:autoSpaceDE w:val="0"/>
              <w:autoSpaceDN w:val="0"/>
              <w:adjustRightInd w:val="0"/>
              <w:jc w:val="center"/>
            </w:pPr>
            <w:r>
              <w:t>(0.00304)</w:t>
            </w:r>
          </w:p>
        </w:tc>
      </w:tr>
      <w:tr w:rsidR="004F37AB" w:rsidRPr="0067463F" w14:paraId="2427182E" w14:textId="77777777" w:rsidTr="00955A25">
        <w:trPr>
          <w:jc w:val="center"/>
        </w:trPr>
        <w:tc>
          <w:tcPr>
            <w:tcW w:w="3674" w:type="dxa"/>
            <w:tcBorders>
              <w:top w:val="nil"/>
              <w:left w:val="nil"/>
              <w:bottom w:val="nil"/>
              <w:right w:val="nil"/>
            </w:tcBorders>
          </w:tcPr>
          <w:p w14:paraId="0F9320C2" w14:textId="77777777" w:rsidR="004F37AB" w:rsidRPr="0067463F" w:rsidRDefault="004F37AB" w:rsidP="004F37AB">
            <w:pPr>
              <w:widowControl w:val="0"/>
              <w:autoSpaceDE w:val="0"/>
              <w:autoSpaceDN w:val="0"/>
              <w:adjustRightInd w:val="0"/>
            </w:pPr>
            <w:r w:rsidRPr="0067463F">
              <w:t>Human Capital</w:t>
            </w:r>
          </w:p>
        </w:tc>
        <w:tc>
          <w:tcPr>
            <w:tcW w:w="1728" w:type="dxa"/>
            <w:tcBorders>
              <w:top w:val="nil"/>
              <w:left w:val="nil"/>
              <w:bottom w:val="nil"/>
              <w:right w:val="nil"/>
            </w:tcBorders>
          </w:tcPr>
          <w:p w14:paraId="1A5C71CB" w14:textId="593F379B" w:rsidR="004F37AB" w:rsidRPr="0067463F" w:rsidRDefault="004F37AB" w:rsidP="004F37AB">
            <w:pPr>
              <w:widowControl w:val="0"/>
              <w:autoSpaceDE w:val="0"/>
              <w:autoSpaceDN w:val="0"/>
              <w:adjustRightInd w:val="0"/>
              <w:jc w:val="center"/>
            </w:pPr>
            <w:r>
              <w:t>0.00276</w:t>
            </w:r>
          </w:p>
        </w:tc>
        <w:tc>
          <w:tcPr>
            <w:tcW w:w="1728" w:type="dxa"/>
            <w:tcBorders>
              <w:top w:val="nil"/>
              <w:left w:val="nil"/>
              <w:bottom w:val="nil"/>
              <w:right w:val="nil"/>
            </w:tcBorders>
          </w:tcPr>
          <w:p w14:paraId="67863EE0" w14:textId="1B122315" w:rsidR="004F37AB" w:rsidRPr="0067463F" w:rsidRDefault="004F37AB" w:rsidP="004F37AB">
            <w:pPr>
              <w:widowControl w:val="0"/>
              <w:autoSpaceDE w:val="0"/>
              <w:autoSpaceDN w:val="0"/>
              <w:adjustRightInd w:val="0"/>
              <w:jc w:val="center"/>
            </w:pPr>
            <w:r>
              <w:t>0.00266</w:t>
            </w:r>
          </w:p>
        </w:tc>
      </w:tr>
      <w:tr w:rsidR="004F37AB" w:rsidRPr="0067463F" w14:paraId="3041D57B" w14:textId="77777777" w:rsidTr="00955A25">
        <w:trPr>
          <w:jc w:val="center"/>
        </w:trPr>
        <w:tc>
          <w:tcPr>
            <w:tcW w:w="3674" w:type="dxa"/>
            <w:tcBorders>
              <w:top w:val="nil"/>
              <w:left w:val="nil"/>
              <w:bottom w:val="nil"/>
              <w:right w:val="nil"/>
            </w:tcBorders>
          </w:tcPr>
          <w:p w14:paraId="0AD75968" w14:textId="77777777" w:rsidR="004F37AB" w:rsidRPr="0067463F" w:rsidRDefault="004F37AB" w:rsidP="004F37AB">
            <w:pPr>
              <w:widowControl w:val="0"/>
              <w:autoSpaceDE w:val="0"/>
              <w:autoSpaceDN w:val="0"/>
              <w:adjustRightInd w:val="0"/>
            </w:pPr>
          </w:p>
        </w:tc>
        <w:tc>
          <w:tcPr>
            <w:tcW w:w="1728" w:type="dxa"/>
            <w:tcBorders>
              <w:top w:val="nil"/>
              <w:left w:val="nil"/>
              <w:bottom w:val="nil"/>
              <w:right w:val="nil"/>
            </w:tcBorders>
          </w:tcPr>
          <w:p w14:paraId="028DA335" w14:textId="0B6535C3" w:rsidR="004F37AB" w:rsidRPr="0067463F" w:rsidRDefault="004F37AB" w:rsidP="004F37AB">
            <w:pPr>
              <w:widowControl w:val="0"/>
              <w:autoSpaceDE w:val="0"/>
              <w:autoSpaceDN w:val="0"/>
              <w:adjustRightInd w:val="0"/>
              <w:jc w:val="center"/>
            </w:pPr>
            <w:r>
              <w:t>(0.00224)</w:t>
            </w:r>
          </w:p>
        </w:tc>
        <w:tc>
          <w:tcPr>
            <w:tcW w:w="1728" w:type="dxa"/>
            <w:tcBorders>
              <w:top w:val="nil"/>
              <w:left w:val="nil"/>
              <w:bottom w:val="nil"/>
              <w:right w:val="nil"/>
            </w:tcBorders>
          </w:tcPr>
          <w:p w14:paraId="0EBAD31E" w14:textId="672A1726" w:rsidR="004F37AB" w:rsidRPr="0067463F" w:rsidRDefault="004F37AB" w:rsidP="004F37AB">
            <w:pPr>
              <w:widowControl w:val="0"/>
              <w:autoSpaceDE w:val="0"/>
              <w:autoSpaceDN w:val="0"/>
              <w:adjustRightInd w:val="0"/>
              <w:jc w:val="center"/>
            </w:pPr>
            <w:r>
              <w:t>(0.00224)</w:t>
            </w:r>
          </w:p>
        </w:tc>
      </w:tr>
      <w:tr w:rsidR="004F37AB" w:rsidRPr="0067463F" w14:paraId="7C64D522" w14:textId="77777777" w:rsidTr="00955A25">
        <w:trPr>
          <w:jc w:val="center"/>
        </w:trPr>
        <w:tc>
          <w:tcPr>
            <w:tcW w:w="3674" w:type="dxa"/>
            <w:tcBorders>
              <w:top w:val="nil"/>
              <w:left w:val="nil"/>
              <w:bottom w:val="nil"/>
              <w:right w:val="nil"/>
            </w:tcBorders>
          </w:tcPr>
          <w:p w14:paraId="68A7A746" w14:textId="77777777" w:rsidR="004F37AB" w:rsidRPr="0067463F" w:rsidRDefault="004F37AB" w:rsidP="004F37AB">
            <w:pPr>
              <w:widowControl w:val="0"/>
              <w:autoSpaceDE w:val="0"/>
              <w:autoSpaceDN w:val="0"/>
              <w:adjustRightInd w:val="0"/>
            </w:pPr>
            <w:r w:rsidRPr="0067463F">
              <w:t>R&amp;D intensity</w:t>
            </w:r>
          </w:p>
        </w:tc>
        <w:tc>
          <w:tcPr>
            <w:tcW w:w="1728" w:type="dxa"/>
            <w:tcBorders>
              <w:top w:val="nil"/>
              <w:left w:val="nil"/>
              <w:bottom w:val="nil"/>
              <w:right w:val="nil"/>
            </w:tcBorders>
          </w:tcPr>
          <w:p w14:paraId="02C90F3C" w14:textId="3DA419B5" w:rsidR="004F37AB" w:rsidRPr="0067463F" w:rsidRDefault="004F37AB" w:rsidP="004F37AB">
            <w:pPr>
              <w:widowControl w:val="0"/>
              <w:autoSpaceDE w:val="0"/>
              <w:autoSpaceDN w:val="0"/>
              <w:adjustRightInd w:val="0"/>
              <w:jc w:val="center"/>
            </w:pPr>
            <w:r>
              <w:t>35.31*</w:t>
            </w:r>
          </w:p>
        </w:tc>
        <w:tc>
          <w:tcPr>
            <w:tcW w:w="1728" w:type="dxa"/>
            <w:tcBorders>
              <w:top w:val="nil"/>
              <w:left w:val="nil"/>
              <w:bottom w:val="nil"/>
              <w:right w:val="nil"/>
            </w:tcBorders>
          </w:tcPr>
          <w:p w14:paraId="765A2C5D" w14:textId="5B7B0B38" w:rsidR="004F37AB" w:rsidRPr="0067463F" w:rsidRDefault="004F37AB" w:rsidP="004F37AB">
            <w:pPr>
              <w:widowControl w:val="0"/>
              <w:autoSpaceDE w:val="0"/>
              <w:autoSpaceDN w:val="0"/>
              <w:adjustRightInd w:val="0"/>
              <w:jc w:val="center"/>
            </w:pPr>
            <w:r>
              <w:t>35.42*</w:t>
            </w:r>
          </w:p>
        </w:tc>
      </w:tr>
      <w:tr w:rsidR="004F37AB" w:rsidRPr="0067463F" w14:paraId="0042140D" w14:textId="77777777" w:rsidTr="00955A25">
        <w:trPr>
          <w:jc w:val="center"/>
        </w:trPr>
        <w:tc>
          <w:tcPr>
            <w:tcW w:w="3674" w:type="dxa"/>
            <w:tcBorders>
              <w:top w:val="nil"/>
              <w:left w:val="nil"/>
              <w:bottom w:val="nil"/>
              <w:right w:val="nil"/>
            </w:tcBorders>
          </w:tcPr>
          <w:p w14:paraId="4351791B" w14:textId="77777777" w:rsidR="004F37AB" w:rsidRPr="0067463F" w:rsidRDefault="004F37AB" w:rsidP="004F37AB">
            <w:pPr>
              <w:widowControl w:val="0"/>
              <w:autoSpaceDE w:val="0"/>
              <w:autoSpaceDN w:val="0"/>
              <w:adjustRightInd w:val="0"/>
            </w:pPr>
          </w:p>
        </w:tc>
        <w:tc>
          <w:tcPr>
            <w:tcW w:w="1728" w:type="dxa"/>
            <w:tcBorders>
              <w:top w:val="nil"/>
              <w:left w:val="nil"/>
              <w:bottom w:val="nil"/>
              <w:right w:val="nil"/>
            </w:tcBorders>
          </w:tcPr>
          <w:p w14:paraId="279FCF1C" w14:textId="0A290554" w:rsidR="004F37AB" w:rsidRPr="0067463F" w:rsidRDefault="004F37AB" w:rsidP="004F37AB">
            <w:pPr>
              <w:widowControl w:val="0"/>
              <w:autoSpaceDE w:val="0"/>
              <w:autoSpaceDN w:val="0"/>
              <w:adjustRightInd w:val="0"/>
              <w:jc w:val="center"/>
            </w:pPr>
            <w:r>
              <w:t>(17.95)</w:t>
            </w:r>
          </w:p>
        </w:tc>
        <w:tc>
          <w:tcPr>
            <w:tcW w:w="1728" w:type="dxa"/>
            <w:tcBorders>
              <w:top w:val="nil"/>
              <w:left w:val="nil"/>
              <w:bottom w:val="nil"/>
              <w:right w:val="nil"/>
            </w:tcBorders>
          </w:tcPr>
          <w:p w14:paraId="38D937E5" w14:textId="317A7B51" w:rsidR="004F37AB" w:rsidRPr="0067463F" w:rsidRDefault="004F37AB" w:rsidP="004F37AB">
            <w:pPr>
              <w:widowControl w:val="0"/>
              <w:autoSpaceDE w:val="0"/>
              <w:autoSpaceDN w:val="0"/>
              <w:adjustRightInd w:val="0"/>
              <w:jc w:val="center"/>
            </w:pPr>
            <w:r>
              <w:t>(18.04)</w:t>
            </w:r>
          </w:p>
        </w:tc>
      </w:tr>
      <w:tr w:rsidR="004F37AB" w:rsidRPr="0067463F" w14:paraId="44001EDD" w14:textId="77777777" w:rsidTr="00955A25">
        <w:trPr>
          <w:jc w:val="center"/>
        </w:trPr>
        <w:tc>
          <w:tcPr>
            <w:tcW w:w="3674" w:type="dxa"/>
            <w:tcBorders>
              <w:top w:val="nil"/>
              <w:left w:val="nil"/>
              <w:bottom w:val="nil"/>
              <w:right w:val="nil"/>
            </w:tcBorders>
          </w:tcPr>
          <w:p w14:paraId="0207F19F" w14:textId="77777777" w:rsidR="004F37AB" w:rsidRPr="0067463F" w:rsidRDefault="004F37AB" w:rsidP="004F37AB">
            <w:pPr>
              <w:widowControl w:val="0"/>
              <w:autoSpaceDE w:val="0"/>
              <w:autoSpaceDN w:val="0"/>
              <w:adjustRightInd w:val="0"/>
            </w:pPr>
            <w:r w:rsidRPr="0067463F">
              <w:t>Product Innovation</w:t>
            </w:r>
          </w:p>
        </w:tc>
        <w:tc>
          <w:tcPr>
            <w:tcW w:w="1728" w:type="dxa"/>
            <w:tcBorders>
              <w:top w:val="nil"/>
              <w:left w:val="nil"/>
              <w:bottom w:val="nil"/>
              <w:right w:val="nil"/>
            </w:tcBorders>
          </w:tcPr>
          <w:p w14:paraId="05CD0B67" w14:textId="34565701" w:rsidR="004F37AB" w:rsidRPr="0067463F" w:rsidRDefault="004F37AB" w:rsidP="004F37AB">
            <w:pPr>
              <w:widowControl w:val="0"/>
              <w:autoSpaceDE w:val="0"/>
              <w:autoSpaceDN w:val="0"/>
              <w:adjustRightInd w:val="0"/>
              <w:jc w:val="center"/>
            </w:pPr>
            <w:r>
              <w:t>0.0293</w:t>
            </w:r>
          </w:p>
        </w:tc>
        <w:tc>
          <w:tcPr>
            <w:tcW w:w="1728" w:type="dxa"/>
            <w:tcBorders>
              <w:top w:val="nil"/>
              <w:left w:val="nil"/>
              <w:bottom w:val="nil"/>
              <w:right w:val="nil"/>
            </w:tcBorders>
          </w:tcPr>
          <w:p w14:paraId="263B1778" w14:textId="1B0C947D" w:rsidR="004F37AB" w:rsidRPr="0067463F" w:rsidRDefault="004F37AB" w:rsidP="004F37AB">
            <w:pPr>
              <w:widowControl w:val="0"/>
              <w:autoSpaceDE w:val="0"/>
              <w:autoSpaceDN w:val="0"/>
              <w:adjustRightInd w:val="0"/>
              <w:jc w:val="center"/>
            </w:pPr>
            <w:r>
              <w:t>0.0287</w:t>
            </w:r>
          </w:p>
        </w:tc>
      </w:tr>
      <w:tr w:rsidR="004F37AB" w:rsidRPr="0067463F" w14:paraId="1BE00559" w14:textId="77777777" w:rsidTr="00955A25">
        <w:trPr>
          <w:jc w:val="center"/>
        </w:trPr>
        <w:tc>
          <w:tcPr>
            <w:tcW w:w="3674" w:type="dxa"/>
            <w:tcBorders>
              <w:top w:val="nil"/>
              <w:left w:val="nil"/>
              <w:bottom w:val="nil"/>
              <w:right w:val="nil"/>
            </w:tcBorders>
          </w:tcPr>
          <w:p w14:paraId="53ACD252" w14:textId="77777777" w:rsidR="004F37AB" w:rsidRPr="0067463F" w:rsidRDefault="004F37AB" w:rsidP="004F37AB">
            <w:pPr>
              <w:widowControl w:val="0"/>
              <w:autoSpaceDE w:val="0"/>
              <w:autoSpaceDN w:val="0"/>
              <w:adjustRightInd w:val="0"/>
            </w:pPr>
          </w:p>
        </w:tc>
        <w:tc>
          <w:tcPr>
            <w:tcW w:w="1728" w:type="dxa"/>
            <w:tcBorders>
              <w:top w:val="nil"/>
              <w:left w:val="nil"/>
              <w:bottom w:val="nil"/>
              <w:right w:val="nil"/>
            </w:tcBorders>
          </w:tcPr>
          <w:p w14:paraId="280D87A1" w14:textId="14622580" w:rsidR="004F37AB" w:rsidRPr="0067463F" w:rsidRDefault="004F37AB" w:rsidP="004F37AB">
            <w:pPr>
              <w:widowControl w:val="0"/>
              <w:autoSpaceDE w:val="0"/>
              <w:autoSpaceDN w:val="0"/>
              <w:adjustRightInd w:val="0"/>
              <w:jc w:val="center"/>
            </w:pPr>
            <w:r>
              <w:t>(0.118)</w:t>
            </w:r>
          </w:p>
        </w:tc>
        <w:tc>
          <w:tcPr>
            <w:tcW w:w="1728" w:type="dxa"/>
            <w:tcBorders>
              <w:top w:val="nil"/>
              <w:left w:val="nil"/>
              <w:bottom w:val="nil"/>
              <w:right w:val="nil"/>
            </w:tcBorders>
          </w:tcPr>
          <w:p w14:paraId="2A18FE49" w14:textId="41BE1BCE" w:rsidR="004F37AB" w:rsidRPr="0067463F" w:rsidRDefault="004F37AB" w:rsidP="004F37AB">
            <w:pPr>
              <w:widowControl w:val="0"/>
              <w:autoSpaceDE w:val="0"/>
              <w:autoSpaceDN w:val="0"/>
              <w:adjustRightInd w:val="0"/>
              <w:jc w:val="center"/>
            </w:pPr>
            <w:r>
              <w:t>(0.118)</w:t>
            </w:r>
          </w:p>
        </w:tc>
      </w:tr>
      <w:tr w:rsidR="004F37AB" w:rsidRPr="0067463F" w14:paraId="1400C24F" w14:textId="77777777" w:rsidTr="00955A25">
        <w:trPr>
          <w:jc w:val="center"/>
        </w:trPr>
        <w:tc>
          <w:tcPr>
            <w:tcW w:w="3674" w:type="dxa"/>
            <w:tcBorders>
              <w:top w:val="nil"/>
              <w:left w:val="nil"/>
              <w:bottom w:val="nil"/>
              <w:right w:val="nil"/>
            </w:tcBorders>
          </w:tcPr>
          <w:p w14:paraId="7C39DE1A" w14:textId="77777777" w:rsidR="004F37AB" w:rsidRPr="0067463F" w:rsidRDefault="004F37AB" w:rsidP="004F37AB">
            <w:pPr>
              <w:widowControl w:val="0"/>
              <w:autoSpaceDE w:val="0"/>
              <w:autoSpaceDN w:val="0"/>
              <w:adjustRightInd w:val="0"/>
            </w:pPr>
            <w:r w:rsidRPr="0067463F">
              <w:t>Process Innovation</w:t>
            </w:r>
          </w:p>
        </w:tc>
        <w:tc>
          <w:tcPr>
            <w:tcW w:w="1728" w:type="dxa"/>
            <w:tcBorders>
              <w:top w:val="nil"/>
              <w:left w:val="nil"/>
              <w:bottom w:val="nil"/>
              <w:right w:val="nil"/>
            </w:tcBorders>
          </w:tcPr>
          <w:p w14:paraId="530A832E" w14:textId="12F29BE3" w:rsidR="004F37AB" w:rsidRPr="0067463F" w:rsidRDefault="004F37AB" w:rsidP="004F37AB">
            <w:pPr>
              <w:widowControl w:val="0"/>
              <w:autoSpaceDE w:val="0"/>
              <w:autoSpaceDN w:val="0"/>
              <w:adjustRightInd w:val="0"/>
              <w:jc w:val="center"/>
            </w:pPr>
            <w:r>
              <w:t>0.146</w:t>
            </w:r>
          </w:p>
        </w:tc>
        <w:tc>
          <w:tcPr>
            <w:tcW w:w="1728" w:type="dxa"/>
            <w:tcBorders>
              <w:top w:val="nil"/>
              <w:left w:val="nil"/>
              <w:bottom w:val="nil"/>
              <w:right w:val="nil"/>
            </w:tcBorders>
          </w:tcPr>
          <w:p w14:paraId="55575FBD" w14:textId="0DA28D31" w:rsidR="004F37AB" w:rsidRPr="0067463F" w:rsidRDefault="004F37AB" w:rsidP="004F37AB">
            <w:pPr>
              <w:widowControl w:val="0"/>
              <w:autoSpaceDE w:val="0"/>
              <w:autoSpaceDN w:val="0"/>
              <w:adjustRightInd w:val="0"/>
              <w:jc w:val="center"/>
            </w:pPr>
            <w:r>
              <w:t>0.129</w:t>
            </w:r>
          </w:p>
        </w:tc>
      </w:tr>
      <w:tr w:rsidR="004F37AB" w:rsidRPr="0067463F" w14:paraId="6B333FD0" w14:textId="77777777" w:rsidTr="00955A25">
        <w:trPr>
          <w:jc w:val="center"/>
        </w:trPr>
        <w:tc>
          <w:tcPr>
            <w:tcW w:w="3674" w:type="dxa"/>
            <w:tcBorders>
              <w:top w:val="nil"/>
              <w:left w:val="nil"/>
              <w:bottom w:val="nil"/>
              <w:right w:val="nil"/>
            </w:tcBorders>
          </w:tcPr>
          <w:p w14:paraId="7C2B12B5" w14:textId="77777777" w:rsidR="004F37AB" w:rsidRPr="0067463F" w:rsidRDefault="004F37AB" w:rsidP="004F37AB">
            <w:pPr>
              <w:widowControl w:val="0"/>
              <w:autoSpaceDE w:val="0"/>
              <w:autoSpaceDN w:val="0"/>
              <w:adjustRightInd w:val="0"/>
            </w:pPr>
          </w:p>
        </w:tc>
        <w:tc>
          <w:tcPr>
            <w:tcW w:w="1728" w:type="dxa"/>
            <w:tcBorders>
              <w:top w:val="nil"/>
              <w:left w:val="nil"/>
              <w:bottom w:val="nil"/>
              <w:right w:val="nil"/>
            </w:tcBorders>
          </w:tcPr>
          <w:p w14:paraId="1B79AAEF" w14:textId="52D28DD1" w:rsidR="004F37AB" w:rsidRPr="0067463F" w:rsidRDefault="004F37AB" w:rsidP="004F37AB">
            <w:pPr>
              <w:widowControl w:val="0"/>
              <w:autoSpaceDE w:val="0"/>
              <w:autoSpaceDN w:val="0"/>
              <w:adjustRightInd w:val="0"/>
              <w:jc w:val="center"/>
            </w:pPr>
            <w:r>
              <w:t>(0.115)</w:t>
            </w:r>
          </w:p>
        </w:tc>
        <w:tc>
          <w:tcPr>
            <w:tcW w:w="1728" w:type="dxa"/>
            <w:tcBorders>
              <w:top w:val="nil"/>
              <w:left w:val="nil"/>
              <w:bottom w:val="nil"/>
              <w:right w:val="nil"/>
            </w:tcBorders>
          </w:tcPr>
          <w:p w14:paraId="259F4BFF" w14:textId="36E74F05" w:rsidR="004F37AB" w:rsidRPr="0067463F" w:rsidRDefault="004F37AB" w:rsidP="004F37AB">
            <w:pPr>
              <w:widowControl w:val="0"/>
              <w:autoSpaceDE w:val="0"/>
              <w:autoSpaceDN w:val="0"/>
              <w:adjustRightInd w:val="0"/>
              <w:jc w:val="center"/>
            </w:pPr>
            <w:r>
              <w:t>(0.115)</w:t>
            </w:r>
          </w:p>
        </w:tc>
      </w:tr>
      <w:tr w:rsidR="004F37AB" w:rsidRPr="0067463F" w14:paraId="0C9D0471" w14:textId="77777777" w:rsidTr="00955A25">
        <w:trPr>
          <w:jc w:val="center"/>
        </w:trPr>
        <w:tc>
          <w:tcPr>
            <w:tcW w:w="3674" w:type="dxa"/>
            <w:tcBorders>
              <w:top w:val="nil"/>
              <w:left w:val="nil"/>
              <w:bottom w:val="nil"/>
              <w:right w:val="nil"/>
            </w:tcBorders>
          </w:tcPr>
          <w:p w14:paraId="3850F137" w14:textId="77777777" w:rsidR="004F37AB" w:rsidRPr="0067463F" w:rsidRDefault="004F37AB" w:rsidP="004F37AB">
            <w:pPr>
              <w:widowControl w:val="0"/>
              <w:autoSpaceDE w:val="0"/>
              <w:autoSpaceDN w:val="0"/>
              <w:adjustRightInd w:val="0"/>
            </w:pPr>
            <w:r w:rsidRPr="004C45E1">
              <w:t>Sectoral growth</w:t>
            </w:r>
          </w:p>
        </w:tc>
        <w:tc>
          <w:tcPr>
            <w:tcW w:w="1728" w:type="dxa"/>
            <w:tcBorders>
              <w:top w:val="nil"/>
              <w:left w:val="nil"/>
              <w:bottom w:val="nil"/>
              <w:right w:val="nil"/>
            </w:tcBorders>
          </w:tcPr>
          <w:p w14:paraId="14429C21" w14:textId="44CB2591" w:rsidR="004F37AB" w:rsidRPr="0067463F" w:rsidRDefault="004F37AB" w:rsidP="004F37AB">
            <w:pPr>
              <w:widowControl w:val="0"/>
              <w:autoSpaceDE w:val="0"/>
              <w:autoSpaceDN w:val="0"/>
              <w:adjustRightInd w:val="0"/>
              <w:jc w:val="center"/>
            </w:pPr>
            <w:r>
              <w:t>8.13e-06</w:t>
            </w:r>
          </w:p>
        </w:tc>
        <w:tc>
          <w:tcPr>
            <w:tcW w:w="1728" w:type="dxa"/>
            <w:tcBorders>
              <w:top w:val="nil"/>
              <w:left w:val="nil"/>
              <w:bottom w:val="nil"/>
              <w:right w:val="nil"/>
            </w:tcBorders>
          </w:tcPr>
          <w:p w14:paraId="5A6C6CF6" w14:textId="318AA9DA" w:rsidR="004F37AB" w:rsidRPr="0067463F" w:rsidRDefault="004F37AB" w:rsidP="004F37AB">
            <w:pPr>
              <w:widowControl w:val="0"/>
              <w:autoSpaceDE w:val="0"/>
              <w:autoSpaceDN w:val="0"/>
              <w:adjustRightInd w:val="0"/>
              <w:jc w:val="center"/>
            </w:pPr>
            <w:r>
              <w:t>1.56e-05</w:t>
            </w:r>
          </w:p>
        </w:tc>
      </w:tr>
      <w:tr w:rsidR="004F37AB" w:rsidRPr="0067463F" w14:paraId="7FF58EB4" w14:textId="77777777" w:rsidTr="00955A25">
        <w:trPr>
          <w:jc w:val="center"/>
        </w:trPr>
        <w:tc>
          <w:tcPr>
            <w:tcW w:w="3674" w:type="dxa"/>
            <w:tcBorders>
              <w:top w:val="nil"/>
              <w:left w:val="nil"/>
              <w:bottom w:val="nil"/>
              <w:right w:val="nil"/>
            </w:tcBorders>
          </w:tcPr>
          <w:p w14:paraId="7EC02C2D" w14:textId="77777777" w:rsidR="004F37AB" w:rsidRPr="0067463F" w:rsidRDefault="004F37AB" w:rsidP="004F37AB">
            <w:pPr>
              <w:widowControl w:val="0"/>
              <w:autoSpaceDE w:val="0"/>
              <w:autoSpaceDN w:val="0"/>
              <w:adjustRightInd w:val="0"/>
            </w:pPr>
          </w:p>
        </w:tc>
        <w:tc>
          <w:tcPr>
            <w:tcW w:w="1728" w:type="dxa"/>
            <w:tcBorders>
              <w:top w:val="nil"/>
              <w:left w:val="nil"/>
              <w:bottom w:val="nil"/>
              <w:right w:val="nil"/>
            </w:tcBorders>
          </w:tcPr>
          <w:p w14:paraId="2D6BC557" w14:textId="14335866" w:rsidR="004F37AB" w:rsidRPr="0067463F" w:rsidRDefault="004F37AB" w:rsidP="004F37AB">
            <w:pPr>
              <w:widowControl w:val="0"/>
              <w:autoSpaceDE w:val="0"/>
              <w:autoSpaceDN w:val="0"/>
              <w:adjustRightInd w:val="0"/>
              <w:jc w:val="center"/>
            </w:pPr>
            <w:r>
              <w:t>(0.000111)</w:t>
            </w:r>
          </w:p>
        </w:tc>
        <w:tc>
          <w:tcPr>
            <w:tcW w:w="1728" w:type="dxa"/>
            <w:tcBorders>
              <w:top w:val="nil"/>
              <w:left w:val="nil"/>
              <w:bottom w:val="nil"/>
              <w:right w:val="nil"/>
            </w:tcBorders>
          </w:tcPr>
          <w:p w14:paraId="1A7E7259" w14:textId="087491A6" w:rsidR="004F37AB" w:rsidRPr="0067463F" w:rsidRDefault="004F37AB" w:rsidP="004F37AB">
            <w:pPr>
              <w:widowControl w:val="0"/>
              <w:autoSpaceDE w:val="0"/>
              <w:autoSpaceDN w:val="0"/>
              <w:adjustRightInd w:val="0"/>
              <w:jc w:val="center"/>
            </w:pPr>
            <w:r>
              <w:t>(0.000110)</w:t>
            </w:r>
          </w:p>
        </w:tc>
      </w:tr>
      <w:tr w:rsidR="004F37AB" w:rsidRPr="0067463F" w14:paraId="5C84930D" w14:textId="77777777" w:rsidTr="00955A25">
        <w:trPr>
          <w:jc w:val="center"/>
        </w:trPr>
        <w:tc>
          <w:tcPr>
            <w:tcW w:w="3674" w:type="dxa"/>
            <w:tcBorders>
              <w:top w:val="nil"/>
              <w:left w:val="nil"/>
              <w:bottom w:val="nil"/>
              <w:right w:val="nil"/>
            </w:tcBorders>
          </w:tcPr>
          <w:p w14:paraId="0A708F72" w14:textId="77777777" w:rsidR="004F37AB" w:rsidRPr="0067463F" w:rsidRDefault="004F37AB" w:rsidP="004F37AB">
            <w:pPr>
              <w:widowControl w:val="0"/>
              <w:autoSpaceDE w:val="0"/>
              <w:autoSpaceDN w:val="0"/>
              <w:adjustRightInd w:val="0"/>
            </w:pPr>
            <w:r w:rsidRPr="0067463F">
              <w:t>Constant</w:t>
            </w:r>
          </w:p>
        </w:tc>
        <w:tc>
          <w:tcPr>
            <w:tcW w:w="1728" w:type="dxa"/>
            <w:tcBorders>
              <w:top w:val="nil"/>
              <w:left w:val="nil"/>
              <w:bottom w:val="nil"/>
              <w:right w:val="nil"/>
            </w:tcBorders>
          </w:tcPr>
          <w:p w14:paraId="1B3BCC3A" w14:textId="723E47FA" w:rsidR="004F37AB" w:rsidRPr="0067463F" w:rsidRDefault="004F37AB" w:rsidP="004F37AB">
            <w:pPr>
              <w:widowControl w:val="0"/>
              <w:autoSpaceDE w:val="0"/>
              <w:autoSpaceDN w:val="0"/>
              <w:adjustRightInd w:val="0"/>
              <w:jc w:val="center"/>
            </w:pPr>
            <w:r>
              <w:t>1.346</w:t>
            </w:r>
          </w:p>
        </w:tc>
        <w:tc>
          <w:tcPr>
            <w:tcW w:w="1728" w:type="dxa"/>
            <w:tcBorders>
              <w:top w:val="nil"/>
              <w:left w:val="nil"/>
              <w:bottom w:val="nil"/>
              <w:right w:val="nil"/>
            </w:tcBorders>
          </w:tcPr>
          <w:p w14:paraId="60168F4E" w14:textId="1FD977E1" w:rsidR="004F37AB" w:rsidRPr="0067463F" w:rsidRDefault="004F37AB" w:rsidP="004F37AB">
            <w:pPr>
              <w:widowControl w:val="0"/>
              <w:autoSpaceDE w:val="0"/>
              <w:autoSpaceDN w:val="0"/>
              <w:adjustRightInd w:val="0"/>
              <w:jc w:val="center"/>
            </w:pPr>
            <w:r>
              <w:t>1.268</w:t>
            </w:r>
          </w:p>
        </w:tc>
      </w:tr>
      <w:tr w:rsidR="004F37AB" w:rsidRPr="0067463F" w14:paraId="7A71432E" w14:textId="77777777" w:rsidTr="00955A25">
        <w:trPr>
          <w:jc w:val="center"/>
        </w:trPr>
        <w:tc>
          <w:tcPr>
            <w:tcW w:w="3674" w:type="dxa"/>
            <w:tcBorders>
              <w:top w:val="nil"/>
              <w:left w:val="nil"/>
              <w:bottom w:val="nil"/>
              <w:right w:val="nil"/>
            </w:tcBorders>
          </w:tcPr>
          <w:p w14:paraId="650A5341" w14:textId="77777777" w:rsidR="004F37AB" w:rsidRPr="0067463F" w:rsidRDefault="004F37AB" w:rsidP="004F37AB">
            <w:pPr>
              <w:widowControl w:val="0"/>
              <w:autoSpaceDE w:val="0"/>
              <w:autoSpaceDN w:val="0"/>
              <w:adjustRightInd w:val="0"/>
            </w:pPr>
          </w:p>
        </w:tc>
        <w:tc>
          <w:tcPr>
            <w:tcW w:w="1728" w:type="dxa"/>
            <w:tcBorders>
              <w:top w:val="nil"/>
              <w:left w:val="nil"/>
              <w:bottom w:val="nil"/>
              <w:right w:val="nil"/>
            </w:tcBorders>
          </w:tcPr>
          <w:p w14:paraId="5828D647" w14:textId="37113648" w:rsidR="004F37AB" w:rsidRPr="0067463F" w:rsidRDefault="004F37AB" w:rsidP="004F37AB">
            <w:pPr>
              <w:widowControl w:val="0"/>
              <w:autoSpaceDE w:val="0"/>
              <w:autoSpaceDN w:val="0"/>
              <w:adjustRightInd w:val="0"/>
              <w:jc w:val="center"/>
            </w:pPr>
            <w:r>
              <w:t>(0.921)</w:t>
            </w:r>
          </w:p>
        </w:tc>
        <w:tc>
          <w:tcPr>
            <w:tcW w:w="1728" w:type="dxa"/>
            <w:tcBorders>
              <w:top w:val="nil"/>
              <w:left w:val="nil"/>
              <w:bottom w:val="nil"/>
              <w:right w:val="nil"/>
            </w:tcBorders>
          </w:tcPr>
          <w:p w14:paraId="31B150B0" w14:textId="2F992E1B" w:rsidR="004F37AB" w:rsidRPr="0067463F" w:rsidRDefault="004F37AB" w:rsidP="004F37AB">
            <w:pPr>
              <w:widowControl w:val="0"/>
              <w:autoSpaceDE w:val="0"/>
              <w:autoSpaceDN w:val="0"/>
              <w:adjustRightInd w:val="0"/>
              <w:jc w:val="center"/>
            </w:pPr>
            <w:r>
              <w:t>(0.923)</w:t>
            </w:r>
          </w:p>
        </w:tc>
      </w:tr>
      <w:tr w:rsidR="004F37AB" w:rsidRPr="0067463F" w14:paraId="0523667A" w14:textId="77777777" w:rsidTr="00955A25">
        <w:trPr>
          <w:jc w:val="center"/>
        </w:trPr>
        <w:tc>
          <w:tcPr>
            <w:tcW w:w="3674" w:type="dxa"/>
            <w:tcBorders>
              <w:top w:val="nil"/>
              <w:left w:val="nil"/>
              <w:right w:val="nil"/>
            </w:tcBorders>
          </w:tcPr>
          <w:p w14:paraId="662B3458" w14:textId="77777777" w:rsidR="004F37AB" w:rsidRPr="0067463F" w:rsidRDefault="004F37AB" w:rsidP="004F37AB">
            <w:pPr>
              <w:widowControl w:val="0"/>
              <w:autoSpaceDE w:val="0"/>
              <w:autoSpaceDN w:val="0"/>
              <w:adjustRightInd w:val="0"/>
            </w:pPr>
            <w:r w:rsidRPr="0067463F">
              <w:t>Observations</w:t>
            </w:r>
          </w:p>
        </w:tc>
        <w:tc>
          <w:tcPr>
            <w:tcW w:w="1728" w:type="dxa"/>
            <w:tcBorders>
              <w:top w:val="nil"/>
              <w:left w:val="nil"/>
              <w:right w:val="nil"/>
            </w:tcBorders>
          </w:tcPr>
          <w:p w14:paraId="2283FEE5" w14:textId="497BB1F4" w:rsidR="004F37AB" w:rsidRPr="0067463F" w:rsidRDefault="004F37AB" w:rsidP="004F37AB">
            <w:pPr>
              <w:widowControl w:val="0"/>
              <w:autoSpaceDE w:val="0"/>
              <w:autoSpaceDN w:val="0"/>
              <w:adjustRightInd w:val="0"/>
              <w:jc w:val="center"/>
            </w:pPr>
            <w:r>
              <w:t>725</w:t>
            </w:r>
          </w:p>
        </w:tc>
        <w:tc>
          <w:tcPr>
            <w:tcW w:w="1728" w:type="dxa"/>
            <w:tcBorders>
              <w:top w:val="nil"/>
              <w:left w:val="nil"/>
              <w:right w:val="nil"/>
            </w:tcBorders>
          </w:tcPr>
          <w:p w14:paraId="3CD65263" w14:textId="66FB1FF0" w:rsidR="004F37AB" w:rsidRPr="0067463F" w:rsidRDefault="004F37AB" w:rsidP="004F37AB">
            <w:pPr>
              <w:widowControl w:val="0"/>
              <w:autoSpaceDE w:val="0"/>
              <w:autoSpaceDN w:val="0"/>
              <w:adjustRightInd w:val="0"/>
              <w:jc w:val="center"/>
            </w:pPr>
            <w:r>
              <w:t>725</w:t>
            </w:r>
          </w:p>
        </w:tc>
      </w:tr>
      <w:tr w:rsidR="004F37AB" w:rsidRPr="0067463F" w14:paraId="2EAC2CF8" w14:textId="77777777" w:rsidTr="00955A25">
        <w:trPr>
          <w:jc w:val="center"/>
        </w:trPr>
        <w:tc>
          <w:tcPr>
            <w:tcW w:w="3674" w:type="dxa"/>
            <w:tcBorders>
              <w:top w:val="nil"/>
              <w:left w:val="nil"/>
              <w:right w:val="nil"/>
            </w:tcBorders>
          </w:tcPr>
          <w:p w14:paraId="2E901486" w14:textId="6624E7BD" w:rsidR="004F37AB" w:rsidRPr="0067463F" w:rsidRDefault="004F37AB" w:rsidP="004F37AB">
            <w:pPr>
              <w:widowControl w:val="0"/>
              <w:autoSpaceDE w:val="0"/>
              <w:autoSpaceDN w:val="0"/>
              <w:adjustRightInd w:val="0"/>
            </w:pPr>
            <w:r w:rsidRPr="004E14E9">
              <w:t>Adj R-squared</w:t>
            </w:r>
          </w:p>
        </w:tc>
        <w:tc>
          <w:tcPr>
            <w:tcW w:w="1728" w:type="dxa"/>
            <w:tcBorders>
              <w:top w:val="nil"/>
              <w:left w:val="nil"/>
              <w:right w:val="nil"/>
            </w:tcBorders>
          </w:tcPr>
          <w:p w14:paraId="68702DF2" w14:textId="60C92908" w:rsidR="004F37AB" w:rsidRDefault="004F37AB" w:rsidP="004F37AB">
            <w:pPr>
              <w:widowControl w:val="0"/>
              <w:autoSpaceDE w:val="0"/>
              <w:autoSpaceDN w:val="0"/>
              <w:adjustRightInd w:val="0"/>
              <w:jc w:val="center"/>
            </w:pPr>
            <w:r w:rsidRPr="004F37AB">
              <w:t>0.7397</w:t>
            </w:r>
          </w:p>
        </w:tc>
        <w:tc>
          <w:tcPr>
            <w:tcW w:w="1728" w:type="dxa"/>
            <w:tcBorders>
              <w:top w:val="nil"/>
              <w:left w:val="nil"/>
              <w:right w:val="nil"/>
            </w:tcBorders>
          </w:tcPr>
          <w:p w14:paraId="329F91E1" w14:textId="248DE764" w:rsidR="004F37AB" w:rsidRDefault="004F37AB" w:rsidP="004F37AB">
            <w:pPr>
              <w:widowControl w:val="0"/>
              <w:autoSpaceDE w:val="0"/>
              <w:autoSpaceDN w:val="0"/>
              <w:adjustRightInd w:val="0"/>
              <w:jc w:val="center"/>
            </w:pPr>
            <w:r w:rsidRPr="004F37AB">
              <w:t>0.741</w:t>
            </w:r>
            <w:r>
              <w:t>0</w:t>
            </w:r>
          </w:p>
        </w:tc>
      </w:tr>
      <w:tr w:rsidR="004F37AB" w:rsidRPr="0067463F" w14:paraId="5AF394AD" w14:textId="77777777" w:rsidTr="00955A25">
        <w:trPr>
          <w:jc w:val="center"/>
        </w:trPr>
        <w:tc>
          <w:tcPr>
            <w:tcW w:w="3674" w:type="dxa"/>
            <w:tcBorders>
              <w:top w:val="nil"/>
              <w:left w:val="nil"/>
              <w:bottom w:val="single" w:sz="4" w:space="0" w:color="auto"/>
              <w:right w:val="nil"/>
            </w:tcBorders>
          </w:tcPr>
          <w:p w14:paraId="3A1F06E0" w14:textId="0D129018" w:rsidR="004F37AB" w:rsidRPr="0067463F" w:rsidRDefault="004F37AB" w:rsidP="004F37AB">
            <w:pPr>
              <w:widowControl w:val="0"/>
              <w:autoSpaceDE w:val="0"/>
              <w:autoSpaceDN w:val="0"/>
              <w:adjustRightInd w:val="0"/>
            </w:pPr>
            <w:r>
              <w:t>F statistic</w:t>
            </w:r>
          </w:p>
        </w:tc>
        <w:tc>
          <w:tcPr>
            <w:tcW w:w="1728" w:type="dxa"/>
            <w:tcBorders>
              <w:top w:val="nil"/>
              <w:left w:val="nil"/>
              <w:bottom w:val="single" w:sz="4" w:space="0" w:color="auto"/>
              <w:right w:val="nil"/>
            </w:tcBorders>
          </w:tcPr>
          <w:p w14:paraId="53578DD3" w14:textId="7FF36D36" w:rsidR="004F37AB" w:rsidRPr="0067463F" w:rsidRDefault="004F37AB" w:rsidP="004F37AB">
            <w:pPr>
              <w:widowControl w:val="0"/>
              <w:autoSpaceDE w:val="0"/>
              <w:autoSpaceDN w:val="0"/>
              <w:adjustRightInd w:val="0"/>
              <w:jc w:val="center"/>
            </w:pPr>
            <w:r w:rsidRPr="004F37AB">
              <w:t>109.30</w:t>
            </w:r>
            <w:r>
              <w:t>***</w:t>
            </w:r>
          </w:p>
        </w:tc>
        <w:tc>
          <w:tcPr>
            <w:tcW w:w="1728" w:type="dxa"/>
            <w:tcBorders>
              <w:top w:val="nil"/>
              <w:left w:val="nil"/>
              <w:bottom w:val="single" w:sz="4" w:space="0" w:color="auto"/>
              <w:right w:val="nil"/>
            </w:tcBorders>
          </w:tcPr>
          <w:p w14:paraId="60E8B84F" w14:textId="7A7F845B" w:rsidR="004F37AB" w:rsidRPr="0067463F" w:rsidRDefault="004F37AB" w:rsidP="004F37AB">
            <w:pPr>
              <w:widowControl w:val="0"/>
              <w:autoSpaceDE w:val="0"/>
              <w:autoSpaceDN w:val="0"/>
              <w:adjustRightInd w:val="0"/>
              <w:jc w:val="center"/>
            </w:pPr>
            <w:r w:rsidRPr="004F37AB">
              <w:t>99.62</w:t>
            </w:r>
            <w:r>
              <w:t>***</w:t>
            </w:r>
          </w:p>
        </w:tc>
      </w:tr>
    </w:tbl>
    <w:p w14:paraId="4D9B92DA" w14:textId="77777777" w:rsidR="005E69E7" w:rsidRDefault="005E69E7" w:rsidP="005E69E7">
      <w:pPr>
        <w:widowControl w:val="0"/>
        <w:autoSpaceDE w:val="0"/>
        <w:autoSpaceDN w:val="0"/>
        <w:adjustRightInd w:val="0"/>
        <w:jc w:val="center"/>
      </w:pPr>
      <w:r>
        <w:t>Standard errors in parentheses</w:t>
      </w:r>
    </w:p>
    <w:p w14:paraId="6E0DFFC9" w14:textId="3B8D0A34" w:rsidR="00837407" w:rsidRDefault="00021791" w:rsidP="008724C3">
      <w:pPr>
        <w:widowControl w:val="0"/>
        <w:autoSpaceDE w:val="0"/>
        <w:autoSpaceDN w:val="0"/>
        <w:adjustRightInd w:val="0"/>
        <w:jc w:val="center"/>
      </w:pPr>
      <w:r>
        <w:t xml:space="preserve">*** p&lt;0.001, ** p&lt;0.01, * p&lt;0.05, </w:t>
      </w:r>
      <w:r w:rsidRPr="00204533">
        <w:rPr>
          <w:vertAlign w:val="superscript"/>
        </w:rPr>
        <w:t>†</w:t>
      </w:r>
      <w:r>
        <w:t xml:space="preserve"> p&lt;0.1</w:t>
      </w:r>
    </w:p>
    <w:p w14:paraId="5BA0BC1D" w14:textId="405D9561" w:rsidR="004A33E9" w:rsidRDefault="004A33E9" w:rsidP="00837407"/>
    <w:p w14:paraId="613872D8" w14:textId="4D9AA2AF" w:rsidR="004A33E9" w:rsidRDefault="004A33E9" w:rsidP="00837407"/>
    <w:p w14:paraId="405FE1BA" w14:textId="3963615B" w:rsidR="004A33E9" w:rsidRDefault="004A33E9" w:rsidP="00837407"/>
    <w:p w14:paraId="349AB028" w14:textId="2D64CF0A" w:rsidR="004A33E9" w:rsidRDefault="004A33E9" w:rsidP="00837407"/>
    <w:p w14:paraId="0F678AAD" w14:textId="123FD2BC" w:rsidR="004A33E9" w:rsidRDefault="004A33E9" w:rsidP="00837407"/>
    <w:p w14:paraId="35843F81" w14:textId="2D84FD19" w:rsidR="004A33E9" w:rsidRDefault="004A33E9" w:rsidP="00837407"/>
    <w:p w14:paraId="61EE7BA0" w14:textId="15099746" w:rsidR="004A33E9" w:rsidRDefault="004A33E9" w:rsidP="00837407"/>
    <w:p w14:paraId="2BFD0C5B" w14:textId="77777777" w:rsidR="004A33E9" w:rsidRDefault="004A33E9" w:rsidP="00837407"/>
    <w:p w14:paraId="64B4BC01" w14:textId="77777777" w:rsidR="008724C3" w:rsidRDefault="008724C3" w:rsidP="00A44BE1">
      <w:pPr>
        <w:sectPr w:rsidR="008724C3" w:rsidSect="00806AA5">
          <w:pgSz w:w="11906" w:h="16838"/>
          <w:pgMar w:top="1304" w:right="1304" w:bottom="1304" w:left="1304" w:header="709" w:footer="709" w:gutter="0"/>
          <w:cols w:space="708"/>
          <w:docGrid w:linePitch="360"/>
        </w:sectPr>
      </w:pPr>
    </w:p>
    <w:p w14:paraId="674479B6" w14:textId="6BBF85EB" w:rsidR="00A44BE1" w:rsidRPr="00C50616" w:rsidRDefault="00A44BE1" w:rsidP="00A44BE1">
      <w:r w:rsidRPr="00C50616">
        <w:lastRenderedPageBreak/>
        <w:t xml:space="preserve">Table 6: Estimated marginal effects of </w:t>
      </w:r>
      <w:r w:rsidR="009B73EF">
        <w:t>time-out</w:t>
      </w:r>
      <w:r w:rsidRPr="00C50616">
        <w:t xml:space="preserve"> period for the baseline model (model 5.1 in table 5)</w:t>
      </w:r>
    </w:p>
    <w:tbl>
      <w:tblPr>
        <w:tblStyle w:val="TableGrid"/>
        <w:tblW w:w="10466" w:type="dxa"/>
        <w:tblLook w:val="04A0" w:firstRow="1" w:lastRow="0" w:firstColumn="1" w:lastColumn="0" w:noHBand="0" w:noVBand="1"/>
      </w:tblPr>
      <w:tblGrid>
        <w:gridCol w:w="1666"/>
        <w:gridCol w:w="2136"/>
        <w:gridCol w:w="1666"/>
        <w:gridCol w:w="1666"/>
        <w:gridCol w:w="1666"/>
        <w:gridCol w:w="1666"/>
      </w:tblGrid>
      <w:tr w:rsidR="00493E08" w:rsidRPr="00493E08" w14:paraId="6A91CDD9" w14:textId="285D48F3" w:rsidTr="00FC226E">
        <w:trPr>
          <w:trHeight w:val="421"/>
        </w:trPr>
        <w:tc>
          <w:tcPr>
            <w:tcW w:w="1666" w:type="dxa"/>
            <w:hideMark/>
          </w:tcPr>
          <w:p w14:paraId="48FE260A" w14:textId="3C38EB48" w:rsidR="00493E08" w:rsidRPr="00493E08" w:rsidRDefault="00493E08" w:rsidP="004C15E4">
            <w:pPr>
              <w:rPr>
                <w:sz w:val="20"/>
                <w:szCs w:val="20"/>
              </w:rPr>
            </w:pPr>
            <w:r w:rsidRPr="00493E08">
              <w:rPr>
                <w:sz w:val="20"/>
                <w:szCs w:val="20"/>
              </w:rPr>
              <w:t>time-out period</w:t>
            </w:r>
          </w:p>
        </w:tc>
        <w:tc>
          <w:tcPr>
            <w:tcW w:w="2136" w:type="dxa"/>
            <w:hideMark/>
          </w:tcPr>
          <w:p w14:paraId="59062F30" w14:textId="77777777" w:rsidR="00493E08" w:rsidRPr="00493E08" w:rsidRDefault="00493E08" w:rsidP="004C15E4">
            <w:pPr>
              <w:rPr>
                <w:sz w:val="20"/>
                <w:szCs w:val="20"/>
              </w:rPr>
            </w:pPr>
            <w:r w:rsidRPr="00493E08">
              <w:rPr>
                <w:sz w:val="20"/>
                <w:szCs w:val="20"/>
              </w:rPr>
              <w:t>marginal effect (dy/dx)</w:t>
            </w:r>
          </w:p>
        </w:tc>
        <w:tc>
          <w:tcPr>
            <w:tcW w:w="1666" w:type="dxa"/>
            <w:hideMark/>
          </w:tcPr>
          <w:p w14:paraId="5D4D314F" w14:textId="77777777" w:rsidR="00493E08" w:rsidRPr="00493E08" w:rsidRDefault="00493E08" w:rsidP="004C15E4">
            <w:pPr>
              <w:rPr>
                <w:sz w:val="20"/>
                <w:szCs w:val="20"/>
              </w:rPr>
            </w:pPr>
            <w:r w:rsidRPr="00493E08">
              <w:rPr>
                <w:sz w:val="20"/>
                <w:szCs w:val="20"/>
              </w:rPr>
              <w:t>Std. Err.</w:t>
            </w:r>
          </w:p>
        </w:tc>
        <w:tc>
          <w:tcPr>
            <w:tcW w:w="1666" w:type="dxa"/>
            <w:hideMark/>
          </w:tcPr>
          <w:p w14:paraId="75697A9D" w14:textId="77777777" w:rsidR="00493E08" w:rsidRPr="00493E08" w:rsidRDefault="00493E08" w:rsidP="004C15E4">
            <w:pPr>
              <w:rPr>
                <w:sz w:val="20"/>
                <w:szCs w:val="20"/>
              </w:rPr>
            </w:pPr>
            <w:r w:rsidRPr="00493E08">
              <w:rPr>
                <w:sz w:val="20"/>
                <w:szCs w:val="20"/>
              </w:rPr>
              <w:t>p value</w:t>
            </w:r>
          </w:p>
        </w:tc>
        <w:tc>
          <w:tcPr>
            <w:tcW w:w="3332" w:type="dxa"/>
            <w:gridSpan w:val="2"/>
          </w:tcPr>
          <w:p w14:paraId="12499A06" w14:textId="0F0EB507" w:rsidR="00493E08" w:rsidRPr="00493E08" w:rsidRDefault="00493E08" w:rsidP="004C15E4">
            <w:pPr>
              <w:rPr>
                <w:sz w:val="20"/>
                <w:szCs w:val="20"/>
              </w:rPr>
            </w:pPr>
            <w:r w:rsidRPr="00493E08">
              <w:rPr>
                <w:color w:val="000000"/>
                <w:sz w:val="20"/>
                <w:szCs w:val="20"/>
              </w:rPr>
              <w:t>Confidence Interval</w:t>
            </w:r>
          </w:p>
        </w:tc>
      </w:tr>
      <w:tr w:rsidR="00493E08" w:rsidRPr="00493E08" w14:paraId="2CD9AFB9" w14:textId="2CA691CD" w:rsidTr="00FC226E">
        <w:trPr>
          <w:trHeight w:val="321"/>
        </w:trPr>
        <w:tc>
          <w:tcPr>
            <w:tcW w:w="1666" w:type="dxa"/>
            <w:hideMark/>
          </w:tcPr>
          <w:p w14:paraId="7692DE90" w14:textId="4451C43B" w:rsidR="00493E08" w:rsidRPr="00493E08" w:rsidRDefault="00493E08" w:rsidP="00493E08">
            <w:pPr>
              <w:rPr>
                <w:sz w:val="20"/>
                <w:szCs w:val="20"/>
              </w:rPr>
            </w:pPr>
            <w:r w:rsidRPr="00493E08">
              <w:rPr>
                <w:sz w:val="20"/>
                <w:szCs w:val="20"/>
              </w:rPr>
              <w:t>1</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12741" w14:textId="0CEF80FC" w:rsidR="00493E08" w:rsidRPr="00493E08" w:rsidRDefault="00493E08" w:rsidP="00493E08">
            <w:pPr>
              <w:rPr>
                <w:sz w:val="20"/>
                <w:szCs w:val="20"/>
              </w:rPr>
            </w:pPr>
            <w:r w:rsidRPr="00493E08">
              <w:rPr>
                <w:color w:val="000000"/>
                <w:sz w:val="20"/>
                <w:szCs w:val="20"/>
              </w:rPr>
              <w:t>-0.399</w:t>
            </w:r>
          </w:p>
        </w:tc>
        <w:tc>
          <w:tcPr>
            <w:tcW w:w="1666" w:type="dxa"/>
            <w:tcBorders>
              <w:top w:val="single" w:sz="4" w:space="0" w:color="000000"/>
              <w:left w:val="nil"/>
              <w:bottom w:val="single" w:sz="4" w:space="0" w:color="000000"/>
              <w:right w:val="single" w:sz="4" w:space="0" w:color="000000"/>
            </w:tcBorders>
            <w:shd w:val="clear" w:color="auto" w:fill="auto"/>
            <w:vAlign w:val="center"/>
            <w:hideMark/>
          </w:tcPr>
          <w:p w14:paraId="3EFBED03" w14:textId="7270602B" w:rsidR="00493E08" w:rsidRPr="00493E08" w:rsidRDefault="00493E08" w:rsidP="00493E08">
            <w:pPr>
              <w:rPr>
                <w:sz w:val="20"/>
                <w:szCs w:val="20"/>
              </w:rPr>
            </w:pPr>
            <w:r w:rsidRPr="00493E08">
              <w:rPr>
                <w:color w:val="000000"/>
                <w:sz w:val="20"/>
                <w:szCs w:val="20"/>
              </w:rPr>
              <w:t>0.148</w:t>
            </w:r>
          </w:p>
        </w:tc>
        <w:tc>
          <w:tcPr>
            <w:tcW w:w="1666" w:type="dxa"/>
            <w:tcBorders>
              <w:top w:val="single" w:sz="4" w:space="0" w:color="000000"/>
              <w:left w:val="nil"/>
              <w:bottom w:val="single" w:sz="4" w:space="0" w:color="000000"/>
              <w:right w:val="single" w:sz="4" w:space="0" w:color="000000"/>
            </w:tcBorders>
            <w:shd w:val="clear" w:color="auto" w:fill="auto"/>
            <w:vAlign w:val="center"/>
            <w:hideMark/>
          </w:tcPr>
          <w:p w14:paraId="61C0646E" w14:textId="456B79FB" w:rsidR="00493E08" w:rsidRPr="00493E08" w:rsidRDefault="00493E08" w:rsidP="00493E08">
            <w:pPr>
              <w:rPr>
                <w:sz w:val="20"/>
                <w:szCs w:val="20"/>
              </w:rPr>
            </w:pPr>
            <w:r w:rsidRPr="00493E08">
              <w:rPr>
                <w:color w:val="000000"/>
                <w:sz w:val="20"/>
                <w:szCs w:val="20"/>
              </w:rPr>
              <w:t>0.007</w:t>
            </w:r>
          </w:p>
        </w:tc>
        <w:tc>
          <w:tcPr>
            <w:tcW w:w="1666" w:type="dxa"/>
            <w:tcBorders>
              <w:top w:val="single" w:sz="4" w:space="0" w:color="000000"/>
              <w:left w:val="nil"/>
              <w:bottom w:val="single" w:sz="4" w:space="0" w:color="000000"/>
              <w:right w:val="single" w:sz="4" w:space="0" w:color="000000"/>
            </w:tcBorders>
            <w:shd w:val="clear" w:color="auto" w:fill="auto"/>
            <w:vAlign w:val="center"/>
          </w:tcPr>
          <w:p w14:paraId="0D34331A" w14:textId="47337D55" w:rsidR="00493E08" w:rsidRPr="00493E08" w:rsidRDefault="00493E08" w:rsidP="00493E08">
            <w:pPr>
              <w:rPr>
                <w:sz w:val="20"/>
                <w:szCs w:val="20"/>
              </w:rPr>
            </w:pPr>
            <w:r w:rsidRPr="00493E08">
              <w:rPr>
                <w:color w:val="000000"/>
                <w:sz w:val="20"/>
                <w:szCs w:val="20"/>
              </w:rPr>
              <w:t>-0.642</w:t>
            </w:r>
          </w:p>
        </w:tc>
        <w:tc>
          <w:tcPr>
            <w:tcW w:w="1666" w:type="dxa"/>
            <w:tcBorders>
              <w:top w:val="single" w:sz="4" w:space="0" w:color="000000"/>
              <w:left w:val="nil"/>
              <w:bottom w:val="single" w:sz="4" w:space="0" w:color="000000"/>
              <w:right w:val="single" w:sz="4" w:space="0" w:color="000000"/>
            </w:tcBorders>
            <w:shd w:val="clear" w:color="auto" w:fill="auto"/>
            <w:vAlign w:val="center"/>
          </w:tcPr>
          <w:p w14:paraId="269926D1" w14:textId="1D5BF5FB" w:rsidR="00493E08" w:rsidRPr="00493E08" w:rsidRDefault="00493E08" w:rsidP="00493E08">
            <w:pPr>
              <w:rPr>
                <w:sz w:val="20"/>
                <w:szCs w:val="20"/>
              </w:rPr>
            </w:pPr>
            <w:r w:rsidRPr="00493E08">
              <w:rPr>
                <w:color w:val="000000"/>
                <w:sz w:val="20"/>
                <w:szCs w:val="20"/>
              </w:rPr>
              <w:t>-0.156</w:t>
            </w:r>
          </w:p>
        </w:tc>
      </w:tr>
      <w:tr w:rsidR="00493E08" w:rsidRPr="00493E08" w14:paraId="09783946" w14:textId="5C72E682" w:rsidTr="00FC226E">
        <w:trPr>
          <w:trHeight w:val="321"/>
        </w:trPr>
        <w:tc>
          <w:tcPr>
            <w:tcW w:w="1666" w:type="dxa"/>
            <w:hideMark/>
          </w:tcPr>
          <w:p w14:paraId="363704EE" w14:textId="59C5AA74" w:rsidR="00493E08" w:rsidRPr="00493E08" w:rsidRDefault="00493E08" w:rsidP="00493E08">
            <w:pPr>
              <w:rPr>
                <w:sz w:val="20"/>
                <w:szCs w:val="20"/>
              </w:rPr>
            </w:pPr>
            <w:r w:rsidRPr="00493E08">
              <w:rPr>
                <w:sz w:val="20"/>
                <w:szCs w:val="20"/>
              </w:rPr>
              <w:t>2</w:t>
            </w:r>
          </w:p>
        </w:tc>
        <w:tc>
          <w:tcPr>
            <w:tcW w:w="2136" w:type="dxa"/>
            <w:tcBorders>
              <w:top w:val="nil"/>
              <w:left w:val="single" w:sz="4" w:space="0" w:color="000000"/>
              <w:bottom w:val="single" w:sz="4" w:space="0" w:color="000000"/>
              <w:right w:val="single" w:sz="4" w:space="0" w:color="000000"/>
            </w:tcBorders>
            <w:shd w:val="clear" w:color="auto" w:fill="auto"/>
            <w:vAlign w:val="center"/>
            <w:hideMark/>
          </w:tcPr>
          <w:p w14:paraId="77C4E531" w14:textId="3161668F" w:rsidR="00493E08" w:rsidRPr="00493E08" w:rsidRDefault="00493E08" w:rsidP="00493E08">
            <w:pPr>
              <w:rPr>
                <w:sz w:val="20"/>
                <w:szCs w:val="20"/>
              </w:rPr>
            </w:pPr>
            <w:r w:rsidRPr="00493E08">
              <w:rPr>
                <w:color w:val="000000"/>
                <w:sz w:val="20"/>
                <w:szCs w:val="20"/>
              </w:rPr>
              <w:t>-0.189</w:t>
            </w:r>
          </w:p>
        </w:tc>
        <w:tc>
          <w:tcPr>
            <w:tcW w:w="1666" w:type="dxa"/>
            <w:tcBorders>
              <w:top w:val="nil"/>
              <w:left w:val="nil"/>
              <w:bottom w:val="single" w:sz="4" w:space="0" w:color="000000"/>
              <w:right w:val="single" w:sz="4" w:space="0" w:color="000000"/>
            </w:tcBorders>
            <w:shd w:val="clear" w:color="auto" w:fill="auto"/>
            <w:vAlign w:val="center"/>
            <w:hideMark/>
          </w:tcPr>
          <w:p w14:paraId="5799749F" w14:textId="51A89DD1" w:rsidR="00493E08" w:rsidRPr="00493E08" w:rsidRDefault="00493E08" w:rsidP="00493E08">
            <w:pPr>
              <w:rPr>
                <w:sz w:val="20"/>
                <w:szCs w:val="20"/>
              </w:rPr>
            </w:pPr>
            <w:r w:rsidRPr="00493E08">
              <w:rPr>
                <w:color w:val="000000"/>
                <w:sz w:val="20"/>
                <w:szCs w:val="20"/>
              </w:rPr>
              <w:t>0.077</w:t>
            </w:r>
          </w:p>
        </w:tc>
        <w:tc>
          <w:tcPr>
            <w:tcW w:w="1666" w:type="dxa"/>
            <w:tcBorders>
              <w:top w:val="nil"/>
              <w:left w:val="nil"/>
              <w:bottom w:val="single" w:sz="4" w:space="0" w:color="000000"/>
              <w:right w:val="single" w:sz="4" w:space="0" w:color="000000"/>
            </w:tcBorders>
            <w:shd w:val="clear" w:color="auto" w:fill="auto"/>
            <w:vAlign w:val="center"/>
            <w:hideMark/>
          </w:tcPr>
          <w:p w14:paraId="351BE04A" w14:textId="46EF48CD" w:rsidR="00493E08" w:rsidRPr="00493E08" w:rsidRDefault="00493E08" w:rsidP="00493E08">
            <w:pPr>
              <w:rPr>
                <w:sz w:val="20"/>
                <w:szCs w:val="20"/>
              </w:rPr>
            </w:pPr>
            <w:r w:rsidRPr="00493E08">
              <w:rPr>
                <w:color w:val="000000"/>
                <w:sz w:val="20"/>
                <w:szCs w:val="20"/>
              </w:rPr>
              <w:t>0.014</w:t>
            </w:r>
          </w:p>
        </w:tc>
        <w:tc>
          <w:tcPr>
            <w:tcW w:w="1666" w:type="dxa"/>
            <w:tcBorders>
              <w:top w:val="nil"/>
              <w:left w:val="nil"/>
              <w:bottom w:val="single" w:sz="4" w:space="0" w:color="000000"/>
              <w:right w:val="single" w:sz="4" w:space="0" w:color="000000"/>
            </w:tcBorders>
            <w:shd w:val="clear" w:color="auto" w:fill="auto"/>
            <w:vAlign w:val="center"/>
          </w:tcPr>
          <w:p w14:paraId="3F01E71D" w14:textId="64C8C314" w:rsidR="00493E08" w:rsidRPr="00493E08" w:rsidRDefault="00493E08" w:rsidP="00493E08">
            <w:pPr>
              <w:rPr>
                <w:sz w:val="20"/>
                <w:szCs w:val="20"/>
              </w:rPr>
            </w:pPr>
            <w:r w:rsidRPr="00493E08">
              <w:rPr>
                <w:color w:val="000000"/>
                <w:sz w:val="20"/>
                <w:szCs w:val="20"/>
              </w:rPr>
              <w:t>-0.316</w:t>
            </w:r>
          </w:p>
        </w:tc>
        <w:tc>
          <w:tcPr>
            <w:tcW w:w="1666" w:type="dxa"/>
            <w:tcBorders>
              <w:top w:val="nil"/>
              <w:left w:val="nil"/>
              <w:bottom w:val="single" w:sz="4" w:space="0" w:color="000000"/>
              <w:right w:val="single" w:sz="4" w:space="0" w:color="000000"/>
            </w:tcBorders>
            <w:shd w:val="clear" w:color="auto" w:fill="auto"/>
            <w:vAlign w:val="center"/>
          </w:tcPr>
          <w:p w14:paraId="470C0DDD" w14:textId="04F0B19B" w:rsidR="00493E08" w:rsidRPr="00493E08" w:rsidRDefault="00493E08" w:rsidP="00493E08">
            <w:pPr>
              <w:rPr>
                <w:sz w:val="20"/>
                <w:szCs w:val="20"/>
              </w:rPr>
            </w:pPr>
            <w:r w:rsidRPr="00493E08">
              <w:rPr>
                <w:color w:val="000000"/>
                <w:sz w:val="20"/>
                <w:szCs w:val="20"/>
              </w:rPr>
              <w:t>-0.063</w:t>
            </w:r>
          </w:p>
        </w:tc>
      </w:tr>
      <w:tr w:rsidR="00493E08" w:rsidRPr="00493E08" w14:paraId="4EBCBE8F" w14:textId="347CB851" w:rsidTr="00FC226E">
        <w:trPr>
          <w:trHeight w:val="321"/>
        </w:trPr>
        <w:tc>
          <w:tcPr>
            <w:tcW w:w="1666" w:type="dxa"/>
            <w:hideMark/>
          </w:tcPr>
          <w:p w14:paraId="6439E35B" w14:textId="6BD5658B" w:rsidR="00493E08" w:rsidRPr="00493E08" w:rsidRDefault="00493E08" w:rsidP="00493E08">
            <w:pPr>
              <w:rPr>
                <w:sz w:val="20"/>
                <w:szCs w:val="20"/>
              </w:rPr>
            </w:pPr>
            <w:r w:rsidRPr="00493E08">
              <w:rPr>
                <w:sz w:val="20"/>
                <w:szCs w:val="20"/>
              </w:rPr>
              <w:t>3</w:t>
            </w:r>
          </w:p>
        </w:tc>
        <w:tc>
          <w:tcPr>
            <w:tcW w:w="2136" w:type="dxa"/>
            <w:tcBorders>
              <w:top w:val="nil"/>
              <w:left w:val="single" w:sz="4" w:space="0" w:color="000000"/>
              <w:bottom w:val="single" w:sz="4" w:space="0" w:color="000000"/>
              <w:right w:val="single" w:sz="4" w:space="0" w:color="000000"/>
            </w:tcBorders>
            <w:shd w:val="clear" w:color="auto" w:fill="auto"/>
            <w:vAlign w:val="center"/>
            <w:hideMark/>
          </w:tcPr>
          <w:p w14:paraId="1BD40B5A" w14:textId="717806E2" w:rsidR="00493E08" w:rsidRPr="00493E08" w:rsidRDefault="00493E08" w:rsidP="00493E08">
            <w:pPr>
              <w:rPr>
                <w:sz w:val="20"/>
                <w:szCs w:val="20"/>
              </w:rPr>
            </w:pPr>
            <w:r w:rsidRPr="00493E08">
              <w:rPr>
                <w:color w:val="000000"/>
                <w:sz w:val="20"/>
                <w:szCs w:val="20"/>
              </w:rPr>
              <w:t>0.020</w:t>
            </w:r>
          </w:p>
        </w:tc>
        <w:tc>
          <w:tcPr>
            <w:tcW w:w="1666" w:type="dxa"/>
            <w:tcBorders>
              <w:top w:val="nil"/>
              <w:left w:val="nil"/>
              <w:bottom w:val="single" w:sz="4" w:space="0" w:color="000000"/>
              <w:right w:val="single" w:sz="4" w:space="0" w:color="000000"/>
            </w:tcBorders>
            <w:shd w:val="clear" w:color="auto" w:fill="auto"/>
            <w:vAlign w:val="center"/>
            <w:hideMark/>
          </w:tcPr>
          <w:p w14:paraId="30C447C0" w14:textId="1D1FC520" w:rsidR="00493E08" w:rsidRPr="00493E08" w:rsidRDefault="00493E08" w:rsidP="00493E08">
            <w:pPr>
              <w:rPr>
                <w:sz w:val="20"/>
                <w:szCs w:val="20"/>
              </w:rPr>
            </w:pPr>
            <w:r w:rsidRPr="00493E08">
              <w:rPr>
                <w:color w:val="000000"/>
                <w:sz w:val="20"/>
                <w:szCs w:val="20"/>
              </w:rPr>
              <w:t>0.057</w:t>
            </w:r>
          </w:p>
        </w:tc>
        <w:tc>
          <w:tcPr>
            <w:tcW w:w="1666" w:type="dxa"/>
            <w:tcBorders>
              <w:top w:val="nil"/>
              <w:left w:val="nil"/>
              <w:bottom w:val="single" w:sz="4" w:space="0" w:color="000000"/>
              <w:right w:val="single" w:sz="4" w:space="0" w:color="000000"/>
            </w:tcBorders>
            <w:shd w:val="clear" w:color="auto" w:fill="auto"/>
            <w:vAlign w:val="center"/>
            <w:hideMark/>
          </w:tcPr>
          <w:p w14:paraId="7501523C" w14:textId="56102DF8" w:rsidR="00493E08" w:rsidRPr="00493E08" w:rsidRDefault="00493E08" w:rsidP="00493E08">
            <w:pPr>
              <w:rPr>
                <w:sz w:val="20"/>
                <w:szCs w:val="20"/>
              </w:rPr>
            </w:pPr>
            <w:r w:rsidRPr="00493E08">
              <w:rPr>
                <w:color w:val="000000"/>
                <w:sz w:val="20"/>
                <w:szCs w:val="20"/>
              </w:rPr>
              <w:t>0.722</w:t>
            </w:r>
          </w:p>
        </w:tc>
        <w:tc>
          <w:tcPr>
            <w:tcW w:w="1666" w:type="dxa"/>
            <w:tcBorders>
              <w:top w:val="nil"/>
              <w:left w:val="nil"/>
              <w:bottom w:val="single" w:sz="4" w:space="0" w:color="000000"/>
              <w:right w:val="single" w:sz="4" w:space="0" w:color="000000"/>
            </w:tcBorders>
            <w:shd w:val="clear" w:color="auto" w:fill="auto"/>
            <w:vAlign w:val="center"/>
          </w:tcPr>
          <w:p w14:paraId="2FB7DDE2" w14:textId="45C07715" w:rsidR="00493E08" w:rsidRPr="00493E08" w:rsidRDefault="00493E08" w:rsidP="00493E08">
            <w:pPr>
              <w:rPr>
                <w:sz w:val="20"/>
                <w:szCs w:val="20"/>
              </w:rPr>
            </w:pPr>
            <w:r w:rsidRPr="00493E08">
              <w:rPr>
                <w:color w:val="000000"/>
                <w:sz w:val="20"/>
                <w:szCs w:val="20"/>
              </w:rPr>
              <w:t>-0.073</w:t>
            </w:r>
          </w:p>
        </w:tc>
        <w:tc>
          <w:tcPr>
            <w:tcW w:w="1666" w:type="dxa"/>
            <w:tcBorders>
              <w:top w:val="nil"/>
              <w:left w:val="nil"/>
              <w:bottom w:val="single" w:sz="4" w:space="0" w:color="000000"/>
              <w:right w:val="single" w:sz="4" w:space="0" w:color="000000"/>
            </w:tcBorders>
            <w:shd w:val="clear" w:color="auto" w:fill="auto"/>
            <w:vAlign w:val="center"/>
          </w:tcPr>
          <w:p w14:paraId="3BC7F481" w14:textId="03A5415E" w:rsidR="00493E08" w:rsidRPr="00493E08" w:rsidRDefault="00493E08" w:rsidP="00493E08">
            <w:pPr>
              <w:rPr>
                <w:sz w:val="20"/>
                <w:szCs w:val="20"/>
              </w:rPr>
            </w:pPr>
            <w:r w:rsidRPr="00493E08">
              <w:rPr>
                <w:color w:val="000000"/>
                <w:sz w:val="20"/>
                <w:szCs w:val="20"/>
              </w:rPr>
              <w:t>0.114</w:t>
            </w:r>
          </w:p>
        </w:tc>
      </w:tr>
      <w:tr w:rsidR="00493E08" w:rsidRPr="00493E08" w14:paraId="394FE609" w14:textId="00FBC4B2" w:rsidTr="00FC226E">
        <w:trPr>
          <w:trHeight w:val="321"/>
        </w:trPr>
        <w:tc>
          <w:tcPr>
            <w:tcW w:w="1666" w:type="dxa"/>
            <w:hideMark/>
          </w:tcPr>
          <w:p w14:paraId="39E74A0B" w14:textId="39A1A660" w:rsidR="00493E08" w:rsidRPr="00493E08" w:rsidRDefault="00493E08" w:rsidP="00493E08">
            <w:pPr>
              <w:rPr>
                <w:sz w:val="20"/>
                <w:szCs w:val="20"/>
              </w:rPr>
            </w:pPr>
            <w:r w:rsidRPr="00493E08">
              <w:rPr>
                <w:sz w:val="20"/>
                <w:szCs w:val="20"/>
              </w:rPr>
              <w:t>4</w:t>
            </w:r>
          </w:p>
        </w:tc>
        <w:tc>
          <w:tcPr>
            <w:tcW w:w="2136" w:type="dxa"/>
            <w:tcBorders>
              <w:top w:val="nil"/>
              <w:left w:val="single" w:sz="4" w:space="0" w:color="000000"/>
              <w:bottom w:val="single" w:sz="4" w:space="0" w:color="000000"/>
              <w:right w:val="single" w:sz="4" w:space="0" w:color="000000"/>
            </w:tcBorders>
            <w:shd w:val="clear" w:color="auto" w:fill="auto"/>
            <w:vAlign w:val="center"/>
            <w:hideMark/>
          </w:tcPr>
          <w:p w14:paraId="79105685" w14:textId="47901B09" w:rsidR="00493E08" w:rsidRPr="00493E08" w:rsidRDefault="00493E08" w:rsidP="00493E08">
            <w:pPr>
              <w:rPr>
                <w:sz w:val="20"/>
                <w:szCs w:val="20"/>
              </w:rPr>
            </w:pPr>
            <w:r w:rsidRPr="00493E08">
              <w:rPr>
                <w:color w:val="000000"/>
                <w:sz w:val="20"/>
                <w:szCs w:val="20"/>
              </w:rPr>
              <w:t>0.230</w:t>
            </w:r>
          </w:p>
        </w:tc>
        <w:tc>
          <w:tcPr>
            <w:tcW w:w="1666" w:type="dxa"/>
            <w:tcBorders>
              <w:top w:val="nil"/>
              <w:left w:val="nil"/>
              <w:bottom w:val="single" w:sz="4" w:space="0" w:color="000000"/>
              <w:right w:val="single" w:sz="4" w:space="0" w:color="000000"/>
            </w:tcBorders>
            <w:shd w:val="clear" w:color="auto" w:fill="auto"/>
            <w:vAlign w:val="center"/>
            <w:hideMark/>
          </w:tcPr>
          <w:p w14:paraId="02D413F2" w14:textId="418F987C" w:rsidR="00493E08" w:rsidRPr="00493E08" w:rsidRDefault="00493E08" w:rsidP="00493E08">
            <w:pPr>
              <w:rPr>
                <w:sz w:val="20"/>
                <w:szCs w:val="20"/>
              </w:rPr>
            </w:pPr>
            <w:r w:rsidRPr="00493E08">
              <w:rPr>
                <w:color w:val="000000"/>
                <w:sz w:val="20"/>
                <w:szCs w:val="20"/>
              </w:rPr>
              <w:t>0.117</w:t>
            </w:r>
          </w:p>
        </w:tc>
        <w:tc>
          <w:tcPr>
            <w:tcW w:w="1666" w:type="dxa"/>
            <w:tcBorders>
              <w:top w:val="nil"/>
              <w:left w:val="nil"/>
              <w:bottom w:val="single" w:sz="4" w:space="0" w:color="000000"/>
              <w:right w:val="single" w:sz="4" w:space="0" w:color="000000"/>
            </w:tcBorders>
            <w:shd w:val="clear" w:color="auto" w:fill="auto"/>
            <w:vAlign w:val="center"/>
            <w:hideMark/>
          </w:tcPr>
          <w:p w14:paraId="1D0DE67C" w14:textId="05909C62" w:rsidR="00493E08" w:rsidRPr="00493E08" w:rsidRDefault="00493E08" w:rsidP="00493E08">
            <w:pPr>
              <w:rPr>
                <w:sz w:val="20"/>
                <w:szCs w:val="20"/>
              </w:rPr>
            </w:pPr>
            <w:r w:rsidRPr="00493E08">
              <w:rPr>
                <w:color w:val="000000"/>
                <w:sz w:val="20"/>
                <w:szCs w:val="20"/>
              </w:rPr>
              <w:t>0.050</w:t>
            </w:r>
          </w:p>
        </w:tc>
        <w:tc>
          <w:tcPr>
            <w:tcW w:w="1666" w:type="dxa"/>
            <w:tcBorders>
              <w:top w:val="nil"/>
              <w:left w:val="nil"/>
              <w:bottom w:val="single" w:sz="4" w:space="0" w:color="000000"/>
              <w:right w:val="single" w:sz="4" w:space="0" w:color="000000"/>
            </w:tcBorders>
            <w:shd w:val="clear" w:color="auto" w:fill="auto"/>
            <w:vAlign w:val="center"/>
          </w:tcPr>
          <w:p w14:paraId="55B58D3F" w14:textId="17CBFD8C" w:rsidR="00493E08" w:rsidRPr="00493E08" w:rsidRDefault="00493E08" w:rsidP="00493E08">
            <w:pPr>
              <w:rPr>
                <w:sz w:val="20"/>
                <w:szCs w:val="20"/>
              </w:rPr>
            </w:pPr>
            <w:r w:rsidRPr="00493E08">
              <w:rPr>
                <w:color w:val="000000"/>
                <w:sz w:val="20"/>
                <w:szCs w:val="20"/>
              </w:rPr>
              <w:t>0.037</w:t>
            </w:r>
          </w:p>
        </w:tc>
        <w:tc>
          <w:tcPr>
            <w:tcW w:w="1666" w:type="dxa"/>
            <w:tcBorders>
              <w:top w:val="nil"/>
              <w:left w:val="nil"/>
              <w:bottom w:val="single" w:sz="4" w:space="0" w:color="000000"/>
              <w:right w:val="single" w:sz="4" w:space="0" w:color="000000"/>
            </w:tcBorders>
            <w:shd w:val="clear" w:color="auto" w:fill="auto"/>
            <w:vAlign w:val="center"/>
          </w:tcPr>
          <w:p w14:paraId="30F886A6" w14:textId="07CAA234" w:rsidR="00493E08" w:rsidRPr="00493E08" w:rsidRDefault="00493E08" w:rsidP="00493E08">
            <w:pPr>
              <w:rPr>
                <w:sz w:val="20"/>
                <w:szCs w:val="20"/>
              </w:rPr>
            </w:pPr>
            <w:r w:rsidRPr="00493E08">
              <w:rPr>
                <w:color w:val="000000"/>
                <w:sz w:val="20"/>
                <w:szCs w:val="20"/>
              </w:rPr>
              <w:t>0.422</w:t>
            </w:r>
          </w:p>
        </w:tc>
      </w:tr>
      <w:tr w:rsidR="00493E08" w:rsidRPr="00493E08" w14:paraId="607656F9" w14:textId="49526EAA" w:rsidTr="00FC226E">
        <w:trPr>
          <w:trHeight w:val="321"/>
        </w:trPr>
        <w:tc>
          <w:tcPr>
            <w:tcW w:w="1666" w:type="dxa"/>
            <w:hideMark/>
          </w:tcPr>
          <w:p w14:paraId="4938C095" w14:textId="5B9E862D" w:rsidR="00493E08" w:rsidRPr="00493E08" w:rsidRDefault="00493E08" w:rsidP="00493E08">
            <w:pPr>
              <w:rPr>
                <w:sz w:val="20"/>
                <w:szCs w:val="20"/>
              </w:rPr>
            </w:pPr>
            <w:r w:rsidRPr="00493E08">
              <w:rPr>
                <w:sz w:val="20"/>
                <w:szCs w:val="20"/>
              </w:rPr>
              <w:t>5</w:t>
            </w:r>
          </w:p>
        </w:tc>
        <w:tc>
          <w:tcPr>
            <w:tcW w:w="2136" w:type="dxa"/>
            <w:tcBorders>
              <w:top w:val="nil"/>
              <w:left w:val="single" w:sz="4" w:space="0" w:color="000000"/>
              <w:bottom w:val="single" w:sz="4" w:space="0" w:color="000000"/>
              <w:right w:val="single" w:sz="4" w:space="0" w:color="000000"/>
            </w:tcBorders>
            <w:shd w:val="clear" w:color="auto" w:fill="auto"/>
            <w:vAlign w:val="center"/>
            <w:hideMark/>
          </w:tcPr>
          <w:p w14:paraId="214101C0" w14:textId="12ABD78C" w:rsidR="00493E08" w:rsidRPr="00493E08" w:rsidRDefault="00493E08" w:rsidP="00493E08">
            <w:pPr>
              <w:rPr>
                <w:sz w:val="20"/>
                <w:szCs w:val="20"/>
              </w:rPr>
            </w:pPr>
            <w:r w:rsidRPr="00493E08">
              <w:rPr>
                <w:color w:val="000000"/>
                <w:sz w:val="20"/>
                <w:szCs w:val="20"/>
              </w:rPr>
              <w:t>0.439</w:t>
            </w:r>
          </w:p>
        </w:tc>
        <w:tc>
          <w:tcPr>
            <w:tcW w:w="1666" w:type="dxa"/>
            <w:tcBorders>
              <w:top w:val="nil"/>
              <w:left w:val="nil"/>
              <w:bottom w:val="single" w:sz="4" w:space="0" w:color="000000"/>
              <w:right w:val="single" w:sz="4" w:space="0" w:color="000000"/>
            </w:tcBorders>
            <w:shd w:val="clear" w:color="auto" w:fill="auto"/>
            <w:vAlign w:val="center"/>
            <w:hideMark/>
          </w:tcPr>
          <w:p w14:paraId="55ECF29F" w14:textId="66777269" w:rsidR="00493E08" w:rsidRPr="00493E08" w:rsidRDefault="00493E08" w:rsidP="00493E08">
            <w:pPr>
              <w:rPr>
                <w:sz w:val="20"/>
                <w:szCs w:val="20"/>
              </w:rPr>
            </w:pPr>
            <w:r w:rsidRPr="00493E08">
              <w:rPr>
                <w:color w:val="000000"/>
                <w:sz w:val="20"/>
                <w:szCs w:val="20"/>
              </w:rPr>
              <w:t>0.193</w:t>
            </w:r>
          </w:p>
        </w:tc>
        <w:tc>
          <w:tcPr>
            <w:tcW w:w="1666" w:type="dxa"/>
            <w:tcBorders>
              <w:top w:val="nil"/>
              <w:left w:val="nil"/>
              <w:bottom w:val="single" w:sz="4" w:space="0" w:color="000000"/>
              <w:right w:val="single" w:sz="4" w:space="0" w:color="000000"/>
            </w:tcBorders>
            <w:shd w:val="clear" w:color="auto" w:fill="auto"/>
            <w:vAlign w:val="center"/>
            <w:hideMark/>
          </w:tcPr>
          <w:p w14:paraId="7E24AFB9" w14:textId="6800860A" w:rsidR="00493E08" w:rsidRPr="00493E08" w:rsidRDefault="00493E08" w:rsidP="00493E08">
            <w:pPr>
              <w:rPr>
                <w:sz w:val="20"/>
                <w:szCs w:val="20"/>
              </w:rPr>
            </w:pPr>
            <w:r w:rsidRPr="00493E08">
              <w:rPr>
                <w:color w:val="000000"/>
                <w:sz w:val="20"/>
                <w:szCs w:val="20"/>
              </w:rPr>
              <w:t>0.023</w:t>
            </w:r>
          </w:p>
        </w:tc>
        <w:tc>
          <w:tcPr>
            <w:tcW w:w="1666" w:type="dxa"/>
            <w:tcBorders>
              <w:top w:val="nil"/>
              <w:left w:val="nil"/>
              <w:bottom w:val="single" w:sz="4" w:space="0" w:color="000000"/>
              <w:right w:val="single" w:sz="4" w:space="0" w:color="000000"/>
            </w:tcBorders>
            <w:shd w:val="clear" w:color="auto" w:fill="auto"/>
            <w:vAlign w:val="center"/>
          </w:tcPr>
          <w:p w14:paraId="7A6C39DC" w14:textId="7723134F" w:rsidR="00493E08" w:rsidRPr="00493E08" w:rsidRDefault="00493E08" w:rsidP="00493E08">
            <w:pPr>
              <w:rPr>
                <w:sz w:val="20"/>
                <w:szCs w:val="20"/>
              </w:rPr>
            </w:pPr>
            <w:r w:rsidRPr="00493E08">
              <w:rPr>
                <w:color w:val="000000"/>
                <w:sz w:val="20"/>
                <w:szCs w:val="20"/>
              </w:rPr>
              <w:t>0.121</w:t>
            </w:r>
          </w:p>
        </w:tc>
        <w:tc>
          <w:tcPr>
            <w:tcW w:w="1666" w:type="dxa"/>
            <w:tcBorders>
              <w:top w:val="nil"/>
              <w:left w:val="nil"/>
              <w:bottom w:val="single" w:sz="4" w:space="0" w:color="000000"/>
              <w:right w:val="single" w:sz="4" w:space="0" w:color="000000"/>
            </w:tcBorders>
            <w:shd w:val="clear" w:color="auto" w:fill="auto"/>
            <w:vAlign w:val="center"/>
          </w:tcPr>
          <w:p w14:paraId="24F49F6A" w14:textId="17A8AA33" w:rsidR="00493E08" w:rsidRPr="00493E08" w:rsidRDefault="00493E08" w:rsidP="00493E08">
            <w:pPr>
              <w:rPr>
                <w:sz w:val="20"/>
                <w:szCs w:val="20"/>
              </w:rPr>
            </w:pPr>
            <w:r w:rsidRPr="00493E08">
              <w:rPr>
                <w:color w:val="000000"/>
                <w:sz w:val="20"/>
                <w:szCs w:val="20"/>
              </w:rPr>
              <w:t>0.757</w:t>
            </w:r>
          </w:p>
        </w:tc>
      </w:tr>
      <w:tr w:rsidR="00493E08" w:rsidRPr="00493E08" w14:paraId="03AEA806" w14:textId="57946DF6" w:rsidTr="00FC226E">
        <w:trPr>
          <w:trHeight w:val="321"/>
        </w:trPr>
        <w:tc>
          <w:tcPr>
            <w:tcW w:w="1666" w:type="dxa"/>
            <w:hideMark/>
          </w:tcPr>
          <w:p w14:paraId="36F37795" w14:textId="3A74B664" w:rsidR="00493E08" w:rsidRPr="00493E08" w:rsidRDefault="00493E08" w:rsidP="00493E08">
            <w:pPr>
              <w:rPr>
                <w:sz w:val="20"/>
                <w:szCs w:val="20"/>
              </w:rPr>
            </w:pPr>
            <w:r w:rsidRPr="00493E08">
              <w:rPr>
                <w:sz w:val="20"/>
                <w:szCs w:val="20"/>
              </w:rPr>
              <w:t>6</w:t>
            </w:r>
          </w:p>
        </w:tc>
        <w:tc>
          <w:tcPr>
            <w:tcW w:w="2136" w:type="dxa"/>
            <w:tcBorders>
              <w:top w:val="nil"/>
              <w:left w:val="single" w:sz="4" w:space="0" w:color="000000"/>
              <w:bottom w:val="single" w:sz="4" w:space="0" w:color="000000"/>
              <w:right w:val="single" w:sz="4" w:space="0" w:color="000000"/>
            </w:tcBorders>
            <w:shd w:val="clear" w:color="auto" w:fill="auto"/>
            <w:vAlign w:val="center"/>
            <w:hideMark/>
          </w:tcPr>
          <w:p w14:paraId="353F62E6" w14:textId="65876900" w:rsidR="00493E08" w:rsidRPr="00493E08" w:rsidRDefault="00493E08" w:rsidP="00493E08">
            <w:pPr>
              <w:rPr>
                <w:sz w:val="20"/>
                <w:szCs w:val="20"/>
              </w:rPr>
            </w:pPr>
            <w:r w:rsidRPr="00493E08">
              <w:rPr>
                <w:color w:val="000000"/>
                <w:sz w:val="20"/>
                <w:szCs w:val="20"/>
              </w:rPr>
              <w:t>0.649</w:t>
            </w:r>
          </w:p>
        </w:tc>
        <w:tc>
          <w:tcPr>
            <w:tcW w:w="1666" w:type="dxa"/>
            <w:tcBorders>
              <w:top w:val="nil"/>
              <w:left w:val="nil"/>
              <w:bottom w:val="single" w:sz="4" w:space="0" w:color="000000"/>
              <w:right w:val="single" w:sz="4" w:space="0" w:color="000000"/>
            </w:tcBorders>
            <w:shd w:val="clear" w:color="auto" w:fill="auto"/>
            <w:vAlign w:val="center"/>
            <w:hideMark/>
          </w:tcPr>
          <w:p w14:paraId="5BC1EE3D" w14:textId="5EA2073E" w:rsidR="00493E08" w:rsidRPr="00493E08" w:rsidRDefault="00493E08" w:rsidP="00493E08">
            <w:pPr>
              <w:rPr>
                <w:sz w:val="20"/>
                <w:szCs w:val="20"/>
              </w:rPr>
            </w:pPr>
            <w:r w:rsidRPr="00493E08">
              <w:rPr>
                <w:color w:val="000000"/>
                <w:sz w:val="20"/>
                <w:szCs w:val="20"/>
              </w:rPr>
              <w:t>0.272</w:t>
            </w:r>
          </w:p>
        </w:tc>
        <w:tc>
          <w:tcPr>
            <w:tcW w:w="1666" w:type="dxa"/>
            <w:tcBorders>
              <w:top w:val="nil"/>
              <w:left w:val="nil"/>
              <w:bottom w:val="single" w:sz="4" w:space="0" w:color="000000"/>
              <w:right w:val="single" w:sz="4" w:space="0" w:color="000000"/>
            </w:tcBorders>
            <w:shd w:val="clear" w:color="auto" w:fill="auto"/>
            <w:vAlign w:val="center"/>
            <w:hideMark/>
          </w:tcPr>
          <w:p w14:paraId="39DD8E73" w14:textId="604ADB2E" w:rsidR="00493E08" w:rsidRPr="00493E08" w:rsidRDefault="00493E08" w:rsidP="00493E08">
            <w:pPr>
              <w:rPr>
                <w:sz w:val="20"/>
                <w:szCs w:val="20"/>
              </w:rPr>
            </w:pPr>
            <w:r w:rsidRPr="00493E08">
              <w:rPr>
                <w:color w:val="000000"/>
                <w:sz w:val="20"/>
                <w:szCs w:val="20"/>
              </w:rPr>
              <w:t>0.017</w:t>
            </w:r>
          </w:p>
        </w:tc>
        <w:tc>
          <w:tcPr>
            <w:tcW w:w="1666" w:type="dxa"/>
            <w:tcBorders>
              <w:top w:val="nil"/>
              <w:left w:val="nil"/>
              <w:bottom w:val="single" w:sz="4" w:space="0" w:color="000000"/>
              <w:right w:val="single" w:sz="4" w:space="0" w:color="000000"/>
            </w:tcBorders>
            <w:shd w:val="clear" w:color="auto" w:fill="auto"/>
            <w:vAlign w:val="center"/>
          </w:tcPr>
          <w:p w14:paraId="744B6901" w14:textId="32C76394" w:rsidR="00493E08" w:rsidRPr="00493E08" w:rsidRDefault="00493E08" w:rsidP="00493E08">
            <w:pPr>
              <w:rPr>
                <w:sz w:val="20"/>
                <w:szCs w:val="20"/>
              </w:rPr>
            </w:pPr>
            <w:r w:rsidRPr="00493E08">
              <w:rPr>
                <w:color w:val="000000"/>
                <w:sz w:val="20"/>
                <w:szCs w:val="20"/>
              </w:rPr>
              <w:t>0.200</w:t>
            </w:r>
          </w:p>
        </w:tc>
        <w:tc>
          <w:tcPr>
            <w:tcW w:w="1666" w:type="dxa"/>
            <w:tcBorders>
              <w:top w:val="nil"/>
              <w:left w:val="nil"/>
              <w:bottom w:val="single" w:sz="4" w:space="0" w:color="000000"/>
              <w:right w:val="single" w:sz="4" w:space="0" w:color="000000"/>
            </w:tcBorders>
            <w:shd w:val="clear" w:color="auto" w:fill="auto"/>
            <w:vAlign w:val="center"/>
          </w:tcPr>
          <w:p w14:paraId="0C08481F" w14:textId="264405E0" w:rsidR="00493E08" w:rsidRPr="00493E08" w:rsidRDefault="00493E08" w:rsidP="00493E08">
            <w:pPr>
              <w:rPr>
                <w:sz w:val="20"/>
                <w:szCs w:val="20"/>
              </w:rPr>
            </w:pPr>
            <w:r w:rsidRPr="00493E08">
              <w:rPr>
                <w:color w:val="000000"/>
                <w:sz w:val="20"/>
                <w:szCs w:val="20"/>
              </w:rPr>
              <w:t>1.097</w:t>
            </w:r>
          </w:p>
        </w:tc>
      </w:tr>
    </w:tbl>
    <w:p w14:paraId="54213F32" w14:textId="3F3A31F8" w:rsidR="00400302" w:rsidRDefault="00400302" w:rsidP="00A44BE1"/>
    <w:p w14:paraId="369BCA44" w14:textId="77777777" w:rsidR="00400302" w:rsidRPr="00C50616" w:rsidRDefault="00400302" w:rsidP="00A44BE1"/>
    <w:p w14:paraId="4C10CB24" w14:textId="3B68FA89" w:rsidR="00571FA4" w:rsidRDefault="00571FA4" w:rsidP="00571FA4">
      <w:r w:rsidRPr="00C50616">
        <w:t xml:space="preserve">Table 7: Estimated marginal effects of </w:t>
      </w:r>
      <w:r w:rsidR="009B73EF">
        <w:t>time-out</w:t>
      </w:r>
      <w:r w:rsidRPr="00C50616">
        <w:t xml:space="preserve"> period for different levels of collaboration (model 5.2 in table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968"/>
        <w:gridCol w:w="766"/>
        <w:gridCol w:w="766"/>
        <w:gridCol w:w="1139"/>
        <w:gridCol w:w="835"/>
        <w:gridCol w:w="968"/>
        <w:gridCol w:w="766"/>
        <w:gridCol w:w="766"/>
        <w:gridCol w:w="1139"/>
        <w:gridCol w:w="835"/>
        <w:gridCol w:w="968"/>
        <w:gridCol w:w="767"/>
        <w:gridCol w:w="767"/>
        <w:gridCol w:w="1140"/>
        <w:gridCol w:w="827"/>
      </w:tblGrid>
      <w:tr w:rsidR="00D60268" w:rsidRPr="008724C3" w14:paraId="6CB3EA72" w14:textId="77777777" w:rsidTr="00A52735">
        <w:trPr>
          <w:trHeight w:val="248"/>
        </w:trPr>
        <w:tc>
          <w:tcPr>
            <w:tcW w:w="287" w:type="pct"/>
            <w:shd w:val="clear" w:color="auto" w:fill="auto"/>
            <w:tcMar>
              <w:left w:w="57" w:type="dxa"/>
              <w:right w:w="57" w:type="dxa"/>
            </w:tcMar>
            <w:vAlign w:val="center"/>
          </w:tcPr>
          <w:p w14:paraId="19DE5710" w14:textId="77777777" w:rsidR="00D60268" w:rsidRPr="008724C3" w:rsidRDefault="00D60268" w:rsidP="00D60268">
            <w:pPr>
              <w:rPr>
                <w:color w:val="000000"/>
              </w:rPr>
            </w:pPr>
          </w:p>
        </w:tc>
        <w:tc>
          <w:tcPr>
            <w:tcW w:w="1572" w:type="pct"/>
            <w:gridSpan w:val="5"/>
            <w:shd w:val="clear" w:color="auto" w:fill="auto"/>
            <w:tcMar>
              <w:left w:w="57" w:type="dxa"/>
              <w:right w:w="57" w:type="dxa"/>
            </w:tcMar>
          </w:tcPr>
          <w:p w14:paraId="69D99853" w14:textId="429F05B9" w:rsidR="00D60268" w:rsidRPr="008724C3" w:rsidRDefault="00D60268" w:rsidP="00D60268">
            <w:pPr>
              <w:rPr>
                <w:color w:val="000000"/>
              </w:rPr>
            </w:pPr>
            <w:r w:rsidRPr="00C50616">
              <w:t>collaboration=0</w:t>
            </w:r>
          </w:p>
        </w:tc>
        <w:tc>
          <w:tcPr>
            <w:tcW w:w="1572" w:type="pct"/>
            <w:gridSpan w:val="5"/>
            <w:shd w:val="clear" w:color="auto" w:fill="auto"/>
            <w:tcMar>
              <w:left w:w="57" w:type="dxa"/>
              <w:right w:w="57" w:type="dxa"/>
            </w:tcMar>
          </w:tcPr>
          <w:p w14:paraId="1CDEFCC4" w14:textId="69AB61B9" w:rsidR="00D60268" w:rsidRPr="008724C3" w:rsidRDefault="00D60268" w:rsidP="00D60268">
            <w:pPr>
              <w:rPr>
                <w:color w:val="000000"/>
              </w:rPr>
            </w:pPr>
            <w:r w:rsidRPr="00C50616">
              <w:t>collaboration=0.5</w:t>
            </w:r>
          </w:p>
        </w:tc>
        <w:tc>
          <w:tcPr>
            <w:tcW w:w="1569" w:type="pct"/>
            <w:gridSpan w:val="5"/>
            <w:shd w:val="clear" w:color="auto" w:fill="auto"/>
            <w:tcMar>
              <w:left w:w="57" w:type="dxa"/>
              <w:right w:w="57" w:type="dxa"/>
            </w:tcMar>
          </w:tcPr>
          <w:p w14:paraId="05E992DD" w14:textId="6ED0D60A" w:rsidR="00D60268" w:rsidRPr="008724C3" w:rsidRDefault="00D60268" w:rsidP="00D60268">
            <w:pPr>
              <w:rPr>
                <w:color w:val="000000"/>
              </w:rPr>
            </w:pPr>
            <w:r w:rsidRPr="00C50616">
              <w:t>collaboration=1</w:t>
            </w:r>
          </w:p>
        </w:tc>
      </w:tr>
      <w:tr w:rsidR="00D60268" w:rsidRPr="008724C3" w14:paraId="145F87CF" w14:textId="77777777" w:rsidTr="008724C3">
        <w:trPr>
          <w:trHeight w:val="840"/>
        </w:trPr>
        <w:tc>
          <w:tcPr>
            <w:tcW w:w="287" w:type="pct"/>
            <w:shd w:val="clear" w:color="auto" w:fill="auto"/>
            <w:tcMar>
              <w:left w:w="57" w:type="dxa"/>
              <w:right w:w="57" w:type="dxa"/>
            </w:tcMar>
            <w:vAlign w:val="center"/>
            <w:hideMark/>
          </w:tcPr>
          <w:p w14:paraId="2AFCDAE8" w14:textId="77777777" w:rsidR="00D60268" w:rsidRPr="008724C3" w:rsidRDefault="00D60268" w:rsidP="00D60268">
            <w:pPr>
              <w:rPr>
                <w:color w:val="000000"/>
              </w:rPr>
            </w:pPr>
            <w:r w:rsidRPr="008724C3">
              <w:rPr>
                <w:color w:val="000000"/>
              </w:rPr>
              <w:t>time-out period</w:t>
            </w:r>
          </w:p>
        </w:tc>
        <w:tc>
          <w:tcPr>
            <w:tcW w:w="321" w:type="pct"/>
            <w:shd w:val="clear" w:color="auto" w:fill="auto"/>
            <w:tcMar>
              <w:left w:w="57" w:type="dxa"/>
              <w:right w:w="57" w:type="dxa"/>
            </w:tcMar>
            <w:vAlign w:val="center"/>
            <w:hideMark/>
          </w:tcPr>
          <w:p w14:paraId="4166AD81" w14:textId="77777777" w:rsidR="00D60268" w:rsidRPr="008724C3" w:rsidRDefault="00D60268" w:rsidP="00D60268">
            <w:pPr>
              <w:rPr>
                <w:color w:val="000000"/>
              </w:rPr>
            </w:pPr>
            <w:r w:rsidRPr="008724C3">
              <w:rPr>
                <w:color w:val="000000"/>
              </w:rPr>
              <w:t>marginal effect (dy/dx)</w:t>
            </w:r>
          </w:p>
        </w:tc>
        <w:tc>
          <w:tcPr>
            <w:tcW w:w="274" w:type="pct"/>
            <w:shd w:val="clear" w:color="auto" w:fill="auto"/>
            <w:tcMar>
              <w:left w:w="57" w:type="dxa"/>
              <w:right w:w="57" w:type="dxa"/>
            </w:tcMar>
            <w:vAlign w:val="center"/>
            <w:hideMark/>
          </w:tcPr>
          <w:p w14:paraId="1B1B02AF" w14:textId="77777777" w:rsidR="00D60268" w:rsidRPr="008724C3" w:rsidRDefault="00D60268" w:rsidP="00D60268">
            <w:pPr>
              <w:rPr>
                <w:color w:val="000000"/>
              </w:rPr>
            </w:pPr>
            <w:r w:rsidRPr="008724C3">
              <w:rPr>
                <w:color w:val="000000"/>
              </w:rPr>
              <w:t>Std. Err.</w:t>
            </w:r>
          </w:p>
        </w:tc>
        <w:tc>
          <w:tcPr>
            <w:tcW w:w="274" w:type="pct"/>
            <w:shd w:val="clear" w:color="auto" w:fill="auto"/>
            <w:tcMar>
              <w:left w:w="57" w:type="dxa"/>
              <w:right w:w="57" w:type="dxa"/>
            </w:tcMar>
            <w:vAlign w:val="center"/>
            <w:hideMark/>
          </w:tcPr>
          <w:p w14:paraId="7642BEB9" w14:textId="77777777" w:rsidR="00D60268" w:rsidRPr="008724C3" w:rsidRDefault="00D60268" w:rsidP="00D60268">
            <w:pPr>
              <w:rPr>
                <w:color w:val="000000"/>
              </w:rPr>
            </w:pPr>
            <w:r w:rsidRPr="008724C3">
              <w:rPr>
                <w:color w:val="000000"/>
              </w:rPr>
              <w:t>p value</w:t>
            </w:r>
          </w:p>
        </w:tc>
        <w:tc>
          <w:tcPr>
            <w:tcW w:w="703" w:type="pct"/>
            <w:gridSpan w:val="2"/>
            <w:shd w:val="clear" w:color="auto" w:fill="auto"/>
            <w:tcMar>
              <w:left w:w="57" w:type="dxa"/>
              <w:right w:w="57" w:type="dxa"/>
            </w:tcMar>
            <w:vAlign w:val="center"/>
            <w:hideMark/>
          </w:tcPr>
          <w:p w14:paraId="681C04AE" w14:textId="577EFA7D" w:rsidR="00D60268" w:rsidRPr="008724C3" w:rsidRDefault="00D60268" w:rsidP="00D60268">
            <w:pPr>
              <w:rPr>
                <w:color w:val="000000"/>
              </w:rPr>
            </w:pPr>
            <w:r w:rsidRPr="008724C3">
              <w:rPr>
                <w:color w:val="000000"/>
              </w:rPr>
              <w:t>Confidence Interval</w:t>
            </w:r>
          </w:p>
        </w:tc>
        <w:tc>
          <w:tcPr>
            <w:tcW w:w="321" w:type="pct"/>
            <w:shd w:val="clear" w:color="auto" w:fill="auto"/>
            <w:tcMar>
              <w:left w:w="57" w:type="dxa"/>
              <w:right w:w="57" w:type="dxa"/>
            </w:tcMar>
            <w:vAlign w:val="center"/>
            <w:hideMark/>
          </w:tcPr>
          <w:p w14:paraId="15EC66BF" w14:textId="77777777" w:rsidR="00D60268" w:rsidRPr="008724C3" w:rsidRDefault="00D60268" w:rsidP="00D60268">
            <w:pPr>
              <w:rPr>
                <w:color w:val="000000"/>
              </w:rPr>
            </w:pPr>
            <w:r w:rsidRPr="008724C3">
              <w:rPr>
                <w:color w:val="000000"/>
              </w:rPr>
              <w:t>marginal effect (dy/dx)</w:t>
            </w:r>
          </w:p>
        </w:tc>
        <w:tc>
          <w:tcPr>
            <w:tcW w:w="274" w:type="pct"/>
            <w:shd w:val="clear" w:color="auto" w:fill="auto"/>
            <w:tcMar>
              <w:left w:w="57" w:type="dxa"/>
              <w:right w:w="57" w:type="dxa"/>
            </w:tcMar>
            <w:vAlign w:val="center"/>
            <w:hideMark/>
          </w:tcPr>
          <w:p w14:paraId="292E7791" w14:textId="77777777" w:rsidR="00D60268" w:rsidRPr="008724C3" w:rsidRDefault="00D60268" w:rsidP="00D60268">
            <w:pPr>
              <w:rPr>
                <w:color w:val="000000"/>
              </w:rPr>
            </w:pPr>
            <w:r w:rsidRPr="008724C3">
              <w:rPr>
                <w:color w:val="000000"/>
              </w:rPr>
              <w:t>Std. Err.</w:t>
            </w:r>
          </w:p>
        </w:tc>
        <w:tc>
          <w:tcPr>
            <w:tcW w:w="274" w:type="pct"/>
            <w:shd w:val="clear" w:color="auto" w:fill="auto"/>
            <w:tcMar>
              <w:left w:w="57" w:type="dxa"/>
              <w:right w:w="57" w:type="dxa"/>
            </w:tcMar>
            <w:vAlign w:val="center"/>
            <w:hideMark/>
          </w:tcPr>
          <w:p w14:paraId="76ADC8C5" w14:textId="77777777" w:rsidR="00D60268" w:rsidRPr="008724C3" w:rsidRDefault="00D60268" w:rsidP="00D60268">
            <w:pPr>
              <w:rPr>
                <w:color w:val="000000"/>
              </w:rPr>
            </w:pPr>
            <w:r w:rsidRPr="008724C3">
              <w:rPr>
                <w:color w:val="000000"/>
              </w:rPr>
              <w:t>p value</w:t>
            </w:r>
          </w:p>
        </w:tc>
        <w:tc>
          <w:tcPr>
            <w:tcW w:w="703" w:type="pct"/>
            <w:gridSpan w:val="2"/>
            <w:shd w:val="clear" w:color="auto" w:fill="auto"/>
            <w:tcMar>
              <w:left w:w="57" w:type="dxa"/>
              <w:right w:w="57" w:type="dxa"/>
            </w:tcMar>
            <w:vAlign w:val="center"/>
            <w:hideMark/>
          </w:tcPr>
          <w:p w14:paraId="793BB55A" w14:textId="777100B4" w:rsidR="00D60268" w:rsidRPr="008724C3" w:rsidRDefault="00D60268" w:rsidP="00D60268">
            <w:pPr>
              <w:rPr>
                <w:color w:val="000000"/>
              </w:rPr>
            </w:pPr>
            <w:r w:rsidRPr="008724C3">
              <w:rPr>
                <w:color w:val="000000"/>
              </w:rPr>
              <w:t>Confidence Interval</w:t>
            </w:r>
          </w:p>
        </w:tc>
        <w:tc>
          <w:tcPr>
            <w:tcW w:w="321" w:type="pct"/>
            <w:shd w:val="clear" w:color="auto" w:fill="auto"/>
            <w:tcMar>
              <w:left w:w="57" w:type="dxa"/>
              <w:right w:w="57" w:type="dxa"/>
            </w:tcMar>
            <w:vAlign w:val="center"/>
            <w:hideMark/>
          </w:tcPr>
          <w:p w14:paraId="02A936EF" w14:textId="77777777" w:rsidR="00D60268" w:rsidRPr="008724C3" w:rsidRDefault="00D60268" w:rsidP="00D60268">
            <w:pPr>
              <w:rPr>
                <w:color w:val="000000"/>
              </w:rPr>
            </w:pPr>
            <w:r w:rsidRPr="008724C3">
              <w:rPr>
                <w:color w:val="000000"/>
              </w:rPr>
              <w:t>marginal effect (dy/dx)</w:t>
            </w:r>
          </w:p>
        </w:tc>
        <w:tc>
          <w:tcPr>
            <w:tcW w:w="274" w:type="pct"/>
            <w:shd w:val="clear" w:color="auto" w:fill="auto"/>
            <w:tcMar>
              <w:left w:w="57" w:type="dxa"/>
              <w:right w:w="57" w:type="dxa"/>
            </w:tcMar>
            <w:vAlign w:val="center"/>
            <w:hideMark/>
          </w:tcPr>
          <w:p w14:paraId="30AD1E68" w14:textId="77777777" w:rsidR="00D60268" w:rsidRPr="008724C3" w:rsidRDefault="00D60268" w:rsidP="00D60268">
            <w:pPr>
              <w:rPr>
                <w:color w:val="000000"/>
              </w:rPr>
            </w:pPr>
            <w:r w:rsidRPr="008724C3">
              <w:rPr>
                <w:color w:val="000000"/>
              </w:rPr>
              <w:t>Std. Err.</w:t>
            </w:r>
          </w:p>
        </w:tc>
        <w:tc>
          <w:tcPr>
            <w:tcW w:w="274" w:type="pct"/>
            <w:shd w:val="clear" w:color="auto" w:fill="auto"/>
            <w:tcMar>
              <w:left w:w="57" w:type="dxa"/>
              <w:right w:w="57" w:type="dxa"/>
            </w:tcMar>
            <w:vAlign w:val="center"/>
            <w:hideMark/>
          </w:tcPr>
          <w:p w14:paraId="7C743C5E" w14:textId="77777777" w:rsidR="00D60268" w:rsidRPr="008724C3" w:rsidRDefault="00D60268" w:rsidP="00D60268">
            <w:pPr>
              <w:rPr>
                <w:color w:val="000000"/>
              </w:rPr>
            </w:pPr>
            <w:r w:rsidRPr="008724C3">
              <w:rPr>
                <w:color w:val="000000"/>
              </w:rPr>
              <w:t>p value</w:t>
            </w:r>
          </w:p>
        </w:tc>
        <w:tc>
          <w:tcPr>
            <w:tcW w:w="700" w:type="pct"/>
            <w:gridSpan w:val="2"/>
            <w:shd w:val="clear" w:color="auto" w:fill="auto"/>
            <w:tcMar>
              <w:left w:w="57" w:type="dxa"/>
              <w:right w:w="57" w:type="dxa"/>
            </w:tcMar>
            <w:vAlign w:val="center"/>
            <w:hideMark/>
          </w:tcPr>
          <w:p w14:paraId="45C43CDB" w14:textId="423B5259" w:rsidR="00D60268" w:rsidRPr="008724C3" w:rsidRDefault="00D60268" w:rsidP="00D60268">
            <w:pPr>
              <w:rPr>
                <w:color w:val="000000"/>
              </w:rPr>
            </w:pPr>
            <w:r w:rsidRPr="008724C3">
              <w:rPr>
                <w:color w:val="000000"/>
              </w:rPr>
              <w:t>Confidence Interval</w:t>
            </w:r>
          </w:p>
        </w:tc>
      </w:tr>
      <w:tr w:rsidR="00D60268" w:rsidRPr="008724C3" w14:paraId="02C53913" w14:textId="77777777" w:rsidTr="008724C3">
        <w:trPr>
          <w:trHeight w:val="288"/>
        </w:trPr>
        <w:tc>
          <w:tcPr>
            <w:tcW w:w="287" w:type="pct"/>
            <w:shd w:val="clear" w:color="auto" w:fill="auto"/>
            <w:noWrap/>
            <w:tcMar>
              <w:left w:w="57" w:type="dxa"/>
              <w:right w:w="57" w:type="dxa"/>
            </w:tcMar>
            <w:vAlign w:val="bottom"/>
            <w:hideMark/>
          </w:tcPr>
          <w:p w14:paraId="2FE9D968" w14:textId="77777777" w:rsidR="00D60268" w:rsidRPr="008724C3" w:rsidRDefault="00D60268" w:rsidP="00D60268">
            <w:pPr>
              <w:jc w:val="right"/>
              <w:rPr>
                <w:color w:val="000000"/>
              </w:rPr>
            </w:pPr>
            <w:r w:rsidRPr="008724C3">
              <w:rPr>
                <w:color w:val="000000"/>
              </w:rPr>
              <w:t>1</w:t>
            </w:r>
          </w:p>
        </w:tc>
        <w:tc>
          <w:tcPr>
            <w:tcW w:w="321" w:type="pct"/>
            <w:shd w:val="clear" w:color="auto" w:fill="auto"/>
            <w:tcMar>
              <w:left w:w="57" w:type="dxa"/>
              <w:right w:w="57" w:type="dxa"/>
            </w:tcMar>
            <w:vAlign w:val="center"/>
            <w:hideMark/>
          </w:tcPr>
          <w:p w14:paraId="39463004" w14:textId="77777777" w:rsidR="00D60268" w:rsidRPr="008724C3" w:rsidRDefault="00D60268" w:rsidP="00D60268">
            <w:pPr>
              <w:jc w:val="right"/>
              <w:rPr>
                <w:color w:val="000000"/>
              </w:rPr>
            </w:pPr>
            <w:r w:rsidRPr="008724C3">
              <w:rPr>
                <w:color w:val="000000"/>
              </w:rPr>
              <w:t>-0.381</w:t>
            </w:r>
          </w:p>
        </w:tc>
        <w:tc>
          <w:tcPr>
            <w:tcW w:w="274" w:type="pct"/>
            <w:shd w:val="clear" w:color="auto" w:fill="auto"/>
            <w:tcMar>
              <w:left w:w="57" w:type="dxa"/>
              <w:right w:w="57" w:type="dxa"/>
            </w:tcMar>
            <w:vAlign w:val="center"/>
            <w:hideMark/>
          </w:tcPr>
          <w:p w14:paraId="54ACDCFF" w14:textId="77777777" w:rsidR="00D60268" w:rsidRPr="008724C3" w:rsidRDefault="00D60268" w:rsidP="00D60268">
            <w:pPr>
              <w:jc w:val="right"/>
              <w:rPr>
                <w:color w:val="000000"/>
              </w:rPr>
            </w:pPr>
            <w:r w:rsidRPr="008724C3">
              <w:rPr>
                <w:color w:val="000000"/>
              </w:rPr>
              <w:t>0.150</w:t>
            </w:r>
          </w:p>
        </w:tc>
        <w:tc>
          <w:tcPr>
            <w:tcW w:w="274" w:type="pct"/>
            <w:shd w:val="clear" w:color="auto" w:fill="auto"/>
            <w:tcMar>
              <w:left w:w="57" w:type="dxa"/>
              <w:right w:w="57" w:type="dxa"/>
            </w:tcMar>
            <w:vAlign w:val="center"/>
            <w:hideMark/>
          </w:tcPr>
          <w:p w14:paraId="06A710C9" w14:textId="77777777" w:rsidR="00D60268" w:rsidRPr="008724C3" w:rsidRDefault="00D60268" w:rsidP="00D60268">
            <w:pPr>
              <w:jc w:val="right"/>
              <w:rPr>
                <w:color w:val="000000"/>
              </w:rPr>
            </w:pPr>
            <w:r w:rsidRPr="008724C3">
              <w:rPr>
                <w:color w:val="000000"/>
              </w:rPr>
              <w:t>0.011</w:t>
            </w:r>
          </w:p>
        </w:tc>
        <w:tc>
          <w:tcPr>
            <w:tcW w:w="405" w:type="pct"/>
            <w:shd w:val="clear" w:color="auto" w:fill="auto"/>
            <w:tcMar>
              <w:left w:w="57" w:type="dxa"/>
              <w:right w:w="57" w:type="dxa"/>
            </w:tcMar>
            <w:vAlign w:val="center"/>
            <w:hideMark/>
          </w:tcPr>
          <w:p w14:paraId="523BA2F2" w14:textId="77777777" w:rsidR="00D60268" w:rsidRPr="008724C3" w:rsidRDefault="00D60268" w:rsidP="00D60268">
            <w:pPr>
              <w:jc w:val="right"/>
              <w:rPr>
                <w:color w:val="000000"/>
              </w:rPr>
            </w:pPr>
            <w:r w:rsidRPr="008724C3">
              <w:rPr>
                <w:color w:val="000000"/>
              </w:rPr>
              <w:t>-0.628</w:t>
            </w:r>
          </w:p>
        </w:tc>
        <w:tc>
          <w:tcPr>
            <w:tcW w:w="298" w:type="pct"/>
            <w:shd w:val="clear" w:color="auto" w:fill="auto"/>
            <w:tcMar>
              <w:left w:w="57" w:type="dxa"/>
              <w:right w:w="57" w:type="dxa"/>
            </w:tcMar>
            <w:vAlign w:val="center"/>
            <w:hideMark/>
          </w:tcPr>
          <w:p w14:paraId="54E6F308" w14:textId="77777777" w:rsidR="00D60268" w:rsidRPr="008724C3" w:rsidRDefault="00D60268" w:rsidP="00D60268">
            <w:pPr>
              <w:jc w:val="right"/>
              <w:rPr>
                <w:color w:val="000000"/>
              </w:rPr>
            </w:pPr>
            <w:r w:rsidRPr="008724C3">
              <w:rPr>
                <w:color w:val="000000"/>
              </w:rPr>
              <w:t>-0.134</w:t>
            </w:r>
          </w:p>
        </w:tc>
        <w:tc>
          <w:tcPr>
            <w:tcW w:w="321" w:type="pct"/>
            <w:shd w:val="clear" w:color="auto" w:fill="auto"/>
            <w:tcMar>
              <w:left w:w="57" w:type="dxa"/>
              <w:right w:w="57" w:type="dxa"/>
            </w:tcMar>
            <w:vAlign w:val="center"/>
            <w:hideMark/>
          </w:tcPr>
          <w:p w14:paraId="3B0660EF" w14:textId="77777777" w:rsidR="00D60268" w:rsidRPr="008724C3" w:rsidRDefault="00D60268" w:rsidP="00D60268">
            <w:pPr>
              <w:jc w:val="right"/>
              <w:rPr>
                <w:color w:val="000000"/>
              </w:rPr>
            </w:pPr>
            <w:r w:rsidRPr="008724C3">
              <w:rPr>
                <w:color w:val="000000"/>
              </w:rPr>
              <w:t>-0.996</w:t>
            </w:r>
          </w:p>
        </w:tc>
        <w:tc>
          <w:tcPr>
            <w:tcW w:w="274" w:type="pct"/>
            <w:shd w:val="clear" w:color="auto" w:fill="auto"/>
            <w:tcMar>
              <w:left w:w="57" w:type="dxa"/>
              <w:right w:w="57" w:type="dxa"/>
            </w:tcMar>
            <w:vAlign w:val="center"/>
            <w:hideMark/>
          </w:tcPr>
          <w:p w14:paraId="7EC1814B" w14:textId="77777777" w:rsidR="00D60268" w:rsidRPr="008724C3" w:rsidRDefault="00D60268" w:rsidP="00D60268">
            <w:pPr>
              <w:jc w:val="right"/>
              <w:rPr>
                <w:color w:val="000000"/>
              </w:rPr>
            </w:pPr>
            <w:r w:rsidRPr="008724C3">
              <w:rPr>
                <w:color w:val="000000"/>
              </w:rPr>
              <w:t>0.456</w:t>
            </w:r>
          </w:p>
        </w:tc>
        <w:tc>
          <w:tcPr>
            <w:tcW w:w="274" w:type="pct"/>
            <w:shd w:val="clear" w:color="auto" w:fill="auto"/>
            <w:tcMar>
              <w:left w:w="57" w:type="dxa"/>
              <w:right w:w="57" w:type="dxa"/>
            </w:tcMar>
            <w:vAlign w:val="center"/>
            <w:hideMark/>
          </w:tcPr>
          <w:p w14:paraId="608A1D98" w14:textId="77777777" w:rsidR="00D60268" w:rsidRPr="008724C3" w:rsidRDefault="00D60268" w:rsidP="00D60268">
            <w:pPr>
              <w:jc w:val="right"/>
              <w:rPr>
                <w:color w:val="000000"/>
              </w:rPr>
            </w:pPr>
            <w:r w:rsidRPr="008724C3">
              <w:rPr>
                <w:color w:val="000000"/>
              </w:rPr>
              <w:t>0.029</w:t>
            </w:r>
          </w:p>
        </w:tc>
        <w:tc>
          <w:tcPr>
            <w:tcW w:w="405" w:type="pct"/>
            <w:shd w:val="clear" w:color="auto" w:fill="auto"/>
            <w:tcMar>
              <w:left w:w="57" w:type="dxa"/>
              <w:right w:w="57" w:type="dxa"/>
            </w:tcMar>
            <w:vAlign w:val="center"/>
            <w:hideMark/>
          </w:tcPr>
          <w:p w14:paraId="2D9E3A18" w14:textId="77777777" w:rsidR="00D60268" w:rsidRPr="008724C3" w:rsidRDefault="00D60268" w:rsidP="00D60268">
            <w:pPr>
              <w:jc w:val="right"/>
              <w:rPr>
                <w:color w:val="000000"/>
              </w:rPr>
            </w:pPr>
            <w:r w:rsidRPr="008724C3">
              <w:rPr>
                <w:color w:val="000000"/>
              </w:rPr>
              <w:t>-1.747</w:t>
            </w:r>
          </w:p>
        </w:tc>
        <w:tc>
          <w:tcPr>
            <w:tcW w:w="298" w:type="pct"/>
            <w:shd w:val="clear" w:color="auto" w:fill="auto"/>
            <w:tcMar>
              <w:left w:w="57" w:type="dxa"/>
              <w:right w:w="57" w:type="dxa"/>
            </w:tcMar>
            <w:vAlign w:val="center"/>
            <w:hideMark/>
          </w:tcPr>
          <w:p w14:paraId="2A277772" w14:textId="77777777" w:rsidR="00D60268" w:rsidRPr="008724C3" w:rsidRDefault="00D60268" w:rsidP="00D60268">
            <w:pPr>
              <w:jc w:val="right"/>
              <w:rPr>
                <w:color w:val="000000"/>
              </w:rPr>
            </w:pPr>
            <w:r w:rsidRPr="008724C3">
              <w:rPr>
                <w:color w:val="000000"/>
              </w:rPr>
              <w:t>-0.245</w:t>
            </w:r>
          </w:p>
        </w:tc>
        <w:tc>
          <w:tcPr>
            <w:tcW w:w="321" w:type="pct"/>
            <w:shd w:val="clear" w:color="auto" w:fill="auto"/>
            <w:tcMar>
              <w:left w:w="57" w:type="dxa"/>
              <w:right w:w="57" w:type="dxa"/>
            </w:tcMar>
            <w:vAlign w:val="center"/>
            <w:hideMark/>
          </w:tcPr>
          <w:p w14:paraId="471E2A41" w14:textId="77777777" w:rsidR="00D60268" w:rsidRPr="008724C3" w:rsidRDefault="00D60268" w:rsidP="00D60268">
            <w:pPr>
              <w:jc w:val="right"/>
              <w:rPr>
                <w:color w:val="000000"/>
              </w:rPr>
            </w:pPr>
            <w:r w:rsidRPr="008724C3">
              <w:rPr>
                <w:color w:val="000000"/>
              </w:rPr>
              <w:t>-1.611</w:t>
            </w:r>
          </w:p>
        </w:tc>
        <w:tc>
          <w:tcPr>
            <w:tcW w:w="274" w:type="pct"/>
            <w:shd w:val="clear" w:color="auto" w:fill="auto"/>
            <w:tcMar>
              <w:left w:w="57" w:type="dxa"/>
              <w:right w:w="57" w:type="dxa"/>
            </w:tcMar>
            <w:vAlign w:val="center"/>
            <w:hideMark/>
          </w:tcPr>
          <w:p w14:paraId="6B47D148" w14:textId="77777777" w:rsidR="00D60268" w:rsidRPr="008724C3" w:rsidRDefault="00D60268" w:rsidP="00D60268">
            <w:pPr>
              <w:jc w:val="right"/>
              <w:rPr>
                <w:color w:val="000000"/>
              </w:rPr>
            </w:pPr>
            <w:r w:rsidRPr="008724C3">
              <w:rPr>
                <w:color w:val="000000"/>
              </w:rPr>
              <w:t>0.903</w:t>
            </w:r>
          </w:p>
        </w:tc>
        <w:tc>
          <w:tcPr>
            <w:tcW w:w="274" w:type="pct"/>
            <w:shd w:val="clear" w:color="auto" w:fill="auto"/>
            <w:tcMar>
              <w:left w:w="57" w:type="dxa"/>
              <w:right w:w="57" w:type="dxa"/>
            </w:tcMar>
            <w:vAlign w:val="center"/>
            <w:hideMark/>
          </w:tcPr>
          <w:p w14:paraId="3D34B6E9" w14:textId="77777777" w:rsidR="00D60268" w:rsidRPr="008724C3" w:rsidRDefault="00D60268" w:rsidP="00D60268">
            <w:pPr>
              <w:jc w:val="right"/>
              <w:rPr>
                <w:color w:val="000000"/>
              </w:rPr>
            </w:pPr>
            <w:r w:rsidRPr="008724C3">
              <w:rPr>
                <w:color w:val="000000"/>
              </w:rPr>
              <w:t>0.075</w:t>
            </w:r>
          </w:p>
        </w:tc>
        <w:tc>
          <w:tcPr>
            <w:tcW w:w="405" w:type="pct"/>
            <w:shd w:val="clear" w:color="auto" w:fill="auto"/>
            <w:tcMar>
              <w:left w:w="57" w:type="dxa"/>
              <w:right w:w="57" w:type="dxa"/>
            </w:tcMar>
            <w:vAlign w:val="center"/>
            <w:hideMark/>
          </w:tcPr>
          <w:p w14:paraId="2A59D6F2" w14:textId="77777777" w:rsidR="00D60268" w:rsidRPr="008724C3" w:rsidRDefault="00D60268" w:rsidP="00D60268">
            <w:pPr>
              <w:jc w:val="right"/>
              <w:rPr>
                <w:color w:val="000000"/>
              </w:rPr>
            </w:pPr>
            <w:r w:rsidRPr="008724C3">
              <w:rPr>
                <w:color w:val="000000"/>
              </w:rPr>
              <w:t>-3.099</w:t>
            </w:r>
          </w:p>
        </w:tc>
        <w:tc>
          <w:tcPr>
            <w:tcW w:w="295" w:type="pct"/>
            <w:shd w:val="clear" w:color="auto" w:fill="auto"/>
            <w:tcMar>
              <w:left w:w="57" w:type="dxa"/>
              <w:right w:w="57" w:type="dxa"/>
            </w:tcMar>
            <w:vAlign w:val="center"/>
            <w:hideMark/>
          </w:tcPr>
          <w:p w14:paraId="5397D4A2" w14:textId="77777777" w:rsidR="00D60268" w:rsidRPr="008724C3" w:rsidRDefault="00D60268" w:rsidP="00D60268">
            <w:pPr>
              <w:jc w:val="right"/>
              <w:rPr>
                <w:color w:val="000000"/>
              </w:rPr>
            </w:pPr>
            <w:r w:rsidRPr="008724C3">
              <w:rPr>
                <w:color w:val="000000"/>
              </w:rPr>
              <w:t>-0.123</w:t>
            </w:r>
          </w:p>
        </w:tc>
      </w:tr>
      <w:tr w:rsidR="00D60268" w:rsidRPr="008724C3" w14:paraId="5315FA1B" w14:textId="77777777" w:rsidTr="008724C3">
        <w:trPr>
          <w:trHeight w:val="288"/>
        </w:trPr>
        <w:tc>
          <w:tcPr>
            <w:tcW w:w="287" w:type="pct"/>
            <w:shd w:val="clear" w:color="auto" w:fill="auto"/>
            <w:noWrap/>
            <w:tcMar>
              <w:left w:w="57" w:type="dxa"/>
              <w:right w:w="57" w:type="dxa"/>
            </w:tcMar>
            <w:vAlign w:val="bottom"/>
            <w:hideMark/>
          </w:tcPr>
          <w:p w14:paraId="632B48CB" w14:textId="77777777" w:rsidR="00D60268" w:rsidRPr="008724C3" w:rsidRDefault="00D60268" w:rsidP="00D60268">
            <w:pPr>
              <w:jc w:val="right"/>
              <w:rPr>
                <w:color w:val="000000"/>
              </w:rPr>
            </w:pPr>
            <w:r w:rsidRPr="008724C3">
              <w:rPr>
                <w:color w:val="000000"/>
              </w:rPr>
              <w:t>2</w:t>
            </w:r>
          </w:p>
        </w:tc>
        <w:tc>
          <w:tcPr>
            <w:tcW w:w="321" w:type="pct"/>
            <w:shd w:val="clear" w:color="auto" w:fill="auto"/>
            <w:tcMar>
              <w:left w:w="57" w:type="dxa"/>
              <w:right w:w="57" w:type="dxa"/>
            </w:tcMar>
            <w:vAlign w:val="center"/>
            <w:hideMark/>
          </w:tcPr>
          <w:p w14:paraId="0E948B1D" w14:textId="77777777" w:rsidR="00D60268" w:rsidRPr="008724C3" w:rsidRDefault="00D60268" w:rsidP="00D60268">
            <w:pPr>
              <w:jc w:val="right"/>
              <w:rPr>
                <w:color w:val="000000"/>
              </w:rPr>
            </w:pPr>
            <w:r w:rsidRPr="008724C3">
              <w:rPr>
                <w:color w:val="000000"/>
              </w:rPr>
              <w:t>-0.196</w:t>
            </w:r>
          </w:p>
        </w:tc>
        <w:tc>
          <w:tcPr>
            <w:tcW w:w="274" w:type="pct"/>
            <w:shd w:val="clear" w:color="auto" w:fill="auto"/>
            <w:tcMar>
              <w:left w:w="57" w:type="dxa"/>
              <w:right w:w="57" w:type="dxa"/>
            </w:tcMar>
            <w:vAlign w:val="center"/>
            <w:hideMark/>
          </w:tcPr>
          <w:p w14:paraId="73A98936" w14:textId="77777777" w:rsidR="00D60268" w:rsidRPr="008724C3" w:rsidRDefault="00D60268" w:rsidP="00D60268">
            <w:pPr>
              <w:jc w:val="right"/>
              <w:rPr>
                <w:color w:val="000000"/>
              </w:rPr>
            </w:pPr>
            <w:r w:rsidRPr="008724C3">
              <w:rPr>
                <w:color w:val="000000"/>
              </w:rPr>
              <w:t>0.079</w:t>
            </w:r>
          </w:p>
        </w:tc>
        <w:tc>
          <w:tcPr>
            <w:tcW w:w="274" w:type="pct"/>
            <w:shd w:val="clear" w:color="auto" w:fill="auto"/>
            <w:tcMar>
              <w:left w:w="57" w:type="dxa"/>
              <w:right w:w="57" w:type="dxa"/>
            </w:tcMar>
            <w:vAlign w:val="center"/>
            <w:hideMark/>
          </w:tcPr>
          <w:p w14:paraId="4A01C6DD" w14:textId="77777777" w:rsidR="00D60268" w:rsidRPr="008724C3" w:rsidRDefault="00D60268" w:rsidP="00D60268">
            <w:pPr>
              <w:jc w:val="right"/>
              <w:rPr>
                <w:color w:val="000000"/>
              </w:rPr>
            </w:pPr>
            <w:r w:rsidRPr="008724C3">
              <w:rPr>
                <w:color w:val="000000"/>
              </w:rPr>
              <w:t>0.013</w:t>
            </w:r>
          </w:p>
        </w:tc>
        <w:tc>
          <w:tcPr>
            <w:tcW w:w="405" w:type="pct"/>
            <w:shd w:val="clear" w:color="auto" w:fill="auto"/>
            <w:tcMar>
              <w:left w:w="57" w:type="dxa"/>
              <w:right w:w="57" w:type="dxa"/>
            </w:tcMar>
            <w:vAlign w:val="center"/>
            <w:hideMark/>
          </w:tcPr>
          <w:p w14:paraId="4136FC01" w14:textId="77777777" w:rsidR="00D60268" w:rsidRPr="008724C3" w:rsidRDefault="00D60268" w:rsidP="00D60268">
            <w:pPr>
              <w:jc w:val="right"/>
              <w:rPr>
                <w:color w:val="000000"/>
              </w:rPr>
            </w:pPr>
            <w:r w:rsidRPr="008724C3">
              <w:rPr>
                <w:color w:val="000000"/>
              </w:rPr>
              <w:t>-0.326</w:t>
            </w:r>
          </w:p>
        </w:tc>
        <w:tc>
          <w:tcPr>
            <w:tcW w:w="298" w:type="pct"/>
            <w:shd w:val="clear" w:color="auto" w:fill="auto"/>
            <w:tcMar>
              <w:left w:w="57" w:type="dxa"/>
              <w:right w:w="57" w:type="dxa"/>
            </w:tcMar>
            <w:vAlign w:val="center"/>
            <w:hideMark/>
          </w:tcPr>
          <w:p w14:paraId="756E8588" w14:textId="77777777" w:rsidR="00D60268" w:rsidRPr="008724C3" w:rsidRDefault="00D60268" w:rsidP="00D60268">
            <w:pPr>
              <w:jc w:val="right"/>
              <w:rPr>
                <w:color w:val="000000"/>
              </w:rPr>
            </w:pPr>
            <w:r w:rsidRPr="008724C3">
              <w:rPr>
                <w:color w:val="000000"/>
              </w:rPr>
              <w:t>-0.067</w:t>
            </w:r>
          </w:p>
        </w:tc>
        <w:tc>
          <w:tcPr>
            <w:tcW w:w="321" w:type="pct"/>
            <w:shd w:val="clear" w:color="auto" w:fill="auto"/>
            <w:tcMar>
              <w:left w:w="57" w:type="dxa"/>
              <w:right w:w="57" w:type="dxa"/>
            </w:tcMar>
            <w:vAlign w:val="center"/>
            <w:hideMark/>
          </w:tcPr>
          <w:p w14:paraId="2C05A413" w14:textId="77777777" w:rsidR="00D60268" w:rsidRPr="008724C3" w:rsidRDefault="00D60268" w:rsidP="00D60268">
            <w:pPr>
              <w:jc w:val="right"/>
              <w:rPr>
                <w:color w:val="000000"/>
              </w:rPr>
            </w:pPr>
            <w:r w:rsidRPr="008724C3">
              <w:rPr>
                <w:color w:val="000000"/>
              </w:rPr>
              <w:t>-0.242</w:t>
            </w:r>
          </w:p>
        </w:tc>
        <w:tc>
          <w:tcPr>
            <w:tcW w:w="274" w:type="pct"/>
            <w:shd w:val="clear" w:color="auto" w:fill="auto"/>
            <w:tcMar>
              <w:left w:w="57" w:type="dxa"/>
              <w:right w:w="57" w:type="dxa"/>
            </w:tcMar>
            <w:vAlign w:val="center"/>
            <w:hideMark/>
          </w:tcPr>
          <w:p w14:paraId="6F743581" w14:textId="77777777" w:rsidR="00D60268" w:rsidRPr="008724C3" w:rsidRDefault="00D60268" w:rsidP="00D60268">
            <w:pPr>
              <w:jc w:val="right"/>
              <w:rPr>
                <w:color w:val="000000"/>
              </w:rPr>
            </w:pPr>
            <w:r w:rsidRPr="008724C3">
              <w:rPr>
                <w:color w:val="000000"/>
              </w:rPr>
              <w:t>0.209</w:t>
            </w:r>
          </w:p>
        </w:tc>
        <w:tc>
          <w:tcPr>
            <w:tcW w:w="274" w:type="pct"/>
            <w:shd w:val="clear" w:color="auto" w:fill="auto"/>
            <w:tcMar>
              <w:left w:w="57" w:type="dxa"/>
              <w:right w:w="57" w:type="dxa"/>
            </w:tcMar>
            <w:vAlign w:val="center"/>
            <w:hideMark/>
          </w:tcPr>
          <w:p w14:paraId="58359670" w14:textId="77777777" w:rsidR="00D60268" w:rsidRPr="008724C3" w:rsidRDefault="00D60268" w:rsidP="00D60268">
            <w:pPr>
              <w:jc w:val="right"/>
              <w:rPr>
                <w:color w:val="000000"/>
              </w:rPr>
            </w:pPr>
            <w:r w:rsidRPr="008724C3">
              <w:rPr>
                <w:color w:val="000000"/>
              </w:rPr>
              <w:t>0.247</w:t>
            </w:r>
          </w:p>
        </w:tc>
        <w:tc>
          <w:tcPr>
            <w:tcW w:w="405" w:type="pct"/>
            <w:shd w:val="clear" w:color="auto" w:fill="auto"/>
            <w:tcMar>
              <w:left w:w="57" w:type="dxa"/>
              <w:right w:w="57" w:type="dxa"/>
            </w:tcMar>
            <w:vAlign w:val="center"/>
            <w:hideMark/>
          </w:tcPr>
          <w:p w14:paraId="1AD93B34" w14:textId="77777777" w:rsidR="00D60268" w:rsidRPr="008724C3" w:rsidRDefault="00D60268" w:rsidP="00D60268">
            <w:pPr>
              <w:jc w:val="right"/>
              <w:rPr>
                <w:color w:val="000000"/>
              </w:rPr>
            </w:pPr>
            <w:r w:rsidRPr="008724C3">
              <w:rPr>
                <w:color w:val="000000"/>
              </w:rPr>
              <w:t>-0.586</w:t>
            </w:r>
          </w:p>
        </w:tc>
        <w:tc>
          <w:tcPr>
            <w:tcW w:w="298" w:type="pct"/>
            <w:shd w:val="clear" w:color="auto" w:fill="auto"/>
            <w:tcMar>
              <w:left w:w="57" w:type="dxa"/>
              <w:right w:w="57" w:type="dxa"/>
            </w:tcMar>
            <w:vAlign w:val="center"/>
            <w:hideMark/>
          </w:tcPr>
          <w:p w14:paraId="1AC0FEAD" w14:textId="77777777" w:rsidR="00D60268" w:rsidRPr="008724C3" w:rsidRDefault="00D60268" w:rsidP="00D60268">
            <w:pPr>
              <w:jc w:val="right"/>
              <w:rPr>
                <w:color w:val="000000"/>
              </w:rPr>
            </w:pPr>
            <w:r w:rsidRPr="008724C3">
              <w:rPr>
                <w:color w:val="000000"/>
              </w:rPr>
              <w:t>0.102</w:t>
            </w:r>
          </w:p>
        </w:tc>
        <w:tc>
          <w:tcPr>
            <w:tcW w:w="321" w:type="pct"/>
            <w:shd w:val="clear" w:color="auto" w:fill="auto"/>
            <w:tcMar>
              <w:left w:w="57" w:type="dxa"/>
              <w:right w:w="57" w:type="dxa"/>
            </w:tcMar>
            <w:vAlign w:val="center"/>
            <w:hideMark/>
          </w:tcPr>
          <w:p w14:paraId="78F702F1" w14:textId="77777777" w:rsidR="00D60268" w:rsidRPr="008724C3" w:rsidRDefault="00D60268" w:rsidP="00D60268">
            <w:pPr>
              <w:jc w:val="right"/>
              <w:rPr>
                <w:color w:val="000000"/>
              </w:rPr>
            </w:pPr>
            <w:r w:rsidRPr="008724C3">
              <w:rPr>
                <w:color w:val="000000"/>
              </w:rPr>
              <w:t>-0.288</w:t>
            </w:r>
          </w:p>
        </w:tc>
        <w:tc>
          <w:tcPr>
            <w:tcW w:w="274" w:type="pct"/>
            <w:shd w:val="clear" w:color="auto" w:fill="auto"/>
            <w:tcMar>
              <w:left w:w="57" w:type="dxa"/>
              <w:right w:w="57" w:type="dxa"/>
            </w:tcMar>
            <w:vAlign w:val="center"/>
            <w:hideMark/>
          </w:tcPr>
          <w:p w14:paraId="3738DE6C" w14:textId="77777777" w:rsidR="00D60268" w:rsidRPr="008724C3" w:rsidRDefault="00D60268" w:rsidP="00D60268">
            <w:pPr>
              <w:jc w:val="right"/>
              <w:rPr>
                <w:color w:val="000000"/>
              </w:rPr>
            </w:pPr>
            <w:r w:rsidRPr="008724C3">
              <w:rPr>
                <w:color w:val="000000"/>
              </w:rPr>
              <w:t>0.413</w:t>
            </w:r>
          </w:p>
        </w:tc>
        <w:tc>
          <w:tcPr>
            <w:tcW w:w="274" w:type="pct"/>
            <w:shd w:val="clear" w:color="auto" w:fill="auto"/>
            <w:tcMar>
              <w:left w:w="57" w:type="dxa"/>
              <w:right w:w="57" w:type="dxa"/>
            </w:tcMar>
            <w:vAlign w:val="center"/>
            <w:hideMark/>
          </w:tcPr>
          <w:p w14:paraId="1BB9AD47" w14:textId="77777777" w:rsidR="00D60268" w:rsidRPr="008724C3" w:rsidRDefault="00D60268" w:rsidP="00D60268">
            <w:pPr>
              <w:jc w:val="right"/>
              <w:rPr>
                <w:color w:val="000000"/>
              </w:rPr>
            </w:pPr>
            <w:r w:rsidRPr="008724C3">
              <w:rPr>
                <w:color w:val="000000"/>
              </w:rPr>
              <w:t>0.487</w:t>
            </w:r>
          </w:p>
        </w:tc>
        <w:tc>
          <w:tcPr>
            <w:tcW w:w="405" w:type="pct"/>
            <w:shd w:val="clear" w:color="auto" w:fill="auto"/>
            <w:tcMar>
              <w:left w:w="57" w:type="dxa"/>
              <w:right w:w="57" w:type="dxa"/>
            </w:tcMar>
            <w:vAlign w:val="center"/>
            <w:hideMark/>
          </w:tcPr>
          <w:p w14:paraId="3D3940AE" w14:textId="77777777" w:rsidR="00D60268" w:rsidRPr="008724C3" w:rsidRDefault="00D60268" w:rsidP="00D60268">
            <w:pPr>
              <w:jc w:val="right"/>
              <w:rPr>
                <w:color w:val="000000"/>
              </w:rPr>
            </w:pPr>
            <w:r w:rsidRPr="008724C3">
              <w:rPr>
                <w:color w:val="000000"/>
              </w:rPr>
              <w:t>-0.968</w:t>
            </w:r>
          </w:p>
        </w:tc>
        <w:tc>
          <w:tcPr>
            <w:tcW w:w="295" w:type="pct"/>
            <w:shd w:val="clear" w:color="auto" w:fill="auto"/>
            <w:tcMar>
              <w:left w:w="57" w:type="dxa"/>
              <w:right w:w="57" w:type="dxa"/>
            </w:tcMar>
            <w:vAlign w:val="center"/>
            <w:hideMark/>
          </w:tcPr>
          <w:p w14:paraId="58731C6A" w14:textId="77777777" w:rsidR="00D60268" w:rsidRPr="008724C3" w:rsidRDefault="00D60268" w:rsidP="00D60268">
            <w:pPr>
              <w:jc w:val="right"/>
              <w:rPr>
                <w:color w:val="000000"/>
              </w:rPr>
            </w:pPr>
            <w:r w:rsidRPr="008724C3">
              <w:rPr>
                <w:color w:val="000000"/>
              </w:rPr>
              <w:t>0.393</w:t>
            </w:r>
          </w:p>
        </w:tc>
      </w:tr>
      <w:tr w:rsidR="00D60268" w:rsidRPr="008724C3" w14:paraId="0191595D" w14:textId="77777777" w:rsidTr="008724C3">
        <w:trPr>
          <w:trHeight w:val="288"/>
        </w:trPr>
        <w:tc>
          <w:tcPr>
            <w:tcW w:w="287" w:type="pct"/>
            <w:shd w:val="clear" w:color="auto" w:fill="auto"/>
            <w:noWrap/>
            <w:tcMar>
              <w:left w:w="57" w:type="dxa"/>
              <w:right w:w="57" w:type="dxa"/>
            </w:tcMar>
            <w:vAlign w:val="bottom"/>
            <w:hideMark/>
          </w:tcPr>
          <w:p w14:paraId="0D28B15B" w14:textId="77777777" w:rsidR="00D60268" w:rsidRPr="008724C3" w:rsidRDefault="00D60268" w:rsidP="00D60268">
            <w:pPr>
              <w:jc w:val="right"/>
              <w:rPr>
                <w:color w:val="000000"/>
              </w:rPr>
            </w:pPr>
            <w:r w:rsidRPr="008724C3">
              <w:rPr>
                <w:color w:val="000000"/>
              </w:rPr>
              <w:t>3</w:t>
            </w:r>
          </w:p>
        </w:tc>
        <w:tc>
          <w:tcPr>
            <w:tcW w:w="321" w:type="pct"/>
            <w:shd w:val="clear" w:color="auto" w:fill="auto"/>
            <w:tcMar>
              <w:left w:w="57" w:type="dxa"/>
              <w:right w:w="57" w:type="dxa"/>
            </w:tcMar>
            <w:vAlign w:val="center"/>
            <w:hideMark/>
          </w:tcPr>
          <w:p w14:paraId="6D28B7D6" w14:textId="77777777" w:rsidR="00D60268" w:rsidRPr="008724C3" w:rsidRDefault="00D60268" w:rsidP="00D60268">
            <w:pPr>
              <w:jc w:val="right"/>
              <w:rPr>
                <w:color w:val="000000"/>
              </w:rPr>
            </w:pPr>
            <w:r w:rsidRPr="008724C3">
              <w:rPr>
                <w:color w:val="000000"/>
              </w:rPr>
              <w:t>-0.012</w:t>
            </w:r>
          </w:p>
        </w:tc>
        <w:tc>
          <w:tcPr>
            <w:tcW w:w="274" w:type="pct"/>
            <w:shd w:val="clear" w:color="auto" w:fill="auto"/>
            <w:tcMar>
              <w:left w:w="57" w:type="dxa"/>
              <w:right w:w="57" w:type="dxa"/>
            </w:tcMar>
            <w:vAlign w:val="center"/>
            <w:hideMark/>
          </w:tcPr>
          <w:p w14:paraId="4E218D65" w14:textId="77777777" w:rsidR="00D60268" w:rsidRPr="008724C3" w:rsidRDefault="00D60268" w:rsidP="00D60268">
            <w:pPr>
              <w:jc w:val="right"/>
              <w:rPr>
                <w:color w:val="000000"/>
              </w:rPr>
            </w:pPr>
            <w:r w:rsidRPr="008724C3">
              <w:rPr>
                <w:color w:val="000000"/>
              </w:rPr>
              <w:t>0.059</w:t>
            </w:r>
          </w:p>
        </w:tc>
        <w:tc>
          <w:tcPr>
            <w:tcW w:w="274" w:type="pct"/>
            <w:shd w:val="clear" w:color="auto" w:fill="auto"/>
            <w:tcMar>
              <w:left w:w="57" w:type="dxa"/>
              <w:right w:w="57" w:type="dxa"/>
            </w:tcMar>
            <w:vAlign w:val="center"/>
            <w:hideMark/>
          </w:tcPr>
          <w:p w14:paraId="783A30E2" w14:textId="77777777" w:rsidR="00D60268" w:rsidRPr="008724C3" w:rsidRDefault="00D60268" w:rsidP="00D60268">
            <w:pPr>
              <w:jc w:val="right"/>
              <w:rPr>
                <w:color w:val="000000"/>
              </w:rPr>
            </w:pPr>
            <w:r w:rsidRPr="008724C3">
              <w:rPr>
                <w:color w:val="000000"/>
              </w:rPr>
              <w:t>0.839</w:t>
            </w:r>
          </w:p>
        </w:tc>
        <w:tc>
          <w:tcPr>
            <w:tcW w:w="405" w:type="pct"/>
            <w:shd w:val="clear" w:color="auto" w:fill="auto"/>
            <w:tcMar>
              <w:left w:w="57" w:type="dxa"/>
              <w:right w:w="57" w:type="dxa"/>
            </w:tcMar>
            <w:vAlign w:val="center"/>
            <w:hideMark/>
          </w:tcPr>
          <w:p w14:paraId="6B723C18" w14:textId="77777777" w:rsidR="00D60268" w:rsidRPr="008724C3" w:rsidRDefault="00D60268" w:rsidP="00D60268">
            <w:pPr>
              <w:jc w:val="right"/>
              <w:rPr>
                <w:color w:val="000000"/>
              </w:rPr>
            </w:pPr>
            <w:r w:rsidRPr="008724C3">
              <w:rPr>
                <w:color w:val="000000"/>
              </w:rPr>
              <w:t>-0.108</w:t>
            </w:r>
          </w:p>
        </w:tc>
        <w:tc>
          <w:tcPr>
            <w:tcW w:w="298" w:type="pct"/>
            <w:shd w:val="clear" w:color="auto" w:fill="auto"/>
            <w:tcMar>
              <w:left w:w="57" w:type="dxa"/>
              <w:right w:w="57" w:type="dxa"/>
            </w:tcMar>
            <w:vAlign w:val="center"/>
            <w:hideMark/>
          </w:tcPr>
          <w:p w14:paraId="18785770" w14:textId="77777777" w:rsidR="00D60268" w:rsidRPr="008724C3" w:rsidRDefault="00D60268" w:rsidP="00D60268">
            <w:pPr>
              <w:jc w:val="right"/>
              <w:rPr>
                <w:color w:val="000000"/>
              </w:rPr>
            </w:pPr>
            <w:r w:rsidRPr="008724C3">
              <w:rPr>
                <w:color w:val="000000"/>
              </w:rPr>
              <w:t>0.085</w:t>
            </w:r>
          </w:p>
        </w:tc>
        <w:tc>
          <w:tcPr>
            <w:tcW w:w="321" w:type="pct"/>
            <w:shd w:val="clear" w:color="auto" w:fill="auto"/>
            <w:tcMar>
              <w:left w:w="57" w:type="dxa"/>
              <w:right w:w="57" w:type="dxa"/>
            </w:tcMar>
            <w:vAlign w:val="center"/>
            <w:hideMark/>
          </w:tcPr>
          <w:p w14:paraId="5BBF1AC2" w14:textId="77777777" w:rsidR="00D60268" w:rsidRPr="008724C3" w:rsidRDefault="00D60268" w:rsidP="00D60268">
            <w:pPr>
              <w:jc w:val="right"/>
              <w:rPr>
                <w:color w:val="000000"/>
              </w:rPr>
            </w:pPr>
            <w:r w:rsidRPr="008724C3">
              <w:rPr>
                <w:color w:val="000000"/>
              </w:rPr>
              <w:t>0.512</w:t>
            </w:r>
          </w:p>
        </w:tc>
        <w:tc>
          <w:tcPr>
            <w:tcW w:w="274" w:type="pct"/>
            <w:shd w:val="clear" w:color="auto" w:fill="auto"/>
            <w:tcMar>
              <w:left w:w="57" w:type="dxa"/>
              <w:right w:w="57" w:type="dxa"/>
            </w:tcMar>
            <w:vAlign w:val="center"/>
            <w:hideMark/>
          </w:tcPr>
          <w:p w14:paraId="4D7271B9" w14:textId="77777777" w:rsidR="00D60268" w:rsidRPr="008724C3" w:rsidRDefault="00D60268" w:rsidP="00D60268">
            <w:pPr>
              <w:jc w:val="right"/>
              <w:rPr>
                <w:color w:val="000000"/>
              </w:rPr>
            </w:pPr>
            <w:r w:rsidRPr="008724C3">
              <w:rPr>
                <w:color w:val="000000"/>
              </w:rPr>
              <w:t>0.223</w:t>
            </w:r>
          </w:p>
        </w:tc>
        <w:tc>
          <w:tcPr>
            <w:tcW w:w="274" w:type="pct"/>
            <w:shd w:val="clear" w:color="auto" w:fill="auto"/>
            <w:tcMar>
              <w:left w:w="57" w:type="dxa"/>
              <w:right w:w="57" w:type="dxa"/>
            </w:tcMar>
            <w:vAlign w:val="center"/>
            <w:hideMark/>
          </w:tcPr>
          <w:p w14:paraId="3A81999A" w14:textId="77777777" w:rsidR="00D60268" w:rsidRPr="008724C3" w:rsidRDefault="00D60268" w:rsidP="00D60268">
            <w:pPr>
              <w:jc w:val="right"/>
              <w:rPr>
                <w:color w:val="000000"/>
              </w:rPr>
            </w:pPr>
            <w:r w:rsidRPr="008724C3">
              <w:rPr>
                <w:color w:val="000000"/>
              </w:rPr>
              <w:t>0.022</w:t>
            </w:r>
          </w:p>
        </w:tc>
        <w:tc>
          <w:tcPr>
            <w:tcW w:w="405" w:type="pct"/>
            <w:shd w:val="clear" w:color="auto" w:fill="auto"/>
            <w:tcMar>
              <w:left w:w="57" w:type="dxa"/>
              <w:right w:w="57" w:type="dxa"/>
            </w:tcMar>
            <w:vAlign w:val="center"/>
            <w:hideMark/>
          </w:tcPr>
          <w:p w14:paraId="18EE8928" w14:textId="77777777" w:rsidR="00D60268" w:rsidRPr="008724C3" w:rsidRDefault="00D60268" w:rsidP="00D60268">
            <w:pPr>
              <w:jc w:val="right"/>
              <w:rPr>
                <w:color w:val="000000"/>
              </w:rPr>
            </w:pPr>
            <w:r w:rsidRPr="008724C3">
              <w:rPr>
                <w:color w:val="000000"/>
              </w:rPr>
              <w:t>0.144</w:t>
            </w:r>
          </w:p>
        </w:tc>
        <w:tc>
          <w:tcPr>
            <w:tcW w:w="298" w:type="pct"/>
            <w:shd w:val="clear" w:color="auto" w:fill="auto"/>
            <w:tcMar>
              <w:left w:w="57" w:type="dxa"/>
              <w:right w:w="57" w:type="dxa"/>
            </w:tcMar>
            <w:vAlign w:val="center"/>
            <w:hideMark/>
          </w:tcPr>
          <w:p w14:paraId="12107FB4" w14:textId="77777777" w:rsidR="00D60268" w:rsidRPr="008724C3" w:rsidRDefault="00D60268" w:rsidP="00D60268">
            <w:pPr>
              <w:jc w:val="right"/>
              <w:rPr>
                <w:color w:val="000000"/>
              </w:rPr>
            </w:pPr>
            <w:r w:rsidRPr="008724C3">
              <w:rPr>
                <w:color w:val="000000"/>
              </w:rPr>
              <w:t>0.880</w:t>
            </w:r>
          </w:p>
        </w:tc>
        <w:tc>
          <w:tcPr>
            <w:tcW w:w="321" w:type="pct"/>
            <w:shd w:val="clear" w:color="auto" w:fill="auto"/>
            <w:tcMar>
              <w:left w:w="57" w:type="dxa"/>
              <w:right w:w="57" w:type="dxa"/>
            </w:tcMar>
            <w:vAlign w:val="center"/>
            <w:hideMark/>
          </w:tcPr>
          <w:p w14:paraId="1DFFCA66" w14:textId="77777777" w:rsidR="00D60268" w:rsidRPr="008724C3" w:rsidRDefault="00D60268" w:rsidP="00D60268">
            <w:pPr>
              <w:jc w:val="right"/>
              <w:rPr>
                <w:color w:val="000000"/>
              </w:rPr>
            </w:pPr>
            <w:r w:rsidRPr="008724C3">
              <w:rPr>
                <w:color w:val="000000"/>
              </w:rPr>
              <w:t>1.036</w:t>
            </w:r>
          </w:p>
        </w:tc>
        <w:tc>
          <w:tcPr>
            <w:tcW w:w="274" w:type="pct"/>
            <w:shd w:val="clear" w:color="auto" w:fill="auto"/>
            <w:tcMar>
              <w:left w:w="57" w:type="dxa"/>
              <w:right w:w="57" w:type="dxa"/>
            </w:tcMar>
            <w:vAlign w:val="center"/>
            <w:hideMark/>
          </w:tcPr>
          <w:p w14:paraId="790472C2" w14:textId="77777777" w:rsidR="00D60268" w:rsidRPr="008724C3" w:rsidRDefault="00D60268" w:rsidP="00D60268">
            <w:pPr>
              <w:jc w:val="right"/>
              <w:rPr>
                <w:color w:val="000000"/>
              </w:rPr>
            </w:pPr>
            <w:r w:rsidRPr="008724C3">
              <w:rPr>
                <w:color w:val="000000"/>
              </w:rPr>
              <w:t>0.450</w:t>
            </w:r>
          </w:p>
        </w:tc>
        <w:tc>
          <w:tcPr>
            <w:tcW w:w="274" w:type="pct"/>
            <w:shd w:val="clear" w:color="auto" w:fill="auto"/>
            <w:tcMar>
              <w:left w:w="57" w:type="dxa"/>
              <w:right w:w="57" w:type="dxa"/>
            </w:tcMar>
            <w:vAlign w:val="center"/>
            <w:hideMark/>
          </w:tcPr>
          <w:p w14:paraId="3AB37629" w14:textId="77777777" w:rsidR="00D60268" w:rsidRPr="008724C3" w:rsidRDefault="00D60268" w:rsidP="00D60268">
            <w:pPr>
              <w:jc w:val="right"/>
              <w:rPr>
                <w:color w:val="000000"/>
              </w:rPr>
            </w:pPr>
            <w:r w:rsidRPr="008724C3">
              <w:rPr>
                <w:color w:val="000000"/>
              </w:rPr>
              <w:t>0.022</w:t>
            </w:r>
          </w:p>
        </w:tc>
        <w:tc>
          <w:tcPr>
            <w:tcW w:w="405" w:type="pct"/>
            <w:shd w:val="clear" w:color="auto" w:fill="auto"/>
            <w:tcMar>
              <w:left w:w="57" w:type="dxa"/>
              <w:right w:w="57" w:type="dxa"/>
            </w:tcMar>
            <w:vAlign w:val="center"/>
            <w:hideMark/>
          </w:tcPr>
          <w:p w14:paraId="11C8DC23" w14:textId="77777777" w:rsidR="00D60268" w:rsidRPr="008724C3" w:rsidRDefault="00D60268" w:rsidP="00D60268">
            <w:pPr>
              <w:jc w:val="right"/>
              <w:rPr>
                <w:color w:val="000000"/>
              </w:rPr>
            </w:pPr>
            <w:r w:rsidRPr="008724C3">
              <w:rPr>
                <w:color w:val="000000"/>
              </w:rPr>
              <w:t>0.294</w:t>
            </w:r>
          </w:p>
        </w:tc>
        <w:tc>
          <w:tcPr>
            <w:tcW w:w="295" w:type="pct"/>
            <w:shd w:val="clear" w:color="auto" w:fill="auto"/>
            <w:tcMar>
              <w:left w:w="57" w:type="dxa"/>
              <w:right w:w="57" w:type="dxa"/>
            </w:tcMar>
            <w:vAlign w:val="center"/>
            <w:hideMark/>
          </w:tcPr>
          <w:p w14:paraId="61B1EB00" w14:textId="77777777" w:rsidR="00D60268" w:rsidRPr="008724C3" w:rsidRDefault="00D60268" w:rsidP="00D60268">
            <w:pPr>
              <w:jc w:val="right"/>
              <w:rPr>
                <w:color w:val="000000"/>
              </w:rPr>
            </w:pPr>
            <w:r w:rsidRPr="008724C3">
              <w:rPr>
                <w:color w:val="000000"/>
              </w:rPr>
              <w:t>1.778</w:t>
            </w:r>
          </w:p>
        </w:tc>
      </w:tr>
      <w:tr w:rsidR="00D60268" w:rsidRPr="008724C3" w14:paraId="347738F2" w14:textId="77777777" w:rsidTr="008724C3">
        <w:trPr>
          <w:trHeight w:val="288"/>
        </w:trPr>
        <w:tc>
          <w:tcPr>
            <w:tcW w:w="287" w:type="pct"/>
            <w:shd w:val="clear" w:color="auto" w:fill="auto"/>
            <w:noWrap/>
            <w:tcMar>
              <w:left w:w="57" w:type="dxa"/>
              <w:right w:w="57" w:type="dxa"/>
            </w:tcMar>
            <w:vAlign w:val="bottom"/>
            <w:hideMark/>
          </w:tcPr>
          <w:p w14:paraId="401DE9A6" w14:textId="77777777" w:rsidR="00D60268" w:rsidRPr="008724C3" w:rsidRDefault="00D60268" w:rsidP="00D60268">
            <w:pPr>
              <w:jc w:val="right"/>
              <w:rPr>
                <w:color w:val="000000"/>
              </w:rPr>
            </w:pPr>
            <w:r w:rsidRPr="008724C3">
              <w:rPr>
                <w:color w:val="000000"/>
              </w:rPr>
              <w:t>4</w:t>
            </w:r>
          </w:p>
        </w:tc>
        <w:tc>
          <w:tcPr>
            <w:tcW w:w="321" w:type="pct"/>
            <w:shd w:val="clear" w:color="auto" w:fill="auto"/>
            <w:tcMar>
              <w:left w:w="57" w:type="dxa"/>
              <w:right w:w="57" w:type="dxa"/>
            </w:tcMar>
            <w:vAlign w:val="center"/>
            <w:hideMark/>
          </w:tcPr>
          <w:p w14:paraId="56996D3B" w14:textId="77777777" w:rsidR="00D60268" w:rsidRPr="008724C3" w:rsidRDefault="00D60268" w:rsidP="00D60268">
            <w:pPr>
              <w:jc w:val="right"/>
              <w:rPr>
                <w:color w:val="000000"/>
              </w:rPr>
            </w:pPr>
            <w:r w:rsidRPr="008724C3">
              <w:rPr>
                <w:color w:val="000000"/>
              </w:rPr>
              <w:t>0.173</w:t>
            </w:r>
          </w:p>
        </w:tc>
        <w:tc>
          <w:tcPr>
            <w:tcW w:w="274" w:type="pct"/>
            <w:shd w:val="clear" w:color="auto" w:fill="auto"/>
            <w:tcMar>
              <w:left w:w="57" w:type="dxa"/>
              <w:right w:w="57" w:type="dxa"/>
            </w:tcMar>
            <w:vAlign w:val="center"/>
            <w:hideMark/>
          </w:tcPr>
          <w:p w14:paraId="57005343" w14:textId="77777777" w:rsidR="00D60268" w:rsidRPr="008724C3" w:rsidRDefault="00D60268" w:rsidP="00D60268">
            <w:pPr>
              <w:jc w:val="right"/>
              <w:rPr>
                <w:color w:val="000000"/>
              </w:rPr>
            </w:pPr>
            <w:r w:rsidRPr="008724C3">
              <w:rPr>
                <w:color w:val="000000"/>
              </w:rPr>
              <w:t>0.119</w:t>
            </w:r>
          </w:p>
        </w:tc>
        <w:tc>
          <w:tcPr>
            <w:tcW w:w="274" w:type="pct"/>
            <w:shd w:val="clear" w:color="auto" w:fill="auto"/>
            <w:tcMar>
              <w:left w:w="57" w:type="dxa"/>
              <w:right w:w="57" w:type="dxa"/>
            </w:tcMar>
            <w:vAlign w:val="center"/>
            <w:hideMark/>
          </w:tcPr>
          <w:p w14:paraId="42872195" w14:textId="77777777" w:rsidR="00D60268" w:rsidRPr="008724C3" w:rsidRDefault="00D60268" w:rsidP="00D60268">
            <w:pPr>
              <w:jc w:val="right"/>
              <w:rPr>
                <w:color w:val="000000"/>
              </w:rPr>
            </w:pPr>
            <w:r w:rsidRPr="008724C3">
              <w:rPr>
                <w:color w:val="000000"/>
              </w:rPr>
              <w:t>0.148</w:t>
            </w:r>
          </w:p>
        </w:tc>
        <w:tc>
          <w:tcPr>
            <w:tcW w:w="405" w:type="pct"/>
            <w:shd w:val="clear" w:color="auto" w:fill="auto"/>
            <w:tcMar>
              <w:left w:w="57" w:type="dxa"/>
              <w:right w:w="57" w:type="dxa"/>
            </w:tcMar>
            <w:vAlign w:val="center"/>
            <w:hideMark/>
          </w:tcPr>
          <w:p w14:paraId="55202EB7" w14:textId="77777777" w:rsidR="00D60268" w:rsidRPr="008724C3" w:rsidRDefault="00D60268" w:rsidP="00D60268">
            <w:pPr>
              <w:jc w:val="right"/>
              <w:rPr>
                <w:color w:val="000000"/>
              </w:rPr>
            </w:pPr>
            <w:r w:rsidRPr="008724C3">
              <w:rPr>
                <w:color w:val="000000"/>
              </w:rPr>
              <w:t>-0.024</w:t>
            </w:r>
          </w:p>
        </w:tc>
        <w:tc>
          <w:tcPr>
            <w:tcW w:w="298" w:type="pct"/>
            <w:shd w:val="clear" w:color="auto" w:fill="auto"/>
            <w:tcMar>
              <w:left w:w="57" w:type="dxa"/>
              <w:right w:w="57" w:type="dxa"/>
            </w:tcMar>
            <w:vAlign w:val="center"/>
            <w:hideMark/>
          </w:tcPr>
          <w:p w14:paraId="4EACF74C" w14:textId="77777777" w:rsidR="00D60268" w:rsidRPr="008724C3" w:rsidRDefault="00D60268" w:rsidP="00D60268">
            <w:pPr>
              <w:jc w:val="right"/>
              <w:rPr>
                <w:color w:val="000000"/>
              </w:rPr>
            </w:pPr>
            <w:r w:rsidRPr="008724C3">
              <w:rPr>
                <w:color w:val="000000"/>
              </w:rPr>
              <w:t>0.369</w:t>
            </w:r>
          </w:p>
        </w:tc>
        <w:tc>
          <w:tcPr>
            <w:tcW w:w="321" w:type="pct"/>
            <w:shd w:val="clear" w:color="auto" w:fill="auto"/>
            <w:tcMar>
              <w:left w:w="57" w:type="dxa"/>
              <w:right w:w="57" w:type="dxa"/>
            </w:tcMar>
            <w:vAlign w:val="center"/>
            <w:hideMark/>
          </w:tcPr>
          <w:p w14:paraId="5C981020" w14:textId="77777777" w:rsidR="00D60268" w:rsidRPr="008724C3" w:rsidRDefault="00D60268" w:rsidP="00D60268">
            <w:pPr>
              <w:jc w:val="right"/>
              <w:rPr>
                <w:color w:val="000000"/>
              </w:rPr>
            </w:pPr>
            <w:r w:rsidRPr="008724C3">
              <w:rPr>
                <w:color w:val="000000"/>
              </w:rPr>
              <w:t>1.266</w:t>
            </w:r>
          </w:p>
        </w:tc>
        <w:tc>
          <w:tcPr>
            <w:tcW w:w="274" w:type="pct"/>
            <w:shd w:val="clear" w:color="auto" w:fill="auto"/>
            <w:tcMar>
              <w:left w:w="57" w:type="dxa"/>
              <w:right w:w="57" w:type="dxa"/>
            </w:tcMar>
            <w:vAlign w:val="center"/>
            <w:hideMark/>
          </w:tcPr>
          <w:p w14:paraId="50AF7C95" w14:textId="77777777" w:rsidR="00D60268" w:rsidRPr="008724C3" w:rsidRDefault="00D60268" w:rsidP="00D60268">
            <w:pPr>
              <w:jc w:val="right"/>
              <w:rPr>
                <w:color w:val="000000"/>
              </w:rPr>
            </w:pPr>
            <w:r w:rsidRPr="008724C3">
              <w:rPr>
                <w:color w:val="000000"/>
              </w:rPr>
              <w:t>0.476</w:t>
            </w:r>
          </w:p>
        </w:tc>
        <w:tc>
          <w:tcPr>
            <w:tcW w:w="274" w:type="pct"/>
            <w:shd w:val="clear" w:color="auto" w:fill="auto"/>
            <w:tcMar>
              <w:left w:w="57" w:type="dxa"/>
              <w:right w:w="57" w:type="dxa"/>
            </w:tcMar>
            <w:vAlign w:val="center"/>
            <w:hideMark/>
          </w:tcPr>
          <w:p w14:paraId="774B3B9D" w14:textId="77777777" w:rsidR="00D60268" w:rsidRPr="008724C3" w:rsidRDefault="00D60268" w:rsidP="00D60268">
            <w:pPr>
              <w:jc w:val="right"/>
              <w:rPr>
                <w:color w:val="000000"/>
              </w:rPr>
            </w:pPr>
            <w:r w:rsidRPr="008724C3">
              <w:rPr>
                <w:color w:val="000000"/>
              </w:rPr>
              <w:t>0.008</w:t>
            </w:r>
          </w:p>
        </w:tc>
        <w:tc>
          <w:tcPr>
            <w:tcW w:w="405" w:type="pct"/>
            <w:shd w:val="clear" w:color="auto" w:fill="auto"/>
            <w:tcMar>
              <w:left w:w="57" w:type="dxa"/>
              <w:right w:w="57" w:type="dxa"/>
            </w:tcMar>
            <w:vAlign w:val="center"/>
            <w:hideMark/>
          </w:tcPr>
          <w:p w14:paraId="1C3AEDEC" w14:textId="77777777" w:rsidR="00D60268" w:rsidRPr="008724C3" w:rsidRDefault="00D60268" w:rsidP="00D60268">
            <w:pPr>
              <w:jc w:val="right"/>
              <w:rPr>
                <w:color w:val="000000"/>
              </w:rPr>
            </w:pPr>
            <w:r w:rsidRPr="008724C3">
              <w:rPr>
                <w:color w:val="000000"/>
              </w:rPr>
              <w:t>0.482</w:t>
            </w:r>
          </w:p>
        </w:tc>
        <w:tc>
          <w:tcPr>
            <w:tcW w:w="298" w:type="pct"/>
            <w:shd w:val="clear" w:color="auto" w:fill="auto"/>
            <w:tcMar>
              <w:left w:w="57" w:type="dxa"/>
              <w:right w:w="57" w:type="dxa"/>
            </w:tcMar>
            <w:vAlign w:val="center"/>
            <w:hideMark/>
          </w:tcPr>
          <w:p w14:paraId="1BC64231" w14:textId="77777777" w:rsidR="00D60268" w:rsidRPr="008724C3" w:rsidRDefault="00D60268" w:rsidP="00D60268">
            <w:pPr>
              <w:jc w:val="right"/>
              <w:rPr>
                <w:color w:val="000000"/>
              </w:rPr>
            </w:pPr>
            <w:r w:rsidRPr="008724C3">
              <w:rPr>
                <w:color w:val="000000"/>
              </w:rPr>
              <w:t>2.050</w:t>
            </w:r>
          </w:p>
        </w:tc>
        <w:tc>
          <w:tcPr>
            <w:tcW w:w="321" w:type="pct"/>
            <w:shd w:val="clear" w:color="auto" w:fill="auto"/>
            <w:tcMar>
              <w:left w:w="57" w:type="dxa"/>
              <w:right w:w="57" w:type="dxa"/>
            </w:tcMar>
            <w:vAlign w:val="center"/>
            <w:hideMark/>
          </w:tcPr>
          <w:p w14:paraId="1FE601E8" w14:textId="77777777" w:rsidR="00D60268" w:rsidRPr="008724C3" w:rsidRDefault="00D60268" w:rsidP="00D60268">
            <w:pPr>
              <w:jc w:val="right"/>
              <w:rPr>
                <w:color w:val="000000"/>
              </w:rPr>
            </w:pPr>
            <w:r w:rsidRPr="008724C3">
              <w:rPr>
                <w:color w:val="000000"/>
              </w:rPr>
              <w:t>2.359</w:t>
            </w:r>
          </w:p>
        </w:tc>
        <w:tc>
          <w:tcPr>
            <w:tcW w:w="274" w:type="pct"/>
            <w:shd w:val="clear" w:color="auto" w:fill="auto"/>
            <w:tcMar>
              <w:left w:w="57" w:type="dxa"/>
              <w:right w:w="57" w:type="dxa"/>
            </w:tcMar>
            <w:vAlign w:val="center"/>
            <w:hideMark/>
          </w:tcPr>
          <w:p w14:paraId="55E3EC49" w14:textId="77777777" w:rsidR="00D60268" w:rsidRPr="008724C3" w:rsidRDefault="00D60268" w:rsidP="00D60268">
            <w:pPr>
              <w:jc w:val="right"/>
              <w:rPr>
                <w:color w:val="000000"/>
              </w:rPr>
            </w:pPr>
            <w:r w:rsidRPr="008724C3">
              <w:rPr>
                <w:color w:val="000000"/>
              </w:rPr>
              <w:t>0.955</w:t>
            </w:r>
          </w:p>
        </w:tc>
        <w:tc>
          <w:tcPr>
            <w:tcW w:w="274" w:type="pct"/>
            <w:shd w:val="clear" w:color="auto" w:fill="auto"/>
            <w:tcMar>
              <w:left w:w="57" w:type="dxa"/>
              <w:right w:w="57" w:type="dxa"/>
            </w:tcMar>
            <w:vAlign w:val="center"/>
            <w:hideMark/>
          </w:tcPr>
          <w:p w14:paraId="23EC7F8B" w14:textId="77777777" w:rsidR="00D60268" w:rsidRPr="008724C3" w:rsidRDefault="00D60268" w:rsidP="00D60268">
            <w:pPr>
              <w:jc w:val="right"/>
              <w:rPr>
                <w:color w:val="000000"/>
              </w:rPr>
            </w:pPr>
            <w:r w:rsidRPr="008724C3">
              <w:rPr>
                <w:color w:val="000000"/>
              </w:rPr>
              <w:t>0.014</w:t>
            </w:r>
          </w:p>
        </w:tc>
        <w:tc>
          <w:tcPr>
            <w:tcW w:w="405" w:type="pct"/>
            <w:shd w:val="clear" w:color="auto" w:fill="auto"/>
            <w:tcMar>
              <w:left w:w="57" w:type="dxa"/>
              <w:right w:w="57" w:type="dxa"/>
            </w:tcMar>
            <w:vAlign w:val="center"/>
            <w:hideMark/>
          </w:tcPr>
          <w:p w14:paraId="42E5B4DD" w14:textId="77777777" w:rsidR="00D60268" w:rsidRPr="008724C3" w:rsidRDefault="00D60268" w:rsidP="00D60268">
            <w:pPr>
              <w:jc w:val="right"/>
              <w:rPr>
                <w:color w:val="000000"/>
              </w:rPr>
            </w:pPr>
            <w:r w:rsidRPr="008724C3">
              <w:rPr>
                <w:color w:val="000000"/>
              </w:rPr>
              <w:t>0.786</w:t>
            </w:r>
          </w:p>
        </w:tc>
        <w:tc>
          <w:tcPr>
            <w:tcW w:w="295" w:type="pct"/>
            <w:shd w:val="clear" w:color="auto" w:fill="auto"/>
            <w:tcMar>
              <w:left w:w="57" w:type="dxa"/>
              <w:right w:w="57" w:type="dxa"/>
            </w:tcMar>
            <w:vAlign w:val="center"/>
            <w:hideMark/>
          </w:tcPr>
          <w:p w14:paraId="01585310" w14:textId="77777777" w:rsidR="00D60268" w:rsidRPr="008724C3" w:rsidRDefault="00D60268" w:rsidP="00D60268">
            <w:pPr>
              <w:jc w:val="right"/>
              <w:rPr>
                <w:color w:val="000000"/>
              </w:rPr>
            </w:pPr>
            <w:r w:rsidRPr="008724C3">
              <w:rPr>
                <w:color w:val="000000"/>
              </w:rPr>
              <w:t>3.932</w:t>
            </w:r>
          </w:p>
        </w:tc>
      </w:tr>
      <w:tr w:rsidR="00D60268" w:rsidRPr="008724C3" w14:paraId="5152FBF0" w14:textId="77777777" w:rsidTr="008724C3">
        <w:trPr>
          <w:trHeight w:val="288"/>
        </w:trPr>
        <w:tc>
          <w:tcPr>
            <w:tcW w:w="287" w:type="pct"/>
            <w:shd w:val="clear" w:color="auto" w:fill="auto"/>
            <w:noWrap/>
            <w:tcMar>
              <w:left w:w="57" w:type="dxa"/>
              <w:right w:w="57" w:type="dxa"/>
            </w:tcMar>
            <w:vAlign w:val="bottom"/>
            <w:hideMark/>
          </w:tcPr>
          <w:p w14:paraId="5CD0753A" w14:textId="77777777" w:rsidR="00D60268" w:rsidRPr="008724C3" w:rsidRDefault="00D60268" w:rsidP="00D60268">
            <w:pPr>
              <w:jc w:val="right"/>
              <w:rPr>
                <w:color w:val="000000"/>
              </w:rPr>
            </w:pPr>
            <w:r w:rsidRPr="008724C3">
              <w:rPr>
                <w:color w:val="000000"/>
              </w:rPr>
              <w:t>5</w:t>
            </w:r>
          </w:p>
        </w:tc>
        <w:tc>
          <w:tcPr>
            <w:tcW w:w="321" w:type="pct"/>
            <w:shd w:val="clear" w:color="auto" w:fill="auto"/>
            <w:tcMar>
              <w:left w:w="57" w:type="dxa"/>
              <w:right w:w="57" w:type="dxa"/>
            </w:tcMar>
            <w:vAlign w:val="center"/>
            <w:hideMark/>
          </w:tcPr>
          <w:p w14:paraId="442E2B31" w14:textId="77777777" w:rsidR="00D60268" w:rsidRPr="008724C3" w:rsidRDefault="00D60268" w:rsidP="00D60268">
            <w:pPr>
              <w:jc w:val="right"/>
              <w:rPr>
                <w:color w:val="000000"/>
              </w:rPr>
            </w:pPr>
            <w:r w:rsidRPr="008724C3">
              <w:rPr>
                <w:color w:val="000000"/>
              </w:rPr>
              <w:t>0.357</w:t>
            </w:r>
          </w:p>
        </w:tc>
        <w:tc>
          <w:tcPr>
            <w:tcW w:w="274" w:type="pct"/>
            <w:shd w:val="clear" w:color="auto" w:fill="auto"/>
            <w:tcMar>
              <w:left w:w="57" w:type="dxa"/>
              <w:right w:w="57" w:type="dxa"/>
            </w:tcMar>
            <w:vAlign w:val="center"/>
            <w:hideMark/>
          </w:tcPr>
          <w:p w14:paraId="3A3BD55C" w14:textId="77777777" w:rsidR="00D60268" w:rsidRPr="008724C3" w:rsidRDefault="00D60268" w:rsidP="00D60268">
            <w:pPr>
              <w:jc w:val="right"/>
              <w:rPr>
                <w:color w:val="000000"/>
              </w:rPr>
            </w:pPr>
            <w:r w:rsidRPr="008724C3">
              <w:rPr>
                <w:color w:val="000000"/>
              </w:rPr>
              <w:t>0.196</w:t>
            </w:r>
          </w:p>
        </w:tc>
        <w:tc>
          <w:tcPr>
            <w:tcW w:w="274" w:type="pct"/>
            <w:shd w:val="clear" w:color="auto" w:fill="auto"/>
            <w:tcMar>
              <w:left w:w="57" w:type="dxa"/>
              <w:right w:w="57" w:type="dxa"/>
            </w:tcMar>
            <w:vAlign w:val="center"/>
            <w:hideMark/>
          </w:tcPr>
          <w:p w14:paraId="24750D1B" w14:textId="77777777" w:rsidR="00D60268" w:rsidRPr="008724C3" w:rsidRDefault="00D60268" w:rsidP="00D60268">
            <w:pPr>
              <w:jc w:val="right"/>
              <w:rPr>
                <w:color w:val="000000"/>
              </w:rPr>
            </w:pPr>
            <w:r w:rsidRPr="008724C3">
              <w:rPr>
                <w:color w:val="000000"/>
              </w:rPr>
              <w:t>0.069</w:t>
            </w:r>
          </w:p>
        </w:tc>
        <w:tc>
          <w:tcPr>
            <w:tcW w:w="405" w:type="pct"/>
            <w:shd w:val="clear" w:color="auto" w:fill="auto"/>
            <w:tcMar>
              <w:left w:w="57" w:type="dxa"/>
              <w:right w:w="57" w:type="dxa"/>
            </w:tcMar>
            <w:vAlign w:val="center"/>
            <w:hideMark/>
          </w:tcPr>
          <w:p w14:paraId="398480C0" w14:textId="77777777" w:rsidR="00D60268" w:rsidRPr="008724C3" w:rsidRDefault="00D60268" w:rsidP="00D60268">
            <w:pPr>
              <w:jc w:val="right"/>
              <w:rPr>
                <w:color w:val="000000"/>
              </w:rPr>
            </w:pPr>
            <w:r w:rsidRPr="008724C3">
              <w:rPr>
                <w:color w:val="000000"/>
              </w:rPr>
              <w:t>0.034</w:t>
            </w:r>
          </w:p>
        </w:tc>
        <w:tc>
          <w:tcPr>
            <w:tcW w:w="298" w:type="pct"/>
            <w:shd w:val="clear" w:color="auto" w:fill="auto"/>
            <w:tcMar>
              <w:left w:w="57" w:type="dxa"/>
              <w:right w:w="57" w:type="dxa"/>
            </w:tcMar>
            <w:vAlign w:val="center"/>
            <w:hideMark/>
          </w:tcPr>
          <w:p w14:paraId="2B4C2B94" w14:textId="77777777" w:rsidR="00D60268" w:rsidRPr="008724C3" w:rsidRDefault="00D60268" w:rsidP="00D60268">
            <w:pPr>
              <w:jc w:val="right"/>
              <w:rPr>
                <w:color w:val="000000"/>
              </w:rPr>
            </w:pPr>
            <w:r w:rsidRPr="008724C3">
              <w:rPr>
                <w:color w:val="000000"/>
              </w:rPr>
              <w:t>0.681</w:t>
            </w:r>
          </w:p>
        </w:tc>
        <w:tc>
          <w:tcPr>
            <w:tcW w:w="321" w:type="pct"/>
            <w:shd w:val="clear" w:color="auto" w:fill="auto"/>
            <w:tcMar>
              <w:left w:w="57" w:type="dxa"/>
              <w:right w:w="57" w:type="dxa"/>
            </w:tcMar>
            <w:vAlign w:val="center"/>
            <w:hideMark/>
          </w:tcPr>
          <w:p w14:paraId="2430A0D6" w14:textId="77777777" w:rsidR="00D60268" w:rsidRPr="008724C3" w:rsidRDefault="00D60268" w:rsidP="00D60268">
            <w:pPr>
              <w:jc w:val="right"/>
              <w:rPr>
                <w:color w:val="000000"/>
              </w:rPr>
            </w:pPr>
            <w:r w:rsidRPr="008724C3">
              <w:rPr>
                <w:color w:val="000000"/>
              </w:rPr>
              <w:t>2.020</w:t>
            </w:r>
          </w:p>
        </w:tc>
        <w:tc>
          <w:tcPr>
            <w:tcW w:w="274" w:type="pct"/>
            <w:shd w:val="clear" w:color="auto" w:fill="auto"/>
            <w:tcMar>
              <w:left w:w="57" w:type="dxa"/>
              <w:right w:w="57" w:type="dxa"/>
            </w:tcMar>
            <w:vAlign w:val="center"/>
            <w:hideMark/>
          </w:tcPr>
          <w:p w14:paraId="789703EF" w14:textId="77777777" w:rsidR="00D60268" w:rsidRPr="008724C3" w:rsidRDefault="00D60268" w:rsidP="00D60268">
            <w:pPr>
              <w:jc w:val="right"/>
              <w:rPr>
                <w:color w:val="000000"/>
              </w:rPr>
            </w:pPr>
            <w:r w:rsidRPr="008724C3">
              <w:rPr>
                <w:color w:val="000000"/>
              </w:rPr>
              <w:t>0.758</w:t>
            </w:r>
          </w:p>
        </w:tc>
        <w:tc>
          <w:tcPr>
            <w:tcW w:w="274" w:type="pct"/>
            <w:shd w:val="clear" w:color="auto" w:fill="auto"/>
            <w:tcMar>
              <w:left w:w="57" w:type="dxa"/>
              <w:right w:w="57" w:type="dxa"/>
            </w:tcMar>
            <w:vAlign w:val="center"/>
            <w:hideMark/>
          </w:tcPr>
          <w:p w14:paraId="547EF1FE" w14:textId="77777777" w:rsidR="00D60268" w:rsidRPr="008724C3" w:rsidRDefault="00D60268" w:rsidP="00D60268">
            <w:pPr>
              <w:jc w:val="right"/>
              <w:rPr>
                <w:color w:val="000000"/>
              </w:rPr>
            </w:pPr>
            <w:r w:rsidRPr="008724C3">
              <w:rPr>
                <w:color w:val="000000"/>
              </w:rPr>
              <w:t>0.008</w:t>
            </w:r>
          </w:p>
        </w:tc>
        <w:tc>
          <w:tcPr>
            <w:tcW w:w="405" w:type="pct"/>
            <w:shd w:val="clear" w:color="auto" w:fill="auto"/>
            <w:tcMar>
              <w:left w:w="57" w:type="dxa"/>
              <w:right w:w="57" w:type="dxa"/>
            </w:tcMar>
            <w:vAlign w:val="center"/>
            <w:hideMark/>
          </w:tcPr>
          <w:p w14:paraId="25167504" w14:textId="77777777" w:rsidR="00D60268" w:rsidRPr="008724C3" w:rsidRDefault="00D60268" w:rsidP="00D60268">
            <w:pPr>
              <w:jc w:val="right"/>
              <w:rPr>
                <w:color w:val="000000"/>
              </w:rPr>
            </w:pPr>
            <w:r w:rsidRPr="008724C3">
              <w:rPr>
                <w:color w:val="000000"/>
              </w:rPr>
              <w:t>0.772</w:t>
            </w:r>
          </w:p>
        </w:tc>
        <w:tc>
          <w:tcPr>
            <w:tcW w:w="298" w:type="pct"/>
            <w:shd w:val="clear" w:color="auto" w:fill="auto"/>
            <w:tcMar>
              <w:left w:w="57" w:type="dxa"/>
              <w:right w:w="57" w:type="dxa"/>
            </w:tcMar>
            <w:vAlign w:val="center"/>
            <w:hideMark/>
          </w:tcPr>
          <w:p w14:paraId="6993E8D3" w14:textId="77777777" w:rsidR="00D60268" w:rsidRPr="008724C3" w:rsidRDefault="00D60268" w:rsidP="00D60268">
            <w:pPr>
              <w:jc w:val="right"/>
              <w:rPr>
                <w:color w:val="000000"/>
              </w:rPr>
            </w:pPr>
            <w:r w:rsidRPr="008724C3">
              <w:rPr>
                <w:color w:val="000000"/>
              </w:rPr>
              <w:t>3.267</w:t>
            </w:r>
          </w:p>
        </w:tc>
        <w:tc>
          <w:tcPr>
            <w:tcW w:w="321" w:type="pct"/>
            <w:shd w:val="clear" w:color="auto" w:fill="auto"/>
            <w:tcMar>
              <w:left w:w="57" w:type="dxa"/>
              <w:right w:w="57" w:type="dxa"/>
            </w:tcMar>
            <w:vAlign w:val="center"/>
            <w:hideMark/>
          </w:tcPr>
          <w:p w14:paraId="6A57E6B4" w14:textId="77777777" w:rsidR="00D60268" w:rsidRPr="008724C3" w:rsidRDefault="00D60268" w:rsidP="00D60268">
            <w:pPr>
              <w:jc w:val="right"/>
              <w:rPr>
                <w:color w:val="000000"/>
              </w:rPr>
            </w:pPr>
            <w:r w:rsidRPr="008724C3">
              <w:rPr>
                <w:color w:val="000000"/>
              </w:rPr>
              <w:t>3.682</w:t>
            </w:r>
          </w:p>
        </w:tc>
        <w:tc>
          <w:tcPr>
            <w:tcW w:w="274" w:type="pct"/>
            <w:shd w:val="clear" w:color="auto" w:fill="auto"/>
            <w:tcMar>
              <w:left w:w="57" w:type="dxa"/>
              <w:right w:w="57" w:type="dxa"/>
            </w:tcMar>
            <w:vAlign w:val="center"/>
            <w:hideMark/>
          </w:tcPr>
          <w:p w14:paraId="493A717D" w14:textId="77777777" w:rsidR="00D60268" w:rsidRPr="008724C3" w:rsidRDefault="00D60268" w:rsidP="00D60268">
            <w:pPr>
              <w:jc w:val="right"/>
              <w:rPr>
                <w:color w:val="000000"/>
              </w:rPr>
            </w:pPr>
            <w:r w:rsidRPr="008724C3">
              <w:rPr>
                <w:color w:val="000000"/>
              </w:rPr>
              <w:t>1.516</w:t>
            </w:r>
          </w:p>
        </w:tc>
        <w:tc>
          <w:tcPr>
            <w:tcW w:w="274" w:type="pct"/>
            <w:shd w:val="clear" w:color="auto" w:fill="auto"/>
            <w:tcMar>
              <w:left w:w="57" w:type="dxa"/>
              <w:right w:w="57" w:type="dxa"/>
            </w:tcMar>
            <w:vAlign w:val="center"/>
            <w:hideMark/>
          </w:tcPr>
          <w:p w14:paraId="6220AA0A" w14:textId="77777777" w:rsidR="00D60268" w:rsidRPr="008724C3" w:rsidRDefault="00D60268" w:rsidP="00D60268">
            <w:pPr>
              <w:jc w:val="right"/>
              <w:rPr>
                <w:color w:val="000000"/>
              </w:rPr>
            </w:pPr>
            <w:r w:rsidRPr="008724C3">
              <w:rPr>
                <w:color w:val="000000"/>
              </w:rPr>
              <w:t>0.015</w:t>
            </w:r>
          </w:p>
        </w:tc>
        <w:tc>
          <w:tcPr>
            <w:tcW w:w="405" w:type="pct"/>
            <w:shd w:val="clear" w:color="auto" w:fill="auto"/>
            <w:tcMar>
              <w:left w:w="57" w:type="dxa"/>
              <w:right w:w="57" w:type="dxa"/>
            </w:tcMar>
            <w:vAlign w:val="center"/>
            <w:hideMark/>
          </w:tcPr>
          <w:p w14:paraId="1A283579" w14:textId="77777777" w:rsidR="00D60268" w:rsidRPr="008724C3" w:rsidRDefault="00D60268" w:rsidP="00D60268">
            <w:pPr>
              <w:jc w:val="right"/>
              <w:rPr>
                <w:color w:val="000000"/>
              </w:rPr>
            </w:pPr>
            <w:r w:rsidRPr="008724C3">
              <w:rPr>
                <w:color w:val="000000"/>
              </w:rPr>
              <w:t>1.185</w:t>
            </w:r>
          </w:p>
        </w:tc>
        <w:tc>
          <w:tcPr>
            <w:tcW w:w="295" w:type="pct"/>
            <w:shd w:val="clear" w:color="auto" w:fill="auto"/>
            <w:tcMar>
              <w:left w:w="57" w:type="dxa"/>
              <w:right w:w="57" w:type="dxa"/>
            </w:tcMar>
            <w:vAlign w:val="center"/>
            <w:hideMark/>
          </w:tcPr>
          <w:p w14:paraId="139835C1" w14:textId="77777777" w:rsidR="00D60268" w:rsidRPr="008724C3" w:rsidRDefault="00D60268" w:rsidP="00D60268">
            <w:pPr>
              <w:jc w:val="right"/>
              <w:rPr>
                <w:color w:val="000000"/>
              </w:rPr>
            </w:pPr>
            <w:r w:rsidRPr="008724C3">
              <w:rPr>
                <w:color w:val="000000"/>
              </w:rPr>
              <w:t>6.179</w:t>
            </w:r>
          </w:p>
        </w:tc>
      </w:tr>
      <w:tr w:rsidR="00D60268" w:rsidRPr="008724C3" w14:paraId="46E97B94" w14:textId="77777777" w:rsidTr="008724C3">
        <w:trPr>
          <w:trHeight w:val="288"/>
        </w:trPr>
        <w:tc>
          <w:tcPr>
            <w:tcW w:w="287" w:type="pct"/>
            <w:shd w:val="clear" w:color="auto" w:fill="auto"/>
            <w:noWrap/>
            <w:tcMar>
              <w:left w:w="57" w:type="dxa"/>
              <w:right w:w="57" w:type="dxa"/>
            </w:tcMar>
            <w:vAlign w:val="bottom"/>
            <w:hideMark/>
          </w:tcPr>
          <w:p w14:paraId="77980352" w14:textId="77777777" w:rsidR="00D60268" w:rsidRPr="008724C3" w:rsidRDefault="00D60268" w:rsidP="00D60268">
            <w:pPr>
              <w:jc w:val="right"/>
              <w:rPr>
                <w:color w:val="000000"/>
              </w:rPr>
            </w:pPr>
            <w:r w:rsidRPr="008724C3">
              <w:rPr>
                <w:color w:val="000000"/>
              </w:rPr>
              <w:t>6</w:t>
            </w:r>
          </w:p>
        </w:tc>
        <w:tc>
          <w:tcPr>
            <w:tcW w:w="321" w:type="pct"/>
            <w:shd w:val="clear" w:color="auto" w:fill="auto"/>
            <w:tcMar>
              <w:left w:w="57" w:type="dxa"/>
              <w:right w:w="57" w:type="dxa"/>
            </w:tcMar>
            <w:vAlign w:val="center"/>
            <w:hideMark/>
          </w:tcPr>
          <w:p w14:paraId="1DC45887" w14:textId="77777777" w:rsidR="00D60268" w:rsidRPr="008724C3" w:rsidRDefault="00D60268" w:rsidP="00D60268">
            <w:pPr>
              <w:jc w:val="right"/>
              <w:rPr>
                <w:color w:val="000000"/>
              </w:rPr>
            </w:pPr>
            <w:r w:rsidRPr="008724C3">
              <w:rPr>
                <w:color w:val="000000"/>
              </w:rPr>
              <w:t>0.542</w:t>
            </w:r>
          </w:p>
        </w:tc>
        <w:tc>
          <w:tcPr>
            <w:tcW w:w="274" w:type="pct"/>
            <w:shd w:val="clear" w:color="auto" w:fill="auto"/>
            <w:tcMar>
              <w:left w:w="57" w:type="dxa"/>
              <w:right w:w="57" w:type="dxa"/>
            </w:tcMar>
            <w:vAlign w:val="center"/>
            <w:hideMark/>
          </w:tcPr>
          <w:p w14:paraId="1084F0B6" w14:textId="77777777" w:rsidR="00D60268" w:rsidRPr="008724C3" w:rsidRDefault="00D60268" w:rsidP="00D60268">
            <w:pPr>
              <w:jc w:val="right"/>
              <w:rPr>
                <w:color w:val="000000"/>
              </w:rPr>
            </w:pPr>
            <w:r w:rsidRPr="008724C3">
              <w:rPr>
                <w:color w:val="000000"/>
              </w:rPr>
              <w:t>0.277</w:t>
            </w:r>
          </w:p>
        </w:tc>
        <w:tc>
          <w:tcPr>
            <w:tcW w:w="274" w:type="pct"/>
            <w:shd w:val="clear" w:color="auto" w:fill="auto"/>
            <w:tcMar>
              <w:left w:w="57" w:type="dxa"/>
              <w:right w:w="57" w:type="dxa"/>
            </w:tcMar>
            <w:vAlign w:val="center"/>
            <w:hideMark/>
          </w:tcPr>
          <w:p w14:paraId="57133C66" w14:textId="77777777" w:rsidR="00D60268" w:rsidRPr="008724C3" w:rsidRDefault="00D60268" w:rsidP="00D60268">
            <w:pPr>
              <w:jc w:val="right"/>
              <w:rPr>
                <w:color w:val="000000"/>
              </w:rPr>
            </w:pPr>
            <w:r w:rsidRPr="008724C3">
              <w:rPr>
                <w:color w:val="000000"/>
              </w:rPr>
              <w:t>0.051</w:t>
            </w:r>
          </w:p>
        </w:tc>
        <w:tc>
          <w:tcPr>
            <w:tcW w:w="405" w:type="pct"/>
            <w:shd w:val="clear" w:color="auto" w:fill="auto"/>
            <w:tcMar>
              <w:left w:w="57" w:type="dxa"/>
              <w:right w:w="57" w:type="dxa"/>
            </w:tcMar>
            <w:vAlign w:val="center"/>
            <w:hideMark/>
          </w:tcPr>
          <w:p w14:paraId="1800FD6F" w14:textId="77777777" w:rsidR="00D60268" w:rsidRPr="008724C3" w:rsidRDefault="00D60268" w:rsidP="00D60268">
            <w:pPr>
              <w:jc w:val="right"/>
              <w:rPr>
                <w:color w:val="000000"/>
              </w:rPr>
            </w:pPr>
            <w:r w:rsidRPr="008724C3">
              <w:rPr>
                <w:color w:val="000000"/>
              </w:rPr>
              <w:t>0.086</w:t>
            </w:r>
          </w:p>
        </w:tc>
        <w:tc>
          <w:tcPr>
            <w:tcW w:w="298" w:type="pct"/>
            <w:shd w:val="clear" w:color="auto" w:fill="auto"/>
            <w:tcMar>
              <w:left w:w="57" w:type="dxa"/>
              <w:right w:w="57" w:type="dxa"/>
            </w:tcMar>
            <w:vAlign w:val="center"/>
            <w:hideMark/>
          </w:tcPr>
          <w:p w14:paraId="79073FC5" w14:textId="77777777" w:rsidR="00D60268" w:rsidRPr="008724C3" w:rsidRDefault="00D60268" w:rsidP="00D60268">
            <w:pPr>
              <w:jc w:val="right"/>
              <w:rPr>
                <w:color w:val="000000"/>
              </w:rPr>
            </w:pPr>
            <w:r w:rsidRPr="008724C3">
              <w:rPr>
                <w:color w:val="000000"/>
              </w:rPr>
              <w:t>0.997</w:t>
            </w:r>
          </w:p>
        </w:tc>
        <w:tc>
          <w:tcPr>
            <w:tcW w:w="321" w:type="pct"/>
            <w:shd w:val="clear" w:color="auto" w:fill="auto"/>
            <w:tcMar>
              <w:left w:w="57" w:type="dxa"/>
              <w:right w:w="57" w:type="dxa"/>
            </w:tcMar>
            <w:vAlign w:val="center"/>
            <w:hideMark/>
          </w:tcPr>
          <w:p w14:paraId="26266E77" w14:textId="77777777" w:rsidR="00D60268" w:rsidRPr="008724C3" w:rsidRDefault="00D60268" w:rsidP="00D60268">
            <w:pPr>
              <w:jc w:val="right"/>
              <w:rPr>
                <w:color w:val="000000"/>
              </w:rPr>
            </w:pPr>
            <w:r w:rsidRPr="008724C3">
              <w:rPr>
                <w:color w:val="000000"/>
              </w:rPr>
              <w:t>2.774</w:t>
            </w:r>
          </w:p>
        </w:tc>
        <w:tc>
          <w:tcPr>
            <w:tcW w:w="274" w:type="pct"/>
            <w:shd w:val="clear" w:color="auto" w:fill="auto"/>
            <w:tcMar>
              <w:left w:w="57" w:type="dxa"/>
              <w:right w:w="57" w:type="dxa"/>
            </w:tcMar>
            <w:vAlign w:val="center"/>
            <w:hideMark/>
          </w:tcPr>
          <w:p w14:paraId="2B68957C" w14:textId="77777777" w:rsidR="00D60268" w:rsidRPr="008724C3" w:rsidRDefault="00D60268" w:rsidP="00D60268">
            <w:pPr>
              <w:jc w:val="right"/>
              <w:rPr>
                <w:color w:val="000000"/>
              </w:rPr>
            </w:pPr>
            <w:r w:rsidRPr="008724C3">
              <w:rPr>
                <w:color w:val="000000"/>
              </w:rPr>
              <w:t>1.045</w:t>
            </w:r>
          </w:p>
        </w:tc>
        <w:tc>
          <w:tcPr>
            <w:tcW w:w="274" w:type="pct"/>
            <w:shd w:val="clear" w:color="auto" w:fill="auto"/>
            <w:tcMar>
              <w:left w:w="57" w:type="dxa"/>
              <w:right w:w="57" w:type="dxa"/>
            </w:tcMar>
            <w:vAlign w:val="center"/>
            <w:hideMark/>
          </w:tcPr>
          <w:p w14:paraId="663B901C" w14:textId="77777777" w:rsidR="00D60268" w:rsidRPr="008724C3" w:rsidRDefault="00D60268" w:rsidP="00D60268">
            <w:pPr>
              <w:jc w:val="right"/>
              <w:rPr>
                <w:color w:val="000000"/>
              </w:rPr>
            </w:pPr>
            <w:r w:rsidRPr="008724C3">
              <w:rPr>
                <w:color w:val="000000"/>
              </w:rPr>
              <w:t>0.008</w:t>
            </w:r>
          </w:p>
        </w:tc>
        <w:tc>
          <w:tcPr>
            <w:tcW w:w="405" w:type="pct"/>
            <w:shd w:val="clear" w:color="auto" w:fill="auto"/>
            <w:tcMar>
              <w:left w:w="57" w:type="dxa"/>
              <w:right w:w="57" w:type="dxa"/>
            </w:tcMar>
            <w:vAlign w:val="center"/>
            <w:hideMark/>
          </w:tcPr>
          <w:p w14:paraId="161468C0" w14:textId="77777777" w:rsidR="00D60268" w:rsidRPr="008724C3" w:rsidRDefault="00D60268" w:rsidP="00D60268">
            <w:pPr>
              <w:jc w:val="right"/>
              <w:rPr>
                <w:color w:val="000000"/>
              </w:rPr>
            </w:pPr>
            <w:r w:rsidRPr="008724C3">
              <w:rPr>
                <w:color w:val="000000"/>
              </w:rPr>
              <w:t>1.053</w:t>
            </w:r>
          </w:p>
        </w:tc>
        <w:tc>
          <w:tcPr>
            <w:tcW w:w="298" w:type="pct"/>
            <w:shd w:val="clear" w:color="auto" w:fill="auto"/>
            <w:tcMar>
              <w:left w:w="57" w:type="dxa"/>
              <w:right w:w="57" w:type="dxa"/>
            </w:tcMar>
            <w:vAlign w:val="center"/>
            <w:hideMark/>
          </w:tcPr>
          <w:p w14:paraId="28035AC7" w14:textId="77777777" w:rsidR="00D60268" w:rsidRPr="008724C3" w:rsidRDefault="00D60268" w:rsidP="00D60268">
            <w:pPr>
              <w:jc w:val="right"/>
              <w:rPr>
                <w:color w:val="000000"/>
              </w:rPr>
            </w:pPr>
            <w:r w:rsidRPr="008724C3">
              <w:rPr>
                <w:color w:val="000000"/>
              </w:rPr>
              <w:t>4.495</w:t>
            </w:r>
          </w:p>
        </w:tc>
        <w:tc>
          <w:tcPr>
            <w:tcW w:w="321" w:type="pct"/>
            <w:shd w:val="clear" w:color="auto" w:fill="auto"/>
            <w:tcMar>
              <w:left w:w="57" w:type="dxa"/>
              <w:right w:w="57" w:type="dxa"/>
            </w:tcMar>
            <w:vAlign w:val="center"/>
            <w:hideMark/>
          </w:tcPr>
          <w:p w14:paraId="23BE53A5" w14:textId="77777777" w:rsidR="00D60268" w:rsidRPr="008724C3" w:rsidRDefault="00D60268" w:rsidP="00D60268">
            <w:pPr>
              <w:jc w:val="right"/>
              <w:rPr>
                <w:color w:val="000000"/>
              </w:rPr>
            </w:pPr>
            <w:r w:rsidRPr="008724C3">
              <w:rPr>
                <w:color w:val="000000"/>
              </w:rPr>
              <w:t>5.006</w:t>
            </w:r>
          </w:p>
        </w:tc>
        <w:tc>
          <w:tcPr>
            <w:tcW w:w="274" w:type="pct"/>
            <w:shd w:val="clear" w:color="auto" w:fill="auto"/>
            <w:tcMar>
              <w:left w:w="57" w:type="dxa"/>
              <w:right w:w="57" w:type="dxa"/>
            </w:tcMar>
            <w:vAlign w:val="center"/>
            <w:hideMark/>
          </w:tcPr>
          <w:p w14:paraId="579BA221" w14:textId="77777777" w:rsidR="00D60268" w:rsidRPr="008724C3" w:rsidRDefault="00D60268" w:rsidP="00D60268">
            <w:pPr>
              <w:jc w:val="right"/>
              <w:rPr>
                <w:color w:val="000000"/>
              </w:rPr>
            </w:pPr>
            <w:r w:rsidRPr="008724C3">
              <w:rPr>
                <w:color w:val="000000"/>
              </w:rPr>
              <w:t>2.089</w:t>
            </w:r>
          </w:p>
        </w:tc>
        <w:tc>
          <w:tcPr>
            <w:tcW w:w="274" w:type="pct"/>
            <w:shd w:val="clear" w:color="auto" w:fill="auto"/>
            <w:tcMar>
              <w:left w:w="57" w:type="dxa"/>
              <w:right w:w="57" w:type="dxa"/>
            </w:tcMar>
            <w:vAlign w:val="center"/>
            <w:hideMark/>
          </w:tcPr>
          <w:p w14:paraId="08A7A6E1" w14:textId="77777777" w:rsidR="00D60268" w:rsidRPr="008724C3" w:rsidRDefault="00D60268" w:rsidP="00D60268">
            <w:pPr>
              <w:jc w:val="right"/>
              <w:rPr>
                <w:color w:val="000000"/>
              </w:rPr>
            </w:pPr>
            <w:r w:rsidRPr="008724C3">
              <w:rPr>
                <w:color w:val="000000"/>
              </w:rPr>
              <w:t>0.017</w:t>
            </w:r>
          </w:p>
        </w:tc>
        <w:tc>
          <w:tcPr>
            <w:tcW w:w="405" w:type="pct"/>
            <w:shd w:val="clear" w:color="auto" w:fill="auto"/>
            <w:tcMar>
              <w:left w:w="57" w:type="dxa"/>
              <w:right w:w="57" w:type="dxa"/>
            </w:tcMar>
            <w:vAlign w:val="center"/>
            <w:hideMark/>
          </w:tcPr>
          <w:p w14:paraId="22B9C5E1" w14:textId="77777777" w:rsidR="00D60268" w:rsidRPr="008724C3" w:rsidRDefault="00D60268" w:rsidP="00D60268">
            <w:pPr>
              <w:jc w:val="right"/>
              <w:rPr>
                <w:color w:val="000000"/>
              </w:rPr>
            </w:pPr>
            <w:r w:rsidRPr="008724C3">
              <w:rPr>
                <w:color w:val="000000"/>
              </w:rPr>
              <w:t>1.566</w:t>
            </w:r>
          </w:p>
        </w:tc>
        <w:tc>
          <w:tcPr>
            <w:tcW w:w="295" w:type="pct"/>
            <w:shd w:val="clear" w:color="auto" w:fill="auto"/>
            <w:tcMar>
              <w:left w:w="57" w:type="dxa"/>
              <w:right w:w="57" w:type="dxa"/>
            </w:tcMar>
            <w:vAlign w:val="center"/>
            <w:hideMark/>
          </w:tcPr>
          <w:p w14:paraId="4BE90ECC" w14:textId="77777777" w:rsidR="00D60268" w:rsidRPr="008724C3" w:rsidRDefault="00D60268" w:rsidP="00D60268">
            <w:pPr>
              <w:jc w:val="right"/>
              <w:rPr>
                <w:color w:val="000000"/>
              </w:rPr>
            </w:pPr>
            <w:r w:rsidRPr="008724C3">
              <w:rPr>
                <w:color w:val="000000"/>
              </w:rPr>
              <w:t>8.446</w:t>
            </w:r>
          </w:p>
        </w:tc>
      </w:tr>
    </w:tbl>
    <w:p w14:paraId="082E7BCF" w14:textId="7A506460" w:rsidR="008724C3" w:rsidRDefault="008724C3" w:rsidP="00571FA4"/>
    <w:p w14:paraId="033A32D5" w14:textId="6ABCCCF9" w:rsidR="004A33E9" w:rsidRDefault="004A33E9" w:rsidP="00837407">
      <w:pPr>
        <w:rPr>
          <w:i/>
          <w:iCs/>
        </w:rPr>
      </w:pPr>
    </w:p>
    <w:p w14:paraId="65E08308" w14:textId="77777777" w:rsidR="00493E08" w:rsidRDefault="00493E08" w:rsidP="00F868D8">
      <w:pPr>
        <w:sectPr w:rsidR="00493E08" w:rsidSect="00806AA5">
          <w:pgSz w:w="16838" w:h="11906" w:orient="landscape"/>
          <w:pgMar w:top="1304" w:right="1304" w:bottom="1304" w:left="1304" w:header="709" w:footer="709" w:gutter="0"/>
          <w:cols w:space="708"/>
          <w:docGrid w:linePitch="360"/>
        </w:sectPr>
      </w:pPr>
    </w:p>
    <w:p w14:paraId="40AC69DB" w14:textId="2B702EA9" w:rsidR="00F0357E" w:rsidRPr="009744C6" w:rsidRDefault="00F0357E" w:rsidP="00664E72">
      <w:pPr>
        <w:rPr>
          <w:sz w:val="22"/>
          <w:szCs w:val="22"/>
        </w:rPr>
      </w:pPr>
      <w:bookmarkStart w:id="30" w:name="_Hlk75371595"/>
      <w:r w:rsidRPr="009744C6">
        <w:rPr>
          <w:sz w:val="22"/>
          <w:szCs w:val="22"/>
        </w:rPr>
        <w:lastRenderedPageBreak/>
        <w:t xml:space="preserve">Figure 1: </w:t>
      </w:r>
      <w:r w:rsidR="00F868D8" w:rsidRPr="009744C6">
        <w:rPr>
          <w:sz w:val="22"/>
          <w:szCs w:val="22"/>
        </w:rPr>
        <w:t>Latent mechanisms and combined effect on probability to re-enter</w:t>
      </w:r>
    </w:p>
    <w:p w14:paraId="3165D9EA" w14:textId="77777777" w:rsidR="00F0357E" w:rsidRDefault="00F0357E" w:rsidP="00664E72">
      <w:r>
        <w:rPr>
          <w:noProof/>
        </w:rPr>
        <w:drawing>
          <wp:inline distT="0" distB="0" distL="0" distR="0" wp14:anchorId="06E7C759" wp14:editId="62B8246C">
            <wp:extent cx="5481204" cy="160782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1204" cy="1607820"/>
                    </a:xfrm>
                    <a:prstGeom prst="rect">
                      <a:avLst/>
                    </a:prstGeom>
                    <a:noFill/>
                    <a:ln>
                      <a:noFill/>
                    </a:ln>
                  </pic:spPr>
                </pic:pic>
              </a:graphicData>
            </a:graphic>
          </wp:inline>
        </w:drawing>
      </w:r>
    </w:p>
    <w:p w14:paraId="78A90312" w14:textId="77777777" w:rsidR="00F0357E" w:rsidRDefault="00F0357E" w:rsidP="00664E72">
      <w:pPr>
        <w:ind w:firstLine="284"/>
        <w:rPr>
          <w:i/>
          <w:iCs/>
        </w:rPr>
      </w:pPr>
      <w:r>
        <w:rPr>
          <w:i/>
          <w:iCs/>
        </w:rPr>
        <w:t xml:space="preserve">                1(a)                                             1(b)                                                1(c)</w:t>
      </w:r>
    </w:p>
    <w:bookmarkEnd w:id="30"/>
    <w:p w14:paraId="11FFC719" w14:textId="4EEFECC3" w:rsidR="00F0357E" w:rsidRDefault="00DE1430" w:rsidP="00664E72">
      <w:pPr>
        <w:rPr>
          <w:i/>
          <w:iCs/>
          <w:sz w:val="20"/>
          <w:szCs w:val="20"/>
        </w:rPr>
      </w:pPr>
      <w:r>
        <w:rPr>
          <w:i/>
          <w:iCs/>
          <w:sz w:val="20"/>
          <w:szCs w:val="20"/>
        </w:rPr>
        <w:t>c</w:t>
      </w:r>
      <w:r w:rsidRPr="00BF7D49">
        <w:rPr>
          <w:i/>
          <w:iCs/>
          <w:sz w:val="20"/>
          <w:szCs w:val="20"/>
        </w:rPr>
        <w:t xml:space="preserve">= </w:t>
      </w:r>
      <w:r>
        <w:rPr>
          <w:i/>
          <w:iCs/>
          <w:sz w:val="20"/>
          <w:szCs w:val="20"/>
        </w:rPr>
        <w:t>reduction in inertia, e</w:t>
      </w:r>
      <w:r w:rsidRPr="00BF7D49">
        <w:rPr>
          <w:i/>
          <w:iCs/>
          <w:sz w:val="20"/>
          <w:szCs w:val="20"/>
        </w:rPr>
        <w:t>=</w:t>
      </w:r>
      <w:r>
        <w:rPr>
          <w:i/>
          <w:iCs/>
          <w:sz w:val="20"/>
          <w:szCs w:val="20"/>
        </w:rPr>
        <w:t xml:space="preserve">stock of knowledge/skills, </w:t>
      </w:r>
      <w:r w:rsidRPr="00BF7D49">
        <w:rPr>
          <w:i/>
          <w:iCs/>
          <w:sz w:val="20"/>
          <w:szCs w:val="20"/>
        </w:rPr>
        <w:t>p=</w:t>
      </w:r>
      <w:r>
        <w:rPr>
          <w:i/>
          <w:iCs/>
          <w:sz w:val="20"/>
          <w:szCs w:val="20"/>
        </w:rPr>
        <w:t>combined</w:t>
      </w:r>
      <w:r w:rsidRPr="00BF7D49">
        <w:rPr>
          <w:i/>
          <w:iCs/>
          <w:sz w:val="20"/>
          <w:szCs w:val="20"/>
        </w:rPr>
        <w:t xml:space="preserve"> effect</w:t>
      </w:r>
      <w:r>
        <w:rPr>
          <w:i/>
          <w:iCs/>
          <w:sz w:val="20"/>
          <w:szCs w:val="20"/>
        </w:rPr>
        <w:t xml:space="preserve"> (re-entry propensity, t=time-out period</w:t>
      </w:r>
    </w:p>
    <w:p w14:paraId="655AE215" w14:textId="77777777" w:rsidR="00DE1430" w:rsidRPr="009744C6" w:rsidRDefault="00DE1430" w:rsidP="00664E72">
      <w:pPr>
        <w:rPr>
          <w:sz w:val="16"/>
          <w:szCs w:val="16"/>
        </w:rPr>
      </w:pPr>
    </w:p>
    <w:p w14:paraId="277E01F7" w14:textId="7190D4EE" w:rsidR="00F0357E" w:rsidRDefault="00F0357E" w:rsidP="00664E72">
      <w:pPr>
        <w:ind w:firstLine="142"/>
        <w:rPr>
          <w:sz w:val="22"/>
          <w:szCs w:val="22"/>
        </w:rPr>
      </w:pPr>
      <w:r w:rsidRPr="009744C6">
        <w:rPr>
          <w:sz w:val="22"/>
          <w:szCs w:val="22"/>
        </w:rPr>
        <w:t>Figure 2:</w:t>
      </w:r>
      <w:r w:rsidR="00F868D8" w:rsidRPr="009744C6">
        <w:rPr>
          <w:sz w:val="22"/>
          <w:szCs w:val="22"/>
        </w:rPr>
        <w:t xml:space="preserve"> Moderating effect of collaboration on latent variables and probability to re-enter</w:t>
      </w:r>
      <w:r w:rsidRPr="009744C6">
        <w:rPr>
          <w:sz w:val="22"/>
          <w:szCs w:val="22"/>
        </w:rPr>
        <w:t xml:space="preserve"> </w:t>
      </w:r>
    </w:p>
    <w:p w14:paraId="5C45AB11" w14:textId="4A9FF45E" w:rsidR="00050C65" w:rsidRDefault="00050C65" w:rsidP="00664E72">
      <w:pPr>
        <w:ind w:firstLine="142"/>
        <w:rPr>
          <w:sz w:val="22"/>
          <w:szCs w:val="22"/>
        </w:rPr>
      </w:pPr>
      <w:r>
        <w:rPr>
          <w:noProof/>
        </w:rPr>
        <w:drawing>
          <wp:inline distT="0" distB="0" distL="0" distR="0" wp14:anchorId="756E8467" wp14:editId="2BDA547C">
            <wp:extent cx="5397500" cy="158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0" cy="1587500"/>
                    </a:xfrm>
                    <a:prstGeom prst="rect">
                      <a:avLst/>
                    </a:prstGeom>
                    <a:noFill/>
                    <a:ln>
                      <a:noFill/>
                    </a:ln>
                  </pic:spPr>
                </pic:pic>
              </a:graphicData>
            </a:graphic>
          </wp:inline>
        </w:drawing>
      </w:r>
    </w:p>
    <w:p w14:paraId="27166E9D" w14:textId="4CB5A0D5" w:rsidR="00F0357E" w:rsidRDefault="00F0357E" w:rsidP="00664E72">
      <w:pPr>
        <w:ind w:firstLine="284"/>
        <w:rPr>
          <w:i/>
          <w:iCs/>
        </w:rPr>
      </w:pPr>
      <w:r>
        <w:rPr>
          <w:i/>
          <w:iCs/>
        </w:rPr>
        <w:t xml:space="preserve">                2(a)                                             2(b)                                                2(c)</w:t>
      </w:r>
    </w:p>
    <w:p w14:paraId="6EE7E7D6" w14:textId="578839AF" w:rsidR="00050C65" w:rsidRDefault="00C775BD" w:rsidP="00664E72">
      <w:pPr>
        <w:ind w:firstLine="284"/>
        <w:rPr>
          <w:i/>
          <w:iCs/>
        </w:rPr>
      </w:pPr>
      <w:r>
        <w:rPr>
          <w:i/>
          <w:iCs/>
          <w:noProof/>
        </w:rPr>
        <w:drawing>
          <wp:inline distT="0" distB="0" distL="0" distR="0" wp14:anchorId="029FE880" wp14:editId="303E2977">
            <wp:extent cx="4837533" cy="1908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2629" cy="198134"/>
                    </a:xfrm>
                    <a:prstGeom prst="rect">
                      <a:avLst/>
                    </a:prstGeom>
                    <a:noFill/>
                    <a:ln>
                      <a:noFill/>
                    </a:ln>
                  </pic:spPr>
                </pic:pic>
              </a:graphicData>
            </a:graphic>
          </wp:inline>
        </w:drawing>
      </w:r>
    </w:p>
    <w:p w14:paraId="229E4EEF" w14:textId="4EABD5D0" w:rsidR="00F0357E" w:rsidRPr="00BF7D49" w:rsidRDefault="00F0357E" w:rsidP="00664E72">
      <w:pPr>
        <w:rPr>
          <w:i/>
          <w:iCs/>
          <w:sz w:val="20"/>
          <w:szCs w:val="20"/>
        </w:rPr>
      </w:pPr>
      <w:r>
        <w:rPr>
          <w:i/>
          <w:iCs/>
          <w:sz w:val="20"/>
          <w:szCs w:val="20"/>
        </w:rPr>
        <w:t>c</w:t>
      </w:r>
      <w:r w:rsidRPr="00BF7D49">
        <w:rPr>
          <w:i/>
          <w:iCs/>
          <w:sz w:val="20"/>
          <w:szCs w:val="20"/>
        </w:rPr>
        <w:t xml:space="preserve">= </w:t>
      </w:r>
      <w:r w:rsidR="00D874A5">
        <w:rPr>
          <w:i/>
          <w:iCs/>
          <w:sz w:val="20"/>
          <w:szCs w:val="20"/>
        </w:rPr>
        <w:t>reduction in inertia</w:t>
      </w:r>
      <w:r>
        <w:rPr>
          <w:i/>
          <w:iCs/>
          <w:sz w:val="20"/>
          <w:szCs w:val="20"/>
        </w:rPr>
        <w:t>, e</w:t>
      </w:r>
      <w:r w:rsidRPr="00BF7D49">
        <w:rPr>
          <w:i/>
          <w:iCs/>
          <w:sz w:val="20"/>
          <w:szCs w:val="20"/>
        </w:rPr>
        <w:t>=</w:t>
      </w:r>
      <w:r>
        <w:rPr>
          <w:i/>
          <w:iCs/>
          <w:sz w:val="20"/>
          <w:szCs w:val="20"/>
        </w:rPr>
        <w:t xml:space="preserve">stock of knowledge/skills, </w:t>
      </w:r>
      <w:r w:rsidRPr="00BF7D49">
        <w:rPr>
          <w:i/>
          <w:iCs/>
          <w:sz w:val="20"/>
          <w:szCs w:val="20"/>
        </w:rPr>
        <w:t>p=</w:t>
      </w:r>
      <w:r>
        <w:rPr>
          <w:i/>
          <w:iCs/>
          <w:sz w:val="20"/>
          <w:szCs w:val="20"/>
        </w:rPr>
        <w:t>combined</w:t>
      </w:r>
      <w:r w:rsidRPr="00BF7D49">
        <w:rPr>
          <w:i/>
          <w:iCs/>
          <w:sz w:val="20"/>
          <w:szCs w:val="20"/>
        </w:rPr>
        <w:t xml:space="preserve"> effect</w:t>
      </w:r>
      <w:r>
        <w:rPr>
          <w:i/>
          <w:iCs/>
          <w:sz w:val="20"/>
          <w:szCs w:val="20"/>
        </w:rPr>
        <w:t xml:space="preserve"> (re-entry propensity), t=</w:t>
      </w:r>
      <w:r w:rsidR="009B73EF">
        <w:rPr>
          <w:i/>
          <w:iCs/>
          <w:sz w:val="20"/>
          <w:szCs w:val="20"/>
        </w:rPr>
        <w:t>time-out</w:t>
      </w:r>
      <w:r>
        <w:rPr>
          <w:i/>
          <w:iCs/>
          <w:sz w:val="20"/>
          <w:szCs w:val="20"/>
        </w:rPr>
        <w:t xml:space="preserve"> period</w:t>
      </w:r>
    </w:p>
    <w:p w14:paraId="6D81CC0D" w14:textId="77777777" w:rsidR="00F0357E" w:rsidRPr="009744C6" w:rsidRDefault="00F0357E" w:rsidP="00664E72">
      <w:pPr>
        <w:rPr>
          <w:sz w:val="16"/>
          <w:szCs w:val="16"/>
        </w:rPr>
      </w:pPr>
    </w:p>
    <w:p w14:paraId="51AA4997" w14:textId="1D806CDE" w:rsidR="00F0357E" w:rsidRPr="009744C6" w:rsidRDefault="00F0357E" w:rsidP="00664E72">
      <w:pPr>
        <w:ind w:firstLine="284"/>
        <w:rPr>
          <w:sz w:val="22"/>
          <w:szCs w:val="22"/>
        </w:rPr>
      </w:pPr>
      <w:bookmarkStart w:id="31" w:name="_Hlk75371389"/>
      <w:r w:rsidRPr="009744C6">
        <w:rPr>
          <w:sz w:val="22"/>
          <w:szCs w:val="22"/>
        </w:rPr>
        <w:t xml:space="preserve">Figure 3: </w:t>
      </w:r>
      <w:r w:rsidR="00F868D8" w:rsidRPr="009744C6">
        <w:rPr>
          <w:sz w:val="22"/>
          <w:szCs w:val="22"/>
        </w:rPr>
        <w:t>Latent mechanisms and combined effect on re-entry export performance</w:t>
      </w:r>
    </w:p>
    <w:p w14:paraId="0CD60D8F" w14:textId="77777777" w:rsidR="00F0357E" w:rsidRDefault="00F0357E" w:rsidP="00664E72">
      <w:pPr>
        <w:ind w:firstLine="284"/>
        <w:rPr>
          <w:i/>
          <w:iCs/>
        </w:rPr>
      </w:pPr>
      <w:r>
        <w:rPr>
          <w:i/>
          <w:iCs/>
          <w:noProof/>
        </w:rPr>
        <w:drawing>
          <wp:inline distT="0" distB="0" distL="0" distR="0" wp14:anchorId="3FFA3F97" wp14:editId="26D08919">
            <wp:extent cx="5364480" cy="1645107"/>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634" cy="1665088"/>
                    </a:xfrm>
                    <a:prstGeom prst="rect">
                      <a:avLst/>
                    </a:prstGeom>
                    <a:noFill/>
                    <a:ln>
                      <a:noFill/>
                    </a:ln>
                  </pic:spPr>
                </pic:pic>
              </a:graphicData>
            </a:graphic>
          </wp:inline>
        </w:drawing>
      </w:r>
    </w:p>
    <w:p w14:paraId="0AD2E96A" w14:textId="0ABCEBA8" w:rsidR="00F0357E" w:rsidRDefault="00F0357E" w:rsidP="00664E72">
      <w:pPr>
        <w:ind w:firstLine="284"/>
        <w:rPr>
          <w:i/>
          <w:iCs/>
        </w:rPr>
      </w:pPr>
      <w:r>
        <w:rPr>
          <w:i/>
          <w:iCs/>
        </w:rPr>
        <w:t xml:space="preserve">                3(a)                                           3(b)                                                3(c)</w:t>
      </w:r>
    </w:p>
    <w:p w14:paraId="58513F67" w14:textId="0E0AE628" w:rsidR="00F0357E" w:rsidRPr="00BF7D49" w:rsidRDefault="00F0357E" w:rsidP="00664E72">
      <w:pPr>
        <w:ind w:firstLine="284"/>
        <w:rPr>
          <w:i/>
          <w:iCs/>
          <w:sz w:val="20"/>
          <w:szCs w:val="20"/>
        </w:rPr>
      </w:pPr>
      <w:r w:rsidRPr="00BF7D49">
        <w:rPr>
          <w:i/>
          <w:iCs/>
          <w:sz w:val="20"/>
          <w:szCs w:val="20"/>
        </w:rPr>
        <w:t>e=</w:t>
      </w:r>
      <w:r w:rsidR="00285C7A" w:rsidRPr="00285C7A">
        <w:rPr>
          <w:i/>
          <w:iCs/>
          <w:sz w:val="20"/>
          <w:szCs w:val="20"/>
        </w:rPr>
        <w:t xml:space="preserve"> </w:t>
      </w:r>
      <w:bookmarkStart w:id="32" w:name="_Hlk49688477"/>
      <w:r w:rsidR="00285C7A" w:rsidRPr="00285C7A">
        <w:rPr>
          <w:i/>
          <w:iCs/>
          <w:sz w:val="20"/>
          <w:szCs w:val="20"/>
        </w:rPr>
        <w:t>stock of</w:t>
      </w:r>
      <w:r w:rsidR="00285C7A">
        <w:rPr>
          <w:i/>
          <w:iCs/>
          <w:sz w:val="20"/>
          <w:szCs w:val="20"/>
        </w:rPr>
        <w:t xml:space="preserve"> knowledge/skills</w:t>
      </w:r>
      <w:bookmarkEnd w:id="32"/>
      <w:r>
        <w:rPr>
          <w:i/>
          <w:iCs/>
          <w:sz w:val="20"/>
          <w:szCs w:val="20"/>
        </w:rPr>
        <w:t xml:space="preserve">, </w:t>
      </w:r>
      <w:r w:rsidRPr="00BF7D49">
        <w:rPr>
          <w:i/>
          <w:iCs/>
          <w:sz w:val="20"/>
          <w:szCs w:val="20"/>
        </w:rPr>
        <w:t>n=new knowledge (learning)</w:t>
      </w:r>
      <w:r>
        <w:rPr>
          <w:i/>
          <w:iCs/>
          <w:sz w:val="20"/>
          <w:szCs w:val="20"/>
        </w:rPr>
        <w:t xml:space="preserve">, </w:t>
      </w:r>
      <w:r w:rsidRPr="00BF7D49">
        <w:rPr>
          <w:i/>
          <w:iCs/>
          <w:sz w:val="20"/>
          <w:szCs w:val="20"/>
        </w:rPr>
        <w:t>p=net effect</w:t>
      </w:r>
      <w:r>
        <w:rPr>
          <w:i/>
          <w:iCs/>
          <w:sz w:val="20"/>
          <w:szCs w:val="20"/>
        </w:rPr>
        <w:t xml:space="preserve"> (performance), t=</w:t>
      </w:r>
      <w:r w:rsidR="009B73EF">
        <w:rPr>
          <w:i/>
          <w:iCs/>
          <w:sz w:val="20"/>
          <w:szCs w:val="20"/>
        </w:rPr>
        <w:t>time-out</w:t>
      </w:r>
      <w:r>
        <w:rPr>
          <w:i/>
          <w:iCs/>
          <w:sz w:val="20"/>
          <w:szCs w:val="20"/>
        </w:rPr>
        <w:t xml:space="preserve"> period</w:t>
      </w:r>
    </w:p>
    <w:bookmarkEnd w:id="31"/>
    <w:p w14:paraId="22828593" w14:textId="044B24E8" w:rsidR="00F0357E" w:rsidRPr="009744C6" w:rsidRDefault="00F0357E" w:rsidP="00664E72">
      <w:pPr>
        <w:rPr>
          <w:sz w:val="16"/>
          <w:szCs w:val="16"/>
        </w:rPr>
      </w:pPr>
    </w:p>
    <w:p w14:paraId="427B485F" w14:textId="49D41D99" w:rsidR="00F0357E" w:rsidRPr="009744C6" w:rsidRDefault="00F0357E" w:rsidP="00664E72">
      <w:pPr>
        <w:ind w:firstLine="284"/>
        <w:rPr>
          <w:sz w:val="22"/>
          <w:szCs w:val="22"/>
        </w:rPr>
      </w:pPr>
      <w:r w:rsidRPr="009744C6">
        <w:rPr>
          <w:sz w:val="22"/>
          <w:szCs w:val="22"/>
        </w:rPr>
        <w:t xml:space="preserve">Figure 4: </w:t>
      </w:r>
      <w:r w:rsidR="00F868D8" w:rsidRPr="009744C6">
        <w:rPr>
          <w:sz w:val="22"/>
          <w:szCs w:val="22"/>
        </w:rPr>
        <w:t>Moderating effect of collaboration on latent variables and re-entry export performance</w:t>
      </w:r>
    </w:p>
    <w:p w14:paraId="0E942B53" w14:textId="46AD1EDE" w:rsidR="00F0357E" w:rsidRDefault="00050C65" w:rsidP="00664E72">
      <w:pPr>
        <w:ind w:firstLine="284"/>
      </w:pPr>
      <w:r>
        <w:rPr>
          <w:i/>
          <w:iCs/>
          <w:noProof/>
        </w:rPr>
        <w:drawing>
          <wp:inline distT="0" distB="0" distL="0" distR="0" wp14:anchorId="7A861006" wp14:editId="0421AD2B">
            <wp:extent cx="5458303" cy="1663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7189" cy="1669456"/>
                    </a:xfrm>
                    <a:prstGeom prst="rect">
                      <a:avLst/>
                    </a:prstGeom>
                    <a:noFill/>
                    <a:ln>
                      <a:noFill/>
                    </a:ln>
                  </pic:spPr>
                </pic:pic>
              </a:graphicData>
            </a:graphic>
          </wp:inline>
        </w:drawing>
      </w:r>
    </w:p>
    <w:p w14:paraId="654EB537" w14:textId="77777777" w:rsidR="00F0357E" w:rsidRDefault="00F0357E" w:rsidP="00664E72">
      <w:pPr>
        <w:ind w:firstLine="284"/>
        <w:rPr>
          <w:i/>
          <w:iCs/>
        </w:rPr>
      </w:pPr>
      <w:r>
        <w:rPr>
          <w:i/>
          <w:iCs/>
        </w:rPr>
        <w:t xml:space="preserve">                4(a)                                             4(b)                                                4(c)</w:t>
      </w:r>
    </w:p>
    <w:p w14:paraId="34110149" w14:textId="1F73678B" w:rsidR="00572737" w:rsidRDefault="00C775BD" w:rsidP="00664E72">
      <w:pPr>
        <w:ind w:firstLine="284"/>
        <w:rPr>
          <w:i/>
          <w:iCs/>
          <w:sz w:val="20"/>
          <w:szCs w:val="20"/>
        </w:rPr>
      </w:pPr>
      <w:r>
        <w:rPr>
          <w:i/>
          <w:iCs/>
          <w:noProof/>
        </w:rPr>
        <w:drawing>
          <wp:inline distT="0" distB="0" distL="0" distR="0" wp14:anchorId="2957F213" wp14:editId="2DEE8DAF">
            <wp:extent cx="4837533" cy="1908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2629" cy="198134"/>
                    </a:xfrm>
                    <a:prstGeom prst="rect">
                      <a:avLst/>
                    </a:prstGeom>
                    <a:noFill/>
                    <a:ln>
                      <a:noFill/>
                    </a:ln>
                  </pic:spPr>
                </pic:pic>
              </a:graphicData>
            </a:graphic>
          </wp:inline>
        </w:drawing>
      </w:r>
    </w:p>
    <w:p w14:paraId="5807D41F" w14:textId="23D0C8AD" w:rsidR="00F0357E" w:rsidRDefault="00F0357E" w:rsidP="009744C6">
      <w:pPr>
        <w:ind w:firstLine="284"/>
      </w:pPr>
      <w:r w:rsidRPr="00BF7D49">
        <w:rPr>
          <w:i/>
          <w:iCs/>
          <w:sz w:val="20"/>
          <w:szCs w:val="20"/>
        </w:rPr>
        <w:t>e=</w:t>
      </w:r>
      <w:r w:rsidR="00EA79B6" w:rsidRPr="00EA79B6">
        <w:rPr>
          <w:i/>
          <w:iCs/>
          <w:sz w:val="20"/>
          <w:szCs w:val="20"/>
        </w:rPr>
        <w:t xml:space="preserve"> stock of knowledge/skills</w:t>
      </w:r>
      <w:r>
        <w:rPr>
          <w:i/>
          <w:iCs/>
          <w:sz w:val="20"/>
          <w:szCs w:val="20"/>
        </w:rPr>
        <w:t xml:space="preserve">, </w:t>
      </w:r>
      <w:r w:rsidRPr="00BF7D49">
        <w:rPr>
          <w:i/>
          <w:iCs/>
          <w:sz w:val="20"/>
          <w:szCs w:val="20"/>
        </w:rPr>
        <w:t>n=new knowledge (learning)</w:t>
      </w:r>
      <w:r>
        <w:rPr>
          <w:i/>
          <w:iCs/>
          <w:sz w:val="20"/>
          <w:szCs w:val="20"/>
        </w:rPr>
        <w:t xml:space="preserve">, </w:t>
      </w:r>
      <w:r w:rsidRPr="00BF7D49">
        <w:rPr>
          <w:i/>
          <w:iCs/>
          <w:sz w:val="20"/>
          <w:szCs w:val="20"/>
        </w:rPr>
        <w:t>p=net effect</w:t>
      </w:r>
      <w:r>
        <w:rPr>
          <w:i/>
          <w:iCs/>
          <w:sz w:val="20"/>
          <w:szCs w:val="20"/>
        </w:rPr>
        <w:t xml:space="preserve"> (performance), t=</w:t>
      </w:r>
      <w:r w:rsidR="009B73EF">
        <w:rPr>
          <w:i/>
          <w:iCs/>
          <w:sz w:val="20"/>
          <w:szCs w:val="20"/>
        </w:rPr>
        <w:t>time-out</w:t>
      </w:r>
      <w:r>
        <w:rPr>
          <w:i/>
          <w:iCs/>
          <w:sz w:val="20"/>
          <w:szCs w:val="20"/>
        </w:rPr>
        <w:t xml:space="preserve"> period</w:t>
      </w:r>
    </w:p>
    <w:p w14:paraId="10E826E4" w14:textId="77777777" w:rsidR="00F13B57" w:rsidRDefault="00F13B57" w:rsidP="00837407">
      <w:pPr>
        <w:sectPr w:rsidR="00F13B57" w:rsidSect="00806AA5">
          <w:pgSz w:w="11906" w:h="16838"/>
          <w:pgMar w:top="1134" w:right="1134" w:bottom="1134" w:left="1134" w:header="709" w:footer="709" w:gutter="0"/>
          <w:cols w:space="708"/>
          <w:docGrid w:linePitch="360"/>
        </w:sectPr>
      </w:pPr>
    </w:p>
    <w:p w14:paraId="0A4C7A08" w14:textId="0C362C3A" w:rsidR="00837407" w:rsidRPr="00567168" w:rsidRDefault="00837407" w:rsidP="00F868D8">
      <w:r w:rsidRPr="00567168">
        <w:lastRenderedPageBreak/>
        <w:t xml:space="preserve">Figure </w:t>
      </w:r>
      <w:r w:rsidR="005E69E7" w:rsidRPr="00567168">
        <w:t>5</w:t>
      </w:r>
      <w:r w:rsidR="006900CD">
        <w:t>a</w:t>
      </w:r>
      <w:r w:rsidRPr="00567168">
        <w:t xml:space="preserve">: </w:t>
      </w:r>
      <w:r w:rsidR="00995F15" w:rsidRPr="00567168">
        <w:t>The e</w:t>
      </w:r>
      <w:r w:rsidR="003F0AC6" w:rsidRPr="00567168">
        <w:t xml:space="preserve">ffect of time-out period on export re-entry probability. </w:t>
      </w:r>
    </w:p>
    <w:p w14:paraId="39CD789A" w14:textId="7DAA9A27" w:rsidR="005E69E7" w:rsidRDefault="00AF546A" w:rsidP="00837407">
      <w:r w:rsidRPr="00AF546A">
        <w:rPr>
          <w:noProof/>
        </w:rPr>
        <w:drawing>
          <wp:inline distT="0" distB="0" distL="0" distR="0" wp14:anchorId="0CD88C18" wp14:editId="607A310E">
            <wp:extent cx="50292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56AA340D" w14:textId="39EBFBB9" w:rsidR="005E69E7" w:rsidRDefault="005E69E7" w:rsidP="00837407"/>
    <w:p w14:paraId="10CCB82D" w14:textId="09D4B0F9" w:rsidR="00DB58DF" w:rsidRDefault="006900CD" w:rsidP="00837407">
      <w:r w:rsidRPr="006900CD">
        <w:t>Figure 5b: Plot of average marginal effects</w:t>
      </w:r>
    </w:p>
    <w:p w14:paraId="0A27F0FD" w14:textId="1C076574" w:rsidR="006900CD" w:rsidRDefault="006900CD" w:rsidP="00837407">
      <w:r w:rsidRPr="00C428F7">
        <w:rPr>
          <w:noProof/>
        </w:rPr>
        <w:drawing>
          <wp:inline distT="0" distB="0" distL="0" distR="0" wp14:anchorId="325887CF" wp14:editId="095EE7F2">
            <wp:extent cx="50292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05F63987" w14:textId="5209A697" w:rsidR="006900CD" w:rsidRDefault="006900CD" w:rsidP="00837407"/>
    <w:p w14:paraId="616344D9" w14:textId="3F95EB8B" w:rsidR="006900CD" w:rsidRDefault="006900CD" w:rsidP="00837407"/>
    <w:p w14:paraId="7579F7FA" w14:textId="77777777" w:rsidR="006900CD" w:rsidRDefault="006900CD" w:rsidP="00837407"/>
    <w:p w14:paraId="36D632D3" w14:textId="526895E7" w:rsidR="006900CD" w:rsidRDefault="006900CD" w:rsidP="00837407"/>
    <w:p w14:paraId="114BA32D" w14:textId="77777777" w:rsidR="006900CD" w:rsidRDefault="006900CD" w:rsidP="00837407"/>
    <w:p w14:paraId="4FE8390D" w14:textId="1116DF38" w:rsidR="00E14DE6" w:rsidRPr="005270F4" w:rsidRDefault="005E69E7" w:rsidP="00F868D8">
      <w:r w:rsidRPr="005270F4">
        <w:lastRenderedPageBreak/>
        <w:t>Figure 6</w:t>
      </w:r>
      <w:r w:rsidR="004F01B5" w:rsidRPr="005270F4">
        <w:t>a</w:t>
      </w:r>
      <w:r w:rsidRPr="005270F4">
        <w:t xml:space="preserve">: The moderating effect of collaboration on the effect of time-out period on export re-entry probability. </w:t>
      </w:r>
    </w:p>
    <w:p w14:paraId="2710788E" w14:textId="5CE1A2BA" w:rsidR="00CF786D" w:rsidRDefault="002968BA" w:rsidP="00F868D8">
      <w:pPr>
        <w:rPr>
          <w:sz w:val="21"/>
          <w:szCs w:val="21"/>
        </w:rPr>
      </w:pPr>
      <w:r w:rsidRPr="002968BA">
        <w:rPr>
          <w:noProof/>
          <w:sz w:val="21"/>
          <w:szCs w:val="21"/>
        </w:rPr>
        <w:drawing>
          <wp:inline distT="0" distB="0" distL="0" distR="0" wp14:anchorId="61D14CEB" wp14:editId="61B269F4">
            <wp:extent cx="5029200"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1DD46E3E" w14:textId="77777777" w:rsidR="004F01B5" w:rsidRDefault="004F01B5" w:rsidP="004F01B5">
      <w:pPr>
        <w:rPr>
          <w:sz w:val="21"/>
          <w:szCs w:val="21"/>
        </w:rPr>
      </w:pPr>
    </w:p>
    <w:p w14:paraId="13CF18E9" w14:textId="7A5B5B8F" w:rsidR="004F01B5" w:rsidRPr="004446B3" w:rsidRDefault="004F01B5" w:rsidP="004F01B5">
      <w:r w:rsidRPr="004446B3">
        <w:t>Figure 6b: Plot of average marginal effects</w:t>
      </w:r>
    </w:p>
    <w:p w14:paraId="32F22919" w14:textId="0035EBE5" w:rsidR="00837407" w:rsidRDefault="00E049F8" w:rsidP="00837407">
      <w:pPr>
        <w:tabs>
          <w:tab w:val="left" w:pos="2120"/>
        </w:tabs>
      </w:pPr>
      <w:r w:rsidRPr="00E049F8">
        <w:rPr>
          <w:noProof/>
        </w:rPr>
        <w:drawing>
          <wp:inline distT="0" distB="0" distL="0" distR="0" wp14:anchorId="2C9ADB0E" wp14:editId="7B9DB6F6">
            <wp:extent cx="50292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578A9B03" w14:textId="77777777" w:rsidR="00035155" w:rsidRDefault="00035155" w:rsidP="005E69E7">
      <w:pPr>
        <w:tabs>
          <w:tab w:val="left" w:pos="2052"/>
        </w:tabs>
      </w:pPr>
    </w:p>
    <w:p w14:paraId="0B47A0A3" w14:textId="77777777" w:rsidR="006900CD" w:rsidRDefault="006900CD" w:rsidP="005E69E7">
      <w:pPr>
        <w:tabs>
          <w:tab w:val="left" w:pos="2052"/>
        </w:tabs>
      </w:pPr>
    </w:p>
    <w:p w14:paraId="174D71A3" w14:textId="77777777" w:rsidR="006900CD" w:rsidRDefault="006900CD" w:rsidP="005E69E7">
      <w:pPr>
        <w:tabs>
          <w:tab w:val="left" w:pos="2052"/>
        </w:tabs>
      </w:pPr>
    </w:p>
    <w:p w14:paraId="45C920FE" w14:textId="77777777" w:rsidR="006900CD" w:rsidRDefault="006900CD" w:rsidP="005E69E7">
      <w:pPr>
        <w:tabs>
          <w:tab w:val="left" w:pos="2052"/>
        </w:tabs>
      </w:pPr>
    </w:p>
    <w:p w14:paraId="339CA349" w14:textId="77777777" w:rsidR="006900CD" w:rsidRDefault="006900CD" w:rsidP="005E69E7">
      <w:pPr>
        <w:tabs>
          <w:tab w:val="left" w:pos="2052"/>
        </w:tabs>
      </w:pPr>
    </w:p>
    <w:p w14:paraId="66620918" w14:textId="50038F48" w:rsidR="005E69E7" w:rsidRPr="00F868D8" w:rsidRDefault="005E69E7" w:rsidP="005E69E7">
      <w:pPr>
        <w:tabs>
          <w:tab w:val="left" w:pos="2052"/>
        </w:tabs>
      </w:pPr>
      <w:r w:rsidRPr="00F868D8">
        <w:lastRenderedPageBreak/>
        <w:t>Figure 7</w:t>
      </w:r>
      <w:r w:rsidR="004F01B5">
        <w:t>a</w:t>
      </w:r>
      <w:r w:rsidRPr="00F868D8">
        <w:rPr>
          <w:i/>
          <w:iCs/>
        </w:rPr>
        <w:t>:</w:t>
      </w:r>
      <w:r w:rsidRPr="00F868D8">
        <w:t xml:space="preserve"> The effect of time-out period on export performance after re-entry. </w:t>
      </w:r>
    </w:p>
    <w:p w14:paraId="2CEB8533" w14:textId="79B6D09F" w:rsidR="00CA3718" w:rsidRDefault="00C53D1E" w:rsidP="00837407">
      <w:pPr>
        <w:tabs>
          <w:tab w:val="left" w:pos="1608"/>
        </w:tabs>
        <w:rPr>
          <w:noProof/>
        </w:rPr>
      </w:pPr>
      <w:r w:rsidRPr="00C53D1E">
        <w:rPr>
          <w:noProof/>
        </w:rPr>
        <w:drawing>
          <wp:inline distT="0" distB="0" distL="0" distR="0" wp14:anchorId="02314554" wp14:editId="2D215815">
            <wp:extent cx="5029200" cy="3657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484CA2B2" w14:textId="3F0A7017" w:rsidR="0086595C" w:rsidRDefault="0086595C" w:rsidP="00837407">
      <w:pPr>
        <w:tabs>
          <w:tab w:val="left" w:pos="1608"/>
        </w:tabs>
        <w:rPr>
          <w:noProof/>
        </w:rPr>
      </w:pPr>
    </w:p>
    <w:p w14:paraId="57ECCD29" w14:textId="77777777" w:rsidR="004F01B5" w:rsidRPr="004446B3" w:rsidRDefault="004F01B5" w:rsidP="004F01B5">
      <w:pPr>
        <w:tabs>
          <w:tab w:val="left" w:pos="1608"/>
        </w:tabs>
        <w:rPr>
          <w:noProof/>
        </w:rPr>
      </w:pPr>
      <w:r w:rsidRPr="004446B3">
        <w:rPr>
          <w:noProof/>
        </w:rPr>
        <w:t>Figure 7b: Plot of average marginal effects</w:t>
      </w:r>
    </w:p>
    <w:p w14:paraId="24FC1928" w14:textId="7A2FB48A" w:rsidR="002605F8" w:rsidRDefault="0065608D" w:rsidP="00837407">
      <w:pPr>
        <w:tabs>
          <w:tab w:val="left" w:pos="1608"/>
        </w:tabs>
        <w:rPr>
          <w:noProof/>
        </w:rPr>
      </w:pPr>
      <w:r w:rsidRPr="0065608D">
        <w:rPr>
          <w:noProof/>
        </w:rPr>
        <w:t xml:space="preserve"> </w:t>
      </w:r>
      <w:r w:rsidR="00F13B57" w:rsidRPr="00F13B57">
        <w:rPr>
          <w:noProof/>
        </w:rPr>
        <w:drawing>
          <wp:inline distT="0" distB="0" distL="0" distR="0" wp14:anchorId="7EB5AC93" wp14:editId="1BD8D077">
            <wp:extent cx="5029200" cy="3657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0F1F73A9" w14:textId="0167F85B" w:rsidR="00837407" w:rsidRDefault="00837407" w:rsidP="00837407">
      <w:pPr>
        <w:tabs>
          <w:tab w:val="left" w:pos="1608"/>
        </w:tabs>
      </w:pPr>
      <w:r>
        <w:tab/>
      </w:r>
    </w:p>
    <w:p w14:paraId="1FD62DD1" w14:textId="1B30F11A" w:rsidR="003F0AC6" w:rsidRDefault="003F0AC6" w:rsidP="003F0AC6">
      <w:pPr>
        <w:tabs>
          <w:tab w:val="left" w:pos="2052"/>
        </w:tabs>
      </w:pPr>
    </w:p>
    <w:p w14:paraId="3F9E3428" w14:textId="3343C7D6" w:rsidR="006900CD" w:rsidRDefault="006900CD" w:rsidP="003F0AC6">
      <w:pPr>
        <w:tabs>
          <w:tab w:val="left" w:pos="2052"/>
        </w:tabs>
      </w:pPr>
    </w:p>
    <w:p w14:paraId="4A562665" w14:textId="660BDFBC" w:rsidR="006900CD" w:rsidRDefault="006900CD" w:rsidP="003F0AC6">
      <w:pPr>
        <w:tabs>
          <w:tab w:val="left" w:pos="2052"/>
        </w:tabs>
      </w:pPr>
    </w:p>
    <w:p w14:paraId="7093107A" w14:textId="77777777" w:rsidR="006900CD" w:rsidRDefault="006900CD" w:rsidP="003F0AC6">
      <w:pPr>
        <w:tabs>
          <w:tab w:val="left" w:pos="2052"/>
        </w:tabs>
      </w:pPr>
    </w:p>
    <w:p w14:paraId="2995DE5A" w14:textId="5FE23A2C" w:rsidR="00837407" w:rsidRDefault="00837407" w:rsidP="00313B45">
      <w:pPr>
        <w:tabs>
          <w:tab w:val="left" w:pos="2052"/>
        </w:tabs>
      </w:pPr>
      <w:r w:rsidRPr="00F868D8">
        <w:lastRenderedPageBreak/>
        <w:t xml:space="preserve">Figure </w:t>
      </w:r>
      <w:r w:rsidR="00995F15" w:rsidRPr="00F868D8">
        <w:t>8</w:t>
      </w:r>
      <w:r w:rsidR="009D51BD">
        <w:t>a</w:t>
      </w:r>
      <w:r w:rsidRPr="00F868D8">
        <w:t>:</w:t>
      </w:r>
      <w:r w:rsidR="003F0AC6" w:rsidRPr="00F868D8">
        <w:t xml:space="preserve"> The moderating effect of collaboration on the effect of time-out period on export performance after re-entry. </w:t>
      </w:r>
      <w:bookmarkEnd w:id="26"/>
    </w:p>
    <w:p w14:paraId="366A0950" w14:textId="77777777" w:rsidR="004539C3" w:rsidRDefault="004539C3" w:rsidP="00313B45">
      <w:pPr>
        <w:tabs>
          <w:tab w:val="left" w:pos="2052"/>
        </w:tabs>
      </w:pPr>
    </w:p>
    <w:p w14:paraId="10F5C4AF" w14:textId="01BFF99D" w:rsidR="00105748" w:rsidRDefault="004539C3" w:rsidP="00313B45">
      <w:pPr>
        <w:tabs>
          <w:tab w:val="left" w:pos="2052"/>
        </w:tabs>
      </w:pPr>
      <w:r w:rsidRPr="004539C3">
        <w:rPr>
          <w:noProof/>
        </w:rPr>
        <w:drawing>
          <wp:inline distT="0" distB="0" distL="0" distR="0" wp14:anchorId="5F31E7FD" wp14:editId="64E008D7">
            <wp:extent cx="5029200" cy="3657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47EB2417" w14:textId="77777777" w:rsidR="004539C3" w:rsidRDefault="004539C3" w:rsidP="004F01B5">
      <w:pPr>
        <w:tabs>
          <w:tab w:val="left" w:pos="2052"/>
        </w:tabs>
        <w:rPr>
          <w:noProof/>
        </w:rPr>
      </w:pPr>
    </w:p>
    <w:p w14:paraId="3E396754" w14:textId="22D45A6D" w:rsidR="00350CE1" w:rsidRDefault="004F01B5" w:rsidP="004F01B5">
      <w:pPr>
        <w:tabs>
          <w:tab w:val="left" w:pos="2052"/>
        </w:tabs>
        <w:rPr>
          <w:noProof/>
        </w:rPr>
      </w:pPr>
      <w:r w:rsidRPr="004446B3">
        <w:rPr>
          <w:noProof/>
        </w:rPr>
        <w:t>Figure 8b: Plot of average marginal effects</w:t>
      </w:r>
    </w:p>
    <w:p w14:paraId="65C63AB6" w14:textId="4E5E2C9E" w:rsidR="00350CE1" w:rsidRDefault="00350CE1" w:rsidP="004F01B5">
      <w:pPr>
        <w:tabs>
          <w:tab w:val="left" w:pos="2052"/>
        </w:tabs>
        <w:rPr>
          <w:noProof/>
        </w:rPr>
      </w:pPr>
      <w:r w:rsidRPr="00350CE1">
        <w:rPr>
          <w:noProof/>
        </w:rPr>
        <w:drawing>
          <wp:inline distT="0" distB="0" distL="0" distR="0" wp14:anchorId="02ED0DE4" wp14:editId="2237B66D">
            <wp:extent cx="5029200" cy="3657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bookmarkEnd w:id="27"/>
    </w:p>
    <w:sectPr w:rsidR="00350CE1" w:rsidSect="00806AA5">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A25D" w14:textId="77777777" w:rsidR="001F2ECA" w:rsidRDefault="001F2ECA" w:rsidP="008122E4">
      <w:r>
        <w:separator/>
      </w:r>
    </w:p>
  </w:endnote>
  <w:endnote w:type="continuationSeparator" w:id="0">
    <w:p w14:paraId="60DD1CA9" w14:textId="77777777" w:rsidR="001F2ECA" w:rsidRDefault="001F2ECA" w:rsidP="008122E4">
      <w:r>
        <w:continuationSeparator/>
      </w:r>
    </w:p>
  </w:endnote>
  <w:endnote w:type="continuationNotice" w:id="1">
    <w:p w14:paraId="54A0C52C" w14:textId="77777777" w:rsidR="001F2ECA" w:rsidRDefault="001F2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670509"/>
      <w:docPartObj>
        <w:docPartGallery w:val="Page Numbers (Bottom of Page)"/>
        <w:docPartUnique/>
      </w:docPartObj>
    </w:sdtPr>
    <w:sdtEndPr>
      <w:rPr>
        <w:noProof/>
      </w:rPr>
    </w:sdtEndPr>
    <w:sdtContent>
      <w:p w14:paraId="254F0161" w14:textId="5FD8EF33" w:rsidR="00D421EA" w:rsidRDefault="00D421E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3B4A8F9" w14:textId="77777777" w:rsidR="00D421EA" w:rsidRDefault="00D42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DCF1" w14:textId="77777777" w:rsidR="001F2ECA" w:rsidRDefault="001F2ECA" w:rsidP="008122E4">
      <w:r>
        <w:separator/>
      </w:r>
    </w:p>
  </w:footnote>
  <w:footnote w:type="continuationSeparator" w:id="0">
    <w:p w14:paraId="663F3157" w14:textId="77777777" w:rsidR="001F2ECA" w:rsidRDefault="001F2ECA" w:rsidP="008122E4">
      <w:r>
        <w:continuationSeparator/>
      </w:r>
    </w:p>
  </w:footnote>
  <w:footnote w:type="continuationNotice" w:id="1">
    <w:p w14:paraId="4CCD6B60" w14:textId="77777777" w:rsidR="001F2ECA" w:rsidRDefault="001F2ECA"/>
  </w:footnote>
  <w:footnote w:id="2">
    <w:p w14:paraId="0F9208B4" w14:textId="49972B4E" w:rsidR="00D421EA" w:rsidRPr="00266079" w:rsidRDefault="00D421EA" w:rsidP="00246A0A">
      <w:pPr>
        <w:pStyle w:val="FootnoteText"/>
        <w:rPr>
          <w:rFonts w:ascii="Times New Roman" w:hAnsi="Times New Roman" w:cs="Times New Roman"/>
        </w:rPr>
      </w:pPr>
      <w:r w:rsidRPr="002A4636">
        <w:rPr>
          <w:rStyle w:val="FootnoteReference"/>
          <w:rFonts w:ascii="Times New Roman" w:hAnsi="Times New Roman" w:cs="Times New Roman"/>
        </w:rPr>
        <w:footnoteRef/>
      </w:r>
      <w:r w:rsidRPr="002A4636">
        <w:rPr>
          <w:rFonts w:ascii="Times New Roman" w:hAnsi="Times New Roman" w:cs="Times New Roman"/>
        </w:rPr>
        <w:t xml:space="preserve"> We </w:t>
      </w:r>
      <w:r>
        <w:rPr>
          <w:rFonts w:ascii="Times New Roman" w:hAnsi="Times New Roman" w:cs="Times New Roman"/>
        </w:rPr>
        <w:t xml:space="preserve">explain how two latent mechanisms (unlearning of experiential internationalization knowledge and the experience of the exit event) combine to influence managerial confidence regarding re-entry and form an inverted </w:t>
      </w:r>
      <w:r w:rsidRPr="002A4636">
        <w:rPr>
          <w:rFonts w:ascii="Times New Roman" w:hAnsi="Times New Roman" w:cs="Times New Roman"/>
        </w:rPr>
        <w:t>U-shape</w:t>
      </w:r>
      <w:r>
        <w:rPr>
          <w:rFonts w:ascii="Times New Roman" w:hAnsi="Times New Roman" w:cs="Times New Roman"/>
        </w:rPr>
        <w:t>d</w:t>
      </w:r>
      <w:r w:rsidRPr="002A4636">
        <w:rPr>
          <w:rFonts w:ascii="Times New Roman" w:hAnsi="Times New Roman" w:cs="Times New Roman"/>
        </w:rPr>
        <w:t xml:space="preserve"> relationship between the time-out period and the </w:t>
      </w:r>
      <w:r>
        <w:rPr>
          <w:rFonts w:ascii="Times New Roman" w:hAnsi="Times New Roman" w:cs="Times New Roman"/>
        </w:rPr>
        <w:t>likelihood of</w:t>
      </w:r>
      <w:r w:rsidRPr="002A4636">
        <w:rPr>
          <w:rFonts w:ascii="Times New Roman" w:hAnsi="Times New Roman" w:cs="Times New Roman"/>
        </w:rPr>
        <w:t xml:space="preserve"> re-</w:t>
      </w:r>
      <w:r w:rsidRPr="00266079">
        <w:rPr>
          <w:rFonts w:ascii="Times New Roman" w:hAnsi="Times New Roman" w:cs="Times New Roman"/>
        </w:rPr>
        <w:t>entering markets through exporting. We also explain how the two latent mechanisms of unlearning of internationalization knowledge and the learning of new knowledge combine to affect the implementation of strategies</w:t>
      </w:r>
      <w:r w:rsidRPr="00E252AD">
        <w:rPr>
          <w:rFonts w:ascii="Times New Roman" w:hAnsi="Times New Roman" w:cs="Times New Roman"/>
        </w:rPr>
        <w:t xml:space="preserve"> that fit current</w:t>
      </w:r>
      <w:r w:rsidRPr="00266079">
        <w:rPr>
          <w:rFonts w:ascii="Times New Roman" w:hAnsi="Times New Roman" w:cs="Times New Roman"/>
        </w:rPr>
        <w:t xml:space="preserve"> external conditions,</w:t>
      </w:r>
      <w:r>
        <w:rPr>
          <w:rFonts w:ascii="Times New Roman" w:hAnsi="Times New Roman" w:cs="Times New Roman"/>
        </w:rPr>
        <w:t xml:space="preserve"> leading </w:t>
      </w:r>
      <w:r w:rsidRPr="00266079">
        <w:rPr>
          <w:rFonts w:ascii="Times New Roman" w:hAnsi="Times New Roman" w:cs="Times New Roman"/>
        </w:rPr>
        <w:t xml:space="preserve">to a U-shaped relationship between </w:t>
      </w:r>
      <w:r>
        <w:rPr>
          <w:rFonts w:ascii="Times New Roman" w:hAnsi="Times New Roman" w:cs="Times New Roman"/>
        </w:rPr>
        <w:t xml:space="preserve">the </w:t>
      </w:r>
      <w:r w:rsidRPr="00266079">
        <w:rPr>
          <w:rFonts w:ascii="Times New Roman" w:hAnsi="Times New Roman" w:cs="Times New Roman"/>
        </w:rPr>
        <w:t>time-out period and re-entry export performance.</w:t>
      </w:r>
    </w:p>
  </w:footnote>
  <w:footnote w:id="3">
    <w:p w14:paraId="6ED66315" w14:textId="77777777" w:rsidR="00D421EA" w:rsidRPr="00382BDA" w:rsidRDefault="00D421EA" w:rsidP="00801820">
      <w:pPr>
        <w:pStyle w:val="FootnoteText"/>
      </w:pPr>
      <w:r>
        <w:rPr>
          <w:rStyle w:val="FootnoteReference"/>
        </w:rPr>
        <w:footnoteRef/>
      </w:r>
      <w:r>
        <w:t xml:space="preserve"> </w:t>
      </w:r>
      <w:r w:rsidRPr="00382BDA">
        <w:rPr>
          <w:rFonts w:ascii="Times New Roman" w:hAnsi="Times New Roman"/>
          <w:color w:val="000000"/>
        </w:rPr>
        <w:t xml:space="preserve">Although the PITEC data was available from 2003, </w:t>
      </w:r>
      <w:r>
        <w:rPr>
          <w:rFonts w:ascii="Times New Roman" w:hAnsi="Times New Roman"/>
          <w:color w:val="000000"/>
        </w:rPr>
        <w:t xml:space="preserve">complete information on exports were only available for 2003-2005 and 2008-2015 periods. This is because for the period 2006-2008, information on exports were only available for exports to outside </w:t>
      </w:r>
      <w:r w:rsidRPr="00E14B66">
        <w:rPr>
          <w:rFonts w:ascii="Times New Roman" w:hAnsi="Times New Roman"/>
          <w:color w:val="000000"/>
        </w:rPr>
        <w:t>EU, EFTA, or EU candidate countries</w:t>
      </w:r>
      <w:r>
        <w:rPr>
          <w:rFonts w:ascii="Times New Roman" w:hAnsi="Times New Roman"/>
          <w:color w:val="000000"/>
        </w:rPr>
        <w:t xml:space="preserve">. Therefore, we picked 2007-2015 period as we need lagged values of some explanatory variables for the year 2008. </w:t>
      </w:r>
    </w:p>
  </w:footnote>
  <w:footnote w:id="4">
    <w:p w14:paraId="775C2E84" w14:textId="03E88E17" w:rsidR="00D421EA" w:rsidRPr="00C456A0" w:rsidRDefault="00D421EA" w:rsidP="00E23C4D">
      <w:pPr>
        <w:pStyle w:val="FootnoteText"/>
        <w:rPr>
          <w:rFonts w:ascii="Times New Roman" w:hAnsi="Times New Roman" w:cs="Times New Roman"/>
        </w:rPr>
      </w:pPr>
      <w:r w:rsidRPr="00C456A0">
        <w:rPr>
          <w:rStyle w:val="FootnoteReference"/>
          <w:rFonts w:ascii="Times New Roman" w:hAnsi="Times New Roman" w:cs="Times New Roman"/>
        </w:rPr>
        <w:footnoteRef/>
      </w:r>
      <w:r w:rsidRPr="00C456A0">
        <w:rPr>
          <w:rFonts w:ascii="Times New Roman" w:hAnsi="Times New Roman" w:cs="Times New Roman"/>
        </w:rPr>
        <w:t xml:space="preserve"> For each time-out period, adjusted predictions are calculated by specifying values for each of the other variables in the model, and then computing the probability of the export propensity. Depending on how we specify values for each of the other variables, there are different types of adjusted predictions, e.g., average adjusted predictions and adjusted predictions at mean. Average adjusted predictions are computed by </w:t>
      </w:r>
      <w:r w:rsidRPr="00C456A0">
        <w:rPr>
          <w:rFonts w:ascii="Times New Roman" w:hAnsi="Times New Roman" w:cs="Times New Roman"/>
          <w:color w:val="000000"/>
        </w:rPr>
        <w:t xml:space="preserve">first calculating the </w:t>
      </w:r>
      <w:r w:rsidRPr="00C456A0">
        <w:rPr>
          <w:rFonts w:ascii="Times New Roman" w:hAnsi="Times New Roman" w:cs="Times New Roman"/>
        </w:rPr>
        <w:t>adjusted predictions</w:t>
      </w:r>
      <w:r w:rsidRPr="00C456A0">
        <w:rPr>
          <w:rFonts w:ascii="Times New Roman" w:hAnsi="Times New Roman" w:cs="Times New Roman"/>
          <w:color w:val="000000"/>
        </w:rPr>
        <w:t xml:space="preserve"> for each observation with their observed levels of covariates, and then averaging these </w:t>
      </w:r>
      <w:r w:rsidRPr="00C456A0">
        <w:rPr>
          <w:rFonts w:ascii="Times New Roman" w:hAnsi="Times New Roman" w:cs="Times New Roman"/>
        </w:rPr>
        <w:t>adjusted predictions</w:t>
      </w:r>
      <w:r w:rsidRPr="00C456A0">
        <w:rPr>
          <w:rFonts w:ascii="Times New Roman" w:hAnsi="Times New Roman" w:cs="Times New Roman"/>
          <w:color w:val="000000"/>
        </w:rPr>
        <w:t xml:space="preserve"> across all observations. As a robustness test, we computed </w:t>
      </w:r>
      <w:r w:rsidRPr="00C456A0">
        <w:rPr>
          <w:rFonts w:ascii="Times New Roman" w:hAnsi="Times New Roman" w:cs="Times New Roman"/>
        </w:rPr>
        <w:t>adjusted predictions</w:t>
      </w:r>
      <w:r w:rsidRPr="00C456A0">
        <w:rPr>
          <w:rFonts w:ascii="Times New Roman" w:hAnsi="Times New Roman" w:cs="Times New Roman"/>
          <w:color w:val="000000"/>
        </w:rPr>
        <w:t xml:space="preserve"> at means, </w:t>
      </w:r>
      <w:r>
        <w:rPr>
          <w:rFonts w:ascii="Times New Roman" w:hAnsi="Times New Roman" w:cs="Times New Roman"/>
          <w:color w:val="000000"/>
        </w:rPr>
        <w:t>that is</w:t>
      </w:r>
      <w:r w:rsidRPr="00C456A0">
        <w:rPr>
          <w:rFonts w:ascii="Times New Roman" w:hAnsi="Times New Roman" w:cs="Times New Roman"/>
          <w:color w:val="000000"/>
        </w:rPr>
        <w:t>, w</w:t>
      </w:r>
      <w:r w:rsidRPr="00C456A0">
        <w:rPr>
          <w:rFonts w:ascii="Times New Roman" w:hAnsi="Times New Roman" w:cs="Times New Roman"/>
        </w:rPr>
        <w:t>e calculated adjusted predictions keeping other variables at their mean value, and the results are qualitatively similar.</w:t>
      </w:r>
    </w:p>
  </w:footnote>
  <w:footnote w:id="5">
    <w:p w14:paraId="3D82CED8" w14:textId="02F239DF" w:rsidR="00D421EA" w:rsidRPr="00615653" w:rsidRDefault="00D421EA">
      <w:pPr>
        <w:pStyle w:val="FootnoteText"/>
        <w:rPr>
          <w:rFonts w:ascii="Times New Roman" w:hAnsi="Times New Roman" w:cs="Times New Roman"/>
        </w:rPr>
      </w:pPr>
      <w:r>
        <w:rPr>
          <w:rStyle w:val="FootnoteReference"/>
        </w:rPr>
        <w:footnoteRef/>
      </w:r>
      <w:r>
        <w:t xml:space="preserve"> </w:t>
      </w:r>
      <w:r w:rsidRPr="00615653">
        <w:rPr>
          <w:rFonts w:ascii="Times New Roman" w:hAnsi="Times New Roman" w:cs="Times New Roman"/>
        </w:rPr>
        <w:t>Depending on how we specify values for each of the other variables, there are different types of marginal effects, e.g.</w:t>
      </w:r>
      <w:r>
        <w:rPr>
          <w:rFonts w:ascii="Times New Roman" w:hAnsi="Times New Roman" w:cs="Times New Roman"/>
        </w:rPr>
        <w:t>,</w:t>
      </w:r>
      <w:r w:rsidRPr="00615653">
        <w:rPr>
          <w:rFonts w:ascii="Times New Roman" w:hAnsi="Times New Roman" w:cs="Times New Roman"/>
        </w:rPr>
        <w:t xml:space="preserve"> average marginal effects and marginal effects at mean. We report average marginal effects in all the tables. Average marginal effects are computed by </w:t>
      </w:r>
      <w:r w:rsidRPr="00615653">
        <w:rPr>
          <w:rFonts w:ascii="Times New Roman" w:hAnsi="Times New Roman" w:cs="Times New Roman"/>
          <w:color w:val="000000"/>
        </w:rPr>
        <w:t xml:space="preserve">first calculating the marginal effects for each observation with their observed levels of covariates, and then averaging these marginal effects across all observations. As a robustness test, we computed marginal effects at means, </w:t>
      </w:r>
      <w:r>
        <w:rPr>
          <w:rFonts w:ascii="Times New Roman" w:hAnsi="Times New Roman" w:cs="Times New Roman"/>
          <w:color w:val="000000"/>
        </w:rPr>
        <w:t xml:space="preserve">that is, </w:t>
      </w:r>
      <w:r w:rsidRPr="00615653">
        <w:rPr>
          <w:rFonts w:ascii="Times New Roman" w:hAnsi="Times New Roman" w:cs="Times New Roman"/>
          <w:color w:val="000000"/>
        </w:rPr>
        <w:t>w</w:t>
      </w:r>
      <w:r w:rsidRPr="00615653">
        <w:rPr>
          <w:rFonts w:ascii="Times New Roman" w:hAnsi="Times New Roman" w:cs="Times New Roman"/>
        </w:rPr>
        <w:t>e calculated marginal effects keeping other variables at their mean value, and the results are qualitatively similar.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A136" w14:textId="77777777" w:rsidR="00D421EA" w:rsidRDefault="00D42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534AA"/>
    <w:multiLevelType w:val="hybridMultilevel"/>
    <w:tmpl w:val="AF585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1E0174"/>
    <w:multiLevelType w:val="hybridMultilevel"/>
    <w:tmpl w:val="42D6A038"/>
    <w:lvl w:ilvl="0" w:tplc="4C6C5B8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6F317225"/>
    <w:multiLevelType w:val="hybridMultilevel"/>
    <w:tmpl w:val="823E27D0"/>
    <w:lvl w:ilvl="0" w:tplc="84ECD67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261832734">
    <w:abstractNumId w:val="0"/>
  </w:num>
  <w:num w:numId="2" w16cid:durableId="723023462">
    <w:abstractNumId w:val="2"/>
  </w:num>
  <w:num w:numId="3" w16cid:durableId="1019745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E4"/>
    <w:rsid w:val="0000055F"/>
    <w:rsid w:val="00000DEA"/>
    <w:rsid w:val="0000157C"/>
    <w:rsid w:val="00001A1C"/>
    <w:rsid w:val="00001C5B"/>
    <w:rsid w:val="00001E8A"/>
    <w:rsid w:val="00001FFB"/>
    <w:rsid w:val="0000214A"/>
    <w:rsid w:val="00002336"/>
    <w:rsid w:val="00002681"/>
    <w:rsid w:val="00003193"/>
    <w:rsid w:val="00003430"/>
    <w:rsid w:val="000034F4"/>
    <w:rsid w:val="00003803"/>
    <w:rsid w:val="00003823"/>
    <w:rsid w:val="00004643"/>
    <w:rsid w:val="00004D69"/>
    <w:rsid w:val="00005363"/>
    <w:rsid w:val="0000548B"/>
    <w:rsid w:val="0000567D"/>
    <w:rsid w:val="00005702"/>
    <w:rsid w:val="00005996"/>
    <w:rsid w:val="00005AB1"/>
    <w:rsid w:val="00005D40"/>
    <w:rsid w:val="00005D48"/>
    <w:rsid w:val="00005FFE"/>
    <w:rsid w:val="00006065"/>
    <w:rsid w:val="00006772"/>
    <w:rsid w:val="00006893"/>
    <w:rsid w:val="00006CC5"/>
    <w:rsid w:val="000073C0"/>
    <w:rsid w:val="000077A9"/>
    <w:rsid w:val="00007860"/>
    <w:rsid w:val="0000787C"/>
    <w:rsid w:val="00007A52"/>
    <w:rsid w:val="00007A6E"/>
    <w:rsid w:val="00007BD5"/>
    <w:rsid w:val="00007F0E"/>
    <w:rsid w:val="000100E5"/>
    <w:rsid w:val="00010220"/>
    <w:rsid w:val="0001099B"/>
    <w:rsid w:val="000109A1"/>
    <w:rsid w:val="00010A4F"/>
    <w:rsid w:val="00010CFA"/>
    <w:rsid w:val="00010D8A"/>
    <w:rsid w:val="00011163"/>
    <w:rsid w:val="0001190D"/>
    <w:rsid w:val="00011AB6"/>
    <w:rsid w:val="00011B89"/>
    <w:rsid w:val="00011C0F"/>
    <w:rsid w:val="000122C1"/>
    <w:rsid w:val="000124A8"/>
    <w:rsid w:val="000127A5"/>
    <w:rsid w:val="00012C27"/>
    <w:rsid w:val="00012C31"/>
    <w:rsid w:val="00013646"/>
    <w:rsid w:val="0001383D"/>
    <w:rsid w:val="00013ED4"/>
    <w:rsid w:val="000146AD"/>
    <w:rsid w:val="00014815"/>
    <w:rsid w:val="000148D2"/>
    <w:rsid w:val="0001551E"/>
    <w:rsid w:val="00015898"/>
    <w:rsid w:val="0001599C"/>
    <w:rsid w:val="00015EF9"/>
    <w:rsid w:val="000166E0"/>
    <w:rsid w:val="00016CB1"/>
    <w:rsid w:val="00016D71"/>
    <w:rsid w:val="000170F6"/>
    <w:rsid w:val="00017817"/>
    <w:rsid w:val="00017863"/>
    <w:rsid w:val="00020199"/>
    <w:rsid w:val="0002023D"/>
    <w:rsid w:val="00020AC2"/>
    <w:rsid w:val="00020E56"/>
    <w:rsid w:val="00021357"/>
    <w:rsid w:val="00021791"/>
    <w:rsid w:val="00021BB6"/>
    <w:rsid w:val="00022285"/>
    <w:rsid w:val="0002239C"/>
    <w:rsid w:val="00022AF5"/>
    <w:rsid w:val="000232DC"/>
    <w:rsid w:val="00024439"/>
    <w:rsid w:val="000244AF"/>
    <w:rsid w:val="0002470D"/>
    <w:rsid w:val="0002485A"/>
    <w:rsid w:val="00024C06"/>
    <w:rsid w:val="0002504A"/>
    <w:rsid w:val="000251AC"/>
    <w:rsid w:val="00025BD8"/>
    <w:rsid w:val="00025D6F"/>
    <w:rsid w:val="00025D96"/>
    <w:rsid w:val="00025FE6"/>
    <w:rsid w:val="0002621D"/>
    <w:rsid w:val="0002753A"/>
    <w:rsid w:val="000276CE"/>
    <w:rsid w:val="000300F6"/>
    <w:rsid w:val="00030372"/>
    <w:rsid w:val="000305FA"/>
    <w:rsid w:val="000308B6"/>
    <w:rsid w:val="000314B6"/>
    <w:rsid w:val="0003163D"/>
    <w:rsid w:val="00031816"/>
    <w:rsid w:val="00031B3D"/>
    <w:rsid w:val="00031FD1"/>
    <w:rsid w:val="000320C7"/>
    <w:rsid w:val="00032286"/>
    <w:rsid w:val="00032B58"/>
    <w:rsid w:val="00032EF8"/>
    <w:rsid w:val="00032F37"/>
    <w:rsid w:val="00033CAF"/>
    <w:rsid w:val="000341C7"/>
    <w:rsid w:val="000342A6"/>
    <w:rsid w:val="00034668"/>
    <w:rsid w:val="000349C3"/>
    <w:rsid w:val="00034B17"/>
    <w:rsid w:val="00034CAB"/>
    <w:rsid w:val="0003514B"/>
    <w:rsid w:val="00035155"/>
    <w:rsid w:val="000353EF"/>
    <w:rsid w:val="00035438"/>
    <w:rsid w:val="00035839"/>
    <w:rsid w:val="0003596B"/>
    <w:rsid w:val="00035D13"/>
    <w:rsid w:val="00036516"/>
    <w:rsid w:val="00036599"/>
    <w:rsid w:val="00036BA9"/>
    <w:rsid w:val="00037213"/>
    <w:rsid w:val="000374EB"/>
    <w:rsid w:val="000404B2"/>
    <w:rsid w:val="00040AC3"/>
    <w:rsid w:val="00040C02"/>
    <w:rsid w:val="00041415"/>
    <w:rsid w:val="0004160E"/>
    <w:rsid w:val="00041B07"/>
    <w:rsid w:val="0004218D"/>
    <w:rsid w:val="000425D0"/>
    <w:rsid w:val="00042DCC"/>
    <w:rsid w:val="00042DEE"/>
    <w:rsid w:val="00043041"/>
    <w:rsid w:val="000432CD"/>
    <w:rsid w:val="00043462"/>
    <w:rsid w:val="000434A8"/>
    <w:rsid w:val="00043531"/>
    <w:rsid w:val="0004355D"/>
    <w:rsid w:val="000437A3"/>
    <w:rsid w:val="00043BC8"/>
    <w:rsid w:val="00043CAE"/>
    <w:rsid w:val="00043EB6"/>
    <w:rsid w:val="0004402C"/>
    <w:rsid w:val="000445D2"/>
    <w:rsid w:val="00044960"/>
    <w:rsid w:val="00044F3E"/>
    <w:rsid w:val="00044F54"/>
    <w:rsid w:val="00044F60"/>
    <w:rsid w:val="00044F62"/>
    <w:rsid w:val="00045307"/>
    <w:rsid w:val="000456DF"/>
    <w:rsid w:val="00045AFC"/>
    <w:rsid w:val="00045D0B"/>
    <w:rsid w:val="00046322"/>
    <w:rsid w:val="000464EF"/>
    <w:rsid w:val="00046686"/>
    <w:rsid w:val="00046E73"/>
    <w:rsid w:val="00047206"/>
    <w:rsid w:val="0004769A"/>
    <w:rsid w:val="000477AB"/>
    <w:rsid w:val="00047C33"/>
    <w:rsid w:val="0005036D"/>
    <w:rsid w:val="000503F8"/>
    <w:rsid w:val="00050C65"/>
    <w:rsid w:val="00050D41"/>
    <w:rsid w:val="0005102B"/>
    <w:rsid w:val="0005124F"/>
    <w:rsid w:val="000513FC"/>
    <w:rsid w:val="000518C6"/>
    <w:rsid w:val="0005193B"/>
    <w:rsid w:val="00052568"/>
    <w:rsid w:val="00052978"/>
    <w:rsid w:val="00052B14"/>
    <w:rsid w:val="00052E76"/>
    <w:rsid w:val="000530B0"/>
    <w:rsid w:val="00053234"/>
    <w:rsid w:val="000532C9"/>
    <w:rsid w:val="000534D5"/>
    <w:rsid w:val="000535EB"/>
    <w:rsid w:val="00053743"/>
    <w:rsid w:val="00053A70"/>
    <w:rsid w:val="00053D23"/>
    <w:rsid w:val="0005435B"/>
    <w:rsid w:val="0005469D"/>
    <w:rsid w:val="00054A33"/>
    <w:rsid w:val="00054B7D"/>
    <w:rsid w:val="00054D48"/>
    <w:rsid w:val="000563B0"/>
    <w:rsid w:val="000574CD"/>
    <w:rsid w:val="000575FA"/>
    <w:rsid w:val="000577D2"/>
    <w:rsid w:val="00057A42"/>
    <w:rsid w:val="00057A81"/>
    <w:rsid w:val="00057E95"/>
    <w:rsid w:val="00057EED"/>
    <w:rsid w:val="0006015F"/>
    <w:rsid w:val="00060229"/>
    <w:rsid w:val="00060E32"/>
    <w:rsid w:val="00060EDE"/>
    <w:rsid w:val="00061226"/>
    <w:rsid w:val="0006251F"/>
    <w:rsid w:val="0006291B"/>
    <w:rsid w:val="00062A65"/>
    <w:rsid w:val="00062FA6"/>
    <w:rsid w:val="00063337"/>
    <w:rsid w:val="00063BD1"/>
    <w:rsid w:val="00063C61"/>
    <w:rsid w:val="00063FD9"/>
    <w:rsid w:val="00064281"/>
    <w:rsid w:val="000645A7"/>
    <w:rsid w:val="0006504F"/>
    <w:rsid w:val="0006548F"/>
    <w:rsid w:val="00065686"/>
    <w:rsid w:val="0006569D"/>
    <w:rsid w:val="000657D3"/>
    <w:rsid w:val="00065C7F"/>
    <w:rsid w:val="00066681"/>
    <w:rsid w:val="000667A2"/>
    <w:rsid w:val="00066C63"/>
    <w:rsid w:val="00066FD7"/>
    <w:rsid w:val="0006738E"/>
    <w:rsid w:val="000677AC"/>
    <w:rsid w:val="000678B0"/>
    <w:rsid w:val="00067C7D"/>
    <w:rsid w:val="00067D01"/>
    <w:rsid w:val="00067F4E"/>
    <w:rsid w:val="0007041C"/>
    <w:rsid w:val="00071441"/>
    <w:rsid w:val="0007153E"/>
    <w:rsid w:val="00071FB8"/>
    <w:rsid w:val="00071FC0"/>
    <w:rsid w:val="000732B8"/>
    <w:rsid w:val="000734E8"/>
    <w:rsid w:val="00073543"/>
    <w:rsid w:val="000738F5"/>
    <w:rsid w:val="00073B1E"/>
    <w:rsid w:val="00073D39"/>
    <w:rsid w:val="00073FAF"/>
    <w:rsid w:val="00074123"/>
    <w:rsid w:val="0007432B"/>
    <w:rsid w:val="00074AF1"/>
    <w:rsid w:val="00074D2F"/>
    <w:rsid w:val="00074D34"/>
    <w:rsid w:val="0007514E"/>
    <w:rsid w:val="000751AC"/>
    <w:rsid w:val="000754A5"/>
    <w:rsid w:val="00075589"/>
    <w:rsid w:val="000756FE"/>
    <w:rsid w:val="000757EC"/>
    <w:rsid w:val="000758E1"/>
    <w:rsid w:val="0007596E"/>
    <w:rsid w:val="00075F19"/>
    <w:rsid w:val="00076109"/>
    <w:rsid w:val="0007666B"/>
    <w:rsid w:val="000768BF"/>
    <w:rsid w:val="00076A47"/>
    <w:rsid w:val="00076F4F"/>
    <w:rsid w:val="00076FD8"/>
    <w:rsid w:val="0007776C"/>
    <w:rsid w:val="00077B3A"/>
    <w:rsid w:val="00080388"/>
    <w:rsid w:val="000807BD"/>
    <w:rsid w:val="0008086B"/>
    <w:rsid w:val="000808AB"/>
    <w:rsid w:val="000809F3"/>
    <w:rsid w:val="000810EE"/>
    <w:rsid w:val="00081161"/>
    <w:rsid w:val="0008156E"/>
    <w:rsid w:val="00081918"/>
    <w:rsid w:val="00081950"/>
    <w:rsid w:val="00081951"/>
    <w:rsid w:val="00081E88"/>
    <w:rsid w:val="0008216B"/>
    <w:rsid w:val="000823BF"/>
    <w:rsid w:val="00082FBF"/>
    <w:rsid w:val="000832BE"/>
    <w:rsid w:val="00083481"/>
    <w:rsid w:val="000837AB"/>
    <w:rsid w:val="00083841"/>
    <w:rsid w:val="00083DF5"/>
    <w:rsid w:val="00083F44"/>
    <w:rsid w:val="000845A7"/>
    <w:rsid w:val="000848C7"/>
    <w:rsid w:val="00084D59"/>
    <w:rsid w:val="000851E1"/>
    <w:rsid w:val="00085380"/>
    <w:rsid w:val="00085C78"/>
    <w:rsid w:val="00085E02"/>
    <w:rsid w:val="00085E90"/>
    <w:rsid w:val="0008662F"/>
    <w:rsid w:val="000866A4"/>
    <w:rsid w:val="0008677B"/>
    <w:rsid w:val="00086BD6"/>
    <w:rsid w:val="0008755C"/>
    <w:rsid w:val="00087D28"/>
    <w:rsid w:val="0009005D"/>
    <w:rsid w:val="0009019C"/>
    <w:rsid w:val="000901DD"/>
    <w:rsid w:val="000902D3"/>
    <w:rsid w:val="000903FA"/>
    <w:rsid w:val="00090E5D"/>
    <w:rsid w:val="00090EE8"/>
    <w:rsid w:val="00091798"/>
    <w:rsid w:val="00091C8B"/>
    <w:rsid w:val="000920D8"/>
    <w:rsid w:val="0009224C"/>
    <w:rsid w:val="00092333"/>
    <w:rsid w:val="0009275B"/>
    <w:rsid w:val="0009292D"/>
    <w:rsid w:val="00092A6A"/>
    <w:rsid w:val="000930C6"/>
    <w:rsid w:val="00093FFC"/>
    <w:rsid w:val="0009427B"/>
    <w:rsid w:val="0009458D"/>
    <w:rsid w:val="00094E02"/>
    <w:rsid w:val="00095018"/>
    <w:rsid w:val="00095055"/>
    <w:rsid w:val="0009505F"/>
    <w:rsid w:val="000952E0"/>
    <w:rsid w:val="00095446"/>
    <w:rsid w:val="00095657"/>
    <w:rsid w:val="0009567F"/>
    <w:rsid w:val="00095DA1"/>
    <w:rsid w:val="00096211"/>
    <w:rsid w:val="00096279"/>
    <w:rsid w:val="00096327"/>
    <w:rsid w:val="00096425"/>
    <w:rsid w:val="000969BF"/>
    <w:rsid w:val="00096A23"/>
    <w:rsid w:val="00096C22"/>
    <w:rsid w:val="00096D34"/>
    <w:rsid w:val="00096FEB"/>
    <w:rsid w:val="0009716A"/>
    <w:rsid w:val="00097DB4"/>
    <w:rsid w:val="000A0000"/>
    <w:rsid w:val="000A025A"/>
    <w:rsid w:val="000A0BA4"/>
    <w:rsid w:val="000A0DC7"/>
    <w:rsid w:val="000A174E"/>
    <w:rsid w:val="000A1E5C"/>
    <w:rsid w:val="000A2749"/>
    <w:rsid w:val="000A2806"/>
    <w:rsid w:val="000A2FC3"/>
    <w:rsid w:val="000A3F3C"/>
    <w:rsid w:val="000A403A"/>
    <w:rsid w:val="000A40C8"/>
    <w:rsid w:val="000A45B4"/>
    <w:rsid w:val="000A4650"/>
    <w:rsid w:val="000A47A1"/>
    <w:rsid w:val="000A4AD7"/>
    <w:rsid w:val="000A4E3E"/>
    <w:rsid w:val="000A4F79"/>
    <w:rsid w:val="000A50EE"/>
    <w:rsid w:val="000A5B35"/>
    <w:rsid w:val="000A5C9F"/>
    <w:rsid w:val="000A5EFF"/>
    <w:rsid w:val="000A61A6"/>
    <w:rsid w:val="000A61EC"/>
    <w:rsid w:val="000A6761"/>
    <w:rsid w:val="000A6A12"/>
    <w:rsid w:val="000A6AB4"/>
    <w:rsid w:val="000A6BAC"/>
    <w:rsid w:val="000A6D0B"/>
    <w:rsid w:val="000A6D8C"/>
    <w:rsid w:val="000A6D99"/>
    <w:rsid w:val="000A6ECA"/>
    <w:rsid w:val="000A70BD"/>
    <w:rsid w:val="000A7321"/>
    <w:rsid w:val="000B0135"/>
    <w:rsid w:val="000B04AF"/>
    <w:rsid w:val="000B04B2"/>
    <w:rsid w:val="000B06B6"/>
    <w:rsid w:val="000B0C43"/>
    <w:rsid w:val="000B1513"/>
    <w:rsid w:val="000B16B1"/>
    <w:rsid w:val="000B176C"/>
    <w:rsid w:val="000B1A5E"/>
    <w:rsid w:val="000B1F74"/>
    <w:rsid w:val="000B211F"/>
    <w:rsid w:val="000B215D"/>
    <w:rsid w:val="000B2225"/>
    <w:rsid w:val="000B22DC"/>
    <w:rsid w:val="000B343C"/>
    <w:rsid w:val="000B3509"/>
    <w:rsid w:val="000B3600"/>
    <w:rsid w:val="000B3CE2"/>
    <w:rsid w:val="000B4333"/>
    <w:rsid w:val="000B43A9"/>
    <w:rsid w:val="000B4407"/>
    <w:rsid w:val="000B4584"/>
    <w:rsid w:val="000B46F9"/>
    <w:rsid w:val="000B483A"/>
    <w:rsid w:val="000B4887"/>
    <w:rsid w:val="000B4B67"/>
    <w:rsid w:val="000B4DB1"/>
    <w:rsid w:val="000B4F1F"/>
    <w:rsid w:val="000B568E"/>
    <w:rsid w:val="000B5A17"/>
    <w:rsid w:val="000B60B3"/>
    <w:rsid w:val="000B6137"/>
    <w:rsid w:val="000B6190"/>
    <w:rsid w:val="000B62E1"/>
    <w:rsid w:val="000B6781"/>
    <w:rsid w:val="000B7817"/>
    <w:rsid w:val="000B7B68"/>
    <w:rsid w:val="000B7BBA"/>
    <w:rsid w:val="000B7BDB"/>
    <w:rsid w:val="000C02BB"/>
    <w:rsid w:val="000C03D4"/>
    <w:rsid w:val="000C0FBB"/>
    <w:rsid w:val="000C14C4"/>
    <w:rsid w:val="000C1FCE"/>
    <w:rsid w:val="000C2299"/>
    <w:rsid w:val="000C348D"/>
    <w:rsid w:val="000C36C4"/>
    <w:rsid w:val="000C3E6B"/>
    <w:rsid w:val="000C415E"/>
    <w:rsid w:val="000C42BB"/>
    <w:rsid w:val="000C4679"/>
    <w:rsid w:val="000C46A7"/>
    <w:rsid w:val="000C4F9C"/>
    <w:rsid w:val="000C5652"/>
    <w:rsid w:val="000C5675"/>
    <w:rsid w:val="000C5B5B"/>
    <w:rsid w:val="000C65EB"/>
    <w:rsid w:val="000C68FD"/>
    <w:rsid w:val="000C6D6E"/>
    <w:rsid w:val="000C6F31"/>
    <w:rsid w:val="000C7192"/>
    <w:rsid w:val="000C71D6"/>
    <w:rsid w:val="000D00BB"/>
    <w:rsid w:val="000D05D1"/>
    <w:rsid w:val="000D0A38"/>
    <w:rsid w:val="000D10A0"/>
    <w:rsid w:val="000D1420"/>
    <w:rsid w:val="000D170C"/>
    <w:rsid w:val="000D192F"/>
    <w:rsid w:val="000D19BB"/>
    <w:rsid w:val="000D1B1A"/>
    <w:rsid w:val="000D1FEE"/>
    <w:rsid w:val="000D21A1"/>
    <w:rsid w:val="000D248C"/>
    <w:rsid w:val="000D2813"/>
    <w:rsid w:val="000D2DD2"/>
    <w:rsid w:val="000D3010"/>
    <w:rsid w:val="000D3069"/>
    <w:rsid w:val="000D31A4"/>
    <w:rsid w:val="000D31C1"/>
    <w:rsid w:val="000D32F3"/>
    <w:rsid w:val="000D354A"/>
    <w:rsid w:val="000D370E"/>
    <w:rsid w:val="000D3A4C"/>
    <w:rsid w:val="000D3F3D"/>
    <w:rsid w:val="000D4020"/>
    <w:rsid w:val="000D4380"/>
    <w:rsid w:val="000D4987"/>
    <w:rsid w:val="000D4AB7"/>
    <w:rsid w:val="000D4F26"/>
    <w:rsid w:val="000D5293"/>
    <w:rsid w:val="000D531D"/>
    <w:rsid w:val="000D538F"/>
    <w:rsid w:val="000D554F"/>
    <w:rsid w:val="000D5E07"/>
    <w:rsid w:val="000D5E14"/>
    <w:rsid w:val="000D6020"/>
    <w:rsid w:val="000D6126"/>
    <w:rsid w:val="000D66D2"/>
    <w:rsid w:val="000D6BB9"/>
    <w:rsid w:val="000D6D96"/>
    <w:rsid w:val="000D79E3"/>
    <w:rsid w:val="000D7A83"/>
    <w:rsid w:val="000D7DB2"/>
    <w:rsid w:val="000E1218"/>
    <w:rsid w:val="000E151A"/>
    <w:rsid w:val="000E1616"/>
    <w:rsid w:val="000E1711"/>
    <w:rsid w:val="000E18F2"/>
    <w:rsid w:val="000E1C26"/>
    <w:rsid w:val="000E1CEA"/>
    <w:rsid w:val="000E1F18"/>
    <w:rsid w:val="000E2062"/>
    <w:rsid w:val="000E34BD"/>
    <w:rsid w:val="000E371C"/>
    <w:rsid w:val="000E397B"/>
    <w:rsid w:val="000E3B75"/>
    <w:rsid w:val="000E3E54"/>
    <w:rsid w:val="000E3E87"/>
    <w:rsid w:val="000E3F2E"/>
    <w:rsid w:val="000E40E3"/>
    <w:rsid w:val="000E456D"/>
    <w:rsid w:val="000E45DF"/>
    <w:rsid w:val="000E4A51"/>
    <w:rsid w:val="000E4ECC"/>
    <w:rsid w:val="000E512E"/>
    <w:rsid w:val="000E55B2"/>
    <w:rsid w:val="000E5BBA"/>
    <w:rsid w:val="000E6E0D"/>
    <w:rsid w:val="000E6F5C"/>
    <w:rsid w:val="000E70F6"/>
    <w:rsid w:val="000E74C1"/>
    <w:rsid w:val="000E74E9"/>
    <w:rsid w:val="000E78F2"/>
    <w:rsid w:val="000F03F8"/>
    <w:rsid w:val="000F071F"/>
    <w:rsid w:val="000F0C70"/>
    <w:rsid w:val="000F0D96"/>
    <w:rsid w:val="000F103C"/>
    <w:rsid w:val="000F10EC"/>
    <w:rsid w:val="000F1101"/>
    <w:rsid w:val="000F1155"/>
    <w:rsid w:val="000F1531"/>
    <w:rsid w:val="000F1D3F"/>
    <w:rsid w:val="000F1E08"/>
    <w:rsid w:val="000F214B"/>
    <w:rsid w:val="000F2183"/>
    <w:rsid w:val="000F2969"/>
    <w:rsid w:val="000F2AF0"/>
    <w:rsid w:val="000F2D3D"/>
    <w:rsid w:val="000F368F"/>
    <w:rsid w:val="000F3703"/>
    <w:rsid w:val="000F3A2B"/>
    <w:rsid w:val="000F4026"/>
    <w:rsid w:val="000F489E"/>
    <w:rsid w:val="000F4990"/>
    <w:rsid w:val="000F4DF2"/>
    <w:rsid w:val="000F4E17"/>
    <w:rsid w:val="000F4FE8"/>
    <w:rsid w:val="000F515A"/>
    <w:rsid w:val="000F532B"/>
    <w:rsid w:val="000F57E2"/>
    <w:rsid w:val="000F5B4D"/>
    <w:rsid w:val="000F5C40"/>
    <w:rsid w:val="000F5F75"/>
    <w:rsid w:val="000F6473"/>
    <w:rsid w:val="000F6588"/>
    <w:rsid w:val="000F66E1"/>
    <w:rsid w:val="000F6CFB"/>
    <w:rsid w:val="000F75CB"/>
    <w:rsid w:val="0010011F"/>
    <w:rsid w:val="0010121E"/>
    <w:rsid w:val="00101424"/>
    <w:rsid w:val="001017E0"/>
    <w:rsid w:val="00101BCE"/>
    <w:rsid w:val="00101D80"/>
    <w:rsid w:val="00101DA0"/>
    <w:rsid w:val="001025DF"/>
    <w:rsid w:val="001028D1"/>
    <w:rsid w:val="0010335B"/>
    <w:rsid w:val="0010355B"/>
    <w:rsid w:val="00103F3F"/>
    <w:rsid w:val="001046B1"/>
    <w:rsid w:val="00104866"/>
    <w:rsid w:val="00104AF6"/>
    <w:rsid w:val="00104B41"/>
    <w:rsid w:val="00104C4A"/>
    <w:rsid w:val="00104E3F"/>
    <w:rsid w:val="00104F17"/>
    <w:rsid w:val="0010537D"/>
    <w:rsid w:val="001053B0"/>
    <w:rsid w:val="00105748"/>
    <w:rsid w:val="001063EC"/>
    <w:rsid w:val="0010642F"/>
    <w:rsid w:val="001064C8"/>
    <w:rsid w:val="00106A94"/>
    <w:rsid w:val="00107950"/>
    <w:rsid w:val="0010799C"/>
    <w:rsid w:val="00107C3B"/>
    <w:rsid w:val="00110210"/>
    <w:rsid w:val="00110558"/>
    <w:rsid w:val="00110A02"/>
    <w:rsid w:val="00110C26"/>
    <w:rsid w:val="00110CCF"/>
    <w:rsid w:val="0011138B"/>
    <w:rsid w:val="00111B8A"/>
    <w:rsid w:val="0011209F"/>
    <w:rsid w:val="001123D5"/>
    <w:rsid w:val="001123D9"/>
    <w:rsid w:val="0011244E"/>
    <w:rsid w:val="00112543"/>
    <w:rsid w:val="00112BB3"/>
    <w:rsid w:val="00112E78"/>
    <w:rsid w:val="00112ED5"/>
    <w:rsid w:val="00112FEF"/>
    <w:rsid w:val="001133B2"/>
    <w:rsid w:val="0011344A"/>
    <w:rsid w:val="00113783"/>
    <w:rsid w:val="00113C6E"/>
    <w:rsid w:val="00114432"/>
    <w:rsid w:val="0011456D"/>
    <w:rsid w:val="00114D66"/>
    <w:rsid w:val="0011522C"/>
    <w:rsid w:val="0011550F"/>
    <w:rsid w:val="0011589F"/>
    <w:rsid w:val="00115994"/>
    <w:rsid w:val="00115D5B"/>
    <w:rsid w:val="00115D9B"/>
    <w:rsid w:val="001166F5"/>
    <w:rsid w:val="00116DF7"/>
    <w:rsid w:val="001177F8"/>
    <w:rsid w:val="0011783D"/>
    <w:rsid w:val="00117D31"/>
    <w:rsid w:val="00117F06"/>
    <w:rsid w:val="00117F94"/>
    <w:rsid w:val="0012040F"/>
    <w:rsid w:val="00120F59"/>
    <w:rsid w:val="00121B7E"/>
    <w:rsid w:val="00121C6E"/>
    <w:rsid w:val="00122351"/>
    <w:rsid w:val="00122509"/>
    <w:rsid w:val="00122858"/>
    <w:rsid w:val="00122869"/>
    <w:rsid w:val="00122D94"/>
    <w:rsid w:val="00122E0A"/>
    <w:rsid w:val="00123024"/>
    <w:rsid w:val="001234AB"/>
    <w:rsid w:val="001235FD"/>
    <w:rsid w:val="001236A0"/>
    <w:rsid w:val="00123C2A"/>
    <w:rsid w:val="001241E5"/>
    <w:rsid w:val="00124BE0"/>
    <w:rsid w:val="001250BC"/>
    <w:rsid w:val="0012587F"/>
    <w:rsid w:val="00125BD4"/>
    <w:rsid w:val="00126791"/>
    <w:rsid w:val="00126C29"/>
    <w:rsid w:val="00126C50"/>
    <w:rsid w:val="00126F93"/>
    <w:rsid w:val="001272CC"/>
    <w:rsid w:val="001272ED"/>
    <w:rsid w:val="001275AD"/>
    <w:rsid w:val="00127797"/>
    <w:rsid w:val="00130262"/>
    <w:rsid w:val="001303B0"/>
    <w:rsid w:val="0013061B"/>
    <w:rsid w:val="001308F0"/>
    <w:rsid w:val="00130D89"/>
    <w:rsid w:val="0013103F"/>
    <w:rsid w:val="001310F0"/>
    <w:rsid w:val="001312CE"/>
    <w:rsid w:val="0013157F"/>
    <w:rsid w:val="0013187F"/>
    <w:rsid w:val="00131A14"/>
    <w:rsid w:val="001326C2"/>
    <w:rsid w:val="0013292B"/>
    <w:rsid w:val="00132B78"/>
    <w:rsid w:val="00132F8D"/>
    <w:rsid w:val="0013355E"/>
    <w:rsid w:val="001336B4"/>
    <w:rsid w:val="001338E3"/>
    <w:rsid w:val="00133B6C"/>
    <w:rsid w:val="00133C9D"/>
    <w:rsid w:val="00134935"/>
    <w:rsid w:val="0013495C"/>
    <w:rsid w:val="00134DB4"/>
    <w:rsid w:val="00134F6C"/>
    <w:rsid w:val="00135276"/>
    <w:rsid w:val="00135AEC"/>
    <w:rsid w:val="00135D40"/>
    <w:rsid w:val="00135EC6"/>
    <w:rsid w:val="001361DF"/>
    <w:rsid w:val="001364B1"/>
    <w:rsid w:val="00136916"/>
    <w:rsid w:val="00137878"/>
    <w:rsid w:val="001378AA"/>
    <w:rsid w:val="00137AC4"/>
    <w:rsid w:val="00137C0D"/>
    <w:rsid w:val="00137C4A"/>
    <w:rsid w:val="00137DDE"/>
    <w:rsid w:val="001402EF"/>
    <w:rsid w:val="001409A1"/>
    <w:rsid w:val="00140BD6"/>
    <w:rsid w:val="00141318"/>
    <w:rsid w:val="001413CE"/>
    <w:rsid w:val="00141DBF"/>
    <w:rsid w:val="00143102"/>
    <w:rsid w:val="001435D6"/>
    <w:rsid w:val="00143AD0"/>
    <w:rsid w:val="00143EFF"/>
    <w:rsid w:val="00144083"/>
    <w:rsid w:val="0014519F"/>
    <w:rsid w:val="0014530D"/>
    <w:rsid w:val="00145747"/>
    <w:rsid w:val="00145C4A"/>
    <w:rsid w:val="00145C62"/>
    <w:rsid w:val="00146117"/>
    <w:rsid w:val="001462E2"/>
    <w:rsid w:val="001464EA"/>
    <w:rsid w:val="00146613"/>
    <w:rsid w:val="00146934"/>
    <w:rsid w:val="00146B9D"/>
    <w:rsid w:val="00146DBC"/>
    <w:rsid w:val="00146F19"/>
    <w:rsid w:val="001475B7"/>
    <w:rsid w:val="00147B10"/>
    <w:rsid w:val="00147C21"/>
    <w:rsid w:val="00147DD3"/>
    <w:rsid w:val="00147EC4"/>
    <w:rsid w:val="00150244"/>
    <w:rsid w:val="0015037D"/>
    <w:rsid w:val="00150AAE"/>
    <w:rsid w:val="00150DC2"/>
    <w:rsid w:val="00151A38"/>
    <w:rsid w:val="00151C32"/>
    <w:rsid w:val="00151CD0"/>
    <w:rsid w:val="00151D88"/>
    <w:rsid w:val="00151FBF"/>
    <w:rsid w:val="001520AD"/>
    <w:rsid w:val="00152366"/>
    <w:rsid w:val="00152502"/>
    <w:rsid w:val="00152980"/>
    <w:rsid w:val="00152A60"/>
    <w:rsid w:val="00152C5D"/>
    <w:rsid w:val="001546CB"/>
    <w:rsid w:val="0015472F"/>
    <w:rsid w:val="00154C2B"/>
    <w:rsid w:val="00154D25"/>
    <w:rsid w:val="00154E69"/>
    <w:rsid w:val="00154EA9"/>
    <w:rsid w:val="001552F4"/>
    <w:rsid w:val="001553DB"/>
    <w:rsid w:val="0015544F"/>
    <w:rsid w:val="00155822"/>
    <w:rsid w:val="00155B8D"/>
    <w:rsid w:val="00155BEB"/>
    <w:rsid w:val="00155D14"/>
    <w:rsid w:val="0015646F"/>
    <w:rsid w:val="0015693D"/>
    <w:rsid w:val="0015696B"/>
    <w:rsid w:val="0015696F"/>
    <w:rsid w:val="001570A1"/>
    <w:rsid w:val="0015718A"/>
    <w:rsid w:val="00157314"/>
    <w:rsid w:val="00157A8B"/>
    <w:rsid w:val="0016000A"/>
    <w:rsid w:val="0016011D"/>
    <w:rsid w:val="001601BA"/>
    <w:rsid w:val="00160460"/>
    <w:rsid w:val="001608FF"/>
    <w:rsid w:val="00160C3E"/>
    <w:rsid w:val="00160CFD"/>
    <w:rsid w:val="00160D5E"/>
    <w:rsid w:val="00160E66"/>
    <w:rsid w:val="00161056"/>
    <w:rsid w:val="001610EE"/>
    <w:rsid w:val="00161977"/>
    <w:rsid w:val="0016198B"/>
    <w:rsid w:val="00161BF6"/>
    <w:rsid w:val="00161EA2"/>
    <w:rsid w:val="001622F9"/>
    <w:rsid w:val="0016238A"/>
    <w:rsid w:val="0016246F"/>
    <w:rsid w:val="00162937"/>
    <w:rsid w:val="001636C8"/>
    <w:rsid w:val="001639D1"/>
    <w:rsid w:val="00163AB2"/>
    <w:rsid w:val="00163AD8"/>
    <w:rsid w:val="00163B59"/>
    <w:rsid w:val="00163DE8"/>
    <w:rsid w:val="00163F51"/>
    <w:rsid w:val="00164108"/>
    <w:rsid w:val="001641EE"/>
    <w:rsid w:val="00164AD6"/>
    <w:rsid w:val="00164CF9"/>
    <w:rsid w:val="00165443"/>
    <w:rsid w:val="00165648"/>
    <w:rsid w:val="00165B01"/>
    <w:rsid w:val="00165C36"/>
    <w:rsid w:val="00165DB4"/>
    <w:rsid w:val="0016667B"/>
    <w:rsid w:val="001666D9"/>
    <w:rsid w:val="00166792"/>
    <w:rsid w:val="00166987"/>
    <w:rsid w:val="00167964"/>
    <w:rsid w:val="0016797C"/>
    <w:rsid w:val="00167A71"/>
    <w:rsid w:val="0017030D"/>
    <w:rsid w:val="0017066D"/>
    <w:rsid w:val="00170BFF"/>
    <w:rsid w:val="00170F04"/>
    <w:rsid w:val="00170FEF"/>
    <w:rsid w:val="0017101D"/>
    <w:rsid w:val="001718D9"/>
    <w:rsid w:val="00171969"/>
    <w:rsid w:val="00171E2A"/>
    <w:rsid w:val="0017298E"/>
    <w:rsid w:val="00172AE8"/>
    <w:rsid w:val="00172C7B"/>
    <w:rsid w:val="00172D4E"/>
    <w:rsid w:val="00172DF9"/>
    <w:rsid w:val="00173ACD"/>
    <w:rsid w:val="00173CBD"/>
    <w:rsid w:val="00173D13"/>
    <w:rsid w:val="00173F44"/>
    <w:rsid w:val="00174354"/>
    <w:rsid w:val="00174561"/>
    <w:rsid w:val="00174B9F"/>
    <w:rsid w:val="00174D86"/>
    <w:rsid w:val="00174DA7"/>
    <w:rsid w:val="001754C4"/>
    <w:rsid w:val="001759D2"/>
    <w:rsid w:val="00175DDE"/>
    <w:rsid w:val="00175E7E"/>
    <w:rsid w:val="0017633B"/>
    <w:rsid w:val="00176DE9"/>
    <w:rsid w:val="00176EC0"/>
    <w:rsid w:val="0017721E"/>
    <w:rsid w:val="001778B0"/>
    <w:rsid w:val="00177A62"/>
    <w:rsid w:val="00177FF3"/>
    <w:rsid w:val="00180388"/>
    <w:rsid w:val="00180895"/>
    <w:rsid w:val="0018097F"/>
    <w:rsid w:val="00180EE8"/>
    <w:rsid w:val="00180F6A"/>
    <w:rsid w:val="001811AC"/>
    <w:rsid w:val="00181318"/>
    <w:rsid w:val="001815E6"/>
    <w:rsid w:val="0018181A"/>
    <w:rsid w:val="00181FAA"/>
    <w:rsid w:val="0018236A"/>
    <w:rsid w:val="00182ED7"/>
    <w:rsid w:val="00183161"/>
    <w:rsid w:val="001832A9"/>
    <w:rsid w:val="00183B59"/>
    <w:rsid w:val="00183C5D"/>
    <w:rsid w:val="00183C96"/>
    <w:rsid w:val="00183D24"/>
    <w:rsid w:val="00183EDD"/>
    <w:rsid w:val="00183FEC"/>
    <w:rsid w:val="00184228"/>
    <w:rsid w:val="00184272"/>
    <w:rsid w:val="00184A2B"/>
    <w:rsid w:val="00184A8E"/>
    <w:rsid w:val="00184B43"/>
    <w:rsid w:val="00184E29"/>
    <w:rsid w:val="00184F3A"/>
    <w:rsid w:val="001862E8"/>
    <w:rsid w:val="001872E1"/>
    <w:rsid w:val="0018750B"/>
    <w:rsid w:val="0018771F"/>
    <w:rsid w:val="0018773B"/>
    <w:rsid w:val="001878F1"/>
    <w:rsid w:val="00187CC2"/>
    <w:rsid w:val="0019005B"/>
    <w:rsid w:val="00190391"/>
    <w:rsid w:val="001903DC"/>
    <w:rsid w:val="00190447"/>
    <w:rsid w:val="0019047A"/>
    <w:rsid w:val="00191255"/>
    <w:rsid w:val="00191433"/>
    <w:rsid w:val="00191673"/>
    <w:rsid w:val="00191797"/>
    <w:rsid w:val="00191C4B"/>
    <w:rsid w:val="00191E30"/>
    <w:rsid w:val="0019217F"/>
    <w:rsid w:val="001923FA"/>
    <w:rsid w:val="00193029"/>
    <w:rsid w:val="0019353A"/>
    <w:rsid w:val="0019482E"/>
    <w:rsid w:val="0019484B"/>
    <w:rsid w:val="0019499B"/>
    <w:rsid w:val="00194FBF"/>
    <w:rsid w:val="00195077"/>
    <w:rsid w:val="001952C0"/>
    <w:rsid w:val="0019588A"/>
    <w:rsid w:val="00195AB3"/>
    <w:rsid w:val="00195CB0"/>
    <w:rsid w:val="00195DE5"/>
    <w:rsid w:val="0019620A"/>
    <w:rsid w:val="00196458"/>
    <w:rsid w:val="00196561"/>
    <w:rsid w:val="001966D4"/>
    <w:rsid w:val="00196727"/>
    <w:rsid w:val="001975A6"/>
    <w:rsid w:val="00197D48"/>
    <w:rsid w:val="001A0307"/>
    <w:rsid w:val="001A0DA7"/>
    <w:rsid w:val="001A121A"/>
    <w:rsid w:val="001A1A47"/>
    <w:rsid w:val="001A1AB6"/>
    <w:rsid w:val="001A1B5E"/>
    <w:rsid w:val="001A1F74"/>
    <w:rsid w:val="001A25C6"/>
    <w:rsid w:val="001A2D9C"/>
    <w:rsid w:val="001A313E"/>
    <w:rsid w:val="001A32AA"/>
    <w:rsid w:val="001A34AC"/>
    <w:rsid w:val="001A3698"/>
    <w:rsid w:val="001A3A93"/>
    <w:rsid w:val="001A3CAA"/>
    <w:rsid w:val="001A4084"/>
    <w:rsid w:val="001A4310"/>
    <w:rsid w:val="001A4AE9"/>
    <w:rsid w:val="001A4BF9"/>
    <w:rsid w:val="001A4CC1"/>
    <w:rsid w:val="001A51CB"/>
    <w:rsid w:val="001A5524"/>
    <w:rsid w:val="001A556E"/>
    <w:rsid w:val="001A55A9"/>
    <w:rsid w:val="001A5617"/>
    <w:rsid w:val="001A56ED"/>
    <w:rsid w:val="001A574D"/>
    <w:rsid w:val="001A586E"/>
    <w:rsid w:val="001A7D83"/>
    <w:rsid w:val="001B014B"/>
    <w:rsid w:val="001B01D5"/>
    <w:rsid w:val="001B03D9"/>
    <w:rsid w:val="001B063F"/>
    <w:rsid w:val="001B0711"/>
    <w:rsid w:val="001B0873"/>
    <w:rsid w:val="001B0A7A"/>
    <w:rsid w:val="001B0B1E"/>
    <w:rsid w:val="001B0E04"/>
    <w:rsid w:val="001B0F9F"/>
    <w:rsid w:val="001B100F"/>
    <w:rsid w:val="001B175D"/>
    <w:rsid w:val="001B1D74"/>
    <w:rsid w:val="001B1F66"/>
    <w:rsid w:val="001B201D"/>
    <w:rsid w:val="001B20DB"/>
    <w:rsid w:val="001B24AC"/>
    <w:rsid w:val="001B27A7"/>
    <w:rsid w:val="001B2C1F"/>
    <w:rsid w:val="001B2CD1"/>
    <w:rsid w:val="001B2E69"/>
    <w:rsid w:val="001B2EBB"/>
    <w:rsid w:val="001B2FC5"/>
    <w:rsid w:val="001B3183"/>
    <w:rsid w:val="001B320D"/>
    <w:rsid w:val="001B3360"/>
    <w:rsid w:val="001B33BC"/>
    <w:rsid w:val="001B35F1"/>
    <w:rsid w:val="001B3A90"/>
    <w:rsid w:val="001B3AF3"/>
    <w:rsid w:val="001B3CAB"/>
    <w:rsid w:val="001B42FE"/>
    <w:rsid w:val="001B45CD"/>
    <w:rsid w:val="001B4A43"/>
    <w:rsid w:val="001B4B18"/>
    <w:rsid w:val="001B507B"/>
    <w:rsid w:val="001B5668"/>
    <w:rsid w:val="001B6D24"/>
    <w:rsid w:val="001B748E"/>
    <w:rsid w:val="001B77D3"/>
    <w:rsid w:val="001B794F"/>
    <w:rsid w:val="001B798A"/>
    <w:rsid w:val="001B7A10"/>
    <w:rsid w:val="001B7E76"/>
    <w:rsid w:val="001C014A"/>
    <w:rsid w:val="001C025B"/>
    <w:rsid w:val="001C02A5"/>
    <w:rsid w:val="001C07B4"/>
    <w:rsid w:val="001C0A61"/>
    <w:rsid w:val="001C0D6F"/>
    <w:rsid w:val="001C0E86"/>
    <w:rsid w:val="001C102F"/>
    <w:rsid w:val="001C1595"/>
    <w:rsid w:val="001C1953"/>
    <w:rsid w:val="001C1DD2"/>
    <w:rsid w:val="001C1E94"/>
    <w:rsid w:val="001C1F84"/>
    <w:rsid w:val="001C2807"/>
    <w:rsid w:val="001C2860"/>
    <w:rsid w:val="001C2EBA"/>
    <w:rsid w:val="001C3024"/>
    <w:rsid w:val="001C33A6"/>
    <w:rsid w:val="001C38C6"/>
    <w:rsid w:val="001C3A46"/>
    <w:rsid w:val="001C3C41"/>
    <w:rsid w:val="001C4094"/>
    <w:rsid w:val="001C409B"/>
    <w:rsid w:val="001C438F"/>
    <w:rsid w:val="001C44F6"/>
    <w:rsid w:val="001C4D04"/>
    <w:rsid w:val="001C563C"/>
    <w:rsid w:val="001C5B50"/>
    <w:rsid w:val="001C5E7B"/>
    <w:rsid w:val="001C60A7"/>
    <w:rsid w:val="001C6253"/>
    <w:rsid w:val="001C629D"/>
    <w:rsid w:val="001C6429"/>
    <w:rsid w:val="001C705D"/>
    <w:rsid w:val="001C736C"/>
    <w:rsid w:val="001C740E"/>
    <w:rsid w:val="001C75E9"/>
    <w:rsid w:val="001C7EB9"/>
    <w:rsid w:val="001C7F76"/>
    <w:rsid w:val="001D0034"/>
    <w:rsid w:val="001D009E"/>
    <w:rsid w:val="001D0435"/>
    <w:rsid w:val="001D0A54"/>
    <w:rsid w:val="001D0AF7"/>
    <w:rsid w:val="001D1135"/>
    <w:rsid w:val="001D1A33"/>
    <w:rsid w:val="001D1D04"/>
    <w:rsid w:val="001D1EF1"/>
    <w:rsid w:val="001D2197"/>
    <w:rsid w:val="001D2DCF"/>
    <w:rsid w:val="001D3238"/>
    <w:rsid w:val="001D44E8"/>
    <w:rsid w:val="001D491A"/>
    <w:rsid w:val="001D507D"/>
    <w:rsid w:val="001D59AC"/>
    <w:rsid w:val="001D5B33"/>
    <w:rsid w:val="001D65E1"/>
    <w:rsid w:val="001D6CC9"/>
    <w:rsid w:val="001D6D95"/>
    <w:rsid w:val="001D71C8"/>
    <w:rsid w:val="001D74FE"/>
    <w:rsid w:val="001D7571"/>
    <w:rsid w:val="001D7A4B"/>
    <w:rsid w:val="001D7C8F"/>
    <w:rsid w:val="001E021B"/>
    <w:rsid w:val="001E07A0"/>
    <w:rsid w:val="001E085C"/>
    <w:rsid w:val="001E0A3D"/>
    <w:rsid w:val="001E1001"/>
    <w:rsid w:val="001E112D"/>
    <w:rsid w:val="001E16A5"/>
    <w:rsid w:val="001E1CFC"/>
    <w:rsid w:val="001E1EE8"/>
    <w:rsid w:val="001E1FC3"/>
    <w:rsid w:val="001E2074"/>
    <w:rsid w:val="001E2194"/>
    <w:rsid w:val="001E2422"/>
    <w:rsid w:val="001E258D"/>
    <w:rsid w:val="001E3013"/>
    <w:rsid w:val="001E31CB"/>
    <w:rsid w:val="001E3736"/>
    <w:rsid w:val="001E3808"/>
    <w:rsid w:val="001E41FE"/>
    <w:rsid w:val="001E42C7"/>
    <w:rsid w:val="001E433A"/>
    <w:rsid w:val="001E448B"/>
    <w:rsid w:val="001E44A9"/>
    <w:rsid w:val="001E4550"/>
    <w:rsid w:val="001E46B2"/>
    <w:rsid w:val="001E46C9"/>
    <w:rsid w:val="001E4791"/>
    <w:rsid w:val="001E48D9"/>
    <w:rsid w:val="001E48DB"/>
    <w:rsid w:val="001E4F0F"/>
    <w:rsid w:val="001E530D"/>
    <w:rsid w:val="001E53DE"/>
    <w:rsid w:val="001E5675"/>
    <w:rsid w:val="001E593E"/>
    <w:rsid w:val="001E5B13"/>
    <w:rsid w:val="001E5D38"/>
    <w:rsid w:val="001E5FE8"/>
    <w:rsid w:val="001E60C3"/>
    <w:rsid w:val="001E6268"/>
    <w:rsid w:val="001E62B5"/>
    <w:rsid w:val="001E63EF"/>
    <w:rsid w:val="001E656A"/>
    <w:rsid w:val="001E6AF1"/>
    <w:rsid w:val="001E6D9E"/>
    <w:rsid w:val="001E6F91"/>
    <w:rsid w:val="001E74D7"/>
    <w:rsid w:val="001E79CC"/>
    <w:rsid w:val="001E7D0F"/>
    <w:rsid w:val="001F06C2"/>
    <w:rsid w:val="001F0BF3"/>
    <w:rsid w:val="001F0C96"/>
    <w:rsid w:val="001F1511"/>
    <w:rsid w:val="001F1C49"/>
    <w:rsid w:val="001F2043"/>
    <w:rsid w:val="001F2511"/>
    <w:rsid w:val="001F29CB"/>
    <w:rsid w:val="001F2A3A"/>
    <w:rsid w:val="001F2ECA"/>
    <w:rsid w:val="001F2F50"/>
    <w:rsid w:val="001F2FE5"/>
    <w:rsid w:val="001F30D2"/>
    <w:rsid w:val="001F35AE"/>
    <w:rsid w:val="001F3E6B"/>
    <w:rsid w:val="001F411C"/>
    <w:rsid w:val="001F4646"/>
    <w:rsid w:val="001F4A62"/>
    <w:rsid w:val="001F4CB0"/>
    <w:rsid w:val="001F4CCB"/>
    <w:rsid w:val="001F5ADF"/>
    <w:rsid w:val="001F5C12"/>
    <w:rsid w:val="001F62B4"/>
    <w:rsid w:val="001F63B1"/>
    <w:rsid w:val="001F6F71"/>
    <w:rsid w:val="001F7218"/>
    <w:rsid w:val="001F7593"/>
    <w:rsid w:val="001F75B1"/>
    <w:rsid w:val="001F78FD"/>
    <w:rsid w:val="001F7B76"/>
    <w:rsid w:val="001F7F8D"/>
    <w:rsid w:val="00200143"/>
    <w:rsid w:val="00200406"/>
    <w:rsid w:val="002004F4"/>
    <w:rsid w:val="002005FC"/>
    <w:rsid w:val="00200937"/>
    <w:rsid w:val="00200B13"/>
    <w:rsid w:val="00200B93"/>
    <w:rsid w:val="00200C70"/>
    <w:rsid w:val="00200E80"/>
    <w:rsid w:val="002016D0"/>
    <w:rsid w:val="00201752"/>
    <w:rsid w:val="002018B8"/>
    <w:rsid w:val="0020191A"/>
    <w:rsid w:val="00201989"/>
    <w:rsid w:val="00201D02"/>
    <w:rsid w:val="0020261D"/>
    <w:rsid w:val="00202657"/>
    <w:rsid w:val="002026D4"/>
    <w:rsid w:val="00202B53"/>
    <w:rsid w:val="00202E4F"/>
    <w:rsid w:val="00203091"/>
    <w:rsid w:val="00203B3B"/>
    <w:rsid w:val="00203BF5"/>
    <w:rsid w:val="002041FD"/>
    <w:rsid w:val="00204552"/>
    <w:rsid w:val="0020464F"/>
    <w:rsid w:val="00204F62"/>
    <w:rsid w:val="0020508D"/>
    <w:rsid w:val="00205286"/>
    <w:rsid w:val="002053B6"/>
    <w:rsid w:val="00205C36"/>
    <w:rsid w:val="0020640B"/>
    <w:rsid w:val="00206A77"/>
    <w:rsid w:val="00206BB6"/>
    <w:rsid w:val="00206F59"/>
    <w:rsid w:val="002070AE"/>
    <w:rsid w:val="00207C66"/>
    <w:rsid w:val="0021027E"/>
    <w:rsid w:val="002106B8"/>
    <w:rsid w:val="0021094A"/>
    <w:rsid w:val="002109EC"/>
    <w:rsid w:val="00210F70"/>
    <w:rsid w:val="00211AFD"/>
    <w:rsid w:val="00211B2D"/>
    <w:rsid w:val="00211DF3"/>
    <w:rsid w:val="00211E8F"/>
    <w:rsid w:val="0021248A"/>
    <w:rsid w:val="0021252E"/>
    <w:rsid w:val="0021255F"/>
    <w:rsid w:val="00212759"/>
    <w:rsid w:val="002130CE"/>
    <w:rsid w:val="002135AC"/>
    <w:rsid w:val="00213730"/>
    <w:rsid w:val="00213A68"/>
    <w:rsid w:val="00213D38"/>
    <w:rsid w:val="00214641"/>
    <w:rsid w:val="00215068"/>
    <w:rsid w:val="0021723C"/>
    <w:rsid w:val="002200E4"/>
    <w:rsid w:val="00221035"/>
    <w:rsid w:val="00221992"/>
    <w:rsid w:val="0022238D"/>
    <w:rsid w:val="00222882"/>
    <w:rsid w:val="00222EC2"/>
    <w:rsid w:val="00222F7A"/>
    <w:rsid w:val="00223166"/>
    <w:rsid w:val="00223490"/>
    <w:rsid w:val="002234DC"/>
    <w:rsid w:val="0022386C"/>
    <w:rsid w:val="00223F23"/>
    <w:rsid w:val="0022444B"/>
    <w:rsid w:val="00224F27"/>
    <w:rsid w:val="00225A88"/>
    <w:rsid w:val="00225C7E"/>
    <w:rsid w:val="00225F78"/>
    <w:rsid w:val="00226285"/>
    <w:rsid w:val="00227B4D"/>
    <w:rsid w:val="00227E0C"/>
    <w:rsid w:val="00227E87"/>
    <w:rsid w:val="0023005D"/>
    <w:rsid w:val="002306DD"/>
    <w:rsid w:val="0023088F"/>
    <w:rsid w:val="00230DEC"/>
    <w:rsid w:val="00230F2C"/>
    <w:rsid w:val="002310D3"/>
    <w:rsid w:val="00231721"/>
    <w:rsid w:val="00231D86"/>
    <w:rsid w:val="00231ECA"/>
    <w:rsid w:val="002320CD"/>
    <w:rsid w:val="00232D25"/>
    <w:rsid w:val="002337BF"/>
    <w:rsid w:val="00233B41"/>
    <w:rsid w:val="00233B75"/>
    <w:rsid w:val="00233C6A"/>
    <w:rsid w:val="00233DCE"/>
    <w:rsid w:val="00233E08"/>
    <w:rsid w:val="00234040"/>
    <w:rsid w:val="00234E53"/>
    <w:rsid w:val="002354A5"/>
    <w:rsid w:val="0023582E"/>
    <w:rsid w:val="00235A4C"/>
    <w:rsid w:val="00235BA8"/>
    <w:rsid w:val="00235C9F"/>
    <w:rsid w:val="00235E05"/>
    <w:rsid w:val="00235ED0"/>
    <w:rsid w:val="00236C8E"/>
    <w:rsid w:val="00236D51"/>
    <w:rsid w:val="00236EA9"/>
    <w:rsid w:val="00237184"/>
    <w:rsid w:val="00237568"/>
    <w:rsid w:val="002379F0"/>
    <w:rsid w:val="00237B2A"/>
    <w:rsid w:val="00237EDB"/>
    <w:rsid w:val="0024032A"/>
    <w:rsid w:val="00240ACD"/>
    <w:rsid w:val="00241242"/>
    <w:rsid w:val="0024171D"/>
    <w:rsid w:val="00241A1E"/>
    <w:rsid w:val="00241F54"/>
    <w:rsid w:val="002421A7"/>
    <w:rsid w:val="002421EE"/>
    <w:rsid w:val="00242291"/>
    <w:rsid w:val="0024238B"/>
    <w:rsid w:val="002425E3"/>
    <w:rsid w:val="00242E91"/>
    <w:rsid w:val="002430EC"/>
    <w:rsid w:val="0024387E"/>
    <w:rsid w:val="0024399A"/>
    <w:rsid w:val="00243E84"/>
    <w:rsid w:val="00243FD4"/>
    <w:rsid w:val="0024401C"/>
    <w:rsid w:val="0024419C"/>
    <w:rsid w:val="002446D1"/>
    <w:rsid w:val="00244A1C"/>
    <w:rsid w:val="00244E65"/>
    <w:rsid w:val="00245AD6"/>
    <w:rsid w:val="00245FB4"/>
    <w:rsid w:val="00245FC5"/>
    <w:rsid w:val="0024630D"/>
    <w:rsid w:val="00246A0A"/>
    <w:rsid w:val="00246B58"/>
    <w:rsid w:val="00246BA5"/>
    <w:rsid w:val="00246C60"/>
    <w:rsid w:val="00247192"/>
    <w:rsid w:val="00247226"/>
    <w:rsid w:val="00247426"/>
    <w:rsid w:val="00247598"/>
    <w:rsid w:val="00247B31"/>
    <w:rsid w:val="00247D61"/>
    <w:rsid w:val="00247F57"/>
    <w:rsid w:val="002501EB"/>
    <w:rsid w:val="00250282"/>
    <w:rsid w:val="002503CB"/>
    <w:rsid w:val="00250966"/>
    <w:rsid w:val="00251249"/>
    <w:rsid w:val="002512F1"/>
    <w:rsid w:val="0025142D"/>
    <w:rsid w:val="00251DCD"/>
    <w:rsid w:val="002527D1"/>
    <w:rsid w:val="00252935"/>
    <w:rsid w:val="00253699"/>
    <w:rsid w:val="0025397B"/>
    <w:rsid w:val="00253BC6"/>
    <w:rsid w:val="00253DC8"/>
    <w:rsid w:val="00253E56"/>
    <w:rsid w:val="00253F45"/>
    <w:rsid w:val="002544CB"/>
    <w:rsid w:val="00254614"/>
    <w:rsid w:val="00254989"/>
    <w:rsid w:val="00254BA5"/>
    <w:rsid w:val="00254F59"/>
    <w:rsid w:val="0025508D"/>
    <w:rsid w:val="002554A7"/>
    <w:rsid w:val="0025555E"/>
    <w:rsid w:val="0025563A"/>
    <w:rsid w:val="002558A3"/>
    <w:rsid w:val="0025591B"/>
    <w:rsid w:val="00255AA0"/>
    <w:rsid w:val="00255ACC"/>
    <w:rsid w:val="00255B77"/>
    <w:rsid w:val="00256A42"/>
    <w:rsid w:val="00256D4E"/>
    <w:rsid w:val="00256DCF"/>
    <w:rsid w:val="002572F1"/>
    <w:rsid w:val="00257494"/>
    <w:rsid w:val="00257CAC"/>
    <w:rsid w:val="0026023A"/>
    <w:rsid w:val="002605F8"/>
    <w:rsid w:val="00260742"/>
    <w:rsid w:val="002608EC"/>
    <w:rsid w:val="00261277"/>
    <w:rsid w:val="00261823"/>
    <w:rsid w:val="00261E2D"/>
    <w:rsid w:val="00261F93"/>
    <w:rsid w:val="00262856"/>
    <w:rsid w:val="002628BE"/>
    <w:rsid w:val="00262F60"/>
    <w:rsid w:val="0026369B"/>
    <w:rsid w:val="002636C9"/>
    <w:rsid w:val="0026371C"/>
    <w:rsid w:val="002637EC"/>
    <w:rsid w:val="002639FF"/>
    <w:rsid w:val="00263BF3"/>
    <w:rsid w:val="00264238"/>
    <w:rsid w:val="00264E77"/>
    <w:rsid w:val="002650BA"/>
    <w:rsid w:val="002654A4"/>
    <w:rsid w:val="00265AF1"/>
    <w:rsid w:val="00265D10"/>
    <w:rsid w:val="00266079"/>
    <w:rsid w:val="00266257"/>
    <w:rsid w:val="002663D3"/>
    <w:rsid w:val="00266426"/>
    <w:rsid w:val="002665B8"/>
    <w:rsid w:val="002665EF"/>
    <w:rsid w:val="00266977"/>
    <w:rsid w:val="00266EA3"/>
    <w:rsid w:val="00267461"/>
    <w:rsid w:val="00267637"/>
    <w:rsid w:val="00267818"/>
    <w:rsid w:val="00267E51"/>
    <w:rsid w:val="00270657"/>
    <w:rsid w:val="0027076E"/>
    <w:rsid w:val="00270971"/>
    <w:rsid w:val="00270990"/>
    <w:rsid w:val="00270B90"/>
    <w:rsid w:val="002710DC"/>
    <w:rsid w:val="00271327"/>
    <w:rsid w:val="0027155D"/>
    <w:rsid w:val="0027175E"/>
    <w:rsid w:val="002717FD"/>
    <w:rsid w:val="00271857"/>
    <w:rsid w:val="002718D4"/>
    <w:rsid w:val="00272058"/>
    <w:rsid w:val="00272419"/>
    <w:rsid w:val="00272D0B"/>
    <w:rsid w:val="00272D7F"/>
    <w:rsid w:val="00272F30"/>
    <w:rsid w:val="002738C9"/>
    <w:rsid w:val="00273A3D"/>
    <w:rsid w:val="0027414C"/>
    <w:rsid w:val="0027458F"/>
    <w:rsid w:val="00274D2C"/>
    <w:rsid w:val="00274E77"/>
    <w:rsid w:val="00274F9E"/>
    <w:rsid w:val="00275435"/>
    <w:rsid w:val="00275605"/>
    <w:rsid w:val="00276005"/>
    <w:rsid w:val="00276292"/>
    <w:rsid w:val="00276338"/>
    <w:rsid w:val="0027645E"/>
    <w:rsid w:val="00276841"/>
    <w:rsid w:val="0027697E"/>
    <w:rsid w:val="00277586"/>
    <w:rsid w:val="00277873"/>
    <w:rsid w:val="00277AC4"/>
    <w:rsid w:val="00277D12"/>
    <w:rsid w:val="00277FEC"/>
    <w:rsid w:val="00280013"/>
    <w:rsid w:val="002804F7"/>
    <w:rsid w:val="002805E3"/>
    <w:rsid w:val="00280609"/>
    <w:rsid w:val="00280A08"/>
    <w:rsid w:val="0028138C"/>
    <w:rsid w:val="00281F2D"/>
    <w:rsid w:val="002821E6"/>
    <w:rsid w:val="00282AC4"/>
    <w:rsid w:val="00283264"/>
    <w:rsid w:val="002832E8"/>
    <w:rsid w:val="00283539"/>
    <w:rsid w:val="0028362C"/>
    <w:rsid w:val="0028365C"/>
    <w:rsid w:val="002839DC"/>
    <w:rsid w:val="00283A54"/>
    <w:rsid w:val="00283DC6"/>
    <w:rsid w:val="00283DF4"/>
    <w:rsid w:val="00283E74"/>
    <w:rsid w:val="00283FE2"/>
    <w:rsid w:val="002845D5"/>
    <w:rsid w:val="0028505A"/>
    <w:rsid w:val="002859FA"/>
    <w:rsid w:val="00285BFD"/>
    <w:rsid w:val="00285C7A"/>
    <w:rsid w:val="00285F7E"/>
    <w:rsid w:val="002860AF"/>
    <w:rsid w:val="002860FF"/>
    <w:rsid w:val="0028667B"/>
    <w:rsid w:val="00286CB4"/>
    <w:rsid w:val="00286D46"/>
    <w:rsid w:val="00286EB7"/>
    <w:rsid w:val="00286FD7"/>
    <w:rsid w:val="002871C5"/>
    <w:rsid w:val="00287A6E"/>
    <w:rsid w:val="00287B77"/>
    <w:rsid w:val="00290114"/>
    <w:rsid w:val="00290A76"/>
    <w:rsid w:val="00290BB6"/>
    <w:rsid w:val="00290DD7"/>
    <w:rsid w:val="00290FF5"/>
    <w:rsid w:val="00291423"/>
    <w:rsid w:val="002914A5"/>
    <w:rsid w:val="002916D6"/>
    <w:rsid w:val="0029170D"/>
    <w:rsid w:val="0029184B"/>
    <w:rsid w:val="00291BD8"/>
    <w:rsid w:val="00291C87"/>
    <w:rsid w:val="00291DC5"/>
    <w:rsid w:val="00293035"/>
    <w:rsid w:val="00293A65"/>
    <w:rsid w:val="00293AC2"/>
    <w:rsid w:val="00293ADA"/>
    <w:rsid w:val="0029409F"/>
    <w:rsid w:val="002941D4"/>
    <w:rsid w:val="002944CD"/>
    <w:rsid w:val="002945B3"/>
    <w:rsid w:val="0029488F"/>
    <w:rsid w:val="00294EBF"/>
    <w:rsid w:val="00294F68"/>
    <w:rsid w:val="00295719"/>
    <w:rsid w:val="002958DC"/>
    <w:rsid w:val="00295AD4"/>
    <w:rsid w:val="00295C89"/>
    <w:rsid w:val="00295F62"/>
    <w:rsid w:val="002968BA"/>
    <w:rsid w:val="00296AD1"/>
    <w:rsid w:val="00296D83"/>
    <w:rsid w:val="00296E79"/>
    <w:rsid w:val="002971EB"/>
    <w:rsid w:val="0029738D"/>
    <w:rsid w:val="002977CA"/>
    <w:rsid w:val="002A02D6"/>
    <w:rsid w:val="002A0B6D"/>
    <w:rsid w:val="002A1D8F"/>
    <w:rsid w:val="002A2335"/>
    <w:rsid w:val="002A2519"/>
    <w:rsid w:val="002A2521"/>
    <w:rsid w:val="002A2649"/>
    <w:rsid w:val="002A2865"/>
    <w:rsid w:val="002A2F07"/>
    <w:rsid w:val="002A2F52"/>
    <w:rsid w:val="002A3368"/>
    <w:rsid w:val="002A342B"/>
    <w:rsid w:val="002A37DF"/>
    <w:rsid w:val="002A3941"/>
    <w:rsid w:val="002A3C08"/>
    <w:rsid w:val="002A4051"/>
    <w:rsid w:val="002A41BA"/>
    <w:rsid w:val="002A4636"/>
    <w:rsid w:val="002A47F8"/>
    <w:rsid w:val="002A4823"/>
    <w:rsid w:val="002A4AE3"/>
    <w:rsid w:val="002A4CDD"/>
    <w:rsid w:val="002A510E"/>
    <w:rsid w:val="002A5201"/>
    <w:rsid w:val="002A5716"/>
    <w:rsid w:val="002A5D75"/>
    <w:rsid w:val="002A5F4E"/>
    <w:rsid w:val="002A60EE"/>
    <w:rsid w:val="002A629C"/>
    <w:rsid w:val="002A659E"/>
    <w:rsid w:val="002A6BB6"/>
    <w:rsid w:val="002A7426"/>
    <w:rsid w:val="002A7B6A"/>
    <w:rsid w:val="002A7F97"/>
    <w:rsid w:val="002B08E4"/>
    <w:rsid w:val="002B0D74"/>
    <w:rsid w:val="002B1003"/>
    <w:rsid w:val="002B11AB"/>
    <w:rsid w:val="002B11FC"/>
    <w:rsid w:val="002B121D"/>
    <w:rsid w:val="002B1A15"/>
    <w:rsid w:val="002B20F2"/>
    <w:rsid w:val="002B2113"/>
    <w:rsid w:val="002B2321"/>
    <w:rsid w:val="002B2530"/>
    <w:rsid w:val="002B26B4"/>
    <w:rsid w:val="002B3200"/>
    <w:rsid w:val="002B3B80"/>
    <w:rsid w:val="002B3BCA"/>
    <w:rsid w:val="002B42FC"/>
    <w:rsid w:val="002B43FC"/>
    <w:rsid w:val="002B44DE"/>
    <w:rsid w:val="002B478D"/>
    <w:rsid w:val="002B48D7"/>
    <w:rsid w:val="002B4A86"/>
    <w:rsid w:val="002B4DD7"/>
    <w:rsid w:val="002B511C"/>
    <w:rsid w:val="002B555C"/>
    <w:rsid w:val="002B5B60"/>
    <w:rsid w:val="002B5D43"/>
    <w:rsid w:val="002B5E38"/>
    <w:rsid w:val="002B5F35"/>
    <w:rsid w:val="002B5F4F"/>
    <w:rsid w:val="002B6685"/>
    <w:rsid w:val="002B69AD"/>
    <w:rsid w:val="002B6DAE"/>
    <w:rsid w:val="002B75D2"/>
    <w:rsid w:val="002B7CAD"/>
    <w:rsid w:val="002C01F9"/>
    <w:rsid w:val="002C0912"/>
    <w:rsid w:val="002C0967"/>
    <w:rsid w:val="002C0B07"/>
    <w:rsid w:val="002C0B62"/>
    <w:rsid w:val="002C1175"/>
    <w:rsid w:val="002C1673"/>
    <w:rsid w:val="002C206A"/>
    <w:rsid w:val="002C2387"/>
    <w:rsid w:val="002C28C4"/>
    <w:rsid w:val="002C2A9D"/>
    <w:rsid w:val="002C3199"/>
    <w:rsid w:val="002C3F88"/>
    <w:rsid w:val="002C40F6"/>
    <w:rsid w:val="002C42EC"/>
    <w:rsid w:val="002C45EC"/>
    <w:rsid w:val="002C4805"/>
    <w:rsid w:val="002C4E36"/>
    <w:rsid w:val="002C4EC4"/>
    <w:rsid w:val="002C4F6E"/>
    <w:rsid w:val="002C5037"/>
    <w:rsid w:val="002C540E"/>
    <w:rsid w:val="002C5706"/>
    <w:rsid w:val="002C5881"/>
    <w:rsid w:val="002C5958"/>
    <w:rsid w:val="002C5AC6"/>
    <w:rsid w:val="002C5CC6"/>
    <w:rsid w:val="002C5EED"/>
    <w:rsid w:val="002C60E2"/>
    <w:rsid w:val="002C61CD"/>
    <w:rsid w:val="002C6800"/>
    <w:rsid w:val="002C6941"/>
    <w:rsid w:val="002C6A08"/>
    <w:rsid w:val="002C6A9D"/>
    <w:rsid w:val="002C721B"/>
    <w:rsid w:val="002C7340"/>
    <w:rsid w:val="002C7C03"/>
    <w:rsid w:val="002C7EED"/>
    <w:rsid w:val="002D03C8"/>
    <w:rsid w:val="002D0766"/>
    <w:rsid w:val="002D0AFF"/>
    <w:rsid w:val="002D0BBC"/>
    <w:rsid w:val="002D140B"/>
    <w:rsid w:val="002D1450"/>
    <w:rsid w:val="002D16C7"/>
    <w:rsid w:val="002D1C54"/>
    <w:rsid w:val="002D231B"/>
    <w:rsid w:val="002D2378"/>
    <w:rsid w:val="002D23DD"/>
    <w:rsid w:val="002D2AA8"/>
    <w:rsid w:val="002D2BD8"/>
    <w:rsid w:val="002D2D57"/>
    <w:rsid w:val="002D385E"/>
    <w:rsid w:val="002D3904"/>
    <w:rsid w:val="002D3AAC"/>
    <w:rsid w:val="002D3EEB"/>
    <w:rsid w:val="002D4C5F"/>
    <w:rsid w:val="002D5367"/>
    <w:rsid w:val="002D541D"/>
    <w:rsid w:val="002D5701"/>
    <w:rsid w:val="002D5C31"/>
    <w:rsid w:val="002D5DF9"/>
    <w:rsid w:val="002D5FBA"/>
    <w:rsid w:val="002D6369"/>
    <w:rsid w:val="002D64F6"/>
    <w:rsid w:val="002D692A"/>
    <w:rsid w:val="002D70A1"/>
    <w:rsid w:val="002D77C3"/>
    <w:rsid w:val="002D790B"/>
    <w:rsid w:val="002D790C"/>
    <w:rsid w:val="002E00AE"/>
    <w:rsid w:val="002E05DD"/>
    <w:rsid w:val="002E0C8A"/>
    <w:rsid w:val="002E0F48"/>
    <w:rsid w:val="002E11BB"/>
    <w:rsid w:val="002E1626"/>
    <w:rsid w:val="002E1669"/>
    <w:rsid w:val="002E22FE"/>
    <w:rsid w:val="002E2343"/>
    <w:rsid w:val="002E23EC"/>
    <w:rsid w:val="002E2C4F"/>
    <w:rsid w:val="002E2E9F"/>
    <w:rsid w:val="002E31A5"/>
    <w:rsid w:val="002E4161"/>
    <w:rsid w:val="002E433F"/>
    <w:rsid w:val="002E43F3"/>
    <w:rsid w:val="002E48A7"/>
    <w:rsid w:val="002E4963"/>
    <w:rsid w:val="002E4D3B"/>
    <w:rsid w:val="002E4E74"/>
    <w:rsid w:val="002E523F"/>
    <w:rsid w:val="002E5AF1"/>
    <w:rsid w:val="002E5C39"/>
    <w:rsid w:val="002E63AF"/>
    <w:rsid w:val="002E6B7C"/>
    <w:rsid w:val="002E6EB6"/>
    <w:rsid w:val="002E6F24"/>
    <w:rsid w:val="002E7041"/>
    <w:rsid w:val="002E7241"/>
    <w:rsid w:val="002E773B"/>
    <w:rsid w:val="002E7768"/>
    <w:rsid w:val="002E7BEF"/>
    <w:rsid w:val="002E7E17"/>
    <w:rsid w:val="002F0211"/>
    <w:rsid w:val="002F09C1"/>
    <w:rsid w:val="002F0C0F"/>
    <w:rsid w:val="002F12A8"/>
    <w:rsid w:val="002F12EA"/>
    <w:rsid w:val="002F16E8"/>
    <w:rsid w:val="002F24DD"/>
    <w:rsid w:val="002F2724"/>
    <w:rsid w:val="002F37C0"/>
    <w:rsid w:val="002F390D"/>
    <w:rsid w:val="002F41FB"/>
    <w:rsid w:val="002F4C3C"/>
    <w:rsid w:val="002F52E0"/>
    <w:rsid w:val="002F588F"/>
    <w:rsid w:val="002F5C9C"/>
    <w:rsid w:val="002F5CD3"/>
    <w:rsid w:val="002F5D91"/>
    <w:rsid w:val="002F631E"/>
    <w:rsid w:val="002F65CE"/>
    <w:rsid w:val="002F6973"/>
    <w:rsid w:val="002F6D9C"/>
    <w:rsid w:val="002F6F93"/>
    <w:rsid w:val="002F700E"/>
    <w:rsid w:val="002F77FF"/>
    <w:rsid w:val="002F79E1"/>
    <w:rsid w:val="002F7AF8"/>
    <w:rsid w:val="002F7C8C"/>
    <w:rsid w:val="003000B8"/>
    <w:rsid w:val="003001E5"/>
    <w:rsid w:val="003002A8"/>
    <w:rsid w:val="003005F9"/>
    <w:rsid w:val="00300954"/>
    <w:rsid w:val="0030095A"/>
    <w:rsid w:val="00300A4C"/>
    <w:rsid w:val="00300C77"/>
    <w:rsid w:val="00300FBC"/>
    <w:rsid w:val="003011A7"/>
    <w:rsid w:val="00301617"/>
    <w:rsid w:val="00301B06"/>
    <w:rsid w:val="00301C06"/>
    <w:rsid w:val="00301CE1"/>
    <w:rsid w:val="00302085"/>
    <w:rsid w:val="0030218F"/>
    <w:rsid w:val="003021DF"/>
    <w:rsid w:val="00302330"/>
    <w:rsid w:val="00302380"/>
    <w:rsid w:val="003026F2"/>
    <w:rsid w:val="00302717"/>
    <w:rsid w:val="003028B0"/>
    <w:rsid w:val="00302DEB"/>
    <w:rsid w:val="00302F10"/>
    <w:rsid w:val="0030372B"/>
    <w:rsid w:val="00303ADA"/>
    <w:rsid w:val="00303B7D"/>
    <w:rsid w:val="00303D1C"/>
    <w:rsid w:val="003048AA"/>
    <w:rsid w:val="00305248"/>
    <w:rsid w:val="003069E0"/>
    <w:rsid w:val="00306ACE"/>
    <w:rsid w:val="00306C2E"/>
    <w:rsid w:val="00307818"/>
    <w:rsid w:val="00307F57"/>
    <w:rsid w:val="00310390"/>
    <w:rsid w:val="00310473"/>
    <w:rsid w:val="0031083C"/>
    <w:rsid w:val="00310934"/>
    <w:rsid w:val="00310F2C"/>
    <w:rsid w:val="003118EF"/>
    <w:rsid w:val="003118F9"/>
    <w:rsid w:val="0031194C"/>
    <w:rsid w:val="00312428"/>
    <w:rsid w:val="00312C0F"/>
    <w:rsid w:val="00312CB1"/>
    <w:rsid w:val="00312DE6"/>
    <w:rsid w:val="003134B0"/>
    <w:rsid w:val="00313B45"/>
    <w:rsid w:val="003143D2"/>
    <w:rsid w:val="003144C8"/>
    <w:rsid w:val="003144E2"/>
    <w:rsid w:val="00314DEF"/>
    <w:rsid w:val="00314F3A"/>
    <w:rsid w:val="00315549"/>
    <w:rsid w:val="003158BD"/>
    <w:rsid w:val="00315DF9"/>
    <w:rsid w:val="00315F19"/>
    <w:rsid w:val="003162CE"/>
    <w:rsid w:val="00316420"/>
    <w:rsid w:val="00316488"/>
    <w:rsid w:val="00316703"/>
    <w:rsid w:val="003169AA"/>
    <w:rsid w:val="00316DA3"/>
    <w:rsid w:val="00317072"/>
    <w:rsid w:val="0031717C"/>
    <w:rsid w:val="0031735E"/>
    <w:rsid w:val="00317660"/>
    <w:rsid w:val="003178C1"/>
    <w:rsid w:val="003178EE"/>
    <w:rsid w:val="00317F4D"/>
    <w:rsid w:val="00320858"/>
    <w:rsid w:val="003208D5"/>
    <w:rsid w:val="00321CA0"/>
    <w:rsid w:val="00322285"/>
    <w:rsid w:val="00322CB0"/>
    <w:rsid w:val="00322DF3"/>
    <w:rsid w:val="00322E08"/>
    <w:rsid w:val="00322EAE"/>
    <w:rsid w:val="0032355D"/>
    <w:rsid w:val="00323594"/>
    <w:rsid w:val="00323764"/>
    <w:rsid w:val="0032378A"/>
    <w:rsid w:val="00323D63"/>
    <w:rsid w:val="00324020"/>
    <w:rsid w:val="003242AB"/>
    <w:rsid w:val="003242DE"/>
    <w:rsid w:val="003244DB"/>
    <w:rsid w:val="003248AD"/>
    <w:rsid w:val="0032494E"/>
    <w:rsid w:val="00324B9B"/>
    <w:rsid w:val="00324E50"/>
    <w:rsid w:val="003252AE"/>
    <w:rsid w:val="00325B6F"/>
    <w:rsid w:val="00326150"/>
    <w:rsid w:val="00326281"/>
    <w:rsid w:val="00326E1F"/>
    <w:rsid w:val="00327A7B"/>
    <w:rsid w:val="00327BEF"/>
    <w:rsid w:val="003305B2"/>
    <w:rsid w:val="003305F2"/>
    <w:rsid w:val="0033071B"/>
    <w:rsid w:val="00330A30"/>
    <w:rsid w:val="00330C7E"/>
    <w:rsid w:val="00330E55"/>
    <w:rsid w:val="0033114B"/>
    <w:rsid w:val="00331829"/>
    <w:rsid w:val="00331938"/>
    <w:rsid w:val="0033203C"/>
    <w:rsid w:val="00332251"/>
    <w:rsid w:val="00333492"/>
    <w:rsid w:val="00333C9F"/>
    <w:rsid w:val="0033405E"/>
    <w:rsid w:val="0033449D"/>
    <w:rsid w:val="0033499A"/>
    <w:rsid w:val="00334E73"/>
    <w:rsid w:val="0033508A"/>
    <w:rsid w:val="00335342"/>
    <w:rsid w:val="00335534"/>
    <w:rsid w:val="0033570B"/>
    <w:rsid w:val="0033588E"/>
    <w:rsid w:val="003358A1"/>
    <w:rsid w:val="00335BA1"/>
    <w:rsid w:val="00335DB7"/>
    <w:rsid w:val="00336450"/>
    <w:rsid w:val="003369DA"/>
    <w:rsid w:val="00336C55"/>
    <w:rsid w:val="00336C75"/>
    <w:rsid w:val="00337479"/>
    <w:rsid w:val="0033771A"/>
    <w:rsid w:val="0034073B"/>
    <w:rsid w:val="00340869"/>
    <w:rsid w:val="00340A07"/>
    <w:rsid w:val="00341507"/>
    <w:rsid w:val="003415B1"/>
    <w:rsid w:val="00341C76"/>
    <w:rsid w:val="0034247D"/>
    <w:rsid w:val="00342666"/>
    <w:rsid w:val="00342B88"/>
    <w:rsid w:val="003431FC"/>
    <w:rsid w:val="00343354"/>
    <w:rsid w:val="003439E2"/>
    <w:rsid w:val="00343D35"/>
    <w:rsid w:val="0034414E"/>
    <w:rsid w:val="00344271"/>
    <w:rsid w:val="00344346"/>
    <w:rsid w:val="003443E2"/>
    <w:rsid w:val="00344567"/>
    <w:rsid w:val="00344675"/>
    <w:rsid w:val="00344854"/>
    <w:rsid w:val="00344E94"/>
    <w:rsid w:val="003451D8"/>
    <w:rsid w:val="00345A09"/>
    <w:rsid w:val="00346196"/>
    <w:rsid w:val="00346371"/>
    <w:rsid w:val="003463F8"/>
    <w:rsid w:val="003479DD"/>
    <w:rsid w:val="00347B78"/>
    <w:rsid w:val="00347E22"/>
    <w:rsid w:val="0035023B"/>
    <w:rsid w:val="00350483"/>
    <w:rsid w:val="00350892"/>
    <w:rsid w:val="00350CE1"/>
    <w:rsid w:val="0035107F"/>
    <w:rsid w:val="003510A2"/>
    <w:rsid w:val="0035139A"/>
    <w:rsid w:val="003517A6"/>
    <w:rsid w:val="0035190C"/>
    <w:rsid w:val="00351B55"/>
    <w:rsid w:val="003523F5"/>
    <w:rsid w:val="003528F1"/>
    <w:rsid w:val="00352B6C"/>
    <w:rsid w:val="00352FAB"/>
    <w:rsid w:val="00353002"/>
    <w:rsid w:val="0035376B"/>
    <w:rsid w:val="00353ADF"/>
    <w:rsid w:val="00353CF9"/>
    <w:rsid w:val="003547E5"/>
    <w:rsid w:val="00354839"/>
    <w:rsid w:val="00354AAE"/>
    <w:rsid w:val="0035518D"/>
    <w:rsid w:val="003556CD"/>
    <w:rsid w:val="00355749"/>
    <w:rsid w:val="003558A1"/>
    <w:rsid w:val="00356475"/>
    <w:rsid w:val="003564F4"/>
    <w:rsid w:val="00356930"/>
    <w:rsid w:val="00356EB0"/>
    <w:rsid w:val="003571DD"/>
    <w:rsid w:val="0035729B"/>
    <w:rsid w:val="00357367"/>
    <w:rsid w:val="003574B4"/>
    <w:rsid w:val="00357B3E"/>
    <w:rsid w:val="00360150"/>
    <w:rsid w:val="00360205"/>
    <w:rsid w:val="00360809"/>
    <w:rsid w:val="00360877"/>
    <w:rsid w:val="00360E10"/>
    <w:rsid w:val="00360F2F"/>
    <w:rsid w:val="00361335"/>
    <w:rsid w:val="003613CA"/>
    <w:rsid w:val="003613E4"/>
    <w:rsid w:val="00361A8D"/>
    <w:rsid w:val="00361E7C"/>
    <w:rsid w:val="0036206D"/>
    <w:rsid w:val="00362736"/>
    <w:rsid w:val="0036293C"/>
    <w:rsid w:val="00362A31"/>
    <w:rsid w:val="00363113"/>
    <w:rsid w:val="003633FC"/>
    <w:rsid w:val="00363575"/>
    <w:rsid w:val="00363B04"/>
    <w:rsid w:val="00363B1F"/>
    <w:rsid w:val="00363FD7"/>
    <w:rsid w:val="003642A7"/>
    <w:rsid w:val="0036431A"/>
    <w:rsid w:val="00364FF3"/>
    <w:rsid w:val="00365123"/>
    <w:rsid w:val="00365278"/>
    <w:rsid w:val="0036558A"/>
    <w:rsid w:val="00365777"/>
    <w:rsid w:val="00365932"/>
    <w:rsid w:val="00365C15"/>
    <w:rsid w:val="00365E1F"/>
    <w:rsid w:val="003668B2"/>
    <w:rsid w:val="00366AFF"/>
    <w:rsid w:val="00366DD6"/>
    <w:rsid w:val="00366E64"/>
    <w:rsid w:val="00367867"/>
    <w:rsid w:val="0036798B"/>
    <w:rsid w:val="00367D08"/>
    <w:rsid w:val="00367EE6"/>
    <w:rsid w:val="003705BE"/>
    <w:rsid w:val="003706AE"/>
    <w:rsid w:val="00370BF7"/>
    <w:rsid w:val="00371007"/>
    <w:rsid w:val="0037165C"/>
    <w:rsid w:val="00371702"/>
    <w:rsid w:val="00371BC2"/>
    <w:rsid w:val="00371C8C"/>
    <w:rsid w:val="00371DE6"/>
    <w:rsid w:val="0037200A"/>
    <w:rsid w:val="003726B9"/>
    <w:rsid w:val="003726E7"/>
    <w:rsid w:val="003728D7"/>
    <w:rsid w:val="00372C9F"/>
    <w:rsid w:val="0037314D"/>
    <w:rsid w:val="003731F4"/>
    <w:rsid w:val="003731FE"/>
    <w:rsid w:val="00373439"/>
    <w:rsid w:val="0037383A"/>
    <w:rsid w:val="00373917"/>
    <w:rsid w:val="00373A9B"/>
    <w:rsid w:val="00373D56"/>
    <w:rsid w:val="00373E05"/>
    <w:rsid w:val="0037462C"/>
    <w:rsid w:val="00374CDF"/>
    <w:rsid w:val="00375135"/>
    <w:rsid w:val="00375619"/>
    <w:rsid w:val="00375717"/>
    <w:rsid w:val="00375772"/>
    <w:rsid w:val="0037577A"/>
    <w:rsid w:val="00375A1E"/>
    <w:rsid w:val="00375F16"/>
    <w:rsid w:val="003767F9"/>
    <w:rsid w:val="003768A0"/>
    <w:rsid w:val="003768CD"/>
    <w:rsid w:val="00376A46"/>
    <w:rsid w:val="00376A97"/>
    <w:rsid w:val="00376AB3"/>
    <w:rsid w:val="00376D12"/>
    <w:rsid w:val="00377034"/>
    <w:rsid w:val="003770AA"/>
    <w:rsid w:val="003774F8"/>
    <w:rsid w:val="00377D9E"/>
    <w:rsid w:val="00377EF7"/>
    <w:rsid w:val="00380155"/>
    <w:rsid w:val="003801BB"/>
    <w:rsid w:val="00380936"/>
    <w:rsid w:val="00380C8B"/>
    <w:rsid w:val="00380F53"/>
    <w:rsid w:val="00380F7B"/>
    <w:rsid w:val="0038157B"/>
    <w:rsid w:val="00381744"/>
    <w:rsid w:val="00381A83"/>
    <w:rsid w:val="00381C5B"/>
    <w:rsid w:val="0038204E"/>
    <w:rsid w:val="00382318"/>
    <w:rsid w:val="0038276F"/>
    <w:rsid w:val="00382B56"/>
    <w:rsid w:val="0038310F"/>
    <w:rsid w:val="00383658"/>
    <w:rsid w:val="0038378C"/>
    <w:rsid w:val="00383C65"/>
    <w:rsid w:val="00383F32"/>
    <w:rsid w:val="00383FBD"/>
    <w:rsid w:val="00384285"/>
    <w:rsid w:val="003857AB"/>
    <w:rsid w:val="003859A6"/>
    <w:rsid w:val="00385ACC"/>
    <w:rsid w:val="003862EE"/>
    <w:rsid w:val="003863B4"/>
    <w:rsid w:val="0038642C"/>
    <w:rsid w:val="003865F8"/>
    <w:rsid w:val="00386CE4"/>
    <w:rsid w:val="00387142"/>
    <w:rsid w:val="00387797"/>
    <w:rsid w:val="00387C14"/>
    <w:rsid w:val="003907CE"/>
    <w:rsid w:val="00390C18"/>
    <w:rsid w:val="00390D24"/>
    <w:rsid w:val="00390DAD"/>
    <w:rsid w:val="00390DD0"/>
    <w:rsid w:val="00390DE7"/>
    <w:rsid w:val="00391014"/>
    <w:rsid w:val="00391857"/>
    <w:rsid w:val="00391B6A"/>
    <w:rsid w:val="00391CB4"/>
    <w:rsid w:val="003920C0"/>
    <w:rsid w:val="0039216A"/>
    <w:rsid w:val="0039218C"/>
    <w:rsid w:val="003929ED"/>
    <w:rsid w:val="00392A7A"/>
    <w:rsid w:val="00392DF0"/>
    <w:rsid w:val="0039305E"/>
    <w:rsid w:val="003931DF"/>
    <w:rsid w:val="003933D9"/>
    <w:rsid w:val="003934BF"/>
    <w:rsid w:val="003935AF"/>
    <w:rsid w:val="00393AAA"/>
    <w:rsid w:val="00393F19"/>
    <w:rsid w:val="00393F36"/>
    <w:rsid w:val="003943FE"/>
    <w:rsid w:val="00394D24"/>
    <w:rsid w:val="00394E4D"/>
    <w:rsid w:val="0039541E"/>
    <w:rsid w:val="0039551B"/>
    <w:rsid w:val="00395660"/>
    <w:rsid w:val="0039601C"/>
    <w:rsid w:val="00396238"/>
    <w:rsid w:val="003962A7"/>
    <w:rsid w:val="00396689"/>
    <w:rsid w:val="00396A88"/>
    <w:rsid w:val="00396F91"/>
    <w:rsid w:val="003976EC"/>
    <w:rsid w:val="00397D9F"/>
    <w:rsid w:val="00397F5B"/>
    <w:rsid w:val="003A0009"/>
    <w:rsid w:val="003A03AB"/>
    <w:rsid w:val="003A15F8"/>
    <w:rsid w:val="003A189D"/>
    <w:rsid w:val="003A19B1"/>
    <w:rsid w:val="003A1B9A"/>
    <w:rsid w:val="003A2A4E"/>
    <w:rsid w:val="003A2CD8"/>
    <w:rsid w:val="003A30C9"/>
    <w:rsid w:val="003A33D0"/>
    <w:rsid w:val="003A383B"/>
    <w:rsid w:val="003A3D16"/>
    <w:rsid w:val="003A41F7"/>
    <w:rsid w:val="003A46BA"/>
    <w:rsid w:val="003A4ABD"/>
    <w:rsid w:val="003A4E91"/>
    <w:rsid w:val="003A4F12"/>
    <w:rsid w:val="003A4F34"/>
    <w:rsid w:val="003A5140"/>
    <w:rsid w:val="003A5578"/>
    <w:rsid w:val="003A570D"/>
    <w:rsid w:val="003A6C95"/>
    <w:rsid w:val="003A6D10"/>
    <w:rsid w:val="003A7AA4"/>
    <w:rsid w:val="003B1126"/>
    <w:rsid w:val="003B1283"/>
    <w:rsid w:val="003B1332"/>
    <w:rsid w:val="003B1979"/>
    <w:rsid w:val="003B1A02"/>
    <w:rsid w:val="003B1ACE"/>
    <w:rsid w:val="003B1F89"/>
    <w:rsid w:val="003B1FCB"/>
    <w:rsid w:val="003B2164"/>
    <w:rsid w:val="003B2658"/>
    <w:rsid w:val="003B28B9"/>
    <w:rsid w:val="003B290A"/>
    <w:rsid w:val="003B2A48"/>
    <w:rsid w:val="003B336F"/>
    <w:rsid w:val="003B3AE3"/>
    <w:rsid w:val="003B417D"/>
    <w:rsid w:val="003B5054"/>
    <w:rsid w:val="003B5BA0"/>
    <w:rsid w:val="003B5D01"/>
    <w:rsid w:val="003B6068"/>
    <w:rsid w:val="003B61E3"/>
    <w:rsid w:val="003B6755"/>
    <w:rsid w:val="003B6827"/>
    <w:rsid w:val="003B6A57"/>
    <w:rsid w:val="003B6C9B"/>
    <w:rsid w:val="003B6EE1"/>
    <w:rsid w:val="003B7E88"/>
    <w:rsid w:val="003B7FA3"/>
    <w:rsid w:val="003C04AB"/>
    <w:rsid w:val="003C09BB"/>
    <w:rsid w:val="003C0E2B"/>
    <w:rsid w:val="003C0FCA"/>
    <w:rsid w:val="003C1132"/>
    <w:rsid w:val="003C134E"/>
    <w:rsid w:val="003C1565"/>
    <w:rsid w:val="003C1DB5"/>
    <w:rsid w:val="003C2073"/>
    <w:rsid w:val="003C213D"/>
    <w:rsid w:val="003C232C"/>
    <w:rsid w:val="003C248D"/>
    <w:rsid w:val="003C2F60"/>
    <w:rsid w:val="003C3865"/>
    <w:rsid w:val="003C3B02"/>
    <w:rsid w:val="003C3D0E"/>
    <w:rsid w:val="003C3D66"/>
    <w:rsid w:val="003C43D6"/>
    <w:rsid w:val="003C45B2"/>
    <w:rsid w:val="003C549A"/>
    <w:rsid w:val="003C551D"/>
    <w:rsid w:val="003C58C4"/>
    <w:rsid w:val="003C5955"/>
    <w:rsid w:val="003C5E0D"/>
    <w:rsid w:val="003C5E1C"/>
    <w:rsid w:val="003C60F8"/>
    <w:rsid w:val="003C63DA"/>
    <w:rsid w:val="003C64EF"/>
    <w:rsid w:val="003C6A0C"/>
    <w:rsid w:val="003C7066"/>
    <w:rsid w:val="003C7117"/>
    <w:rsid w:val="003C77C2"/>
    <w:rsid w:val="003C7AA9"/>
    <w:rsid w:val="003C7C50"/>
    <w:rsid w:val="003C7C8A"/>
    <w:rsid w:val="003C7CD6"/>
    <w:rsid w:val="003D0297"/>
    <w:rsid w:val="003D08AA"/>
    <w:rsid w:val="003D0936"/>
    <w:rsid w:val="003D11BE"/>
    <w:rsid w:val="003D150F"/>
    <w:rsid w:val="003D17C1"/>
    <w:rsid w:val="003D199C"/>
    <w:rsid w:val="003D1AFE"/>
    <w:rsid w:val="003D1D70"/>
    <w:rsid w:val="003D21AC"/>
    <w:rsid w:val="003D2226"/>
    <w:rsid w:val="003D2FA2"/>
    <w:rsid w:val="003D30DC"/>
    <w:rsid w:val="003D3C21"/>
    <w:rsid w:val="003D3EBF"/>
    <w:rsid w:val="003D43AD"/>
    <w:rsid w:val="003D441E"/>
    <w:rsid w:val="003D4623"/>
    <w:rsid w:val="003D4812"/>
    <w:rsid w:val="003D489B"/>
    <w:rsid w:val="003D4FF2"/>
    <w:rsid w:val="003D513A"/>
    <w:rsid w:val="003D540A"/>
    <w:rsid w:val="003D559F"/>
    <w:rsid w:val="003D5AAD"/>
    <w:rsid w:val="003D61B1"/>
    <w:rsid w:val="003D6C99"/>
    <w:rsid w:val="003D77BF"/>
    <w:rsid w:val="003D7DDD"/>
    <w:rsid w:val="003E0023"/>
    <w:rsid w:val="003E00E9"/>
    <w:rsid w:val="003E0255"/>
    <w:rsid w:val="003E0D3A"/>
    <w:rsid w:val="003E1066"/>
    <w:rsid w:val="003E1826"/>
    <w:rsid w:val="003E193E"/>
    <w:rsid w:val="003E2056"/>
    <w:rsid w:val="003E24FF"/>
    <w:rsid w:val="003E2537"/>
    <w:rsid w:val="003E275E"/>
    <w:rsid w:val="003E3141"/>
    <w:rsid w:val="003E38EB"/>
    <w:rsid w:val="003E3BF3"/>
    <w:rsid w:val="003E4E57"/>
    <w:rsid w:val="003E4FF8"/>
    <w:rsid w:val="003E5446"/>
    <w:rsid w:val="003E5459"/>
    <w:rsid w:val="003E5A2C"/>
    <w:rsid w:val="003E603C"/>
    <w:rsid w:val="003E662E"/>
    <w:rsid w:val="003E6BA3"/>
    <w:rsid w:val="003E6CC2"/>
    <w:rsid w:val="003E7143"/>
    <w:rsid w:val="003E7469"/>
    <w:rsid w:val="003E780B"/>
    <w:rsid w:val="003F02F0"/>
    <w:rsid w:val="003F053A"/>
    <w:rsid w:val="003F0773"/>
    <w:rsid w:val="003F0A65"/>
    <w:rsid w:val="003F0AC6"/>
    <w:rsid w:val="003F0CE5"/>
    <w:rsid w:val="003F0D95"/>
    <w:rsid w:val="003F0F3E"/>
    <w:rsid w:val="003F1539"/>
    <w:rsid w:val="003F1F90"/>
    <w:rsid w:val="003F2678"/>
    <w:rsid w:val="003F29A5"/>
    <w:rsid w:val="003F2A15"/>
    <w:rsid w:val="003F308A"/>
    <w:rsid w:val="003F3164"/>
    <w:rsid w:val="003F3165"/>
    <w:rsid w:val="003F320A"/>
    <w:rsid w:val="003F3330"/>
    <w:rsid w:val="003F36BB"/>
    <w:rsid w:val="003F372D"/>
    <w:rsid w:val="003F3B6F"/>
    <w:rsid w:val="003F3F98"/>
    <w:rsid w:val="003F3FBB"/>
    <w:rsid w:val="003F4522"/>
    <w:rsid w:val="003F4DCC"/>
    <w:rsid w:val="003F5711"/>
    <w:rsid w:val="003F59CE"/>
    <w:rsid w:val="003F63A9"/>
    <w:rsid w:val="003F64E6"/>
    <w:rsid w:val="003F6782"/>
    <w:rsid w:val="003F7C66"/>
    <w:rsid w:val="003F7E5D"/>
    <w:rsid w:val="004002E2"/>
    <w:rsid w:val="00400302"/>
    <w:rsid w:val="004005C6"/>
    <w:rsid w:val="00400782"/>
    <w:rsid w:val="00400FC1"/>
    <w:rsid w:val="00401149"/>
    <w:rsid w:val="004012AC"/>
    <w:rsid w:val="0040169E"/>
    <w:rsid w:val="00401959"/>
    <w:rsid w:val="004021E2"/>
    <w:rsid w:val="004025D4"/>
    <w:rsid w:val="00402735"/>
    <w:rsid w:val="004037ED"/>
    <w:rsid w:val="00403868"/>
    <w:rsid w:val="004039F6"/>
    <w:rsid w:val="00403FAE"/>
    <w:rsid w:val="00404296"/>
    <w:rsid w:val="00404491"/>
    <w:rsid w:val="00404CED"/>
    <w:rsid w:val="00404D97"/>
    <w:rsid w:val="00404F02"/>
    <w:rsid w:val="00405463"/>
    <w:rsid w:val="004055A0"/>
    <w:rsid w:val="004058C8"/>
    <w:rsid w:val="00405C01"/>
    <w:rsid w:val="00405F28"/>
    <w:rsid w:val="00405FE5"/>
    <w:rsid w:val="00406379"/>
    <w:rsid w:val="004068DB"/>
    <w:rsid w:val="004070BD"/>
    <w:rsid w:val="004071C0"/>
    <w:rsid w:val="004075A3"/>
    <w:rsid w:val="00407849"/>
    <w:rsid w:val="00407957"/>
    <w:rsid w:val="00407EA8"/>
    <w:rsid w:val="004100F7"/>
    <w:rsid w:val="004107FD"/>
    <w:rsid w:val="004108D0"/>
    <w:rsid w:val="004109BA"/>
    <w:rsid w:val="00410C8E"/>
    <w:rsid w:val="0041121D"/>
    <w:rsid w:val="0041121E"/>
    <w:rsid w:val="004119B1"/>
    <w:rsid w:val="00411D67"/>
    <w:rsid w:val="00412800"/>
    <w:rsid w:val="00412829"/>
    <w:rsid w:val="00412AA0"/>
    <w:rsid w:val="00412FD6"/>
    <w:rsid w:val="004131B2"/>
    <w:rsid w:val="004131D3"/>
    <w:rsid w:val="00413417"/>
    <w:rsid w:val="00413E0A"/>
    <w:rsid w:val="00413FBA"/>
    <w:rsid w:val="00414B79"/>
    <w:rsid w:val="00414DB6"/>
    <w:rsid w:val="00414EC1"/>
    <w:rsid w:val="004150B8"/>
    <w:rsid w:val="00415262"/>
    <w:rsid w:val="004158CC"/>
    <w:rsid w:val="00415FBC"/>
    <w:rsid w:val="00415FE8"/>
    <w:rsid w:val="00416235"/>
    <w:rsid w:val="004165C5"/>
    <w:rsid w:val="00416DD7"/>
    <w:rsid w:val="00416DED"/>
    <w:rsid w:val="00417086"/>
    <w:rsid w:val="0041737B"/>
    <w:rsid w:val="004177B2"/>
    <w:rsid w:val="00417882"/>
    <w:rsid w:val="00417B98"/>
    <w:rsid w:val="00417DA6"/>
    <w:rsid w:val="00417DCC"/>
    <w:rsid w:val="00420040"/>
    <w:rsid w:val="0042038D"/>
    <w:rsid w:val="0042041A"/>
    <w:rsid w:val="0042041F"/>
    <w:rsid w:val="004206EE"/>
    <w:rsid w:val="00420B29"/>
    <w:rsid w:val="00420D28"/>
    <w:rsid w:val="00420E0C"/>
    <w:rsid w:val="00420F18"/>
    <w:rsid w:val="00421A60"/>
    <w:rsid w:val="00421B16"/>
    <w:rsid w:val="00421C5F"/>
    <w:rsid w:val="00421DB6"/>
    <w:rsid w:val="004220A1"/>
    <w:rsid w:val="004222BB"/>
    <w:rsid w:val="0042235C"/>
    <w:rsid w:val="004224F0"/>
    <w:rsid w:val="00423973"/>
    <w:rsid w:val="00423AB3"/>
    <w:rsid w:val="004245CA"/>
    <w:rsid w:val="00424C7F"/>
    <w:rsid w:val="00424F1A"/>
    <w:rsid w:val="00424F60"/>
    <w:rsid w:val="00424F66"/>
    <w:rsid w:val="0042505D"/>
    <w:rsid w:val="004254BD"/>
    <w:rsid w:val="00425B7C"/>
    <w:rsid w:val="00425CBC"/>
    <w:rsid w:val="00425D1C"/>
    <w:rsid w:val="00426119"/>
    <w:rsid w:val="0042680D"/>
    <w:rsid w:val="00426943"/>
    <w:rsid w:val="004271CF"/>
    <w:rsid w:val="00427278"/>
    <w:rsid w:val="004273A2"/>
    <w:rsid w:val="0042772F"/>
    <w:rsid w:val="00427A27"/>
    <w:rsid w:val="00427C0B"/>
    <w:rsid w:val="00427D3E"/>
    <w:rsid w:val="004300B9"/>
    <w:rsid w:val="004304E2"/>
    <w:rsid w:val="00430EF6"/>
    <w:rsid w:val="0043123B"/>
    <w:rsid w:val="00431696"/>
    <w:rsid w:val="004318BE"/>
    <w:rsid w:val="00431C1C"/>
    <w:rsid w:val="00432285"/>
    <w:rsid w:val="00432701"/>
    <w:rsid w:val="00432BAF"/>
    <w:rsid w:val="00432D44"/>
    <w:rsid w:val="00432DC2"/>
    <w:rsid w:val="00433018"/>
    <w:rsid w:val="004330D5"/>
    <w:rsid w:val="00433124"/>
    <w:rsid w:val="0043320E"/>
    <w:rsid w:val="004333A9"/>
    <w:rsid w:val="00433419"/>
    <w:rsid w:val="00433B88"/>
    <w:rsid w:val="00433F17"/>
    <w:rsid w:val="00433FCC"/>
    <w:rsid w:val="004349A2"/>
    <w:rsid w:val="00434BA5"/>
    <w:rsid w:val="00434D72"/>
    <w:rsid w:val="00434F37"/>
    <w:rsid w:val="004350CC"/>
    <w:rsid w:val="00435B8D"/>
    <w:rsid w:val="00435D90"/>
    <w:rsid w:val="004365C9"/>
    <w:rsid w:val="00436C8A"/>
    <w:rsid w:val="004376F2"/>
    <w:rsid w:val="00437A9C"/>
    <w:rsid w:val="00437C1A"/>
    <w:rsid w:val="00440028"/>
    <w:rsid w:val="0044027A"/>
    <w:rsid w:val="00440426"/>
    <w:rsid w:val="00440788"/>
    <w:rsid w:val="00440A73"/>
    <w:rsid w:val="004410DB"/>
    <w:rsid w:val="0044159E"/>
    <w:rsid w:val="0044204F"/>
    <w:rsid w:val="00442253"/>
    <w:rsid w:val="0044265D"/>
    <w:rsid w:val="004429B9"/>
    <w:rsid w:val="00442ED9"/>
    <w:rsid w:val="00443319"/>
    <w:rsid w:val="0044367F"/>
    <w:rsid w:val="00443DBD"/>
    <w:rsid w:val="00443EB8"/>
    <w:rsid w:val="00443F6B"/>
    <w:rsid w:val="004442EC"/>
    <w:rsid w:val="0044453B"/>
    <w:rsid w:val="004446B3"/>
    <w:rsid w:val="004448D7"/>
    <w:rsid w:val="00444906"/>
    <w:rsid w:val="00444975"/>
    <w:rsid w:val="00444AD6"/>
    <w:rsid w:val="00444CE4"/>
    <w:rsid w:val="004450C6"/>
    <w:rsid w:val="00445534"/>
    <w:rsid w:val="00445938"/>
    <w:rsid w:val="00445B7C"/>
    <w:rsid w:val="004463E2"/>
    <w:rsid w:val="00446AE1"/>
    <w:rsid w:val="00446B12"/>
    <w:rsid w:val="00446BB9"/>
    <w:rsid w:val="00446C8C"/>
    <w:rsid w:val="00446FBF"/>
    <w:rsid w:val="0044708E"/>
    <w:rsid w:val="004508CB"/>
    <w:rsid w:val="00450BE6"/>
    <w:rsid w:val="00451358"/>
    <w:rsid w:val="0045154C"/>
    <w:rsid w:val="00451F48"/>
    <w:rsid w:val="00451FC6"/>
    <w:rsid w:val="00452BDF"/>
    <w:rsid w:val="00452F69"/>
    <w:rsid w:val="004531DD"/>
    <w:rsid w:val="0045337F"/>
    <w:rsid w:val="0045338C"/>
    <w:rsid w:val="0045341E"/>
    <w:rsid w:val="004539C3"/>
    <w:rsid w:val="00453A1E"/>
    <w:rsid w:val="00453C6E"/>
    <w:rsid w:val="004543B2"/>
    <w:rsid w:val="00454C15"/>
    <w:rsid w:val="00454C45"/>
    <w:rsid w:val="00455057"/>
    <w:rsid w:val="004550B7"/>
    <w:rsid w:val="004551DD"/>
    <w:rsid w:val="004553CE"/>
    <w:rsid w:val="004553F2"/>
    <w:rsid w:val="00455498"/>
    <w:rsid w:val="004556DE"/>
    <w:rsid w:val="00455E95"/>
    <w:rsid w:val="00456342"/>
    <w:rsid w:val="00456578"/>
    <w:rsid w:val="00456FC3"/>
    <w:rsid w:val="0045714C"/>
    <w:rsid w:val="00457150"/>
    <w:rsid w:val="0045733A"/>
    <w:rsid w:val="004578AE"/>
    <w:rsid w:val="00457FCB"/>
    <w:rsid w:val="0046040C"/>
    <w:rsid w:val="004605D1"/>
    <w:rsid w:val="0046076D"/>
    <w:rsid w:val="00460F86"/>
    <w:rsid w:val="0046155B"/>
    <w:rsid w:val="0046162A"/>
    <w:rsid w:val="004616F9"/>
    <w:rsid w:val="00461A55"/>
    <w:rsid w:val="00461AD9"/>
    <w:rsid w:val="00461DCE"/>
    <w:rsid w:val="00462843"/>
    <w:rsid w:val="00462BC1"/>
    <w:rsid w:val="00462FDE"/>
    <w:rsid w:val="0046320D"/>
    <w:rsid w:val="00463358"/>
    <w:rsid w:val="0046337A"/>
    <w:rsid w:val="00463DD9"/>
    <w:rsid w:val="00463F27"/>
    <w:rsid w:val="004641BE"/>
    <w:rsid w:val="0046435D"/>
    <w:rsid w:val="0046442B"/>
    <w:rsid w:val="0046469C"/>
    <w:rsid w:val="0046580E"/>
    <w:rsid w:val="00465893"/>
    <w:rsid w:val="00465A07"/>
    <w:rsid w:val="00465CF9"/>
    <w:rsid w:val="00465DB6"/>
    <w:rsid w:val="00465E95"/>
    <w:rsid w:val="004664E2"/>
    <w:rsid w:val="00466A7A"/>
    <w:rsid w:val="00466E10"/>
    <w:rsid w:val="00466EF4"/>
    <w:rsid w:val="00466FEF"/>
    <w:rsid w:val="0046747A"/>
    <w:rsid w:val="004675B8"/>
    <w:rsid w:val="00467B45"/>
    <w:rsid w:val="00467B68"/>
    <w:rsid w:val="00470335"/>
    <w:rsid w:val="004705E0"/>
    <w:rsid w:val="00470615"/>
    <w:rsid w:val="004709CF"/>
    <w:rsid w:val="00471202"/>
    <w:rsid w:val="00471211"/>
    <w:rsid w:val="004714CE"/>
    <w:rsid w:val="00471F29"/>
    <w:rsid w:val="00471F51"/>
    <w:rsid w:val="00472045"/>
    <w:rsid w:val="00472527"/>
    <w:rsid w:val="00472A18"/>
    <w:rsid w:val="00472B22"/>
    <w:rsid w:val="00472F42"/>
    <w:rsid w:val="00473566"/>
    <w:rsid w:val="00473F88"/>
    <w:rsid w:val="004744A5"/>
    <w:rsid w:val="00474CC3"/>
    <w:rsid w:val="004753AE"/>
    <w:rsid w:val="00475AF2"/>
    <w:rsid w:val="00475B3F"/>
    <w:rsid w:val="00475D5C"/>
    <w:rsid w:val="004761C6"/>
    <w:rsid w:val="00476447"/>
    <w:rsid w:val="00476659"/>
    <w:rsid w:val="00476FF8"/>
    <w:rsid w:val="004771E6"/>
    <w:rsid w:val="00477CB8"/>
    <w:rsid w:val="00477ED9"/>
    <w:rsid w:val="004804CF"/>
    <w:rsid w:val="0048057B"/>
    <w:rsid w:val="00480794"/>
    <w:rsid w:val="00480A4C"/>
    <w:rsid w:val="00480AA5"/>
    <w:rsid w:val="00480B1F"/>
    <w:rsid w:val="00480C83"/>
    <w:rsid w:val="00481049"/>
    <w:rsid w:val="00481B0D"/>
    <w:rsid w:val="00482424"/>
    <w:rsid w:val="004826DE"/>
    <w:rsid w:val="00482A7E"/>
    <w:rsid w:val="00482F63"/>
    <w:rsid w:val="0048300A"/>
    <w:rsid w:val="00483299"/>
    <w:rsid w:val="00483655"/>
    <w:rsid w:val="00483685"/>
    <w:rsid w:val="00483709"/>
    <w:rsid w:val="00483818"/>
    <w:rsid w:val="004838E9"/>
    <w:rsid w:val="00483AA3"/>
    <w:rsid w:val="00483E27"/>
    <w:rsid w:val="004842B4"/>
    <w:rsid w:val="004846C5"/>
    <w:rsid w:val="00484F16"/>
    <w:rsid w:val="0048514B"/>
    <w:rsid w:val="004853B3"/>
    <w:rsid w:val="0048557F"/>
    <w:rsid w:val="0048577A"/>
    <w:rsid w:val="00485C53"/>
    <w:rsid w:val="00485EC1"/>
    <w:rsid w:val="00485F58"/>
    <w:rsid w:val="00486184"/>
    <w:rsid w:val="004863B5"/>
    <w:rsid w:val="004870EB"/>
    <w:rsid w:val="00487AE3"/>
    <w:rsid w:val="00487DD2"/>
    <w:rsid w:val="00487F31"/>
    <w:rsid w:val="00490245"/>
    <w:rsid w:val="004908BD"/>
    <w:rsid w:val="00490919"/>
    <w:rsid w:val="00490AE2"/>
    <w:rsid w:val="00490B92"/>
    <w:rsid w:val="00490CE9"/>
    <w:rsid w:val="00490DC6"/>
    <w:rsid w:val="00490F14"/>
    <w:rsid w:val="0049192A"/>
    <w:rsid w:val="00491B34"/>
    <w:rsid w:val="00491E79"/>
    <w:rsid w:val="0049248D"/>
    <w:rsid w:val="00492CF2"/>
    <w:rsid w:val="00493016"/>
    <w:rsid w:val="00493361"/>
    <w:rsid w:val="004935EB"/>
    <w:rsid w:val="00493E08"/>
    <w:rsid w:val="00494046"/>
    <w:rsid w:val="00494133"/>
    <w:rsid w:val="004947A1"/>
    <w:rsid w:val="00494CCC"/>
    <w:rsid w:val="0049503B"/>
    <w:rsid w:val="004953ED"/>
    <w:rsid w:val="00495744"/>
    <w:rsid w:val="0049597A"/>
    <w:rsid w:val="00495A95"/>
    <w:rsid w:val="00495F3E"/>
    <w:rsid w:val="00496338"/>
    <w:rsid w:val="00496545"/>
    <w:rsid w:val="0049660F"/>
    <w:rsid w:val="004966D6"/>
    <w:rsid w:val="00496720"/>
    <w:rsid w:val="00496D58"/>
    <w:rsid w:val="004970A3"/>
    <w:rsid w:val="00497223"/>
    <w:rsid w:val="0049733C"/>
    <w:rsid w:val="00497372"/>
    <w:rsid w:val="00497469"/>
    <w:rsid w:val="00497994"/>
    <w:rsid w:val="00497E1C"/>
    <w:rsid w:val="00497E71"/>
    <w:rsid w:val="004A0146"/>
    <w:rsid w:val="004A0E1A"/>
    <w:rsid w:val="004A12D4"/>
    <w:rsid w:val="004A1A09"/>
    <w:rsid w:val="004A1DF6"/>
    <w:rsid w:val="004A22B3"/>
    <w:rsid w:val="004A2342"/>
    <w:rsid w:val="004A2650"/>
    <w:rsid w:val="004A33E9"/>
    <w:rsid w:val="004A3F61"/>
    <w:rsid w:val="004A40F0"/>
    <w:rsid w:val="004A4261"/>
    <w:rsid w:val="004A44A3"/>
    <w:rsid w:val="004A45AE"/>
    <w:rsid w:val="004A4A20"/>
    <w:rsid w:val="004A4BB1"/>
    <w:rsid w:val="004A4BD7"/>
    <w:rsid w:val="004A4FE7"/>
    <w:rsid w:val="004A5267"/>
    <w:rsid w:val="004A52BD"/>
    <w:rsid w:val="004A562A"/>
    <w:rsid w:val="004A5691"/>
    <w:rsid w:val="004A5DD5"/>
    <w:rsid w:val="004A637D"/>
    <w:rsid w:val="004A6672"/>
    <w:rsid w:val="004A6FA3"/>
    <w:rsid w:val="004A773B"/>
    <w:rsid w:val="004A7BA1"/>
    <w:rsid w:val="004A7DE4"/>
    <w:rsid w:val="004B0242"/>
    <w:rsid w:val="004B043D"/>
    <w:rsid w:val="004B0ADE"/>
    <w:rsid w:val="004B106E"/>
    <w:rsid w:val="004B1926"/>
    <w:rsid w:val="004B1A69"/>
    <w:rsid w:val="004B282E"/>
    <w:rsid w:val="004B2C97"/>
    <w:rsid w:val="004B2CD7"/>
    <w:rsid w:val="004B3133"/>
    <w:rsid w:val="004B3332"/>
    <w:rsid w:val="004B391C"/>
    <w:rsid w:val="004B4857"/>
    <w:rsid w:val="004B4DD5"/>
    <w:rsid w:val="004B4F46"/>
    <w:rsid w:val="004B4FC9"/>
    <w:rsid w:val="004B52E5"/>
    <w:rsid w:val="004B53C4"/>
    <w:rsid w:val="004B60B0"/>
    <w:rsid w:val="004B614E"/>
    <w:rsid w:val="004B6804"/>
    <w:rsid w:val="004B6A5F"/>
    <w:rsid w:val="004B795B"/>
    <w:rsid w:val="004B7ABE"/>
    <w:rsid w:val="004B7B1F"/>
    <w:rsid w:val="004B7D29"/>
    <w:rsid w:val="004C0293"/>
    <w:rsid w:val="004C03AE"/>
    <w:rsid w:val="004C0738"/>
    <w:rsid w:val="004C0C3F"/>
    <w:rsid w:val="004C0D78"/>
    <w:rsid w:val="004C0EF0"/>
    <w:rsid w:val="004C0F11"/>
    <w:rsid w:val="004C0FD8"/>
    <w:rsid w:val="004C10FA"/>
    <w:rsid w:val="004C1104"/>
    <w:rsid w:val="004C117B"/>
    <w:rsid w:val="004C125D"/>
    <w:rsid w:val="004C15E4"/>
    <w:rsid w:val="004C18E1"/>
    <w:rsid w:val="004C1ABB"/>
    <w:rsid w:val="004C1B8C"/>
    <w:rsid w:val="004C1E4B"/>
    <w:rsid w:val="004C21FC"/>
    <w:rsid w:val="004C2B57"/>
    <w:rsid w:val="004C2B99"/>
    <w:rsid w:val="004C2F58"/>
    <w:rsid w:val="004C31A6"/>
    <w:rsid w:val="004C3348"/>
    <w:rsid w:val="004C351A"/>
    <w:rsid w:val="004C3CC4"/>
    <w:rsid w:val="004C4570"/>
    <w:rsid w:val="004C4EB5"/>
    <w:rsid w:val="004C58BC"/>
    <w:rsid w:val="004C5914"/>
    <w:rsid w:val="004C5A1D"/>
    <w:rsid w:val="004C5B2F"/>
    <w:rsid w:val="004C6842"/>
    <w:rsid w:val="004C68E0"/>
    <w:rsid w:val="004C6E09"/>
    <w:rsid w:val="004C7048"/>
    <w:rsid w:val="004C73AD"/>
    <w:rsid w:val="004C78B1"/>
    <w:rsid w:val="004C7978"/>
    <w:rsid w:val="004C7BCA"/>
    <w:rsid w:val="004C7DF8"/>
    <w:rsid w:val="004C7FE5"/>
    <w:rsid w:val="004D0533"/>
    <w:rsid w:val="004D0C08"/>
    <w:rsid w:val="004D1153"/>
    <w:rsid w:val="004D118C"/>
    <w:rsid w:val="004D1422"/>
    <w:rsid w:val="004D2094"/>
    <w:rsid w:val="004D26C4"/>
    <w:rsid w:val="004D2929"/>
    <w:rsid w:val="004D2CF9"/>
    <w:rsid w:val="004D315F"/>
    <w:rsid w:val="004D3650"/>
    <w:rsid w:val="004D3793"/>
    <w:rsid w:val="004D3970"/>
    <w:rsid w:val="004D3C99"/>
    <w:rsid w:val="004D3E61"/>
    <w:rsid w:val="004D4127"/>
    <w:rsid w:val="004D475F"/>
    <w:rsid w:val="004D4AB0"/>
    <w:rsid w:val="004D4C8C"/>
    <w:rsid w:val="004D4CDA"/>
    <w:rsid w:val="004D5079"/>
    <w:rsid w:val="004D560E"/>
    <w:rsid w:val="004D5967"/>
    <w:rsid w:val="004D62FB"/>
    <w:rsid w:val="004D6813"/>
    <w:rsid w:val="004D71C3"/>
    <w:rsid w:val="004D754F"/>
    <w:rsid w:val="004D78AA"/>
    <w:rsid w:val="004D79E5"/>
    <w:rsid w:val="004D7A9B"/>
    <w:rsid w:val="004D7FAD"/>
    <w:rsid w:val="004E088E"/>
    <w:rsid w:val="004E0FD5"/>
    <w:rsid w:val="004E0FE6"/>
    <w:rsid w:val="004E1351"/>
    <w:rsid w:val="004E14E9"/>
    <w:rsid w:val="004E1A81"/>
    <w:rsid w:val="004E1B8D"/>
    <w:rsid w:val="004E1D2E"/>
    <w:rsid w:val="004E27CC"/>
    <w:rsid w:val="004E288B"/>
    <w:rsid w:val="004E2A53"/>
    <w:rsid w:val="004E3846"/>
    <w:rsid w:val="004E3DB8"/>
    <w:rsid w:val="004E3E1F"/>
    <w:rsid w:val="004E4030"/>
    <w:rsid w:val="004E4377"/>
    <w:rsid w:val="004E43D6"/>
    <w:rsid w:val="004E4863"/>
    <w:rsid w:val="004E4B2C"/>
    <w:rsid w:val="004E4C0C"/>
    <w:rsid w:val="004E4F40"/>
    <w:rsid w:val="004E5134"/>
    <w:rsid w:val="004E596D"/>
    <w:rsid w:val="004E64BB"/>
    <w:rsid w:val="004E6983"/>
    <w:rsid w:val="004E6AAB"/>
    <w:rsid w:val="004E6AE7"/>
    <w:rsid w:val="004E6EDD"/>
    <w:rsid w:val="004E6F72"/>
    <w:rsid w:val="004E741B"/>
    <w:rsid w:val="004E7B79"/>
    <w:rsid w:val="004F00D8"/>
    <w:rsid w:val="004F01B5"/>
    <w:rsid w:val="004F0863"/>
    <w:rsid w:val="004F0A16"/>
    <w:rsid w:val="004F107F"/>
    <w:rsid w:val="004F167D"/>
    <w:rsid w:val="004F2750"/>
    <w:rsid w:val="004F2918"/>
    <w:rsid w:val="004F2A10"/>
    <w:rsid w:val="004F2A74"/>
    <w:rsid w:val="004F37AB"/>
    <w:rsid w:val="004F39AB"/>
    <w:rsid w:val="004F3A05"/>
    <w:rsid w:val="004F3BBF"/>
    <w:rsid w:val="004F3E5E"/>
    <w:rsid w:val="004F4966"/>
    <w:rsid w:val="004F4B00"/>
    <w:rsid w:val="004F4B99"/>
    <w:rsid w:val="004F4D20"/>
    <w:rsid w:val="004F4D59"/>
    <w:rsid w:val="004F5091"/>
    <w:rsid w:val="004F50B8"/>
    <w:rsid w:val="004F532A"/>
    <w:rsid w:val="004F5C6B"/>
    <w:rsid w:val="004F62A6"/>
    <w:rsid w:val="004F690E"/>
    <w:rsid w:val="004F7185"/>
    <w:rsid w:val="004F73CC"/>
    <w:rsid w:val="004F743F"/>
    <w:rsid w:val="004F7570"/>
    <w:rsid w:val="004F7732"/>
    <w:rsid w:val="004F7F98"/>
    <w:rsid w:val="004F7FB9"/>
    <w:rsid w:val="005001DC"/>
    <w:rsid w:val="0050054F"/>
    <w:rsid w:val="00500EDB"/>
    <w:rsid w:val="00501055"/>
    <w:rsid w:val="00501383"/>
    <w:rsid w:val="005014CE"/>
    <w:rsid w:val="00501DB2"/>
    <w:rsid w:val="00502288"/>
    <w:rsid w:val="00502588"/>
    <w:rsid w:val="00502760"/>
    <w:rsid w:val="0050289F"/>
    <w:rsid w:val="00502A38"/>
    <w:rsid w:val="005031D7"/>
    <w:rsid w:val="00503770"/>
    <w:rsid w:val="00503C43"/>
    <w:rsid w:val="00503D67"/>
    <w:rsid w:val="0050487E"/>
    <w:rsid w:val="00504BC6"/>
    <w:rsid w:val="0050521C"/>
    <w:rsid w:val="00505FA9"/>
    <w:rsid w:val="00506371"/>
    <w:rsid w:val="005063A0"/>
    <w:rsid w:val="0050661A"/>
    <w:rsid w:val="005066C5"/>
    <w:rsid w:val="00506FCD"/>
    <w:rsid w:val="005070F8"/>
    <w:rsid w:val="00507132"/>
    <w:rsid w:val="0050747F"/>
    <w:rsid w:val="0050758F"/>
    <w:rsid w:val="005078B9"/>
    <w:rsid w:val="005079C6"/>
    <w:rsid w:val="00507BA1"/>
    <w:rsid w:val="00507DC0"/>
    <w:rsid w:val="00507DFD"/>
    <w:rsid w:val="00510692"/>
    <w:rsid w:val="005106B4"/>
    <w:rsid w:val="00510A05"/>
    <w:rsid w:val="00510E5C"/>
    <w:rsid w:val="00511489"/>
    <w:rsid w:val="005116E4"/>
    <w:rsid w:val="005116F5"/>
    <w:rsid w:val="00511A8D"/>
    <w:rsid w:val="00512670"/>
    <w:rsid w:val="0051277D"/>
    <w:rsid w:val="00512D3A"/>
    <w:rsid w:val="00512EF6"/>
    <w:rsid w:val="00512F52"/>
    <w:rsid w:val="0051340D"/>
    <w:rsid w:val="005135CC"/>
    <w:rsid w:val="00513D8A"/>
    <w:rsid w:val="00513E63"/>
    <w:rsid w:val="00513F06"/>
    <w:rsid w:val="00514121"/>
    <w:rsid w:val="005145DD"/>
    <w:rsid w:val="005147C7"/>
    <w:rsid w:val="00514890"/>
    <w:rsid w:val="00514DA0"/>
    <w:rsid w:val="00514F08"/>
    <w:rsid w:val="0051500B"/>
    <w:rsid w:val="005150C9"/>
    <w:rsid w:val="005155BC"/>
    <w:rsid w:val="00515F61"/>
    <w:rsid w:val="005164C6"/>
    <w:rsid w:val="0051656F"/>
    <w:rsid w:val="00516682"/>
    <w:rsid w:val="005166E6"/>
    <w:rsid w:val="005167CB"/>
    <w:rsid w:val="00516F76"/>
    <w:rsid w:val="005175CA"/>
    <w:rsid w:val="005200F1"/>
    <w:rsid w:val="0052020D"/>
    <w:rsid w:val="005204C1"/>
    <w:rsid w:val="0052072C"/>
    <w:rsid w:val="00520C34"/>
    <w:rsid w:val="0052102B"/>
    <w:rsid w:val="005215E3"/>
    <w:rsid w:val="00521A83"/>
    <w:rsid w:val="00521D32"/>
    <w:rsid w:val="00522799"/>
    <w:rsid w:val="00522A16"/>
    <w:rsid w:val="00522A26"/>
    <w:rsid w:val="00522BE5"/>
    <w:rsid w:val="005231B0"/>
    <w:rsid w:val="0052348D"/>
    <w:rsid w:val="00523577"/>
    <w:rsid w:val="00523676"/>
    <w:rsid w:val="005238C3"/>
    <w:rsid w:val="00523CA3"/>
    <w:rsid w:val="00523EC8"/>
    <w:rsid w:val="00524228"/>
    <w:rsid w:val="00524A90"/>
    <w:rsid w:val="00524F73"/>
    <w:rsid w:val="00524FAE"/>
    <w:rsid w:val="0052574D"/>
    <w:rsid w:val="0052640E"/>
    <w:rsid w:val="00526809"/>
    <w:rsid w:val="00526864"/>
    <w:rsid w:val="00526BEA"/>
    <w:rsid w:val="00526D52"/>
    <w:rsid w:val="00527003"/>
    <w:rsid w:val="005270F4"/>
    <w:rsid w:val="00527D9C"/>
    <w:rsid w:val="00527FF2"/>
    <w:rsid w:val="0053068D"/>
    <w:rsid w:val="005306A2"/>
    <w:rsid w:val="005307BE"/>
    <w:rsid w:val="00530C61"/>
    <w:rsid w:val="005319AE"/>
    <w:rsid w:val="00531A47"/>
    <w:rsid w:val="00532053"/>
    <w:rsid w:val="005328D6"/>
    <w:rsid w:val="00533532"/>
    <w:rsid w:val="00533775"/>
    <w:rsid w:val="00534588"/>
    <w:rsid w:val="00534868"/>
    <w:rsid w:val="00534D24"/>
    <w:rsid w:val="00535428"/>
    <w:rsid w:val="00535818"/>
    <w:rsid w:val="00535851"/>
    <w:rsid w:val="00535965"/>
    <w:rsid w:val="00535BC4"/>
    <w:rsid w:val="00536CE5"/>
    <w:rsid w:val="00536E3C"/>
    <w:rsid w:val="0053711B"/>
    <w:rsid w:val="0053719D"/>
    <w:rsid w:val="00537D2F"/>
    <w:rsid w:val="00537F0F"/>
    <w:rsid w:val="00540115"/>
    <w:rsid w:val="00540185"/>
    <w:rsid w:val="0054072E"/>
    <w:rsid w:val="0054086E"/>
    <w:rsid w:val="0054157F"/>
    <w:rsid w:val="005418E8"/>
    <w:rsid w:val="00541AE3"/>
    <w:rsid w:val="00541BB7"/>
    <w:rsid w:val="0054234C"/>
    <w:rsid w:val="0054286F"/>
    <w:rsid w:val="00542CE4"/>
    <w:rsid w:val="00543226"/>
    <w:rsid w:val="00543D5D"/>
    <w:rsid w:val="00544423"/>
    <w:rsid w:val="00544938"/>
    <w:rsid w:val="0054499B"/>
    <w:rsid w:val="0054514A"/>
    <w:rsid w:val="00545EF5"/>
    <w:rsid w:val="00546185"/>
    <w:rsid w:val="005463B1"/>
    <w:rsid w:val="0054693F"/>
    <w:rsid w:val="00546A0A"/>
    <w:rsid w:val="0054706D"/>
    <w:rsid w:val="0054744C"/>
    <w:rsid w:val="005475CA"/>
    <w:rsid w:val="005479F3"/>
    <w:rsid w:val="0055026D"/>
    <w:rsid w:val="0055077C"/>
    <w:rsid w:val="0055090D"/>
    <w:rsid w:val="00550E62"/>
    <w:rsid w:val="00550FD4"/>
    <w:rsid w:val="005513FF"/>
    <w:rsid w:val="005516F0"/>
    <w:rsid w:val="005519F4"/>
    <w:rsid w:val="00551DB9"/>
    <w:rsid w:val="00552078"/>
    <w:rsid w:val="0055253E"/>
    <w:rsid w:val="005525AB"/>
    <w:rsid w:val="00552BAB"/>
    <w:rsid w:val="00552CDB"/>
    <w:rsid w:val="0055302E"/>
    <w:rsid w:val="00553250"/>
    <w:rsid w:val="00553251"/>
    <w:rsid w:val="005533AB"/>
    <w:rsid w:val="00553D6C"/>
    <w:rsid w:val="00553F69"/>
    <w:rsid w:val="005541BF"/>
    <w:rsid w:val="00554485"/>
    <w:rsid w:val="00554A4D"/>
    <w:rsid w:val="005551D9"/>
    <w:rsid w:val="0055540E"/>
    <w:rsid w:val="00556208"/>
    <w:rsid w:val="0055700A"/>
    <w:rsid w:val="0055736B"/>
    <w:rsid w:val="005576A3"/>
    <w:rsid w:val="0055784E"/>
    <w:rsid w:val="00557B62"/>
    <w:rsid w:val="00557E94"/>
    <w:rsid w:val="00560063"/>
    <w:rsid w:val="0056039E"/>
    <w:rsid w:val="00562145"/>
    <w:rsid w:val="00562C2C"/>
    <w:rsid w:val="00562E21"/>
    <w:rsid w:val="00563173"/>
    <w:rsid w:val="005635BA"/>
    <w:rsid w:val="00563A4D"/>
    <w:rsid w:val="00563D81"/>
    <w:rsid w:val="00563E9E"/>
    <w:rsid w:val="00564229"/>
    <w:rsid w:val="005643B6"/>
    <w:rsid w:val="005643BD"/>
    <w:rsid w:val="0056440A"/>
    <w:rsid w:val="00564A8E"/>
    <w:rsid w:val="005652D4"/>
    <w:rsid w:val="005656A3"/>
    <w:rsid w:val="00565F89"/>
    <w:rsid w:val="0056609A"/>
    <w:rsid w:val="0056662F"/>
    <w:rsid w:val="00566681"/>
    <w:rsid w:val="00566E9E"/>
    <w:rsid w:val="00567168"/>
    <w:rsid w:val="005673F9"/>
    <w:rsid w:val="00567582"/>
    <w:rsid w:val="005700EA"/>
    <w:rsid w:val="005702AD"/>
    <w:rsid w:val="0057058F"/>
    <w:rsid w:val="00570648"/>
    <w:rsid w:val="00570A4A"/>
    <w:rsid w:val="00570DF9"/>
    <w:rsid w:val="00570E41"/>
    <w:rsid w:val="0057131F"/>
    <w:rsid w:val="005719A7"/>
    <w:rsid w:val="00571AA5"/>
    <w:rsid w:val="00571DB4"/>
    <w:rsid w:val="00571FA4"/>
    <w:rsid w:val="0057260D"/>
    <w:rsid w:val="00572737"/>
    <w:rsid w:val="00572D3F"/>
    <w:rsid w:val="005731FD"/>
    <w:rsid w:val="00573432"/>
    <w:rsid w:val="00574134"/>
    <w:rsid w:val="00574710"/>
    <w:rsid w:val="00574A3A"/>
    <w:rsid w:val="00575220"/>
    <w:rsid w:val="00575919"/>
    <w:rsid w:val="00575BFD"/>
    <w:rsid w:val="00575D2D"/>
    <w:rsid w:val="00575FBA"/>
    <w:rsid w:val="00576954"/>
    <w:rsid w:val="005769AD"/>
    <w:rsid w:val="005773D1"/>
    <w:rsid w:val="00577B30"/>
    <w:rsid w:val="00577B6A"/>
    <w:rsid w:val="00577BAE"/>
    <w:rsid w:val="00577D7A"/>
    <w:rsid w:val="00577E21"/>
    <w:rsid w:val="005803BB"/>
    <w:rsid w:val="005806FB"/>
    <w:rsid w:val="00580802"/>
    <w:rsid w:val="00580A2B"/>
    <w:rsid w:val="00580DA5"/>
    <w:rsid w:val="005811C4"/>
    <w:rsid w:val="005813E8"/>
    <w:rsid w:val="005814F2"/>
    <w:rsid w:val="0058164E"/>
    <w:rsid w:val="0058178A"/>
    <w:rsid w:val="00581C6E"/>
    <w:rsid w:val="00581F7F"/>
    <w:rsid w:val="00582721"/>
    <w:rsid w:val="00582837"/>
    <w:rsid w:val="005828B6"/>
    <w:rsid w:val="00582F95"/>
    <w:rsid w:val="0058308A"/>
    <w:rsid w:val="00583204"/>
    <w:rsid w:val="00583391"/>
    <w:rsid w:val="005833C3"/>
    <w:rsid w:val="00583D0C"/>
    <w:rsid w:val="00584280"/>
    <w:rsid w:val="005844E7"/>
    <w:rsid w:val="00584872"/>
    <w:rsid w:val="00584A65"/>
    <w:rsid w:val="00584AFE"/>
    <w:rsid w:val="00584B2C"/>
    <w:rsid w:val="00584C56"/>
    <w:rsid w:val="00584DF3"/>
    <w:rsid w:val="005851CA"/>
    <w:rsid w:val="00585AFB"/>
    <w:rsid w:val="00585C9C"/>
    <w:rsid w:val="005862B2"/>
    <w:rsid w:val="00586E99"/>
    <w:rsid w:val="00586F63"/>
    <w:rsid w:val="005874CE"/>
    <w:rsid w:val="00587775"/>
    <w:rsid w:val="005879CB"/>
    <w:rsid w:val="00587E93"/>
    <w:rsid w:val="00590379"/>
    <w:rsid w:val="0059070B"/>
    <w:rsid w:val="005911E0"/>
    <w:rsid w:val="005913C6"/>
    <w:rsid w:val="005913F9"/>
    <w:rsid w:val="0059153D"/>
    <w:rsid w:val="00591547"/>
    <w:rsid w:val="005915E6"/>
    <w:rsid w:val="0059161A"/>
    <w:rsid w:val="005919F6"/>
    <w:rsid w:val="00591FAF"/>
    <w:rsid w:val="00591FBF"/>
    <w:rsid w:val="00592132"/>
    <w:rsid w:val="0059216A"/>
    <w:rsid w:val="00592708"/>
    <w:rsid w:val="00592B40"/>
    <w:rsid w:val="00592D13"/>
    <w:rsid w:val="00592F00"/>
    <w:rsid w:val="00593537"/>
    <w:rsid w:val="0059377F"/>
    <w:rsid w:val="00593FCB"/>
    <w:rsid w:val="005944B2"/>
    <w:rsid w:val="0059463D"/>
    <w:rsid w:val="00594832"/>
    <w:rsid w:val="00594F14"/>
    <w:rsid w:val="0059503F"/>
    <w:rsid w:val="00595046"/>
    <w:rsid w:val="005958C1"/>
    <w:rsid w:val="00595973"/>
    <w:rsid w:val="00596220"/>
    <w:rsid w:val="005964AB"/>
    <w:rsid w:val="00596826"/>
    <w:rsid w:val="00596D2C"/>
    <w:rsid w:val="00597185"/>
    <w:rsid w:val="00597E10"/>
    <w:rsid w:val="00597E36"/>
    <w:rsid w:val="005A0212"/>
    <w:rsid w:val="005A0A89"/>
    <w:rsid w:val="005A0CB7"/>
    <w:rsid w:val="005A0E8A"/>
    <w:rsid w:val="005A139E"/>
    <w:rsid w:val="005A142A"/>
    <w:rsid w:val="005A1482"/>
    <w:rsid w:val="005A1842"/>
    <w:rsid w:val="005A1E5F"/>
    <w:rsid w:val="005A1F69"/>
    <w:rsid w:val="005A24D2"/>
    <w:rsid w:val="005A2844"/>
    <w:rsid w:val="005A2A36"/>
    <w:rsid w:val="005A2A95"/>
    <w:rsid w:val="005A2DA9"/>
    <w:rsid w:val="005A30A8"/>
    <w:rsid w:val="005A3137"/>
    <w:rsid w:val="005A3168"/>
    <w:rsid w:val="005A357C"/>
    <w:rsid w:val="005A35E6"/>
    <w:rsid w:val="005A36F7"/>
    <w:rsid w:val="005A40D6"/>
    <w:rsid w:val="005A492A"/>
    <w:rsid w:val="005A4C04"/>
    <w:rsid w:val="005A4C51"/>
    <w:rsid w:val="005A5410"/>
    <w:rsid w:val="005A6469"/>
    <w:rsid w:val="005A64EC"/>
    <w:rsid w:val="005A67C9"/>
    <w:rsid w:val="005A6F02"/>
    <w:rsid w:val="005A7196"/>
    <w:rsid w:val="005A74BC"/>
    <w:rsid w:val="005A74DA"/>
    <w:rsid w:val="005A750B"/>
    <w:rsid w:val="005A7664"/>
    <w:rsid w:val="005A773B"/>
    <w:rsid w:val="005A7C72"/>
    <w:rsid w:val="005A7D85"/>
    <w:rsid w:val="005B0558"/>
    <w:rsid w:val="005B06DC"/>
    <w:rsid w:val="005B088D"/>
    <w:rsid w:val="005B0914"/>
    <w:rsid w:val="005B0927"/>
    <w:rsid w:val="005B0C5C"/>
    <w:rsid w:val="005B0F9B"/>
    <w:rsid w:val="005B1351"/>
    <w:rsid w:val="005B1391"/>
    <w:rsid w:val="005B2018"/>
    <w:rsid w:val="005B2FE7"/>
    <w:rsid w:val="005B451B"/>
    <w:rsid w:val="005B454C"/>
    <w:rsid w:val="005B48EB"/>
    <w:rsid w:val="005B4A54"/>
    <w:rsid w:val="005B4AFC"/>
    <w:rsid w:val="005B509E"/>
    <w:rsid w:val="005B516E"/>
    <w:rsid w:val="005B532C"/>
    <w:rsid w:val="005B542A"/>
    <w:rsid w:val="005B57D8"/>
    <w:rsid w:val="005B6EFB"/>
    <w:rsid w:val="005B72CC"/>
    <w:rsid w:val="005B7673"/>
    <w:rsid w:val="005B796B"/>
    <w:rsid w:val="005C04BE"/>
    <w:rsid w:val="005C090F"/>
    <w:rsid w:val="005C10E6"/>
    <w:rsid w:val="005C11B0"/>
    <w:rsid w:val="005C18FC"/>
    <w:rsid w:val="005C1BC2"/>
    <w:rsid w:val="005C1CA7"/>
    <w:rsid w:val="005C2609"/>
    <w:rsid w:val="005C262F"/>
    <w:rsid w:val="005C27D0"/>
    <w:rsid w:val="005C2893"/>
    <w:rsid w:val="005C2B36"/>
    <w:rsid w:val="005C2F88"/>
    <w:rsid w:val="005C3257"/>
    <w:rsid w:val="005C3434"/>
    <w:rsid w:val="005C348C"/>
    <w:rsid w:val="005C3B56"/>
    <w:rsid w:val="005C41A2"/>
    <w:rsid w:val="005C4261"/>
    <w:rsid w:val="005C4337"/>
    <w:rsid w:val="005C4D21"/>
    <w:rsid w:val="005C4FAB"/>
    <w:rsid w:val="005C54B6"/>
    <w:rsid w:val="005C5719"/>
    <w:rsid w:val="005C5935"/>
    <w:rsid w:val="005C5C27"/>
    <w:rsid w:val="005C5C5B"/>
    <w:rsid w:val="005C669C"/>
    <w:rsid w:val="005C677F"/>
    <w:rsid w:val="005C6867"/>
    <w:rsid w:val="005C69C5"/>
    <w:rsid w:val="005C6AB6"/>
    <w:rsid w:val="005C6C3A"/>
    <w:rsid w:val="005C6E2C"/>
    <w:rsid w:val="005C73D7"/>
    <w:rsid w:val="005C77EA"/>
    <w:rsid w:val="005D01E3"/>
    <w:rsid w:val="005D04CD"/>
    <w:rsid w:val="005D058F"/>
    <w:rsid w:val="005D0CAA"/>
    <w:rsid w:val="005D1593"/>
    <w:rsid w:val="005D18EC"/>
    <w:rsid w:val="005D1BBA"/>
    <w:rsid w:val="005D2032"/>
    <w:rsid w:val="005D21D1"/>
    <w:rsid w:val="005D244B"/>
    <w:rsid w:val="005D31F8"/>
    <w:rsid w:val="005D3204"/>
    <w:rsid w:val="005D38F4"/>
    <w:rsid w:val="005D4471"/>
    <w:rsid w:val="005D4479"/>
    <w:rsid w:val="005D4729"/>
    <w:rsid w:val="005D4A23"/>
    <w:rsid w:val="005D4D33"/>
    <w:rsid w:val="005D50A5"/>
    <w:rsid w:val="005D535E"/>
    <w:rsid w:val="005D53FB"/>
    <w:rsid w:val="005D547E"/>
    <w:rsid w:val="005D5978"/>
    <w:rsid w:val="005D5AB0"/>
    <w:rsid w:val="005D60B8"/>
    <w:rsid w:val="005D6618"/>
    <w:rsid w:val="005D681D"/>
    <w:rsid w:val="005D6C80"/>
    <w:rsid w:val="005D7286"/>
    <w:rsid w:val="005D7919"/>
    <w:rsid w:val="005D7CE0"/>
    <w:rsid w:val="005E01BB"/>
    <w:rsid w:val="005E0A82"/>
    <w:rsid w:val="005E17A3"/>
    <w:rsid w:val="005E1DAA"/>
    <w:rsid w:val="005E1E2D"/>
    <w:rsid w:val="005E2EB4"/>
    <w:rsid w:val="005E2F0E"/>
    <w:rsid w:val="005E34B2"/>
    <w:rsid w:val="005E364E"/>
    <w:rsid w:val="005E38D6"/>
    <w:rsid w:val="005E3930"/>
    <w:rsid w:val="005E3E2A"/>
    <w:rsid w:val="005E3E3F"/>
    <w:rsid w:val="005E3E56"/>
    <w:rsid w:val="005E4088"/>
    <w:rsid w:val="005E4DA6"/>
    <w:rsid w:val="005E5059"/>
    <w:rsid w:val="005E50DE"/>
    <w:rsid w:val="005E574A"/>
    <w:rsid w:val="005E5A1B"/>
    <w:rsid w:val="005E5CF5"/>
    <w:rsid w:val="005E6472"/>
    <w:rsid w:val="005E68BF"/>
    <w:rsid w:val="005E69E7"/>
    <w:rsid w:val="005E6E5F"/>
    <w:rsid w:val="005E73BA"/>
    <w:rsid w:val="005E744D"/>
    <w:rsid w:val="005E7B56"/>
    <w:rsid w:val="005F08BE"/>
    <w:rsid w:val="005F0AF3"/>
    <w:rsid w:val="005F0BD1"/>
    <w:rsid w:val="005F0F4E"/>
    <w:rsid w:val="005F0FBA"/>
    <w:rsid w:val="005F1350"/>
    <w:rsid w:val="005F16E0"/>
    <w:rsid w:val="005F18A4"/>
    <w:rsid w:val="005F19EA"/>
    <w:rsid w:val="005F1AFE"/>
    <w:rsid w:val="005F1D96"/>
    <w:rsid w:val="005F20BD"/>
    <w:rsid w:val="005F211E"/>
    <w:rsid w:val="005F2308"/>
    <w:rsid w:val="005F2BD3"/>
    <w:rsid w:val="005F2CB6"/>
    <w:rsid w:val="005F2D61"/>
    <w:rsid w:val="005F2E30"/>
    <w:rsid w:val="005F32DD"/>
    <w:rsid w:val="005F34C7"/>
    <w:rsid w:val="005F3562"/>
    <w:rsid w:val="005F368F"/>
    <w:rsid w:val="005F383B"/>
    <w:rsid w:val="005F3BD2"/>
    <w:rsid w:val="005F3C1A"/>
    <w:rsid w:val="005F3CFB"/>
    <w:rsid w:val="005F3D95"/>
    <w:rsid w:val="005F4181"/>
    <w:rsid w:val="005F4AB5"/>
    <w:rsid w:val="005F5553"/>
    <w:rsid w:val="005F55B4"/>
    <w:rsid w:val="005F5740"/>
    <w:rsid w:val="005F6171"/>
    <w:rsid w:val="005F6515"/>
    <w:rsid w:val="005F6E7E"/>
    <w:rsid w:val="005F6F11"/>
    <w:rsid w:val="005F7264"/>
    <w:rsid w:val="005F7758"/>
    <w:rsid w:val="005F77B4"/>
    <w:rsid w:val="005F7C26"/>
    <w:rsid w:val="006004A3"/>
    <w:rsid w:val="00600729"/>
    <w:rsid w:val="00600D36"/>
    <w:rsid w:val="00600DDC"/>
    <w:rsid w:val="00600F9B"/>
    <w:rsid w:val="00600FDE"/>
    <w:rsid w:val="006010BA"/>
    <w:rsid w:val="00601667"/>
    <w:rsid w:val="00601738"/>
    <w:rsid w:val="00601D01"/>
    <w:rsid w:val="00602836"/>
    <w:rsid w:val="00602D26"/>
    <w:rsid w:val="0060311A"/>
    <w:rsid w:val="00603774"/>
    <w:rsid w:val="00603CD6"/>
    <w:rsid w:val="006040A4"/>
    <w:rsid w:val="00604194"/>
    <w:rsid w:val="006041F8"/>
    <w:rsid w:val="00604859"/>
    <w:rsid w:val="006048CF"/>
    <w:rsid w:val="006052D0"/>
    <w:rsid w:val="00605DAE"/>
    <w:rsid w:val="00605F0C"/>
    <w:rsid w:val="00606460"/>
    <w:rsid w:val="006064AE"/>
    <w:rsid w:val="006065B9"/>
    <w:rsid w:val="006066AB"/>
    <w:rsid w:val="00606A69"/>
    <w:rsid w:val="00606DA6"/>
    <w:rsid w:val="006071A3"/>
    <w:rsid w:val="006072CC"/>
    <w:rsid w:val="006073C8"/>
    <w:rsid w:val="00610488"/>
    <w:rsid w:val="00610A0E"/>
    <w:rsid w:val="00610FBB"/>
    <w:rsid w:val="006110B3"/>
    <w:rsid w:val="006115BC"/>
    <w:rsid w:val="00611609"/>
    <w:rsid w:val="00611832"/>
    <w:rsid w:val="00611B05"/>
    <w:rsid w:val="00611CE7"/>
    <w:rsid w:val="00611E4C"/>
    <w:rsid w:val="00611F1E"/>
    <w:rsid w:val="00612472"/>
    <w:rsid w:val="006127FE"/>
    <w:rsid w:val="0061286C"/>
    <w:rsid w:val="006139E5"/>
    <w:rsid w:val="00613E20"/>
    <w:rsid w:val="00614102"/>
    <w:rsid w:val="0061461D"/>
    <w:rsid w:val="006148C0"/>
    <w:rsid w:val="00615641"/>
    <w:rsid w:val="00615653"/>
    <w:rsid w:val="0061599B"/>
    <w:rsid w:val="00615D3B"/>
    <w:rsid w:val="00616043"/>
    <w:rsid w:val="006161F5"/>
    <w:rsid w:val="0061676B"/>
    <w:rsid w:val="0061691E"/>
    <w:rsid w:val="00616A00"/>
    <w:rsid w:val="006171C6"/>
    <w:rsid w:val="00617AC8"/>
    <w:rsid w:val="00620119"/>
    <w:rsid w:val="00620398"/>
    <w:rsid w:val="0062046C"/>
    <w:rsid w:val="0062074D"/>
    <w:rsid w:val="00620ABD"/>
    <w:rsid w:val="00620BDB"/>
    <w:rsid w:val="00620CE6"/>
    <w:rsid w:val="00620D9F"/>
    <w:rsid w:val="00620E9A"/>
    <w:rsid w:val="00621273"/>
    <w:rsid w:val="00621306"/>
    <w:rsid w:val="0062147A"/>
    <w:rsid w:val="00621977"/>
    <w:rsid w:val="006224B2"/>
    <w:rsid w:val="00622AAB"/>
    <w:rsid w:val="00623001"/>
    <w:rsid w:val="00623637"/>
    <w:rsid w:val="006238D8"/>
    <w:rsid w:val="0062394B"/>
    <w:rsid w:val="00623E1E"/>
    <w:rsid w:val="006241D8"/>
    <w:rsid w:val="00624558"/>
    <w:rsid w:val="00624B86"/>
    <w:rsid w:val="00624C41"/>
    <w:rsid w:val="00624CBE"/>
    <w:rsid w:val="00625608"/>
    <w:rsid w:val="0062562B"/>
    <w:rsid w:val="006257E0"/>
    <w:rsid w:val="00625C41"/>
    <w:rsid w:val="00625E2B"/>
    <w:rsid w:val="0062636B"/>
    <w:rsid w:val="006266EE"/>
    <w:rsid w:val="00626E1E"/>
    <w:rsid w:val="006272F8"/>
    <w:rsid w:val="0062730F"/>
    <w:rsid w:val="00627457"/>
    <w:rsid w:val="00627793"/>
    <w:rsid w:val="00627BE3"/>
    <w:rsid w:val="00627D6C"/>
    <w:rsid w:val="0063005D"/>
    <w:rsid w:val="0063062E"/>
    <w:rsid w:val="0063072A"/>
    <w:rsid w:val="00630947"/>
    <w:rsid w:val="0063097F"/>
    <w:rsid w:val="00631487"/>
    <w:rsid w:val="00632590"/>
    <w:rsid w:val="00632593"/>
    <w:rsid w:val="00632C1C"/>
    <w:rsid w:val="00632E87"/>
    <w:rsid w:val="0063304E"/>
    <w:rsid w:val="006335AC"/>
    <w:rsid w:val="00633CEB"/>
    <w:rsid w:val="00634321"/>
    <w:rsid w:val="00634609"/>
    <w:rsid w:val="006346D7"/>
    <w:rsid w:val="00634C51"/>
    <w:rsid w:val="006352E3"/>
    <w:rsid w:val="00635B5B"/>
    <w:rsid w:val="00635C35"/>
    <w:rsid w:val="00635CB6"/>
    <w:rsid w:val="00635D73"/>
    <w:rsid w:val="00635DC2"/>
    <w:rsid w:val="00636212"/>
    <w:rsid w:val="0063631F"/>
    <w:rsid w:val="006366F2"/>
    <w:rsid w:val="00636943"/>
    <w:rsid w:val="006369A3"/>
    <w:rsid w:val="006369AF"/>
    <w:rsid w:val="00636A1C"/>
    <w:rsid w:val="00636F9A"/>
    <w:rsid w:val="0063714B"/>
    <w:rsid w:val="00637994"/>
    <w:rsid w:val="00637A2F"/>
    <w:rsid w:val="00637F41"/>
    <w:rsid w:val="006401DF"/>
    <w:rsid w:val="00640731"/>
    <w:rsid w:val="006408D0"/>
    <w:rsid w:val="006408EB"/>
    <w:rsid w:val="00640B73"/>
    <w:rsid w:val="0064110F"/>
    <w:rsid w:val="00641650"/>
    <w:rsid w:val="00641C05"/>
    <w:rsid w:val="00641C2E"/>
    <w:rsid w:val="00641F0E"/>
    <w:rsid w:val="00642083"/>
    <w:rsid w:val="0064256F"/>
    <w:rsid w:val="0064261B"/>
    <w:rsid w:val="00642BDF"/>
    <w:rsid w:val="00642F5C"/>
    <w:rsid w:val="00642FE7"/>
    <w:rsid w:val="00643312"/>
    <w:rsid w:val="006444AD"/>
    <w:rsid w:val="0064460B"/>
    <w:rsid w:val="006447CD"/>
    <w:rsid w:val="00644EC3"/>
    <w:rsid w:val="0064534F"/>
    <w:rsid w:val="00645BA4"/>
    <w:rsid w:val="006461FE"/>
    <w:rsid w:val="0064658F"/>
    <w:rsid w:val="00646F01"/>
    <w:rsid w:val="00647407"/>
    <w:rsid w:val="00647E84"/>
    <w:rsid w:val="0065002D"/>
    <w:rsid w:val="006500A6"/>
    <w:rsid w:val="006506AE"/>
    <w:rsid w:val="00650819"/>
    <w:rsid w:val="006508C1"/>
    <w:rsid w:val="00650C3D"/>
    <w:rsid w:val="00651516"/>
    <w:rsid w:val="006516C1"/>
    <w:rsid w:val="00651A00"/>
    <w:rsid w:val="00651AA0"/>
    <w:rsid w:val="00651EE4"/>
    <w:rsid w:val="00652D9C"/>
    <w:rsid w:val="0065362D"/>
    <w:rsid w:val="00653848"/>
    <w:rsid w:val="00653B74"/>
    <w:rsid w:val="00653DEA"/>
    <w:rsid w:val="00654503"/>
    <w:rsid w:val="00654A51"/>
    <w:rsid w:val="00654F2F"/>
    <w:rsid w:val="00655017"/>
    <w:rsid w:val="006557EF"/>
    <w:rsid w:val="006559EE"/>
    <w:rsid w:val="00655C5C"/>
    <w:rsid w:val="00655E08"/>
    <w:rsid w:val="0065608D"/>
    <w:rsid w:val="006560A5"/>
    <w:rsid w:val="00656F24"/>
    <w:rsid w:val="0065702B"/>
    <w:rsid w:val="006572BC"/>
    <w:rsid w:val="00657327"/>
    <w:rsid w:val="00657549"/>
    <w:rsid w:val="006601F9"/>
    <w:rsid w:val="0066047A"/>
    <w:rsid w:val="00660D45"/>
    <w:rsid w:val="0066167C"/>
    <w:rsid w:val="006622B6"/>
    <w:rsid w:val="00662560"/>
    <w:rsid w:val="006626FE"/>
    <w:rsid w:val="00662A0C"/>
    <w:rsid w:val="0066312A"/>
    <w:rsid w:val="00663433"/>
    <w:rsid w:val="00663794"/>
    <w:rsid w:val="0066388A"/>
    <w:rsid w:val="00663946"/>
    <w:rsid w:val="00663BCC"/>
    <w:rsid w:val="0066438F"/>
    <w:rsid w:val="00664BE8"/>
    <w:rsid w:val="00664E72"/>
    <w:rsid w:val="00664EF4"/>
    <w:rsid w:val="00664F70"/>
    <w:rsid w:val="0066558F"/>
    <w:rsid w:val="006659D6"/>
    <w:rsid w:val="00665AFA"/>
    <w:rsid w:val="00665E6E"/>
    <w:rsid w:val="0066653A"/>
    <w:rsid w:val="006665EA"/>
    <w:rsid w:val="0066693B"/>
    <w:rsid w:val="00666DD3"/>
    <w:rsid w:val="00667899"/>
    <w:rsid w:val="00667D1A"/>
    <w:rsid w:val="00667D38"/>
    <w:rsid w:val="00667E90"/>
    <w:rsid w:val="00670108"/>
    <w:rsid w:val="006707DF"/>
    <w:rsid w:val="0067090E"/>
    <w:rsid w:val="006709A9"/>
    <w:rsid w:val="00670B40"/>
    <w:rsid w:val="00670B41"/>
    <w:rsid w:val="00670D27"/>
    <w:rsid w:val="00671215"/>
    <w:rsid w:val="0067143A"/>
    <w:rsid w:val="0067183D"/>
    <w:rsid w:val="0067196D"/>
    <w:rsid w:val="0067206E"/>
    <w:rsid w:val="006721F6"/>
    <w:rsid w:val="006721FE"/>
    <w:rsid w:val="00672310"/>
    <w:rsid w:val="006725A4"/>
    <w:rsid w:val="00672617"/>
    <w:rsid w:val="00672FBD"/>
    <w:rsid w:val="0067321B"/>
    <w:rsid w:val="00673328"/>
    <w:rsid w:val="0067337B"/>
    <w:rsid w:val="006735C6"/>
    <w:rsid w:val="00673781"/>
    <w:rsid w:val="00673C33"/>
    <w:rsid w:val="00673D4B"/>
    <w:rsid w:val="00674066"/>
    <w:rsid w:val="00674ED4"/>
    <w:rsid w:val="00675617"/>
    <w:rsid w:val="006757DA"/>
    <w:rsid w:val="006759FF"/>
    <w:rsid w:val="00675A78"/>
    <w:rsid w:val="00675A91"/>
    <w:rsid w:val="00676912"/>
    <w:rsid w:val="00676967"/>
    <w:rsid w:val="00676E23"/>
    <w:rsid w:val="00676E89"/>
    <w:rsid w:val="00676F18"/>
    <w:rsid w:val="00676F9E"/>
    <w:rsid w:val="0067706A"/>
    <w:rsid w:val="00677C36"/>
    <w:rsid w:val="00677D7F"/>
    <w:rsid w:val="00677EE3"/>
    <w:rsid w:val="006807C4"/>
    <w:rsid w:val="00680922"/>
    <w:rsid w:val="006809DC"/>
    <w:rsid w:val="00680BF7"/>
    <w:rsid w:val="00680D3C"/>
    <w:rsid w:val="006819A9"/>
    <w:rsid w:val="006819C2"/>
    <w:rsid w:val="0068208A"/>
    <w:rsid w:val="00682240"/>
    <w:rsid w:val="00682690"/>
    <w:rsid w:val="00682A44"/>
    <w:rsid w:val="00682D88"/>
    <w:rsid w:val="00682E76"/>
    <w:rsid w:val="00683187"/>
    <w:rsid w:val="00683357"/>
    <w:rsid w:val="00683480"/>
    <w:rsid w:val="00683589"/>
    <w:rsid w:val="00683767"/>
    <w:rsid w:val="00683801"/>
    <w:rsid w:val="006838F4"/>
    <w:rsid w:val="00683A94"/>
    <w:rsid w:val="00683B00"/>
    <w:rsid w:val="006841D5"/>
    <w:rsid w:val="00684E0C"/>
    <w:rsid w:val="006851E8"/>
    <w:rsid w:val="006852B3"/>
    <w:rsid w:val="00685390"/>
    <w:rsid w:val="0068541C"/>
    <w:rsid w:val="006855FF"/>
    <w:rsid w:val="0068588B"/>
    <w:rsid w:val="00685935"/>
    <w:rsid w:val="006859D9"/>
    <w:rsid w:val="00685A43"/>
    <w:rsid w:val="00685D24"/>
    <w:rsid w:val="006866F2"/>
    <w:rsid w:val="006867B5"/>
    <w:rsid w:val="00686820"/>
    <w:rsid w:val="00686BC5"/>
    <w:rsid w:val="00686C34"/>
    <w:rsid w:val="00686D63"/>
    <w:rsid w:val="00686DE5"/>
    <w:rsid w:val="006873C7"/>
    <w:rsid w:val="006874FF"/>
    <w:rsid w:val="00687581"/>
    <w:rsid w:val="006875B6"/>
    <w:rsid w:val="00687712"/>
    <w:rsid w:val="00687821"/>
    <w:rsid w:val="006878C1"/>
    <w:rsid w:val="00687C4F"/>
    <w:rsid w:val="006900CD"/>
    <w:rsid w:val="00690200"/>
    <w:rsid w:val="006909EA"/>
    <w:rsid w:val="00690A20"/>
    <w:rsid w:val="00690A3F"/>
    <w:rsid w:val="00690D0A"/>
    <w:rsid w:val="00690D27"/>
    <w:rsid w:val="00691088"/>
    <w:rsid w:val="006915E5"/>
    <w:rsid w:val="00691816"/>
    <w:rsid w:val="00691B85"/>
    <w:rsid w:val="00691DA0"/>
    <w:rsid w:val="00691EA1"/>
    <w:rsid w:val="0069231E"/>
    <w:rsid w:val="006924EC"/>
    <w:rsid w:val="006928EB"/>
    <w:rsid w:val="00692AA8"/>
    <w:rsid w:val="00693688"/>
    <w:rsid w:val="0069381C"/>
    <w:rsid w:val="0069383E"/>
    <w:rsid w:val="00693DDA"/>
    <w:rsid w:val="006949B7"/>
    <w:rsid w:val="00694F19"/>
    <w:rsid w:val="00695055"/>
    <w:rsid w:val="0069520F"/>
    <w:rsid w:val="00695210"/>
    <w:rsid w:val="00695976"/>
    <w:rsid w:val="0069618E"/>
    <w:rsid w:val="00696470"/>
    <w:rsid w:val="00696583"/>
    <w:rsid w:val="00696E69"/>
    <w:rsid w:val="00696FB6"/>
    <w:rsid w:val="0069787D"/>
    <w:rsid w:val="00697954"/>
    <w:rsid w:val="00697AA5"/>
    <w:rsid w:val="00697E23"/>
    <w:rsid w:val="006A0591"/>
    <w:rsid w:val="006A0977"/>
    <w:rsid w:val="006A0DBB"/>
    <w:rsid w:val="006A0F6C"/>
    <w:rsid w:val="006A1173"/>
    <w:rsid w:val="006A1514"/>
    <w:rsid w:val="006A151F"/>
    <w:rsid w:val="006A15E2"/>
    <w:rsid w:val="006A271B"/>
    <w:rsid w:val="006A293C"/>
    <w:rsid w:val="006A2B51"/>
    <w:rsid w:val="006A2C99"/>
    <w:rsid w:val="006A30E3"/>
    <w:rsid w:val="006A34AA"/>
    <w:rsid w:val="006A3722"/>
    <w:rsid w:val="006A420F"/>
    <w:rsid w:val="006A464C"/>
    <w:rsid w:val="006A49FA"/>
    <w:rsid w:val="006A5197"/>
    <w:rsid w:val="006A53FC"/>
    <w:rsid w:val="006A565B"/>
    <w:rsid w:val="006A5715"/>
    <w:rsid w:val="006A5819"/>
    <w:rsid w:val="006A58B2"/>
    <w:rsid w:val="006A5A0F"/>
    <w:rsid w:val="006A5B9B"/>
    <w:rsid w:val="006A5C05"/>
    <w:rsid w:val="006A5C27"/>
    <w:rsid w:val="006A5CDA"/>
    <w:rsid w:val="006A5E08"/>
    <w:rsid w:val="006A625E"/>
    <w:rsid w:val="006A6486"/>
    <w:rsid w:val="006A64F4"/>
    <w:rsid w:val="006A698C"/>
    <w:rsid w:val="006A6BD5"/>
    <w:rsid w:val="006A6E34"/>
    <w:rsid w:val="006A73CB"/>
    <w:rsid w:val="006A7E8C"/>
    <w:rsid w:val="006A7F70"/>
    <w:rsid w:val="006B03FB"/>
    <w:rsid w:val="006B048C"/>
    <w:rsid w:val="006B0AA4"/>
    <w:rsid w:val="006B1332"/>
    <w:rsid w:val="006B20EC"/>
    <w:rsid w:val="006B2330"/>
    <w:rsid w:val="006B2C44"/>
    <w:rsid w:val="006B2C8E"/>
    <w:rsid w:val="006B385E"/>
    <w:rsid w:val="006B4B1D"/>
    <w:rsid w:val="006B4B91"/>
    <w:rsid w:val="006B5483"/>
    <w:rsid w:val="006B5CFA"/>
    <w:rsid w:val="006B645B"/>
    <w:rsid w:val="006B66D4"/>
    <w:rsid w:val="006B6C3F"/>
    <w:rsid w:val="006B7074"/>
    <w:rsid w:val="006B719D"/>
    <w:rsid w:val="006C06C2"/>
    <w:rsid w:val="006C1172"/>
    <w:rsid w:val="006C15A7"/>
    <w:rsid w:val="006C1B88"/>
    <w:rsid w:val="006C1C83"/>
    <w:rsid w:val="006C203D"/>
    <w:rsid w:val="006C21F4"/>
    <w:rsid w:val="006C2207"/>
    <w:rsid w:val="006C2443"/>
    <w:rsid w:val="006C2A3B"/>
    <w:rsid w:val="006C315C"/>
    <w:rsid w:val="006C32C1"/>
    <w:rsid w:val="006C335E"/>
    <w:rsid w:val="006C33CB"/>
    <w:rsid w:val="006C3D0A"/>
    <w:rsid w:val="006C3D39"/>
    <w:rsid w:val="006C43E0"/>
    <w:rsid w:val="006C45DA"/>
    <w:rsid w:val="006C4EAA"/>
    <w:rsid w:val="006C59D8"/>
    <w:rsid w:val="006C5A90"/>
    <w:rsid w:val="006C5D2D"/>
    <w:rsid w:val="006C610E"/>
    <w:rsid w:val="006C628B"/>
    <w:rsid w:val="006C6778"/>
    <w:rsid w:val="006C6796"/>
    <w:rsid w:val="006C6F22"/>
    <w:rsid w:val="006C7036"/>
    <w:rsid w:val="006C7386"/>
    <w:rsid w:val="006C762C"/>
    <w:rsid w:val="006C76C8"/>
    <w:rsid w:val="006C770B"/>
    <w:rsid w:val="006C7EAE"/>
    <w:rsid w:val="006D017A"/>
    <w:rsid w:val="006D01C2"/>
    <w:rsid w:val="006D07EF"/>
    <w:rsid w:val="006D0801"/>
    <w:rsid w:val="006D083B"/>
    <w:rsid w:val="006D09F8"/>
    <w:rsid w:val="006D104B"/>
    <w:rsid w:val="006D1076"/>
    <w:rsid w:val="006D1097"/>
    <w:rsid w:val="006D1480"/>
    <w:rsid w:val="006D14C4"/>
    <w:rsid w:val="006D15C2"/>
    <w:rsid w:val="006D15EE"/>
    <w:rsid w:val="006D1B08"/>
    <w:rsid w:val="006D1E58"/>
    <w:rsid w:val="006D223B"/>
    <w:rsid w:val="006D2261"/>
    <w:rsid w:val="006D234B"/>
    <w:rsid w:val="006D2DE7"/>
    <w:rsid w:val="006D3020"/>
    <w:rsid w:val="006D306A"/>
    <w:rsid w:val="006D3200"/>
    <w:rsid w:val="006D35D9"/>
    <w:rsid w:val="006D3C52"/>
    <w:rsid w:val="006D4154"/>
    <w:rsid w:val="006D43B6"/>
    <w:rsid w:val="006D4DBD"/>
    <w:rsid w:val="006D4DC8"/>
    <w:rsid w:val="006D4E1D"/>
    <w:rsid w:val="006D508B"/>
    <w:rsid w:val="006D5701"/>
    <w:rsid w:val="006D6101"/>
    <w:rsid w:val="006D616A"/>
    <w:rsid w:val="006D65E4"/>
    <w:rsid w:val="006D6728"/>
    <w:rsid w:val="006D67A3"/>
    <w:rsid w:val="006D683E"/>
    <w:rsid w:val="006D6869"/>
    <w:rsid w:val="006D6F78"/>
    <w:rsid w:val="006D6FA9"/>
    <w:rsid w:val="006D703C"/>
    <w:rsid w:val="006D7311"/>
    <w:rsid w:val="006D738D"/>
    <w:rsid w:val="006D798C"/>
    <w:rsid w:val="006D7BA7"/>
    <w:rsid w:val="006D7EC7"/>
    <w:rsid w:val="006D7FA0"/>
    <w:rsid w:val="006E004D"/>
    <w:rsid w:val="006E0227"/>
    <w:rsid w:val="006E032A"/>
    <w:rsid w:val="006E0441"/>
    <w:rsid w:val="006E0958"/>
    <w:rsid w:val="006E0FE5"/>
    <w:rsid w:val="006E1086"/>
    <w:rsid w:val="006E1158"/>
    <w:rsid w:val="006E11ED"/>
    <w:rsid w:val="006E1621"/>
    <w:rsid w:val="006E1C19"/>
    <w:rsid w:val="006E1D91"/>
    <w:rsid w:val="006E243A"/>
    <w:rsid w:val="006E2453"/>
    <w:rsid w:val="006E282F"/>
    <w:rsid w:val="006E2B57"/>
    <w:rsid w:val="006E2BF2"/>
    <w:rsid w:val="006E338C"/>
    <w:rsid w:val="006E3FC1"/>
    <w:rsid w:val="006E3FFA"/>
    <w:rsid w:val="006E448B"/>
    <w:rsid w:val="006E4A53"/>
    <w:rsid w:val="006E4E26"/>
    <w:rsid w:val="006E4EF6"/>
    <w:rsid w:val="006E4F7A"/>
    <w:rsid w:val="006E56B5"/>
    <w:rsid w:val="006E57F1"/>
    <w:rsid w:val="006E5E00"/>
    <w:rsid w:val="006E5E6C"/>
    <w:rsid w:val="006E6229"/>
    <w:rsid w:val="006E65EB"/>
    <w:rsid w:val="006E6795"/>
    <w:rsid w:val="006E6F78"/>
    <w:rsid w:val="006E73C6"/>
    <w:rsid w:val="006E774D"/>
    <w:rsid w:val="006E788B"/>
    <w:rsid w:val="006E7B33"/>
    <w:rsid w:val="006E7B8C"/>
    <w:rsid w:val="006E7DBE"/>
    <w:rsid w:val="006F01F5"/>
    <w:rsid w:val="006F040D"/>
    <w:rsid w:val="006F04EA"/>
    <w:rsid w:val="006F0D43"/>
    <w:rsid w:val="006F0D5B"/>
    <w:rsid w:val="006F0F81"/>
    <w:rsid w:val="006F16FE"/>
    <w:rsid w:val="006F1707"/>
    <w:rsid w:val="006F2151"/>
    <w:rsid w:val="006F25B5"/>
    <w:rsid w:val="006F281A"/>
    <w:rsid w:val="006F29AB"/>
    <w:rsid w:val="006F2B32"/>
    <w:rsid w:val="006F2D4D"/>
    <w:rsid w:val="006F2F50"/>
    <w:rsid w:val="006F3007"/>
    <w:rsid w:val="006F303B"/>
    <w:rsid w:val="006F305D"/>
    <w:rsid w:val="006F32D9"/>
    <w:rsid w:val="006F3443"/>
    <w:rsid w:val="006F34C5"/>
    <w:rsid w:val="006F3991"/>
    <w:rsid w:val="006F3B0C"/>
    <w:rsid w:val="006F3C4D"/>
    <w:rsid w:val="006F3F61"/>
    <w:rsid w:val="006F4176"/>
    <w:rsid w:val="006F4659"/>
    <w:rsid w:val="006F4793"/>
    <w:rsid w:val="006F4946"/>
    <w:rsid w:val="006F4A27"/>
    <w:rsid w:val="006F4D83"/>
    <w:rsid w:val="006F567E"/>
    <w:rsid w:val="006F644F"/>
    <w:rsid w:val="006F677A"/>
    <w:rsid w:val="006F6911"/>
    <w:rsid w:val="006F6AA0"/>
    <w:rsid w:val="006F7ABA"/>
    <w:rsid w:val="006F7EBC"/>
    <w:rsid w:val="0070072E"/>
    <w:rsid w:val="0070093F"/>
    <w:rsid w:val="00700F79"/>
    <w:rsid w:val="0070160C"/>
    <w:rsid w:val="00701684"/>
    <w:rsid w:val="00701833"/>
    <w:rsid w:val="00701A8F"/>
    <w:rsid w:val="00701C80"/>
    <w:rsid w:val="00702706"/>
    <w:rsid w:val="00702893"/>
    <w:rsid w:val="007029CA"/>
    <w:rsid w:val="007030E6"/>
    <w:rsid w:val="0070362C"/>
    <w:rsid w:val="007041D6"/>
    <w:rsid w:val="00704344"/>
    <w:rsid w:val="00704375"/>
    <w:rsid w:val="0070463F"/>
    <w:rsid w:val="00704A26"/>
    <w:rsid w:val="00704CBC"/>
    <w:rsid w:val="00704F30"/>
    <w:rsid w:val="007051BE"/>
    <w:rsid w:val="00705307"/>
    <w:rsid w:val="00705A4D"/>
    <w:rsid w:val="00705C06"/>
    <w:rsid w:val="00705EE4"/>
    <w:rsid w:val="007065BB"/>
    <w:rsid w:val="0070661D"/>
    <w:rsid w:val="00706ADD"/>
    <w:rsid w:val="00706B42"/>
    <w:rsid w:val="007070A8"/>
    <w:rsid w:val="00707730"/>
    <w:rsid w:val="00707BE5"/>
    <w:rsid w:val="007101AC"/>
    <w:rsid w:val="00710402"/>
    <w:rsid w:val="00710AB9"/>
    <w:rsid w:val="00710CD5"/>
    <w:rsid w:val="00710D94"/>
    <w:rsid w:val="0071153A"/>
    <w:rsid w:val="00711D5D"/>
    <w:rsid w:val="00711E2D"/>
    <w:rsid w:val="00712378"/>
    <w:rsid w:val="0071238F"/>
    <w:rsid w:val="00712563"/>
    <w:rsid w:val="00712C46"/>
    <w:rsid w:val="00712CEA"/>
    <w:rsid w:val="00713177"/>
    <w:rsid w:val="0071322C"/>
    <w:rsid w:val="007133D6"/>
    <w:rsid w:val="0071340A"/>
    <w:rsid w:val="00713506"/>
    <w:rsid w:val="007135A6"/>
    <w:rsid w:val="007135FE"/>
    <w:rsid w:val="007138AE"/>
    <w:rsid w:val="00713B46"/>
    <w:rsid w:val="0071426A"/>
    <w:rsid w:val="00714360"/>
    <w:rsid w:val="00714C88"/>
    <w:rsid w:val="00714CFE"/>
    <w:rsid w:val="007152D9"/>
    <w:rsid w:val="007153EA"/>
    <w:rsid w:val="007154AB"/>
    <w:rsid w:val="007161DD"/>
    <w:rsid w:val="00716206"/>
    <w:rsid w:val="007165B5"/>
    <w:rsid w:val="00716646"/>
    <w:rsid w:val="00716F53"/>
    <w:rsid w:val="007174C5"/>
    <w:rsid w:val="007179F5"/>
    <w:rsid w:val="00717A5C"/>
    <w:rsid w:val="00717B44"/>
    <w:rsid w:val="007201CC"/>
    <w:rsid w:val="0072102A"/>
    <w:rsid w:val="007212AA"/>
    <w:rsid w:val="0072144A"/>
    <w:rsid w:val="00721746"/>
    <w:rsid w:val="007217C0"/>
    <w:rsid w:val="0072182D"/>
    <w:rsid w:val="007225A0"/>
    <w:rsid w:val="00722B04"/>
    <w:rsid w:val="00723346"/>
    <w:rsid w:val="00723549"/>
    <w:rsid w:val="0072368C"/>
    <w:rsid w:val="007248FE"/>
    <w:rsid w:val="00725076"/>
    <w:rsid w:val="007250B9"/>
    <w:rsid w:val="00725211"/>
    <w:rsid w:val="007252A5"/>
    <w:rsid w:val="00725519"/>
    <w:rsid w:val="00725756"/>
    <w:rsid w:val="00725910"/>
    <w:rsid w:val="00725C4B"/>
    <w:rsid w:val="007262AB"/>
    <w:rsid w:val="00726405"/>
    <w:rsid w:val="00726420"/>
    <w:rsid w:val="00726681"/>
    <w:rsid w:val="00726EBF"/>
    <w:rsid w:val="00726F7C"/>
    <w:rsid w:val="00727419"/>
    <w:rsid w:val="00727C21"/>
    <w:rsid w:val="00730573"/>
    <w:rsid w:val="00730808"/>
    <w:rsid w:val="00730876"/>
    <w:rsid w:val="00730915"/>
    <w:rsid w:val="00730A04"/>
    <w:rsid w:val="00731144"/>
    <w:rsid w:val="007314CA"/>
    <w:rsid w:val="00731D7C"/>
    <w:rsid w:val="007327D9"/>
    <w:rsid w:val="00732C4C"/>
    <w:rsid w:val="00732E61"/>
    <w:rsid w:val="00733142"/>
    <w:rsid w:val="0073370B"/>
    <w:rsid w:val="0073385D"/>
    <w:rsid w:val="007344B0"/>
    <w:rsid w:val="0073467A"/>
    <w:rsid w:val="007346BD"/>
    <w:rsid w:val="007349DA"/>
    <w:rsid w:val="00734B2F"/>
    <w:rsid w:val="00734E3E"/>
    <w:rsid w:val="007352A1"/>
    <w:rsid w:val="0073598F"/>
    <w:rsid w:val="00735B01"/>
    <w:rsid w:val="007363E2"/>
    <w:rsid w:val="007366B4"/>
    <w:rsid w:val="00736E1E"/>
    <w:rsid w:val="00736E9E"/>
    <w:rsid w:val="007371E0"/>
    <w:rsid w:val="00737272"/>
    <w:rsid w:val="0073729F"/>
    <w:rsid w:val="007372BC"/>
    <w:rsid w:val="00737750"/>
    <w:rsid w:val="00737A17"/>
    <w:rsid w:val="00740129"/>
    <w:rsid w:val="00740388"/>
    <w:rsid w:val="007408B5"/>
    <w:rsid w:val="00740D55"/>
    <w:rsid w:val="00741580"/>
    <w:rsid w:val="00741630"/>
    <w:rsid w:val="00741701"/>
    <w:rsid w:val="007418E6"/>
    <w:rsid w:val="007419E6"/>
    <w:rsid w:val="00741B16"/>
    <w:rsid w:val="00741F1F"/>
    <w:rsid w:val="00741F87"/>
    <w:rsid w:val="00741FE1"/>
    <w:rsid w:val="007427D6"/>
    <w:rsid w:val="00742DA0"/>
    <w:rsid w:val="00743420"/>
    <w:rsid w:val="0074345D"/>
    <w:rsid w:val="0074362D"/>
    <w:rsid w:val="00743885"/>
    <w:rsid w:val="00743927"/>
    <w:rsid w:val="00743AD9"/>
    <w:rsid w:val="00743BEB"/>
    <w:rsid w:val="00743D2A"/>
    <w:rsid w:val="00743F20"/>
    <w:rsid w:val="00744182"/>
    <w:rsid w:val="00744208"/>
    <w:rsid w:val="0074476B"/>
    <w:rsid w:val="00744A0C"/>
    <w:rsid w:val="0074516A"/>
    <w:rsid w:val="007453CB"/>
    <w:rsid w:val="0074545E"/>
    <w:rsid w:val="00745807"/>
    <w:rsid w:val="00745F95"/>
    <w:rsid w:val="00746562"/>
    <w:rsid w:val="007466DF"/>
    <w:rsid w:val="007469BF"/>
    <w:rsid w:val="00746B43"/>
    <w:rsid w:val="00746B45"/>
    <w:rsid w:val="00747A53"/>
    <w:rsid w:val="00747CFB"/>
    <w:rsid w:val="007507B0"/>
    <w:rsid w:val="00750866"/>
    <w:rsid w:val="00750C11"/>
    <w:rsid w:val="00750D11"/>
    <w:rsid w:val="00751075"/>
    <w:rsid w:val="00751213"/>
    <w:rsid w:val="0075181A"/>
    <w:rsid w:val="00751AF3"/>
    <w:rsid w:val="00752477"/>
    <w:rsid w:val="0075295E"/>
    <w:rsid w:val="0075299A"/>
    <w:rsid w:val="00752B4E"/>
    <w:rsid w:val="00752D9E"/>
    <w:rsid w:val="00752F00"/>
    <w:rsid w:val="00753C0A"/>
    <w:rsid w:val="00753D9E"/>
    <w:rsid w:val="00754432"/>
    <w:rsid w:val="007547B9"/>
    <w:rsid w:val="00754F1D"/>
    <w:rsid w:val="00755060"/>
    <w:rsid w:val="00755C7B"/>
    <w:rsid w:val="007568FA"/>
    <w:rsid w:val="00756ECE"/>
    <w:rsid w:val="00756FD6"/>
    <w:rsid w:val="0075707E"/>
    <w:rsid w:val="007572A5"/>
    <w:rsid w:val="00757917"/>
    <w:rsid w:val="00757A6E"/>
    <w:rsid w:val="00757B51"/>
    <w:rsid w:val="00757CE8"/>
    <w:rsid w:val="00757D61"/>
    <w:rsid w:val="00757F55"/>
    <w:rsid w:val="00760207"/>
    <w:rsid w:val="0076046B"/>
    <w:rsid w:val="007607C8"/>
    <w:rsid w:val="00760A6B"/>
    <w:rsid w:val="00760AEB"/>
    <w:rsid w:val="00761293"/>
    <w:rsid w:val="00761496"/>
    <w:rsid w:val="007614FB"/>
    <w:rsid w:val="007615B4"/>
    <w:rsid w:val="00762235"/>
    <w:rsid w:val="007627C6"/>
    <w:rsid w:val="00762CCB"/>
    <w:rsid w:val="0076355F"/>
    <w:rsid w:val="00763FAE"/>
    <w:rsid w:val="0076414B"/>
    <w:rsid w:val="007642C3"/>
    <w:rsid w:val="00764A0A"/>
    <w:rsid w:val="00764F23"/>
    <w:rsid w:val="00765215"/>
    <w:rsid w:val="007656B8"/>
    <w:rsid w:val="00765A70"/>
    <w:rsid w:val="007661C2"/>
    <w:rsid w:val="0076668E"/>
    <w:rsid w:val="00766C88"/>
    <w:rsid w:val="00766FB2"/>
    <w:rsid w:val="007670E2"/>
    <w:rsid w:val="0076719C"/>
    <w:rsid w:val="0076759F"/>
    <w:rsid w:val="007676F2"/>
    <w:rsid w:val="00767A5D"/>
    <w:rsid w:val="00767F34"/>
    <w:rsid w:val="007701A5"/>
    <w:rsid w:val="007701B5"/>
    <w:rsid w:val="007702DE"/>
    <w:rsid w:val="00770438"/>
    <w:rsid w:val="007709E4"/>
    <w:rsid w:val="00770CFD"/>
    <w:rsid w:val="007714B4"/>
    <w:rsid w:val="00771665"/>
    <w:rsid w:val="007717EF"/>
    <w:rsid w:val="00772535"/>
    <w:rsid w:val="007725D7"/>
    <w:rsid w:val="007727B2"/>
    <w:rsid w:val="00772A79"/>
    <w:rsid w:val="00772DFB"/>
    <w:rsid w:val="007731A6"/>
    <w:rsid w:val="007734D9"/>
    <w:rsid w:val="00773657"/>
    <w:rsid w:val="00773793"/>
    <w:rsid w:val="00773E38"/>
    <w:rsid w:val="007744C8"/>
    <w:rsid w:val="00774543"/>
    <w:rsid w:val="00774670"/>
    <w:rsid w:val="00774D3A"/>
    <w:rsid w:val="00774D7A"/>
    <w:rsid w:val="00774E63"/>
    <w:rsid w:val="007750DE"/>
    <w:rsid w:val="007751DA"/>
    <w:rsid w:val="00775219"/>
    <w:rsid w:val="00775865"/>
    <w:rsid w:val="00775C58"/>
    <w:rsid w:val="00775CAB"/>
    <w:rsid w:val="007763AA"/>
    <w:rsid w:val="0077657F"/>
    <w:rsid w:val="00777739"/>
    <w:rsid w:val="00777C6B"/>
    <w:rsid w:val="00777DAC"/>
    <w:rsid w:val="00777FD3"/>
    <w:rsid w:val="0078015A"/>
    <w:rsid w:val="007802CA"/>
    <w:rsid w:val="0078043B"/>
    <w:rsid w:val="0078052F"/>
    <w:rsid w:val="00780D0A"/>
    <w:rsid w:val="00780D74"/>
    <w:rsid w:val="00781210"/>
    <w:rsid w:val="00781225"/>
    <w:rsid w:val="007814BF"/>
    <w:rsid w:val="00781B90"/>
    <w:rsid w:val="00781C0B"/>
    <w:rsid w:val="007822FF"/>
    <w:rsid w:val="00782616"/>
    <w:rsid w:val="007829B2"/>
    <w:rsid w:val="00782AB7"/>
    <w:rsid w:val="0078338A"/>
    <w:rsid w:val="00783514"/>
    <w:rsid w:val="00783D5F"/>
    <w:rsid w:val="00783F8E"/>
    <w:rsid w:val="00784653"/>
    <w:rsid w:val="00784776"/>
    <w:rsid w:val="0078494A"/>
    <w:rsid w:val="007858DD"/>
    <w:rsid w:val="00785D9B"/>
    <w:rsid w:val="0078656D"/>
    <w:rsid w:val="00786B2A"/>
    <w:rsid w:val="00786F33"/>
    <w:rsid w:val="00787B35"/>
    <w:rsid w:val="00787B77"/>
    <w:rsid w:val="00787E5B"/>
    <w:rsid w:val="00787F44"/>
    <w:rsid w:val="00787FEE"/>
    <w:rsid w:val="00790049"/>
    <w:rsid w:val="00790238"/>
    <w:rsid w:val="007904C3"/>
    <w:rsid w:val="007908B8"/>
    <w:rsid w:val="0079096C"/>
    <w:rsid w:val="00791066"/>
    <w:rsid w:val="00791149"/>
    <w:rsid w:val="007914E9"/>
    <w:rsid w:val="00791572"/>
    <w:rsid w:val="0079171A"/>
    <w:rsid w:val="00791763"/>
    <w:rsid w:val="00791786"/>
    <w:rsid w:val="00791A3D"/>
    <w:rsid w:val="007920F1"/>
    <w:rsid w:val="00792D9D"/>
    <w:rsid w:val="00793247"/>
    <w:rsid w:val="007932A4"/>
    <w:rsid w:val="0079381E"/>
    <w:rsid w:val="007939DA"/>
    <w:rsid w:val="00793F77"/>
    <w:rsid w:val="00794252"/>
    <w:rsid w:val="007943FA"/>
    <w:rsid w:val="007945D4"/>
    <w:rsid w:val="00794C3A"/>
    <w:rsid w:val="00794DFC"/>
    <w:rsid w:val="00795628"/>
    <w:rsid w:val="0079565A"/>
    <w:rsid w:val="00795EBE"/>
    <w:rsid w:val="00796D2B"/>
    <w:rsid w:val="0079761E"/>
    <w:rsid w:val="007979E5"/>
    <w:rsid w:val="007979E8"/>
    <w:rsid w:val="00797F97"/>
    <w:rsid w:val="007A0081"/>
    <w:rsid w:val="007A00F3"/>
    <w:rsid w:val="007A0513"/>
    <w:rsid w:val="007A067B"/>
    <w:rsid w:val="007A07C1"/>
    <w:rsid w:val="007A0A99"/>
    <w:rsid w:val="007A1659"/>
    <w:rsid w:val="007A1BD2"/>
    <w:rsid w:val="007A245B"/>
    <w:rsid w:val="007A24BD"/>
    <w:rsid w:val="007A24E8"/>
    <w:rsid w:val="007A27FF"/>
    <w:rsid w:val="007A2805"/>
    <w:rsid w:val="007A2B9F"/>
    <w:rsid w:val="007A2D61"/>
    <w:rsid w:val="007A2D95"/>
    <w:rsid w:val="007A2DB7"/>
    <w:rsid w:val="007A3411"/>
    <w:rsid w:val="007A3AE1"/>
    <w:rsid w:val="007A3E62"/>
    <w:rsid w:val="007A4111"/>
    <w:rsid w:val="007A4204"/>
    <w:rsid w:val="007A4878"/>
    <w:rsid w:val="007A4919"/>
    <w:rsid w:val="007A4B88"/>
    <w:rsid w:val="007A558F"/>
    <w:rsid w:val="007A5772"/>
    <w:rsid w:val="007A58BA"/>
    <w:rsid w:val="007A5F96"/>
    <w:rsid w:val="007A62AD"/>
    <w:rsid w:val="007A63E5"/>
    <w:rsid w:val="007A64BD"/>
    <w:rsid w:val="007A66F6"/>
    <w:rsid w:val="007A70BE"/>
    <w:rsid w:val="007A711D"/>
    <w:rsid w:val="007A7272"/>
    <w:rsid w:val="007A7339"/>
    <w:rsid w:val="007A7975"/>
    <w:rsid w:val="007B0156"/>
    <w:rsid w:val="007B0182"/>
    <w:rsid w:val="007B0506"/>
    <w:rsid w:val="007B06F2"/>
    <w:rsid w:val="007B071E"/>
    <w:rsid w:val="007B0792"/>
    <w:rsid w:val="007B0897"/>
    <w:rsid w:val="007B0A78"/>
    <w:rsid w:val="007B0AB2"/>
    <w:rsid w:val="007B0AB4"/>
    <w:rsid w:val="007B0C37"/>
    <w:rsid w:val="007B0FF9"/>
    <w:rsid w:val="007B163F"/>
    <w:rsid w:val="007B1CF3"/>
    <w:rsid w:val="007B21D1"/>
    <w:rsid w:val="007B2B2E"/>
    <w:rsid w:val="007B2DBC"/>
    <w:rsid w:val="007B3466"/>
    <w:rsid w:val="007B37D5"/>
    <w:rsid w:val="007B37F4"/>
    <w:rsid w:val="007B3A96"/>
    <w:rsid w:val="007B3C53"/>
    <w:rsid w:val="007B47D9"/>
    <w:rsid w:val="007B5489"/>
    <w:rsid w:val="007B5F1A"/>
    <w:rsid w:val="007B63D8"/>
    <w:rsid w:val="007B6509"/>
    <w:rsid w:val="007B6548"/>
    <w:rsid w:val="007B6ACA"/>
    <w:rsid w:val="007B6F52"/>
    <w:rsid w:val="007B745E"/>
    <w:rsid w:val="007B763F"/>
    <w:rsid w:val="007B76B6"/>
    <w:rsid w:val="007B7712"/>
    <w:rsid w:val="007B784A"/>
    <w:rsid w:val="007B7BE4"/>
    <w:rsid w:val="007B7D7C"/>
    <w:rsid w:val="007C004A"/>
    <w:rsid w:val="007C00A2"/>
    <w:rsid w:val="007C065C"/>
    <w:rsid w:val="007C0664"/>
    <w:rsid w:val="007C0C49"/>
    <w:rsid w:val="007C0EEB"/>
    <w:rsid w:val="007C0EFC"/>
    <w:rsid w:val="007C163B"/>
    <w:rsid w:val="007C1F3C"/>
    <w:rsid w:val="007C1F4C"/>
    <w:rsid w:val="007C25CE"/>
    <w:rsid w:val="007C277D"/>
    <w:rsid w:val="007C28E7"/>
    <w:rsid w:val="007C2FD7"/>
    <w:rsid w:val="007C30AF"/>
    <w:rsid w:val="007C30EF"/>
    <w:rsid w:val="007C3616"/>
    <w:rsid w:val="007C3D2B"/>
    <w:rsid w:val="007C3D62"/>
    <w:rsid w:val="007C428B"/>
    <w:rsid w:val="007C44FB"/>
    <w:rsid w:val="007C4858"/>
    <w:rsid w:val="007C4CB3"/>
    <w:rsid w:val="007C4F31"/>
    <w:rsid w:val="007C523B"/>
    <w:rsid w:val="007C55B8"/>
    <w:rsid w:val="007C5F0B"/>
    <w:rsid w:val="007C5FA5"/>
    <w:rsid w:val="007C62FD"/>
    <w:rsid w:val="007C647A"/>
    <w:rsid w:val="007C68B1"/>
    <w:rsid w:val="007C74DC"/>
    <w:rsid w:val="007D01B4"/>
    <w:rsid w:val="007D0277"/>
    <w:rsid w:val="007D0C09"/>
    <w:rsid w:val="007D0CC2"/>
    <w:rsid w:val="007D0DA0"/>
    <w:rsid w:val="007D0E73"/>
    <w:rsid w:val="007D117E"/>
    <w:rsid w:val="007D13E3"/>
    <w:rsid w:val="007D1778"/>
    <w:rsid w:val="007D1AAC"/>
    <w:rsid w:val="007D2B60"/>
    <w:rsid w:val="007D37D3"/>
    <w:rsid w:val="007D39A5"/>
    <w:rsid w:val="007D3C03"/>
    <w:rsid w:val="007D3C0C"/>
    <w:rsid w:val="007D3CC0"/>
    <w:rsid w:val="007D3E74"/>
    <w:rsid w:val="007D4293"/>
    <w:rsid w:val="007D45D8"/>
    <w:rsid w:val="007D4870"/>
    <w:rsid w:val="007D4BDD"/>
    <w:rsid w:val="007D4E27"/>
    <w:rsid w:val="007D4FDC"/>
    <w:rsid w:val="007D5646"/>
    <w:rsid w:val="007D56C5"/>
    <w:rsid w:val="007D56CC"/>
    <w:rsid w:val="007D5852"/>
    <w:rsid w:val="007D599E"/>
    <w:rsid w:val="007D5B49"/>
    <w:rsid w:val="007D5EBF"/>
    <w:rsid w:val="007D5F42"/>
    <w:rsid w:val="007D64B5"/>
    <w:rsid w:val="007D65F2"/>
    <w:rsid w:val="007D67D8"/>
    <w:rsid w:val="007D7813"/>
    <w:rsid w:val="007D78DC"/>
    <w:rsid w:val="007D7BF5"/>
    <w:rsid w:val="007D7DBA"/>
    <w:rsid w:val="007E0162"/>
    <w:rsid w:val="007E0A6B"/>
    <w:rsid w:val="007E0E73"/>
    <w:rsid w:val="007E13AC"/>
    <w:rsid w:val="007E16C2"/>
    <w:rsid w:val="007E2166"/>
    <w:rsid w:val="007E22F2"/>
    <w:rsid w:val="007E250F"/>
    <w:rsid w:val="007E2622"/>
    <w:rsid w:val="007E28DB"/>
    <w:rsid w:val="007E2C79"/>
    <w:rsid w:val="007E2D2C"/>
    <w:rsid w:val="007E2E75"/>
    <w:rsid w:val="007E4201"/>
    <w:rsid w:val="007E42CB"/>
    <w:rsid w:val="007E448D"/>
    <w:rsid w:val="007E49C4"/>
    <w:rsid w:val="007E4DE9"/>
    <w:rsid w:val="007E4F8A"/>
    <w:rsid w:val="007E502A"/>
    <w:rsid w:val="007E5116"/>
    <w:rsid w:val="007E529D"/>
    <w:rsid w:val="007E5609"/>
    <w:rsid w:val="007E5684"/>
    <w:rsid w:val="007E6141"/>
    <w:rsid w:val="007E67AB"/>
    <w:rsid w:val="007E698F"/>
    <w:rsid w:val="007E6EE1"/>
    <w:rsid w:val="007E6F9D"/>
    <w:rsid w:val="007E768D"/>
    <w:rsid w:val="007E76C9"/>
    <w:rsid w:val="007E76D7"/>
    <w:rsid w:val="007E7DFF"/>
    <w:rsid w:val="007F0179"/>
    <w:rsid w:val="007F032C"/>
    <w:rsid w:val="007F0EE5"/>
    <w:rsid w:val="007F0F8A"/>
    <w:rsid w:val="007F1012"/>
    <w:rsid w:val="007F1185"/>
    <w:rsid w:val="007F119C"/>
    <w:rsid w:val="007F1446"/>
    <w:rsid w:val="007F1FBB"/>
    <w:rsid w:val="007F2132"/>
    <w:rsid w:val="007F25F1"/>
    <w:rsid w:val="007F276E"/>
    <w:rsid w:val="007F27BA"/>
    <w:rsid w:val="007F3F98"/>
    <w:rsid w:val="007F433E"/>
    <w:rsid w:val="007F4443"/>
    <w:rsid w:val="007F45D3"/>
    <w:rsid w:val="007F4CB1"/>
    <w:rsid w:val="007F5A66"/>
    <w:rsid w:val="007F5D19"/>
    <w:rsid w:val="007F5EA0"/>
    <w:rsid w:val="007F5F3A"/>
    <w:rsid w:val="007F6031"/>
    <w:rsid w:val="007F61B8"/>
    <w:rsid w:val="007F6277"/>
    <w:rsid w:val="007F6BA6"/>
    <w:rsid w:val="007F6C55"/>
    <w:rsid w:val="007F6CA3"/>
    <w:rsid w:val="007F732B"/>
    <w:rsid w:val="007F748A"/>
    <w:rsid w:val="007F754F"/>
    <w:rsid w:val="007F759C"/>
    <w:rsid w:val="007F7711"/>
    <w:rsid w:val="007F77D9"/>
    <w:rsid w:val="007F7A05"/>
    <w:rsid w:val="007F7B1C"/>
    <w:rsid w:val="00800174"/>
    <w:rsid w:val="008005AD"/>
    <w:rsid w:val="00800716"/>
    <w:rsid w:val="0080072A"/>
    <w:rsid w:val="00800751"/>
    <w:rsid w:val="00800BF8"/>
    <w:rsid w:val="00800EBB"/>
    <w:rsid w:val="008013AC"/>
    <w:rsid w:val="00801820"/>
    <w:rsid w:val="0080233A"/>
    <w:rsid w:val="008028A8"/>
    <w:rsid w:val="00802CC9"/>
    <w:rsid w:val="00803481"/>
    <w:rsid w:val="0080364E"/>
    <w:rsid w:val="00803A12"/>
    <w:rsid w:val="00803C57"/>
    <w:rsid w:val="00803E85"/>
    <w:rsid w:val="00803F7C"/>
    <w:rsid w:val="00804121"/>
    <w:rsid w:val="00804508"/>
    <w:rsid w:val="00804988"/>
    <w:rsid w:val="00804A55"/>
    <w:rsid w:val="008053BA"/>
    <w:rsid w:val="00805542"/>
    <w:rsid w:val="00805548"/>
    <w:rsid w:val="0080567E"/>
    <w:rsid w:val="00805741"/>
    <w:rsid w:val="00805883"/>
    <w:rsid w:val="0080593A"/>
    <w:rsid w:val="00805B97"/>
    <w:rsid w:val="00806359"/>
    <w:rsid w:val="0080643A"/>
    <w:rsid w:val="0080685A"/>
    <w:rsid w:val="008068E9"/>
    <w:rsid w:val="00806AA5"/>
    <w:rsid w:val="00806B5C"/>
    <w:rsid w:val="0080719E"/>
    <w:rsid w:val="008074F0"/>
    <w:rsid w:val="008079C9"/>
    <w:rsid w:val="00807BCA"/>
    <w:rsid w:val="008105B6"/>
    <w:rsid w:val="00810703"/>
    <w:rsid w:val="008108DB"/>
    <w:rsid w:val="00810A28"/>
    <w:rsid w:val="00810D49"/>
    <w:rsid w:val="00810D8D"/>
    <w:rsid w:val="00811C41"/>
    <w:rsid w:val="008122E4"/>
    <w:rsid w:val="00812905"/>
    <w:rsid w:val="00812C57"/>
    <w:rsid w:val="00812DCB"/>
    <w:rsid w:val="0081378B"/>
    <w:rsid w:val="00813B27"/>
    <w:rsid w:val="00813E1A"/>
    <w:rsid w:val="00813E50"/>
    <w:rsid w:val="00813F50"/>
    <w:rsid w:val="008140FD"/>
    <w:rsid w:val="008141D8"/>
    <w:rsid w:val="00815158"/>
    <w:rsid w:val="0081533F"/>
    <w:rsid w:val="0081563B"/>
    <w:rsid w:val="0081588C"/>
    <w:rsid w:val="008158F8"/>
    <w:rsid w:val="00817342"/>
    <w:rsid w:val="00817B57"/>
    <w:rsid w:val="00817D8F"/>
    <w:rsid w:val="00817FAA"/>
    <w:rsid w:val="00817FD0"/>
    <w:rsid w:val="00820449"/>
    <w:rsid w:val="00820EED"/>
    <w:rsid w:val="00821935"/>
    <w:rsid w:val="00821959"/>
    <w:rsid w:val="008219E8"/>
    <w:rsid w:val="00821EEE"/>
    <w:rsid w:val="00821EF4"/>
    <w:rsid w:val="00822742"/>
    <w:rsid w:val="00822EDA"/>
    <w:rsid w:val="0082316A"/>
    <w:rsid w:val="00823321"/>
    <w:rsid w:val="0082370B"/>
    <w:rsid w:val="008237B4"/>
    <w:rsid w:val="00823D15"/>
    <w:rsid w:val="00824C28"/>
    <w:rsid w:val="00824C2E"/>
    <w:rsid w:val="00825058"/>
    <w:rsid w:val="0082541F"/>
    <w:rsid w:val="0082578C"/>
    <w:rsid w:val="00825B10"/>
    <w:rsid w:val="00825F66"/>
    <w:rsid w:val="00826009"/>
    <w:rsid w:val="0082621C"/>
    <w:rsid w:val="00826AF0"/>
    <w:rsid w:val="00826CF5"/>
    <w:rsid w:val="00826DB2"/>
    <w:rsid w:val="008275E9"/>
    <w:rsid w:val="00827948"/>
    <w:rsid w:val="00827BCA"/>
    <w:rsid w:val="00827BF1"/>
    <w:rsid w:val="0083068A"/>
    <w:rsid w:val="008311F2"/>
    <w:rsid w:val="008314B2"/>
    <w:rsid w:val="008317B2"/>
    <w:rsid w:val="00831904"/>
    <w:rsid w:val="008323CB"/>
    <w:rsid w:val="00832BBF"/>
    <w:rsid w:val="00833013"/>
    <w:rsid w:val="00833346"/>
    <w:rsid w:val="00833357"/>
    <w:rsid w:val="00833528"/>
    <w:rsid w:val="008336DF"/>
    <w:rsid w:val="008338F8"/>
    <w:rsid w:val="00833C76"/>
    <w:rsid w:val="00833DFC"/>
    <w:rsid w:val="00834083"/>
    <w:rsid w:val="008340D0"/>
    <w:rsid w:val="008345CD"/>
    <w:rsid w:val="00834C01"/>
    <w:rsid w:val="008358C3"/>
    <w:rsid w:val="008359C1"/>
    <w:rsid w:val="00835A92"/>
    <w:rsid w:val="00835E7E"/>
    <w:rsid w:val="00835F3A"/>
    <w:rsid w:val="00836250"/>
    <w:rsid w:val="00836325"/>
    <w:rsid w:val="00836789"/>
    <w:rsid w:val="00836854"/>
    <w:rsid w:val="00837407"/>
    <w:rsid w:val="00837F1E"/>
    <w:rsid w:val="008401DC"/>
    <w:rsid w:val="008408BE"/>
    <w:rsid w:val="0084130C"/>
    <w:rsid w:val="00841443"/>
    <w:rsid w:val="008416D9"/>
    <w:rsid w:val="00841BC1"/>
    <w:rsid w:val="00841DCC"/>
    <w:rsid w:val="008422FA"/>
    <w:rsid w:val="008423FC"/>
    <w:rsid w:val="00842402"/>
    <w:rsid w:val="00842D43"/>
    <w:rsid w:val="00843047"/>
    <w:rsid w:val="00843346"/>
    <w:rsid w:val="00843F2C"/>
    <w:rsid w:val="0084418F"/>
    <w:rsid w:val="0084426B"/>
    <w:rsid w:val="0084447B"/>
    <w:rsid w:val="00844897"/>
    <w:rsid w:val="00844898"/>
    <w:rsid w:val="00844C6A"/>
    <w:rsid w:val="008451E4"/>
    <w:rsid w:val="00845B0F"/>
    <w:rsid w:val="00845E7D"/>
    <w:rsid w:val="0084665F"/>
    <w:rsid w:val="008468B8"/>
    <w:rsid w:val="008468E0"/>
    <w:rsid w:val="00846A2E"/>
    <w:rsid w:val="00846EC0"/>
    <w:rsid w:val="0084711A"/>
    <w:rsid w:val="008471B4"/>
    <w:rsid w:val="008471CC"/>
    <w:rsid w:val="00847405"/>
    <w:rsid w:val="00847515"/>
    <w:rsid w:val="00847610"/>
    <w:rsid w:val="008479CD"/>
    <w:rsid w:val="00847BAC"/>
    <w:rsid w:val="008500FA"/>
    <w:rsid w:val="00850264"/>
    <w:rsid w:val="00850484"/>
    <w:rsid w:val="00850B16"/>
    <w:rsid w:val="00850BBD"/>
    <w:rsid w:val="00850E98"/>
    <w:rsid w:val="00850F80"/>
    <w:rsid w:val="008510EE"/>
    <w:rsid w:val="00851144"/>
    <w:rsid w:val="00851291"/>
    <w:rsid w:val="0085130F"/>
    <w:rsid w:val="008516B6"/>
    <w:rsid w:val="00851CC1"/>
    <w:rsid w:val="00851F69"/>
    <w:rsid w:val="00852248"/>
    <w:rsid w:val="0085245E"/>
    <w:rsid w:val="0085267F"/>
    <w:rsid w:val="00852770"/>
    <w:rsid w:val="00853B39"/>
    <w:rsid w:val="00853E0A"/>
    <w:rsid w:val="00854554"/>
    <w:rsid w:val="00854983"/>
    <w:rsid w:val="00854D73"/>
    <w:rsid w:val="00854E30"/>
    <w:rsid w:val="00854F0C"/>
    <w:rsid w:val="0085523C"/>
    <w:rsid w:val="008555B5"/>
    <w:rsid w:val="0085584A"/>
    <w:rsid w:val="00855AF6"/>
    <w:rsid w:val="00856161"/>
    <w:rsid w:val="008563BC"/>
    <w:rsid w:val="0085646F"/>
    <w:rsid w:val="008565F1"/>
    <w:rsid w:val="00856797"/>
    <w:rsid w:val="00856799"/>
    <w:rsid w:val="00856CA2"/>
    <w:rsid w:val="00856EBF"/>
    <w:rsid w:val="00856FBC"/>
    <w:rsid w:val="00857135"/>
    <w:rsid w:val="00857215"/>
    <w:rsid w:val="008604DD"/>
    <w:rsid w:val="00860949"/>
    <w:rsid w:val="00860AE7"/>
    <w:rsid w:val="00860B92"/>
    <w:rsid w:val="00860E32"/>
    <w:rsid w:val="00861A2F"/>
    <w:rsid w:val="00861EA7"/>
    <w:rsid w:val="00862408"/>
    <w:rsid w:val="008625EC"/>
    <w:rsid w:val="00862721"/>
    <w:rsid w:val="008628D2"/>
    <w:rsid w:val="00862C8A"/>
    <w:rsid w:val="00862DCA"/>
    <w:rsid w:val="00863CCE"/>
    <w:rsid w:val="00864465"/>
    <w:rsid w:val="0086448E"/>
    <w:rsid w:val="0086485E"/>
    <w:rsid w:val="00864E4E"/>
    <w:rsid w:val="00865205"/>
    <w:rsid w:val="0086524C"/>
    <w:rsid w:val="0086595C"/>
    <w:rsid w:val="00865C45"/>
    <w:rsid w:val="00865FBA"/>
    <w:rsid w:val="00866254"/>
    <w:rsid w:val="008669A6"/>
    <w:rsid w:val="00866C1C"/>
    <w:rsid w:val="00866DFB"/>
    <w:rsid w:val="0086704F"/>
    <w:rsid w:val="0086727C"/>
    <w:rsid w:val="008675AC"/>
    <w:rsid w:val="008677C2"/>
    <w:rsid w:val="00867B2A"/>
    <w:rsid w:val="00867B94"/>
    <w:rsid w:val="00867FB6"/>
    <w:rsid w:val="00870050"/>
    <w:rsid w:val="008701F9"/>
    <w:rsid w:val="00870242"/>
    <w:rsid w:val="0087028A"/>
    <w:rsid w:val="0087064A"/>
    <w:rsid w:val="0087091D"/>
    <w:rsid w:val="0087133C"/>
    <w:rsid w:val="00871343"/>
    <w:rsid w:val="0087140F"/>
    <w:rsid w:val="00871783"/>
    <w:rsid w:val="00871DEC"/>
    <w:rsid w:val="0087232E"/>
    <w:rsid w:val="008724C3"/>
    <w:rsid w:val="00872B33"/>
    <w:rsid w:val="00872CAA"/>
    <w:rsid w:val="00873DA7"/>
    <w:rsid w:val="00873EBA"/>
    <w:rsid w:val="00874497"/>
    <w:rsid w:val="00874513"/>
    <w:rsid w:val="00874E6C"/>
    <w:rsid w:val="0087521B"/>
    <w:rsid w:val="00875310"/>
    <w:rsid w:val="0087567B"/>
    <w:rsid w:val="008756C7"/>
    <w:rsid w:val="00875712"/>
    <w:rsid w:val="00875A31"/>
    <w:rsid w:val="00875E0B"/>
    <w:rsid w:val="0087634C"/>
    <w:rsid w:val="008763B6"/>
    <w:rsid w:val="0087640F"/>
    <w:rsid w:val="008766BB"/>
    <w:rsid w:val="00876EDB"/>
    <w:rsid w:val="00877693"/>
    <w:rsid w:val="0087797B"/>
    <w:rsid w:val="0087799B"/>
    <w:rsid w:val="00877C0A"/>
    <w:rsid w:val="00877D8C"/>
    <w:rsid w:val="00877DA2"/>
    <w:rsid w:val="0088007D"/>
    <w:rsid w:val="00880725"/>
    <w:rsid w:val="008807FE"/>
    <w:rsid w:val="00880EE9"/>
    <w:rsid w:val="00880FE2"/>
    <w:rsid w:val="00881389"/>
    <w:rsid w:val="008817E3"/>
    <w:rsid w:val="00881965"/>
    <w:rsid w:val="00881A90"/>
    <w:rsid w:val="00881E31"/>
    <w:rsid w:val="0088230A"/>
    <w:rsid w:val="008837AC"/>
    <w:rsid w:val="00883820"/>
    <w:rsid w:val="00883842"/>
    <w:rsid w:val="008839CB"/>
    <w:rsid w:val="00883DE1"/>
    <w:rsid w:val="00883EAD"/>
    <w:rsid w:val="0088400A"/>
    <w:rsid w:val="008840FD"/>
    <w:rsid w:val="008841FD"/>
    <w:rsid w:val="008848A2"/>
    <w:rsid w:val="00884EC1"/>
    <w:rsid w:val="00884FF7"/>
    <w:rsid w:val="00885731"/>
    <w:rsid w:val="00885905"/>
    <w:rsid w:val="008859CE"/>
    <w:rsid w:val="00885A21"/>
    <w:rsid w:val="00885E6F"/>
    <w:rsid w:val="00885F43"/>
    <w:rsid w:val="00886044"/>
    <w:rsid w:val="0088674C"/>
    <w:rsid w:val="008868B2"/>
    <w:rsid w:val="00886AC7"/>
    <w:rsid w:val="00886B4E"/>
    <w:rsid w:val="00886B69"/>
    <w:rsid w:val="00886FFC"/>
    <w:rsid w:val="00887088"/>
    <w:rsid w:val="00887352"/>
    <w:rsid w:val="008874AA"/>
    <w:rsid w:val="00890117"/>
    <w:rsid w:val="008904E1"/>
    <w:rsid w:val="008909FF"/>
    <w:rsid w:val="00890BB1"/>
    <w:rsid w:val="00890E30"/>
    <w:rsid w:val="008910F0"/>
    <w:rsid w:val="00891151"/>
    <w:rsid w:val="008912CB"/>
    <w:rsid w:val="008916CB"/>
    <w:rsid w:val="008918F3"/>
    <w:rsid w:val="00891981"/>
    <w:rsid w:val="00891CCB"/>
    <w:rsid w:val="00891E1D"/>
    <w:rsid w:val="008929F5"/>
    <w:rsid w:val="00892AD2"/>
    <w:rsid w:val="00892FA8"/>
    <w:rsid w:val="00893D19"/>
    <w:rsid w:val="00893F25"/>
    <w:rsid w:val="00894087"/>
    <w:rsid w:val="0089464D"/>
    <w:rsid w:val="00894E68"/>
    <w:rsid w:val="00896110"/>
    <w:rsid w:val="00896878"/>
    <w:rsid w:val="00896BA2"/>
    <w:rsid w:val="0089728F"/>
    <w:rsid w:val="0089779D"/>
    <w:rsid w:val="008977EF"/>
    <w:rsid w:val="00897821"/>
    <w:rsid w:val="0089788C"/>
    <w:rsid w:val="00897D01"/>
    <w:rsid w:val="008A01AB"/>
    <w:rsid w:val="008A02CD"/>
    <w:rsid w:val="008A06C7"/>
    <w:rsid w:val="008A06EF"/>
    <w:rsid w:val="008A0C1B"/>
    <w:rsid w:val="008A0F42"/>
    <w:rsid w:val="008A13A7"/>
    <w:rsid w:val="008A1542"/>
    <w:rsid w:val="008A1645"/>
    <w:rsid w:val="008A1837"/>
    <w:rsid w:val="008A1911"/>
    <w:rsid w:val="008A1E9B"/>
    <w:rsid w:val="008A22A6"/>
    <w:rsid w:val="008A22B7"/>
    <w:rsid w:val="008A2303"/>
    <w:rsid w:val="008A24A8"/>
    <w:rsid w:val="008A24D8"/>
    <w:rsid w:val="008A2F27"/>
    <w:rsid w:val="008A33B8"/>
    <w:rsid w:val="008A37E7"/>
    <w:rsid w:val="008A3ADD"/>
    <w:rsid w:val="008A3F96"/>
    <w:rsid w:val="008A4286"/>
    <w:rsid w:val="008A42E8"/>
    <w:rsid w:val="008A4620"/>
    <w:rsid w:val="008A46F3"/>
    <w:rsid w:val="008A4AA3"/>
    <w:rsid w:val="008A4FE9"/>
    <w:rsid w:val="008A53DC"/>
    <w:rsid w:val="008A5CB4"/>
    <w:rsid w:val="008A5E17"/>
    <w:rsid w:val="008A6AF2"/>
    <w:rsid w:val="008A6B03"/>
    <w:rsid w:val="008A70E2"/>
    <w:rsid w:val="008A76FF"/>
    <w:rsid w:val="008A7705"/>
    <w:rsid w:val="008A778F"/>
    <w:rsid w:val="008B0103"/>
    <w:rsid w:val="008B0136"/>
    <w:rsid w:val="008B016A"/>
    <w:rsid w:val="008B022A"/>
    <w:rsid w:val="008B085A"/>
    <w:rsid w:val="008B08BF"/>
    <w:rsid w:val="008B0D09"/>
    <w:rsid w:val="008B0D1F"/>
    <w:rsid w:val="008B0E9A"/>
    <w:rsid w:val="008B14AF"/>
    <w:rsid w:val="008B1C9F"/>
    <w:rsid w:val="008B1E07"/>
    <w:rsid w:val="008B2373"/>
    <w:rsid w:val="008B2472"/>
    <w:rsid w:val="008B2CD5"/>
    <w:rsid w:val="008B2E06"/>
    <w:rsid w:val="008B2EA3"/>
    <w:rsid w:val="008B36A1"/>
    <w:rsid w:val="008B3B12"/>
    <w:rsid w:val="008B3B56"/>
    <w:rsid w:val="008B3C42"/>
    <w:rsid w:val="008B3DCE"/>
    <w:rsid w:val="008B3E62"/>
    <w:rsid w:val="008B407F"/>
    <w:rsid w:val="008B4431"/>
    <w:rsid w:val="008B4582"/>
    <w:rsid w:val="008B45FF"/>
    <w:rsid w:val="008B4E42"/>
    <w:rsid w:val="008B50B6"/>
    <w:rsid w:val="008B50F9"/>
    <w:rsid w:val="008B516A"/>
    <w:rsid w:val="008B546E"/>
    <w:rsid w:val="008B6BF5"/>
    <w:rsid w:val="008B6EDC"/>
    <w:rsid w:val="008B743A"/>
    <w:rsid w:val="008B7493"/>
    <w:rsid w:val="008B75E5"/>
    <w:rsid w:val="008C083D"/>
    <w:rsid w:val="008C0AB9"/>
    <w:rsid w:val="008C1051"/>
    <w:rsid w:val="008C125D"/>
    <w:rsid w:val="008C1625"/>
    <w:rsid w:val="008C1E5F"/>
    <w:rsid w:val="008C257F"/>
    <w:rsid w:val="008C2A1D"/>
    <w:rsid w:val="008C39DD"/>
    <w:rsid w:val="008C430F"/>
    <w:rsid w:val="008C432D"/>
    <w:rsid w:val="008C544F"/>
    <w:rsid w:val="008C5D04"/>
    <w:rsid w:val="008C60AD"/>
    <w:rsid w:val="008C60E4"/>
    <w:rsid w:val="008C647D"/>
    <w:rsid w:val="008C64FC"/>
    <w:rsid w:val="008C6B12"/>
    <w:rsid w:val="008C71ED"/>
    <w:rsid w:val="008C72EA"/>
    <w:rsid w:val="008C7454"/>
    <w:rsid w:val="008C7A2B"/>
    <w:rsid w:val="008C7DEB"/>
    <w:rsid w:val="008C7F2D"/>
    <w:rsid w:val="008C7FEC"/>
    <w:rsid w:val="008D0103"/>
    <w:rsid w:val="008D15D7"/>
    <w:rsid w:val="008D16BC"/>
    <w:rsid w:val="008D1C3F"/>
    <w:rsid w:val="008D2737"/>
    <w:rsid w:val="008D2CEA"/>
    <w:rsid w:val="008D2E62"/>
    <w:rsid w:val="008D36DE"/>
    <w:rsid w:val="008D37BE"/>
    <w:rsid w:val="008D381D"/>
    <w:rsid w:val="008D3A65"/>
    <w:rsid w:val="008D4249"/>
    <w:rsid w:val="008D4C6B"/>
    <w:rsid w:val="008D4D64"/>
    <w:rsid w:val="008D4D82"/>
    <w:rsid w:val="008D4DBE"/>
    <w:rsid w:val="008D4E56"/>
    <w:rsid w:val="008D542E"/>
    <w:rsid w:val="008D54F0"/>
    <w:rsid w:val="008D5FA6"/>
    <w:rsid w:val="008D6014"/>
    <w:rsid w:val="008D6B43"/>
    <w:rsid w:val="008D6CC4"/>
    <w:rsid w:val="008D6F16"/>
    <w:rsid w:val="008D726B"/>
    <w:rsid w:val="008D733D"/>
    <w:rsid w:val="008D739E"/>
    <w:rsid w:val="008D757B"/>
    <w:rsid w:val="008D79CA"/>
    <w:rsid w:val="008D7BA3"/>
    <w:rsid w:val="008D7EA3"/>
    <w:rsid w:val="008E0401"/>
    <w:rsid w:val="008E066D"/>
    <w:rsid w:val="008E08E2"/>
    <w:rsid w:val="008E1109"/>
    <w:rsid w:val="008E18AC"/>
    <w:rsid w:val="008E1B8B"/>
    <w:rsid w:val="008E1D45"/>
    <w:rsid w:val="008E20D1"/>
    <w:rsid w:val="008E220D"/>
    <w:rsid w:val="008E366F"/>
    <w:rsid w:val="008E3912"/>
    <w:rsid w:val="008E454F"/>
    <w:rsid w:val="008E456C"/>
    <w:rsid w:val="008E4C55"/>
    <w:rsid w:val="008E520B"/>
    <w:rsid w:val="008E56BB"/>
    <w:rsid w:val="008E5B64"/>
    <w:rsid w:val="008E6390"/>
    <w:rsid w:val="008E64A6"/>
    <w:rsid w:val="008E669E"/>
    <w:rsid w:val="008E6A2D"/>
    <w:rsid w:val="008E6B49"/>
    <w:rsid w:val="008E6D44"/>
    <w:rsid w:val="008E6D7B"/>
    <w:rsid w:val="008E71B9"/>
    <w:rsid w:val="008E71F8"/>
    <w:rsid w:val="008E74FA"/>
    <w:rsid w:val="008F036B"/>
    <w:rsid w:val="008F03FD"/>
    <w:rsid w:val="008F0559"/>
    <w:rsid w:val="008F0953"/>
    <w:rsid w:val="008F0FBF"/>
    <w:rsid w:val="008F142F"/>
    <w:rsid w:val="008F151C"/>
    <w:rsid w:val="008F15C4"/>
    <w:rsid w:val="008F15CB"/>
    <w:rsid w:val="008F18F9"/>
    <w:rsid w:val="008F19A1"/>
    <w:rsid w:val="008F1BC9"/>
    <w:rsid w:val="008F1CAA"/>
    <w:rsid w:val="008F21C3"/>
    <w:rsid w:val="008F2333"/>
    <w:rsid w:val="008F24A3"/>
    <w:rsid w:val="008F30E4"/>
    <w:rsid w:val="008F37E1"/>
    <w:rsid w:val="008F38CA"/>
    <w:rsid w:val="008F3937"/>
    <w:rsid w:val="008F3B95"/>
    <w:rsid w:val="008F3F8E"/>
    <w:rsid w:val="008F4229"/>
    <w:rsid w:val="008F4556"/>
    <w:rsid w:val="008F45E3"/>
    <w:rsid w:val="008F4925"/>
    <w:rsid w:val="008F5183"/>
    <w:rsid w:val="008F5583"/>
    <w:rsid w:val="008F5A03"/>
    <w:rsid w:val="008F6494"/>
    <w:rsid w:val="008F68E7"/>
    <w:rsid w:val="008F76EE"/>
    <w:rsid w:val="008F79D0"/>
    <w:rsid w:val="0090023C"/>
    <w:rsid w:val="0090039C"/>
    <w:rsid w:val="00900981"/>
    <w:rsid w:val="00900B87"/>
    <w:rsid w:val="00900BA1"/>
    <w:rsid w:val="00901261"/>
    <w:rsid w:val="00901638"/>
    <w:rsid w:val="00901915"/>
    <w:rsid w:val="0090245C"/>
    <w:rsid w:val="009024FE"/>
    <w:rsid w:val="00902C17"/>
    <w:rsid w:val="0090314C"/>
    <w:rsid w:val="0090325B"/>
    <w:rsid w:val="00903413"/>
    <w:rsid w:val="009034D3"/>
    <w:rsid w:val="0090385C"/>
    <w:rsid w:val="00903992"/>
    <w:rsid w:val="00903B72"/>
    <w:rsid w:val="00904158"/>
    <w:rsid w:val="0090437E"/>
    <w:rsid w:val="00904447"/>
    <w:rsid w:val="00904460"/>
    <w:rsid w:val="00905100"/>
    <w:rsid w:val="00905303"/>
    <w:rsid w:val="00905BAC"/>
    <w:rsid w:val="00905DAC"/>
    <w:rsid w:val="00906C7D"/>
    <w:rsid w:val="0090702E"/>
    <w:rsid w:val="00907AE3"/>
    <w:rsid w:val="009111C2"/>
    <w:rsid w:val="009112C5"/>
    <w:rsid w:val="009118A4"/>
    <w:rsid w:val="0091196C"/>
    <w:rsid w:val="00911AB7"/>
    <w:rsid w:val="00911CAE"/>
    <w:rsid w:val="00911D9A"/>
    <w:rsid w:val="009121EE"/>
    <w:rsid w:val="00912D0D"/>
    <w:rsid w:val="00912E25"/>
    <w:rsid w:val="00913BFD"/>
    <w:rsid w:val="00914203"/>
    <w:rsid w:val="0091426E"/>
    <w:rsid w:val="009145AE"/>
    <w:rsid w:val="009146E1"/>
    <w:rsid w:val="00914BE9"/>
    <w:rsid w:val="00914D24"/>
    <w:rsid w:val="009152B3"/>
    <w:rsid w:val="009155FC"/>
    <w:rsid w:val="009156E8"/>
    <w:rsid w:val="009158D1"/>
    <w:rsid w:val="00915B58"/>
    <w:rsid w:val="00915D2D"/>
    <w:rsid w:val="00915DE1"/>
    <w:rsid w:val="00915E22"/>
    <w:rsid w:val="00916112"/>
    <w:rsid w:val="00916638"/>
    <w:rsid w:val="00916660"/>
    <w:rsid w:val="00916A45"/>
    <w:rsid w:val="00917001"/>
    <w:rsid w:val="0091742E"/>
    <w:rsid w:val="009174C9"/>
    <w:rsid w:val="009178E8"/>
    <w:rsid w:val="00917BF7"/>
    <w:rsid w:val="009205A7"/>
    <w:rsid w:val="00920731"/>
    <w:rsid w:val="009209FA"/>
    <w:rsid w:val="0092221C"/>
    <w:rsid w:val="00922388"/>
    <w:rsid w:val="009227F0"/>
    <w:rsid w:val="009228B5"/>
    <w:rsid w:val="00922D98"/>
    <w:rsid w:val="00923076"/>
    <w:rsid w:val="00923B44"/>
    <w:rsid w:val="00924387"/>
    <w:rsid w:val="009244C9"/>
    <w:rsid w:val="00924A0B"/>
    <w:rsid w:val="00924C9C"/>
    <w:rsid w:val="00924F99"/>
    <w:rsid w:val="009251A8"/>
    <w:rsid w:val="00925211"/>
    <w:rsid w:val="009253AE"/>
    <w:rsid w:val="009259A1"/>
    <w:rsid w:val="009262D5"/>
    <w:rsid w:val="009266AB"/>
    <w:rsid w:val="00926A0B"/>
    <w:rsid w:val="00926CFC"/>
    <w:rsid w:val="00927056"/>
    <w:rsid w:val="00927058"/>
    <w:rsid w:val="009270F2"/>
    <w:rsid w:val="00927492"/>
    <w:rsid w:val="00927B84"/>
    <w:rsid w:val="0093008B"/>
    <w:rsid w:val="009300ED"/>
    <w:rsid w:val="009302DA"/>
    <w:rsid w:val="0093051A"/>
    <w:rsid w:val="00930959"/>
    <w:rsid w:val="00930985"/>
    <w:rsid w:val="00930EE8"/>
    <w:rsid w:val="0093108C"/>
    <w:rsid w:val="009318F3"/>
    <w:rsid w:val="00931A8C"/>
    <w:rsid w:val="00931FFB"/>
    <w:rsid w:val="009325D7"/>
    <w:rsid w:val="00932B81"/>
    <w:rsid w:val="00932D30"/>
    <w:rsid w:val="00933066"/>
    <w:rsid w:val="00933870"/>
    <w:rsid w:val="009339EE"/>
    <w:rsid w:val="00933BC5"/>
    <w:rsid w:val="00933C1A"/>
    <w:rsid w:val="00933D1D"/>
    <w:rsid w:val="009342E0"/>
    <w:rsid w:val="0093458A"/>
    <w:rsid w:val="00934610"/>
    <w:rsid w:val="00934689"/>
    <w:rsid w:val="009346A3"/>
    <w:rsid w:val="00934942"/>
    <w:rsid w:val="009349D4"/>
    <w:rsid w:val="00934C44"/>
    <w:rsid w:val="009351A3"/>
    <w:rsid w:val="009352AA"/>
    <w:rsid w:val="009354CC"/>
    <w:rsid w:val="00935BD2"/>
    <w:rsid w:val="00935F93"/>
    <w:rsid w:val="00936612"/>
    <w:rsid w:val="009366C4"/>
    <w:rsid w:val="00936C49"/>
    <w:rsid w:val="00936FFE"/>
    <w:rsid w:val="009377BA"/>
    <w:rsid w:val="00937900"/>
    <w:rsid w:val="0094003D"/>
    <w:rsid w:val="0094027F"/>
    <w:rsid w:val="0094039A"/>
    <w:rsid w:val="00940967"/>
    <w:rsid w:val="00940BF6"/>
    <w:rsid w:val="00940FA8"/>
    <w:rsid w:val="00941066"/>
    <w:rsid w:val="00941657"/>
    <w:rsid w:val="00941AA7"/>
    <w:rsid w:val="00942063"/>
    <w:rsid w:val="00942346"/>
    <w:rsid w:val="0094238D"/>
    <w:rsid w:val="0094280D"/>
    <w:rsid w:val="0094284D"/>
    <w:rsid w:val="00943045"/>
    <w:rsid w:val="00943231"/>
    <w:rsid w:val="00943615"/>
    <w:rsid w:val="0094364C"/>
    <w:rsid w:val="009436AB"/>
    <w:rsid w:val="00943CC3"/>
    <w:rsid w:val="00944048"/>
    <w:rsid w:val="009445BE"/>
    <w:rsid w:val="0094463B"/>
    <w:rsid w:val="009447BB"/>
    <w:rsid w:val="009447C2"/>
    <w:rsid w:val="00944989"/>
    <w:rsid w:val="00944A81"/>
    <w:rsid w:val="0094554C"/>
    <w:rsid w:val="00945939"/>
    <w:rsid w:val="009459E5"/>
    <w:rsid w:val="00945E75"/>
    <w:rsid w:val="00946245"/>
    <w:rsid w:val="00946EA1"/>
    <w:rsid w:val="0095000D"/>
    <w:rsid w:val="00950528"/>
    <w:rsid w:val="00950CB0"/>
    <w:rsid w:val="00950F88"/>
    <w:rsid w:val="009512E0"/>
    <w:rsid w:val="00951451"/>
    <w:rsid w:val="0095180E"/>
    <w:rsid w:val="00951A03"/>
    <w:rsid w:val="00951CA3"/>
    <w:rsid w:val="00952217"/>
    <w:rsid w:val="009526B1"/>
    <w:rsid w:val="0095270E"/>
    <w:rsid w:val="00952718"/>
    <w:rsid w:val="00952856"/>
    <w:rsid w:val="00953193"/>
    <w:rsid w:val="00953692"/>
    <w:rsid w:val="00953A49"/>
    <w:rsid w:val="00953C45"/>
    <w:rsid w:val="00953EF9"/>
    <w:rsid w:val="009541F7"/>
    <w:rsid w:val="0095483B"/>
    <w:rsid w:val="00954E14"/>
    <w:rsid w:val="009551B0"/>
    <w:rsid w:val="0095562F"/>
    <w:rsid w:val="00955810"/>
    <w:rsid w:val="0095591A"/>
    <w:rsid w:val="00955A25"/>
    <w:rsid w:val="00955B33"/>
    <w:rsid w:val="00955E77"/>
    <w:rsid w:val="0095672A"/>
    <w:rsid w:val="009568BE"/>
    <w:rsid w:val="00956B8C"/>
    <w:rsid w:val="00956BD2"/>
    <w:rsid w:val="00956F2A"/>
    <w:rsid w:val="009573D6"/>
    <w:rsid w:val="009577AD"/>
    <w:rsid w:val="00957884"/>
    <w:rsid w:val="00957A57"/>
    <w:rsid w:val="009603FC"/>
    <w:rsid w:val="00960C1E"/>
    <w:rsid w:val="00960CAE"/>
    <w:rsid w:val="00960CF4"/>
    <w:rsid w:val="00960F4C"/>
    <w:rsid w:val="00961077"/>
    <w:rsid w:val="0096161E"/>
    <w:rsid w:val="0096173D"/>
    <w:rsid w:val="00961FC4"/>
    <w:rsid w:val="0096203C"/>
    <w:rsid w:val="0096213F"/>
    <w:rsid w:val="0096226B"/>
    <w:rsid w:val="00962759"/>
    <w:rsid w:val="00962841"/>
    <w:rsid w:val="00962E66"/>
    <w:rsid w:val="00962EEE"/>
    <w:rsid w:val="009630EB"/>
    <w:rsid w:val="009631C1"/>
    <w:rsid w:val="0096339B"/>
    <w:rsid w:val="0096409A"/>
    <w:rsid w:val="009648F2"/>
    <w:rsid w:val="00964A1B"/>
    <w:rsid w:val="00964AD9"/>
    <w:rsid w:val="00965199"/>
    <w:rsid w:val="009653A3"/>
    <w:rsid w:val="00965E04"/>
    <w:rsid w:val="009660F4"/>
    <w:rsid w:val="00966735"/>
    <w:rsid w:val="009670E3"/>
    <w:rsid w:val="00967283"/>
    <w:rsid w:val="00967A52"/>
    <w:rsid w:val="00967B14"/>
    <w:rsid w:val="00967F80"/>
    <w:rsid w:val="00970014"/>
    <w:rsid w:val="009700B2"/>
    <w:rsid w:val="009700D9"/>
    <w:rsid w:val="00970196"/>
    <w:rsid w:val="00970376"/>
    <w:rsid w:val="0097094D"/>
    <w:rsid w:val="00970A6C"/>
    <w:rsid w:val="00970B2C"/>
    <w:rsid w:val="00970DB6"/>
    <w:rsid w:val="00970E21"/>
    <w:rsid w:val="00972119"/>
    <w:rsid w:val="0097219E"/>
    <w:rsid w:val="009722A5"/>
    <w:rsid w:val="0097238D"/>
    <w:rsid w:val="0097274E"/>
    <w:rsid w:val="009729FF"/>
    <w:rsid w:val="00972D4C"/>
    <w:rsid w:val="00973098"/>
    <w:rsid w:val="00973793"/>
    <w:rsid w:val="009737C3"/>
    <w:rsid w:val="009739D8"/>
    <w:rsid w:val="00974044"/>
    <w:rsid w:val="009740B8"/>
    <w:rsid w:val="00974421"/>
    <w:rsid w:val="009744C6"/>
    <w:rsid w:val="0097480C"/>
    <w:rsid w:val="009749A9"/>
    <w:rsid w:val="009749F7"/>
    <w:rsid w:val="00974A5F"/>
    <w:rsid w:val="00975242"/>
    <w:rsid w:val="0097557D"/>
    <w:rsid w:val="00975766"/>
    <w:rsid w:val="00975836"/>
    <w:rsid w:val="00975FE9"/>
    <w:rsid w:val="00975FF6"/>
    <w:rsid w:val="00977197"/>
    <w:rsid w:val="00977442"/>
    <w:rsid w:val="00977E8A"/>
    <w:rsid w:val="00977EA7"/>
    <w:rsid w:val="0098026B"/>
    <w:rsid w:val="009803F8"/>
    <w:rsid w:val="00980548"/>
    <w:rsid w:val="009812C4"/>
    <w:rsid w:val="0098188A"/>
    <w:rsid w:val="0098193D"/>
    <w:rsid w:val="00981A9C"/>
    <w:rsid w:val="00982197"/>
    <w:rsid w:val="009823DA"/>
    <w:rsid w:val="00982B98"/>
    <w:rsid w:val="009830A3"/>
    <w:rsid w:val="00983765"/>
    <w:rsid w:val="00983970"/>
    <w:rsid w:val="009839E1"/>
    <w:rsid w:val="00983C26"/>
    <w:rsid w:val="00983CAC"/>
    <w:rsid w:val="00984099"/>
    <w:rsid w:val="00984515"/>
    <w:rsid w:val="00984787"/>
    <w:rsid w:val="00984A25"/>
    <w:rsid w:val="00984ADC"/>
    <w:rsid w:val="00984D89"/>
    <w:rsid w:val="00984ECA"/>
    <w:rsid w:val="00985123"/>
    <w:rsid w:val="00985302"/>
    <w:rsid w:val="00985405"/>
    <w:rsid w:val="0098544C"/>
    <w:rsid w:val="00985B0D"/>
    <w:rsid w:val="00985BA0"/>
    <w:rsid w:val="00985D7B"/>
    <w:rsid w:val="00985F5C"/>
    <w:rsid w:val="00986044"/>
    <w:rsid w:val="00986124"/>
    <w:rsid w:val="009869F1"/>
    <w:rsid w:val="00986FE4"/>
    <w:rsid w:val="0098711D"/>
    <w:rsid w:val="009871A4"/>
    <w:rsid w:val="00987D0B"/>
    <w:rsid w:val="00990000"/>
    <w:rsid w:val="00990A5E"/>
    <w:rsid w:val="00990E1E"/>
    <w:rsid w:val="00990E2E"/>
    <w:rsid w:val="0099107E"/>
    <w:rsid w:val="0099128F"/>
    <w:rsid w:val="009912CE"/>
    <w:rsid w:val="009913D6"/>
    <w:rsid w:val="009915C2"/>
    <w:rsid w:val="00991654"/>
    <w:rsid w:val="00991958"/>
    <w:rsid w:val="00991A23"/>
    <w:rsid w:val="00991C75"/>
    <w:rsid w:val="00992552"/>
    <w:rsid w:val="00992AF3"/>
    <w:rsid w:val="00992CB9"/>
    <w:rsid w:val="00993A6A"/>
    <w:rsid w:val="009940E3"/>
    <w:rsid w:val="00994290"/>
    <w:rsid w:val="00994F27"/>
    <w:rsid w:val="0099508D"/>
    <w:rsid w:val="00995574"/>
    <w:rsid w:val="009956D1"/>
    <w:rsid w:val="00995AA6"/>
    <w:rsid w:val="00995F15"/>
    <w:rsid w:val="009966BE"/>
    <w:rsid w:val="00996EAD"/>
    <w:rsid w:val="00996F14"/>
    <w:rsid w:val="0099768B"/>
    <w:rsid w:val="00997CC2"/>
    <w:rsid w:val="00997E6B"/>
    <w:rsid w:val="009A0E00"/>
    <w:rsid w:val="009A10F4"/>
    <w:rsid w:val="009A155A"/>
    <w:rsid w:val="009A1A9E"/>
    <w:rsid w:val="009A1F7D"/>
    <w:rsid w:val="009A202B"/>
    <w:rsid w:val="009A227B"/>
    <w:rsid w:val="009A24B1"/>
    <w:rsid w:val="009A266E"/>
    <w:rsid w:val="009A27E7"/>
    <w:rsid w:val="009A2FBB"/>
    <w:rsid w:val="009A3397"/>
    <w:rsid w:val="009A3CA9"/>
    <w:rsid w:val="009A3DA2"/>
    <w:rsid w:val="009A403C"/>
    <w:rsid w:val="009A42C2"/>
    <w:rsid w:val="009A441A"/>
    <w:rsid w:val="009A44CB"/>
    <w:rsid w:val="009A4848"/>
    <w:rsid w:val="009A4BA4"/>
    <w:rsid w:val="009A4C18"/>
    <w:rsid w:val="009A5224"/>
    <w:rsid w:val="009A52C7"/>
    <w:rsid w:val="009A57EC"/>
    <w:rsid w:val="009A5895"/>
    <w:rsid w:val="009A594B"/>
    <w:rsid w:val="009A5F61"/>
    <w:rsid w:val="009A627E"/>
    <w:rsid w:val="009A63C8"/>
    <w:rsid w:val="009A644C"/>
    <w:rsid w:val="009A6E36"/>
    <w:rsid w:val="009A6EA6"/>
    <w:rsid w:val="009A6F07"/>
    <w:rsid w:val="009A71DB"/>
    <w:rsid w:val="009A7659"/>
    <w:rsid w:val="009A76B5"/>
    <w:rsid w:val="009A7939"/>
    <w:rsid w:val="009B059A"/>
    <w:rsid w:val="009B0C62"/>
    <w:rsid w:val="009B0D57"/>
    <w:rsid w:val="009B107F"/>
    <w:rsid w:val="009B1168"/>
    <w:rsid w:val="009B1C10"/>
    <w:rsid w:val="009B1E1A"/>
    <w:rsid w:val="009B2189"/>
    <w:rsid w:val="009B2625"/>
    <w:rsid w:val="009B26E0"/>
    <w:rsid w:val="009B2BE3"/>
    <w:rsid w:val="009B303F"/>
    <w:rsid w:val="009B3120"/>
    <w:rsid w:val="009B3751"/>
    <w:rsid w:val="009B3948"/>
    <w:rsid w:val="009B4764"/>
    <w:rsid w:val="009B4878"/>
    <w:rsid w:val="009B4A0C"/>
    <w:rsid w:val="009B4A92"/>
    <w:rsid w:val="009B4BE5"/>
    <w:rsid w:val="009B4F20"/>
    <w:rsid w:val="009B4F24"/>
    <w:rsid w:val="009B52FA"/>
    <w:rsid w:val="009B53E2"/>
    <w:rsid w:val="009B53F0"/>
    <w:rsid w:val="009B5842"/>
    <w:rsid w:val="009B5983"/>
    <w:rsid w:val="009B5A0F"/>
    <w:rsid w:val="009B5C00"/>
    <w:rsid w:val="009B5EAC"/>
    <w:rsid w:val="009B5F88"/>
    <w:rsid w:val="009B62D1"/>
    <w:rsid w:val="009B63FB"/>
    <w:rsid w:val="009B64A3"/>
    <w:rsid w:val="009B6857"/>
    <w:rsid w:val="009B7166"/>
    <w:rsid w:val="009B734A"/>
    <w:rsid w:val="009B73E1"/>
    <w:rsid w:val="009B73EF"/>
    <w:rsid w:val="009B75E7"/>
    <w:rsid w:val="009B7712"/>
    <w:rsid w:val="009B7817"/>
    <w:rsid w:val="009B7EFC"/>
    <w:rsid w:val="009C05AA"/>
    <w:rsid w:val="009C0946"/>
    <w:rsid w:val="009C0D1A"/>
    <w:rsid w:val="009C0F3B"/>
    <w:rsid w:val="009C1001"/>
    <w:rsid w:val="009C1083"/>
    <w:rsid w:val="009C1509"/>
    <w:rsid w:val="009C1A81"/>
    <w:rsid w:val="009C1D0D"/>
    <w:rsid w:val="009C20DC"/>
    <w:rsid w:val="009C2177"/>
    <w:rsid w:val="009C233E"/>
    <w:rsid w:val="009C2515"/>
    <w:rsid w:val="009C2730"/>
    <w:rsid w:val="009C28FD"/>
    <w:rsid w:val="009C2C65"/>
    <w:rsid w:val="009C2E78"/>
    <w:rsid w:val="009C376F"/>
    <w:rsid w:val="009C3BD3"/>
    <w:rsid w:val="009C3C13"/>
    <w:rsid w:val="009C3E1C"/>
    <w:rsid w:val="009C4230"/>
    <w:rsid w:val="009C4D38"/>
    <w:rsid w:val="009C4E0C"/>
    <w:rsid w:val="009C4E40"/>
    <w:rsid w:val="009C519A"/>
    <w:rsid w:val="009C51AE"/>
    <w:rsid w:val="009C5A86"/>
    <w:rsid w:val="009C5C96"/>
    <w:rsid w:val="009C5EC5"/>
    <w:rsid w:val="009C6579"/>
    <w:rsid w:val="009C661B"/>
    <w:rsid w:val="009C66ED"/>
    <w:rsid w:val="009C7A04"/>
    <w:rsid w:val="009C7E64"/>
    <w:rsid w:val="009C7FB1"/>
    <w:rsid w:val="009D0433"/>
    <w:rsid w:val="009D0ACB"/>
    <w:rsid w:val="009D0ADE"/>
    <w:rsid w:val="009D0F0E"/>
    <w:rsid w:val="009D0F7E"/>
    <w:rsid w:val="009D1175"/>
    <w:rsid w:val="009D11EF"/>
    <w:rsid w:val="009D13BE"/>
    <w:rsid w:val="009D1A9D"/>
    <w:rsid w:val="009D1D6C"/>
    <w:rsid w:val="009D22F7"/>
    <w:rsid w:val="009D2530"/>
    <w:rsid w:val="009D253B"/>
    <w:rsid w:val="009D28C5"/>
    <w:rsid w:val="009D29C7"/>
    <w:rsid w:val="009D2A4F"/>
    <w:rsid w:val="009D2A89"/>
    <w:rsid w:val="009D2BE7"/>
    <w:rsid w:val="009D2C9D"/>
    <w:rsid w:val="009D37EB"/>
    <w:rsid w:val="009D46CB"/>
    <w:rsid w:val="009D4C28"/>
    <w:rsid w:val="009D4CF7"/>
    <w:rsid w:val="009D4DF1"/>
    <w:rsid w:val="009D4F09"/>
    <w:rsid w:val="009D51BD"/>
    <w:rsid w:val="009D529C"/>
    <w:rsid w:val="009D58B8"/>
    <w:rsid w:val="009D60DD"/>
    <w:rsid w:val="009D616D"/>
    <w:rsid w:val="009D7170"/>
    <w:rsid w:val="009D7CAA"/>
    <w:rsid w:val="009E0548"/>
    <w:rsid w:val="009E0E07"/>
    <w:rsid w:val="009E137F"/>
    <w:rsid w:val="009E1708"/>
    <w:rsid w:val="009E1926"/>
    <w:rsid w:val="009E19F3"/>
    <w:rsid w:val="009E1AEF"/>
    <w:rsid w:val="009E2730"/>
    <w:rsid w:val="009E2B31"/>
    <w:rsid w:val="009E391A"/>
    <w:rsid w:val="009E42C7"/>
    <w:rsid w:val="009E454F"/>
    <w:rsid w:val="009E4BD0"/>
    <w:rsid w:val="009E4D2B"/>
    <w:rsid w:val="009E5551"/>
    <w:rsid w:val="009E568D"/>
    <w:rsid w:val="009E584C"/>
    <w:rsid w:val="009E59E9"/>
    <w:rsid w:val="009E5B72"/>
    <w:rsid w:val="009E5E2C"/>
    <w:rsid w:val="009E6241"/>
    <w:rsid w:val="009E6454"/>
    <w:rsid w:val="009E64ED"/>
    <w:rsid w:val="009E65BB"/>
    <w:rsid w:val="009E65C9"/>
    <w:rsid w:val="009E663E"/>
    <w:rsid w:val="009E6EE7"/>
    <w:rsid w:val="009E73DF"/>
    <w:rsid w:val="009E7CF9"/>
    <w:rsid w:val="009E7F48"/>
    <w:rsid w:val="009F094E"/>
    <w:rsid w:val="009F0AB2"/>
    <w:rsid w:val="009F0BE5"/>
    <w:rsid w:val="009F0D6F"/>
    <w:rsid w:val="009F17AC"/>
    <w:rsid w:val="009F19D5"/>
    <w:rsid w:val="009F1B5F"/>
    <w:rsid w:val="009F1C63"/>
    <w:rsid w:val="009F1CBB"/>
    <w:rsid w:val="009F1FF6"/>
    <w:rsid w:val="009F2107"/>
    <w:rsid w:val="009F2158"/>
    <w:rsid w:val="009F232D"/>
    <w:rsid w:val="009F259A"/>
    <w:rsid w:val="009F2631"/>
    <w:rsid w:val="009F2B82"/>
    <w:rsid w:val="009F2CA1"/>
    <w:rsid w:val="009F3225"/>
    <w:rsid w:val="009F32FE"/>
    <w:rsid w:val="009F3491"/>
    <w:rsid w:val="009F3DAB"/>
    <w:rsid w:val="009F45A3"/>
    <w:rsid w:val="009F4D22"/>
    <w:rsid w:val="009F5008"/>
    <w:rsid w:val="009F585E"/>
    <w:rsid w:val="009F5E11"/>
    <w:rsid w:val="009F61B0"/>
    <w:rsid w:val="009F6387"/>
    <w:rsid w:val="009F6871"/>
    <w:rsid w:val="009F6958"/>
    <w:rsid w:val="009F69AD"/>
    <w:rsid w:val="009F69B5"/>
    <w:rsid w:val="009F6B97"/>
    <w:rsid w:val="009F6D4F"/>
    <w:rsid w:val="009F70C5"/>
    <w:rsid w:val="009F7220"/>
    <w:rsid w:val="009F73FB"/>
    <w:rsid w:val="009F7B63"/>
    <w:rsid w:val="009F7D51"/>
    <w:rsid w:val="009F7EEE"/>
    <w:rsid w:val="00A00041"/>
    <w:rsid w:val="00A00473"/>
    <w:rsid w:val="00A00515"/>
    <w:rsid w:val="00A00C04"/>
    <w:rsid w:val="00A00C34"/>
    <w:rsid w:val="00A00DF4"/>
    <w:rsid w:val="00A017FF"/>
    <w:rsid w:val="00A0184F"/>
    <w:rsid w:val="00A021D6"/>
    <w:rsid w:val="00A022CC"/>
    <w:rsid w:val="00A02559"/>
    <w:rsid w:val="00A02773"/>
    <w:rsid w:val="00A0298B"/>
    <w:rsid w:val="00A02CD3"/>
    <w:rsid w:val="00A02E2A"/>
    <w:rsid w:val="00A02F3C"/>
    <w:rsid w:val="00A0331D"/>
    <w:rsid w:val="00A03B7D"/>
    <w:rsid w:val="00A03FA6"/>
    <w:rsid w:val="00A04850"/>
    <w:rsid w:val="00A04A82"/>
    <w:rsid w:val="00A04ADE"/>
    <w:rsid w:val="00A04BBC"/>
    <w:rsid w:val="00A050F1"/>
    <w:rsid w:val="00A053A5"/>
    <w:rsid w:val="00A053C8"/>
    <w:rsid w:val="00A0540B"/>
    <w:rsid w:val="00A05425"/>
    <w:rsid w:val="00A05E12"/>
    <w:rsid w:val="00A06088"/>
    <w:rsid w:val="00A0627A"/>
    <w:rsid w:val="00A0635D"/>
    <w:rsid w:val="00A06998"/>
    <w:rsid w:val="00A069F9"/>
    <w:rsid w:val="00A06B58"/>
    <w:rsid w:val="00A07542"/>
    <w:rsid w:val="00A07B73"/>
    <w:rsid w:val="00A07FA2"/>
    <w:rsid w:val="00A10059"/>
    <w:rsid w:val="00A102D4"/>
    <w:rsid w:val="00A106EF"/>
    <w:rsid w:val="00A107BE"/>
    <w:rsid w:val="00A10942"/>
    <w:rsid w:val="00A10B8A"/>
    <w:rsid w:val="00A11215"/>
    <w:rsid w:val="00A11391"/>
    <w:rsid w:val="00A11981"/>
    <w:rsid w:val="00A11A4D"/>
    <w:rsid w:val="00A126F3"/>
    <w:rsid w:val="00A12982"/>
    <w:rsid w:val="00A12D8D"/>
    <w:rsid w:val="00A12E41"/>
    <w:rsid w:val="00A13395"/>
    <w:rsid w:val="00A13B39"/>
    <w:rsid w:val="00A13E1C"/>
    <w:rsid w:val="00A1502E"/>
    <w:rsid w:val="00A1591A"/>
    <w:rsid w:val="00A15ED7"/>
    <w:rsid w:val="00A16036"/>
    <w:rsid w:val="00A16050"/>
    <w:rsid w:val="00A160FE"/>
    <w:rsid w:val="00A166E7"/>
    <w:rsid w:val="00A16F47"/>
    <w:rsid w:val="00A17384"/>
    <w:rsid w:val="00A17633"/>
    <w:rsid w:val="00A178FE"/>
    <w:rsid w:val="00A17960"/>
    <w:rsid w:val="00A179AA"/>
    <w:rsid w:val="00A20084"/>
    <w:rsid w:val="00A200A1"/>
    <w:rsid w:val="00A2061E"/>
    <w:rsid w:val="00A20FF4"/>
    <w:rsid w:val="00A21058"/>
    <w:rsid w:val="00A214D0"/>
    <w:rsid w:val="00A2174A"/>
    <w:rsid w:val="00A2187A"/>
    <w:rsid w:val="00A21AE1"/>
    <w:rsid w:val="00A22102"/>
    <w:rsid w:val="00A2285F"/>
    <w:rsid w:val="00A22B9B"/>
    <w:rsid w:val="00A22C00"/>
    <w:rsid w:val="00A22D22"/>
    <w:rsid w:val="00A22D50"/>
    <w:rsid w:val="00A231CB"/>
    <w:rsid w:val="00A24044"/>
    <w:rsid w:val="00A241A6"/>
    <w:rsid w:val="00A24249"/>
    <w:rsid w:val="00A245E0"/>
    <w:rsid w:val="00A24706"/>
    <w:rsid w:val="00A24BA1"/>
    <w:rsid w:val="00A2517D"/>
    <w:rsid w:val="00A253DA"/>
    <w:rsid w:val="00A255F6"/>
    <w:rsid w:val="00A2594F"/>
    <w:rsid w:val="00A25A37"/>
    <w:rsid w:val="00A26034"/>
    <w:rsid w:val="00A261F0"/>
    <w:rsid w:val="00A2638D"/>
    <w:rsid w:val="00A268EA"/>
    <w:rsid w:val="00A26B15"/>
    <w:rsid w:val="00A26E14"/>
    <w:rsid w:val="00A2742D"/>
    <w:rsid w:val="00A27C3C"/>
    <w:rsid w:val="00A30006"/>
    <w:rsid w:val="00A3036B"/>
    <w:rsid w:val="00A30673"/>
    <w:rsid w:val="00A3083C"/>
    <w:rsid w:val="00A3096B"/>
    <w:rsid w:val="00A30A02"/>
    <w:rsid w:val="00A30B61"/>
    <w:rsid w:val="00A30B87"/>
    <w:rsid w:val="00A30C14"/>
    <w:rsid w:val="00A3133E"/>
    <w:rsid w:val="00A31424"/>
    <w:rsid w:val="00A31731"/>
    <w:rsid w:val="00A31975"/>
    <w:rsid w:val="00A31DDC"/>
    <w:rsid w:val="00A3253C"/>
    <w:rsid w:val="00A32790"/>
    <w:rsid w:val="00A32B77"/>
    <w:rsid w:val="00A32DB3"/>
    <w:rsid w:val="00A338AB"/>
    <w:rsid w:val="00A339AC"/>
    <w:rsid w:val="00A3409B"/>
    <w:rsid w:val="00A344A6"/>
    <w:rsid w:val="00A34BCB"/>
    <w:rsid w:val="00A34C08"/>
    <w:rsid w:val="00A34D10"/>
    <w:rsid w:val="00A34D82"/>
    <w:rsid w:val="00A34EDE"/>
    <w:rsid w:val="00A357B6"/>
    <w:rsid w:val="00A35858"/>
    <w:rsid w:val="00A359BD"/>
    <w:rsid w:val="00A35C55"/>
    <w:rsid w:val="00A35EF4"/>
    <w:rsid w:val="00A35F77"/>
    <w:rsid w:val="00A365D5"/>
    <w:rsid w:val="00A368B1"/>
    <w:rsid w:val="00A36AAD"/>
    <w:rsid w:val="00A36CA1"/>
    <w:rsid w:val="00A36E0F"/>
    <w:rsid w:val="00A3713D"/>
    <w:rsid w:val="00A373C6"/>
    <w:rsid w:val="00A37D59"/>
    <w:rsid w:val="00A406EC"/>
    <w:rsid w:val="00A41519"/>
    <w:rsid w:val="00A41665"/>
    <w:rsid w:val="00A418A9"/>
    <w:rsid w:val="00A4211D"/>
    <w:rsid w:val="00A422C4"/>
    <w:rsid w:val="00A42C46"/>
    <w:rsid w:val="00A44108"/>
    <w:rsid w:val="00A4434C"/>
    <w:rsid w:val="00A44430"/>
    <w:rsid w:val="00A44BE1"/>
    <w:rsid w:val="00A44EC0"/>
    <w:rsid w:val="00A45127"/>
    <w:rsid w:val="00A45517"/>
    <w:rsid w:val="00A45EFF"/>
    <w:rsid w:val="00A4687C"/>
    <w:rsid w:val="00A46931"/>
    <w:rsid w:val="00A4730E"/>
    <w:rsid w:val="00A47619"/>
    <w:rsid w:val="00A4761F"/>
    <w:rsid w:val="00A47C9C"/>
    <w:rsid w:val="00A50464"/>
    <w:rsid w:val="00A50F63"/>
    <w:rsid w:val="00A50FCC"/>
    <w:rsid w:val="00A51FB2"/>
    <w:rsid w:val="00A52108"/>
    <w:rsid w:val="00A52407"/>
    <w:rsid w:val="00A52456"/>
    <w:rsid w:val="00A52735"/>
    <w:rsid w:val="00A5294D"/>
    <w:rsid w:val="00A52C9E"/>
    <w:rsid w:val="00A53071"/>
    <w:rsid w:val="00A53621"/>
    <w:rsid w:val="00A53A62"/>
    <w:rsid w:val="00A53BCA"/>
    <w:rsid w:val="00A53E40"/>
    <w:rsid w:val="00A54175"/>
    <w:rsid w:val="00A54745"/>
    <w:rsid w:val="00A54E06"/>
    <w:rsid w:val="00A55127"/>
    <w:rsid w:val="00A5547D"/>
    <w:rsid w:val="00A55545"/>
    <w:rsid w:val="00A55724"/>
    <w:rsid w:val="00A55B81"/>
    <w:rsid w:val="00A55DF9"/>
    <w:rsid w:val="00A561C8"/>
    <w:rsid w:val="00A562F7"/>
    <w:rsid w:val="00A56913"/>
    <w:rsid w:val="00A5703C"/>
    <w:rsid w:val="00A57052"/>
    <w:rsid w:val="00A57080"/>
    <w:rsid w:val="00A57316"/>
    <w:rsid w:val="00A5732C"/>
    <w:rsid w:val="00A5751D"/>
    <w:rsid w:val="00A575A2"/>
    <w:rsid w:val="00A57C24"/>
    <w:rsid w:val="00A6011A"/>
    <w:rsid w:val="00A603BC"/>
    <w:rsid w:val="00A6085A"/>
    <w:rsid w:val="00A609F2"/>
    <w:rsid w:val="00A61034"/>
    <w:rsid w:val="00A61AC3"/>
    <w:rsid w:val="00A625D8"/>
    <w:rsid w:val="00A62CAF"/>
    <w:rsid w:val="00A62D0F"/>
    <w:rsid w:val="00A62D68"/>
    <w:rsid w:val="00A62F62"/>
    <w:rsid w:val="00A630DE"/>
    <w:rsid w:val="00A63122"/>
    <w:rsid w:val="00A631B8"/>
    <w:rsid w:val="00A63397"/>
    <w:rsid w:val="00A635CC"/>
    <w:rsid w:val="00A6390D"/>
    <w:rsid w:val="00A63F1F"/>
    <w:rsid w:val="00A63FA8"/>
    <w:rsid w:val="00A647C4"/>
    <w:rsid w:val="00A64EC8"/>
    <w:rsid w:val="00A64F3A"/>
    <w:rsid w:val="00A6504D"/>
    <w:rsid w:val="00A6531A"/>
    <w:rsid w:val="00A65428"/>
    <w:rsid w:val="00A6596E"/>
    <w:rsid w:val="00A65A45"/>
    <w:rsid w:val="00A65C5C"/>
    <w:rsid w:val="00A65ECB"/>
    <w:rsid w:val="00A670E0"/>
    <w:rsid w:val="00A67204"/>
    <w:rsid w:val="00A67411"/>
    <w:rsid w:val="00A676AB"/>
    <w:rsid w:val="00A67717"/>
    <w:rsid w:val="00A67C80"/>
    <w:rsid w:val="00A67C82"/>
    <w:rsid w:val="00A67F67"/>
    <w:rsid w:val="00A70245"/>
    <w:rsid w:val="00A705CD"/>
    <w:rsid w:val="00A708A1"/>
    <w:rsid w:val="00A70F3E"/>
    <w:rsid w:val="00A71227"/>
    <w:rsid w:val="00A71309"/>
    <w:rsid w:val="00A7154F"/>
    <w:rsid w:val="00A71CC7"/>
    <w:rsid w:val="00A71D40"/>
    <w:rsid w:val="00A72499"/>
    <w:rsid w:val="00A72AAD"/>
    <w:rsid w:val="00A734C9"/>
    <w:rsid w:val="00A73D1C"/>
    <w:rsid w:val="00A73E8A"/>
    <w:rsid w:val="00A74057"/>
    <w:rsid w:val="00A7421E"/>
    <w:rsid w:val="00A7470A"/>
    <w:rsid w:val="00A74B61"/>
    <w:rsid w:val="00A74C78"/>
    <w:rsid w:val="00A753BD"/>
    <w:rsid w:val="00A7545B"/>
    <w:rsid w:val="00A754D0"/>
    <w:rsid w:val="00A75B2F"/>
    <w:rsid w:val="00A75B95"/>
    <w:rsid w:val="00A75BFF"/>
    <w:rsid w:val="00A75C5A"/>
    <w:rsid w:val="00A75F09"/>
    <w:rsid w:val="00A7638E"/>
    <w:rsid w:val="00A7647C"/>
    <w:rsid w:val="00A76A36"/>
    <w:rsid w:val="00A76B4C"/>
    <w:rsid w:val="00A7726B"/>
    <w:rsid w:val="00A77658"/>
    <w:rsid w:val="00A778CB"/>
    <w:rsid w:val="00A779B8"/>
    <w:rsid w:val="00A77BD9"/>
    <w:rsid w:val="00A77C1E"/>
    <w:rsid w:val="00A77CBD"/>
    <w:rsid w:val="00A80094"/>
    <w:rsid w:val="00A802FA"/>
    <w:rsid w:val="00A8096D"/>
    <w:rsid w:val="00A80A27"/>
    <w:rsid w:val="00A80CA5"/>
    <w:rsid w:val="00A81120"/>
    <w:rsid w:val="00A815CF"/>
    <w:rsid w:val="00A81AD3"/>
    <w:rsid w:val="00A81F59"/>
    <w:rsid w:val="00A82649"/>
    <w:rsid w:val="00A8286C"/>
    <w:rsid w:val="00A82927"/>
    <w:rsid w:val="00A82932"/>
    <w:rsid w:val="00A82DC6"/>
    <w:rsid w:val="00A834A9"/>
    <w:rsid w:val="00A838A8"/>
    <w:rsid w:val="00A84230"/>
    <w:rsid w:val="00A84BDD"/>
    <w:rsid w:val="00A84E1C"/>
    <w:rsid w:val="00A850DA"/>
    <w:rsid w:val="00A85713"/>
    <w:rsid w:val="00A858D9"/>
    <w:rsid w:val="00A8610D"/>
    <w:rsid w:val="00A8650C"/>
    <w:rsid w:val="00A866B1"/>
    <w:rsid w:val="00A86E78"/>
    <w:rsid w:val="00A8747D"/>
    <w:rsid w:val="00A877BF"/>
    <w:rsid w:val="00A87998"/>
    <w:rsid w:val="00A87BD3"/>
    <w:rsid w:val="00A87CC5"/>
    <w:rsid w:val="00A87F80"/>
    <w:rsid w:val="00A904C6"/>
    <w:rsid w:val="00A90725"/>
    <w:rsid w:val="00A9077F"/>
    <w:rsid w:val="00A907FA"/>
    <w:rsid w:val="00A90FF4"/>
    <w:rsid w:val="00A912CC"/>
    <w:rsid w:val="00A9138B"/>
    <w:rsid w:val="00A919DE"/>
    <w:rsid w:val="00A91BC7"/>
    <w:rsid w:val="00A91DA9"/>
    <w:rsid w:val="00A9209D"/>
    <w:rsid w:val="00A9220E"/>
    <w:rsid w:val="00A93B99"/>
    <w:rsid w:val="00A940A2"/>
    <w:rsid w:val="00A94550"/>
    <w:rsid w:val="00A94914"/>
    <w:rsid w:val="00A94B95"/>
    <w:rsid w:val="00A95025"/>
    <w:rsid w:val="00A950D0"/>
    <w:rsid w:val="00A9510C"/>
    <w:rsid w:val="00A959DF"/>
    <w:rsid w:val="00A95D7D"/>
    <w:rsid w:val="00A95E34"/>
    <w:rsid w:val="00A95F3E"/>
    <w:rsid w:val="00A965AE"/>
    <w:rsid w:val="00A965BB"/>
    <w:rsid w:val="00A96642"/>
    <w:rsid w:val="00A9664A"/>
    <w:rsid w:val="00A96AA7"/>
    <w:rsid w:val="00A96ABC"/>
    <w:rsid w:val="00A96B52"/>
    <w:rsid w:val="00A96B89"/>
    <w:rsid w:val="00A9700A"/>
    <w:rsid w:val="00A978DB"/>
    <w:rsid w:val="00A97C82"/>
    <w:rsid w:val="00A97E95"/>
    <w:rsid w:val="00A97F81"/>
    <w:rsid w:val="00AA0765"/>
    <w:rsid w:val="00AA0951"/>
    <w:rsid w:val="00AA0B55"/>
    <w:rsid w:val="00AA0F75"/>
    <w:rsid w:val="00AA10A1"/>
    <w:rsid w:val="00AA113B"/>
    <w:rsid w:val="00AA1421"/>
    <w:rsid w:val="00AA1768"/>
    <w:rsid w:val="00AA1906"/>
    <w:rsid w:val="00AA1CF1"/>
    <w:rsid w:val="00AA2399"/>
    <w:rsid w:val="00AA269C"/>
    <w:rsid w:val="00AA29F7"/>
    <w:rsid w:val="00AA2B05"/>
    <w:rsid w:val="00AA36B2"/>
    <w:rsid w:val="00AA3852"/>
    <w:rsid w:val="00AA4696"/>
    <w:rsid w:val="00AA46C4"/>
    <w:rsid w:val="00AA4E0C"/>
    <w:rsid w:val="00AA52F2"/>
    <w:rsid w:val="00AA5506"/>
    <w:rsid w:val="00AA58B7"/>
    <w:rsid w:val="00AA6F56"/>
    <w:rsid w:val="00AA71BF"/>
    <w:rsid w:val="00AA742B"/>
    <w:rsid w:val="00AB04A0"/>
    <w:rsid w:val="00AB062A"/>
    <w:rsid w:val="00AB0771"/>
    <w:rsid w:val="00AB0AEC"/>
    <w:rsid w:val="00AB108B"/>
    <w:rsid w:val="00AB174B"/>
    <w:rsid w:val="00AB1B47"/>
    <w:rsid w:val="00AB2446"/>
    <w:rsid w:val="00AB28A9"/>
    <w:rsid w:val="00AB2ACF"/>
    <w:rsid w:val="00AB2F97"/>
    <w:rsid w:val="00AB3359"/>
    <w:rsid w:val="00AB402C"/>
    <w:rsid w:val="00AB4235"/>
    <w:rsid w:val="00AB4485"/>
    <w:rsid w:val="00AB46AD"/>
    <w:rsid w:val="00AB498F"/>
    <w:rsid w:val="00AB4BD6"/>
    <w:rsid w:val="00AB5CD4"/>
    <w:rsid w:val="00AB605F"/>
    <w:rsid w:val="00AB61D9"/>
    <w:rsid w:val="00AB6CBB"/>
    <w:rsid w:val="00AB77AC"/>
    <w:rsid w:val="00AB7A1E"/>
    <w:rsid w:val="00AB7C2E"/>
    <w:rsid w:val="00AB7DC5"/>
    <w:rsid w:val="00AC0622"/>
    <w:rsid w:val="00AC0816"/>
    <w:rsid w:val="00AC08B9"/>
    <w:rsid w:val="00AC0DF7"/>
    <w:rsid w:val="00AC12EB"/>
    <w:rsid w:val="00AC1772"/>
    <w:rsid w:val="00AC197C"/>
    <w:rsid w:val="00AC1FEB"/>
    <w:rsid w:val="00AC226D"/>
    <w:rsid w:val="00AC2347"/>
    <w:rsid w:val="00AC2498"/>
    <w:rsid w:val="00AC271D"/>
    <w:rsid w:val="00AC2F5E"/>
    <w:rsid w:val="00AC3CD3"/>
    <w:rsid w:val="00AC3EBC"/>
    <w:rsid w:val="00AC40F6"/>
    <w:rsid w:val="00AC4A11"/>
    <w:rsid w:val="00AC58F6"/>
    <w:rsid w:val="00AC5D5D"/>
    <w:rsid w:val="00AC5FB7"/>
    <w:rsid w:val="00AC659A"/>
    <w:rsid w:val="00AC682F"/>
    <w:rsid w:val="00AC6B24"/>
    <w:rsid w:val="00AC6C17"/>
    <w:rsid w:val="00AC6DF3"/>
    <w:rsid w:val="00AC6EA5"/>
    <w:rsid w:val="00AC76F3"/>
    <w:rsid w:val="00AC772B"/>
    <w:rsid w:val="00AC7917"/>
    <w:rsid w:val="00AC7986"/>
    <w:rsid w:val="00AC7D5B"/>
    <w:rsid w:val="00AC7F7A"/>
    <w:rsid w:val="00AD01CB"/>
    <w:rsid w:val="00AD074A"/>
    <w:rsid w:val="00AD0C59"/>
    <w:rsid w:val="00AD0E92"/>
    <w:rsid w:val="00AD2AA6"/>
    <w:rsid w:val="00AD3032"/>
    <w:rsid w:val="00AD3172"/>
    <w:rsid w:val="00AD35E6"/>
    <w:rsid w:val="00AD36F2"/>
    <w:rsid w:val="00AD392F"/>
    <w:rsid w:val="00AD3992"/>
    <w:rsid w:val="00AD39D5"/>
    <w:rsid w:val="00AD3DD4"/>
    <w:rsid w:val="00AD401C"/>
    <w:rsid w:val="00AD47D8"/>
    <w:rsid w:val="00AD49BC"/>
    <w:rsid w:val="00AD4E4E"/>
    <w:rsid w:val="00AD5038"/>
    <w:rsid w:val="00AD51EE"/>
    <w:rsid w:val="00AD5962"/>
    <w:rsid w:val="00AD5A0C"/>
    <w:rsid w:val="00AD5FB5"/>
    <w:rsid w:val="00AD6219"/>
    <w:rsid w:val="00AD634F"/>
    <w:rsid w:val="00AD63AF"/>
    <w:rsid w:val="00AD6639"/>
    <w:rsid w:val="00AD6D2C"/>
    <w:rsid w:val="00AD6DBC"/>
    <w:rsid w:val="00AD6E22"/>
    <w:rsid w:val="00AD73D3"/>
    <w:rsid w:val="00AD76E0"/>
    <w:rsid w:val="00AD79EE"/>
    <w:rsid w:val="00AD7BA9"/>
    <w:rsid w:val="00AD7D90"/>
    <w:rsid w:val="00AD7ECE"/>
    <w:rsid w:val="00AE006A"/>
    <w:rsid w:val="00AE007D"/>
    <w:rsid w:val="00AE0170"/>
    <w:rsid w:val="00AE04AC"/>
    <w:rsid w:val="00AE0681"/>
    <w:rsid w:val="00AE0E97"/>
    <w:rsid w:val="00AE1EFB"/>
    <w:rsid w:val="00AE2004"/>
    <w:rsid w:val="00AE21C8"/>
    <w:rsid w:val="00AE2243"/>
    <w:rsid w:val="00AE24A6"/>
    <w:rsid w:val="00AE263D"/>
    <w:rsid w:val="00AE27AB"/>
    <w:rsid w:val="00AE294D"/>
    <w:rsid w:val="00AE2AA4"/>
    <w:rsid w:val="00AE2C2D"/>
    <w:rsid w:val="00AE30BF"/>
    <w:rsid w:val="00AE3336"/>
    <w:rsid w:val="00AE33AA"/>
    <w:rsid w:val="00AE3765"/>
    <w:rsid w:val="00AE3A59"/>
    <w:rsid w:val="00AE3B8E"/>
    <w:rsid w:val="00AE3D01"/>
    <w:rsid w:val="00AE50F1"/>
    <w:rsid w:val="00AE59D1"/>
    <w:rsid w:val="00AE5E13"/>
    <w:rsid w:val="00AE5E4A"/>
    <w:rsid w:val="00AE5E56"/>
    <w:rsid w:val="00AE61BA"/>
    <w:rsid w:val="00AE704C"/>
    <w:rsid w:val="00AE75A5"/>
    <w:rsid w:val="00AE7A40"/>
    <w:rsid w:val="00AF00A4"/>
    <w:rsid w:val="00AF068F"/>
    <w:rsid w:val="00AF078D"/>
    <w:rsid w:val="00AF097C"/>
    <w:rsid w:val="00AF0A8E"/>
    <w:rsid w:val="00AF0A97"/>
    <w:rsid w:val="00AF0AD9"/>
    <w:rsid w:val="00AF0CD8"/>
    <w:rsid w:val="00AF0D57"/>
    <w:rsid w:val="00AF0D6B"/>
    <w:rsid w:val="00AF1A33"/>
    <w:rsid w:val="00AF20EA"/>
    <w:rsid w:val="00AF2285"/>
    <w:rsid w:val="00AF237D"/>
    <w:rsid w:val="00AF2403"/>
    <w:rsid w:val="00AF271F"/>
    <w:rsid w:val="00AF27E5"/>
    <w:rsid w:val="00AF2904"/>
    <w:rsid w:val="00AF2B3A"/>
    <w:rsid w:val="00AF3708"/>
    <w:rsid w:val="00AF41AD"/>
    <w:rsid w:val="00AF44C4"/>
    <w:rsid w:val="00AF4582"/>
    <w:rsid w:val="00AF45C6"/>
    <w:rsid w:val="00AF4620"/>
    <w:rsid w:val="00AF4725"/>
    <w:rsid w:val="00AF536D"/>
    <w:rsid w:val="00AF546A"/>
    <w:rsid w:val="00AF5797"/>
    <w:rsid w:val="00AF59D7"/>
    <w:rsid w:val="00AF615D"/>
    <w:rsid w:val="00AF6403"/>
    <w:rsid w:val="00AF6A4A"/>
    <w:rsid w:val="00AF6A71"/>
    <w:rsid w:val="00AF752E"/>
    <w:rsid w:val="00AF7596"/>
    <w:rsid w:val="00AF77B5"/>
    <w:rsid w:val="00AF77CA"/>
    <w:rsid w:val="00AF784A"/>
    <w:rsid w:val="00AF7D56"/>
    <w:rsid w:val="00AF7EA8"/>
    <w:rsid w:val="00B001F9"/>
    <w:rsid w:val="00B00A78"/>
    <w:rsid w:val="00B018D2"/>
    <w:rsid w:val="00B0215B"/>
    <w:rsid w:val="00B02332"/>
    <w:rsid w:val="00B02C0D"/>
    <w:rsid w:val="00B03806"/>
    <w:rsid w:val="00B03A23"/>
    <w:rsid w:val="00B03DD4"/>
    <w:rsid w:val="00B04020"/>
    <w:rsid w:val="00B044C7"/>
    <w:rsid w:val="00B04619"/>
    <w:rsid w:val="00B0480C"/>
    <w:rsid w:val="00B049D3"/>
    <w:rsid w:val="00B04CCE"/>
    <w:rsid w:val="00B0537C"/>
    <w:rsid w:val="00B05D2F"/>
    <w:rsid w:val="00B05DA6"/>
    <w:rsid w:val="00B05E39"/>
    <w:rsid w:val="00B065E1"/>
    <w:rsid w:val="00B06A50"/>
    <w:rsid w:val="00B06C1E"/>
    <w:rsid w:val="00B07351"/>
    <w:rsid w:val="00B07852"/>
    <w:rsid w:val="00B07BFE"/>
    <w:rsid w:val="00B10923"/>
    <w:rsid w:val="00B10C9E"/>
    <w:rsid w:val="00B10CEC"/>
    <w:rsid w:val="00B10E60"/>
    <w:rsid w:val="00B10E78"/>
    <w:rsid w:val="00B111BE"/>
    <w:rsid w:val="00B11A3C"/>
    <w:rsid w:val="00B11D69"/>
    <w:rsid w:val="00B12430"/>
    <w:rsid w:val="00B1264D"/>
    <w:rsid w:val="00B12936"/>
    <w:rsid w:val="00B12B94"/>
    <w:rsid w:val="00B12D69"/>
    <w:rsid w:val="00B12FB1"/>
    <w:rsid w:val="00B12FC5"/>
    <w:rsid w:val="00B1305A"/>
    <w:rsid w:val="00B132C8"/>
    <w:rsid w:val="00B1397F"/>
    <w:rsid w:val="00B13AB1"/>
    <w:rsid w:val="00B142B1"/>
    <w:rsid w:val="00B142D4"/>
    <w:rsid w:val="00B14397"/>
    <w:rsid w:val="00B1462F"/>
    <w:rsid w:val="00B14859"/>
    <w:rsid w:val="00B148A7"/>
    <w:rsid w:val="00B148FD"/>
    <w:rsid w:val="00B14EAD"/>
    <w:rsid w:val="00B15324"/>
    <w:rsid w:val="00B153A7"/>
    <w:rsid w:val="00B157E5"/>
    <w:rsid w:val="00B15970"/>
    <w:rsid w:val="00B15A30"/>
    <w:rsid w:val="00B15E2F"/>
    <w:rsid w:val="00B15EFF"/>
    <w:rsid w:val="00B15F9B"/>
    <w:rsid w:val="00B1612D"/>
    <w:rsid w:val="00B1657B"/>
    <w:rsid w:val="00B16700"/>
    <w:rsid w:val="00B1691A"/>
    <w:rsid w:val="00B16928"/>
    <w:rsid w:val="00B16E32"/>
    <w:rsid w:val="00B173CB"/>
    <w:rsid w:val="00B1787E"/>
    <w:rsid w:val="00B17F03"/>
    <w:rsid w:val="00B200CD"/>
    <w:rsid w:val="00B20204"/>
    <w:rsid w:val="00B20309"/>
    <w:rsid w:val="00B2064F"/>
    <w:rsid w:val="00B206C7"/>
    <w:rsid w:val="00B20C14"/>
    <w:rsid w:val="00B20CD2"/>
    <w:rsid w:val="00B21052"/>
    <w:rsid w:val="00B21459"/>
    <w:rsid w:val="00B216F3"/>
    <w:rsid w:val="00B21811"/>
    <w:rsid w:val="00B21817"/>
    <w:rsid w:val="00B222EC"/>
    <w:rsid w:val="00B22468"/>
    <w:rsid w:val="00B224DE"/>
    <w:rsid w:val="00B2260E"/>
    <w:rsid w:val="00B22841"/>
    <w:rsid w:val="00B23608"/>
    <w:rsid w:val="00B2389C"/>
    <w:rsid w:val="00B23B78"/>
    <w:rsid w:val="00B23C8F"/>
    <w:rsid w:val="00B23DE9"/>
    <w:rsid w:val="00B23E7E"/>
    <w:rsid w:val="00B23EBF"/>
    <w:rsid w:val="00B2436F"/>
    <w:rsid w:val="00B2445A"/>
    <w:rsid w:val="00B24C12"/>
    <w:rsid w:val="00B24DF7"/>
    <w:rsid w:val="00B24E6F"/>
    <w:rsid w:val="00B24FB0"/>
    <w:rsid w:val="00B253A8"/>
    <w:rsid w:val="00B25A99"/>
    <w:rsid w:val="00B25FF3"/>
    <w:rsid w:val="00B2649F"/>
    <w:rsid w:val="00B26BDD"/>
    <w:rsid w:val="00B26C63"/>
    <w:rsid w:val="00B26F50"/>
    <w:rsid w:val="00B273BF"/>
    <w:rsid w:val="00B2779C"/>
    <w:rsid w:val="00B27BAC"/>
    <w:rsid w:val="00B27E3B"/>
    <w:rsid w:val="00B27F64"/>
    <w:rsid w:val="00B300DC"/>
    <w:rsid w:val="00B306D8"/>
    <w:rsid w:val="00B30708"/>
    <w:rsid w:val="00B31025"/>
    <w:rsid w:val="00B3132D"/>
    <w:rsid w:val="00B31970"/>
    <w:rsid w:val="00B31D04"/>
    <w:rsid w:val="00B321F3"/>
    <w:rsid w:val="00B32351"/>
    <w:rsid w:val="00B32526"/>
    <w:rsid w:val="00B329B5"/>
    <w:rsid w:val="00B32DBB"/>
    <w:rsid w:val="00B32EDB"/>
    <w:rsid w:val="00B3329E"/>
    <w:rsid w:val="00B332BA"/>
    <w:rsid w:val="00B3335B"/>
    <w:rsid w:val="00B3384A"/>
    <w:rsid w:val="00B33C9B"/>
    <w:rsid w:val="00B341D7"/>
    <w:rsid w:val="00B342FC"/>
    <w:rsid w:val="00B3471A"/>
    <w:rsid w:val="00B3490C"/>
    <w:rsid w:val="00B349A9"/>
    <w:rsid w:val="00B34AC9"/>
    <w:rsid w:val="00B34D02"/>
    <w:rsid w:val="00B3545A"/>
    <w:rsid w:val="00B369ED"/>
    <w:rsid w:val="00B36B0D"/>
    <w:rsid w:val="00B36B82"/>
    <w:rsid w:val="00B36C68"/>
    <w:rsid w:val="00B36CF0"/>
    <w:rsid w:val="00B36E93"/>
    <w:rsid w:val="00B36EF7"/>
    <w:rsid w:val="00B371BD"/>
    <w:rsid w:val="00B37D69"/>
    <w:rsid w:val="00B401C9"/>
    <w:rsid w:val="00B40513"/>
    <w:rsid w:val="00B40888"/>
    <w:rsid w:val="00B40910"/>
    <w:rsid w:val="00B40D69"/>
    <w:rsid w:val="00B411A8"/>
    <w:rsid w:val="00B41A6E"/>
    <w:rsid w:val="00B41C50"/>
    <w:rsid w:val="00B41C97"/>
    <w:rsid w:val="00B41CDB"/>
    <w:rsid w:val="00B41ED2"/>
    <w:rsid w:val="00B42176"/>
    <w:rsid w:val="00B421B9"/>
    <w:rsid w:val="00B42A9C"/>
    <w:rsid w:val="00B42AEB"/>
    <w:rsid w:val="00B4355A"/>
    <w:rsid w:val="00B435F7"/>
    <w:rsid w:val="00B439F4"/>
    <w:rsid w:val="00B43BEE"/>
    <w:rsid w:val="00B43F09"/>
    <w:rsid w:val="00B443D6"/>
    <w:rsid w:val="00B444C9"/>
    <w:rsid w:val="00B444CD"/>
    <w:rsid w:val="00B448EC"/>
    <w:rsid w:val="00B449DF"/>
    <w:rsid w:val="00B44E47"/>
    <w:rsid w:val="00B44F4A"/>
    <w:rsid w:val="00B45688"/>
    <w:rsid w:val="00B45B73"/>
    <w:rsid w:val="00B45BA9"/>
    <w:rsid w:val="00B45C89"/>
    <w:rsid w:val="00B46A21"/>
    <w:rsid w:val="00B46BF1"/>
    <w:rsid w:val="00B46C61"/>
    <w:rsid w:val="00B46E26"/>
    <w:rsid w:val="00B46E37"/>
    <w:rsid w:val="00B46E4A"/>
    <w:rsid w:val="00B4702D"/>
    <w:rsid w:val="00B476F9"/>
    <w:rsid w:val="00B47E2D"/>
    <w:rsid w:val="00B47EF2"/>
    <w:rsid w:val="00B500A7"/>
    <w:rsid w:val="00B505D3"/>
    <w:rsid w:val="00B50932"/>
    <w:rsid w:val="00B51673"/>
    <w:rsid w:val="00B51C33"/>
    <w:rsid w:val="00B52059"/>
    <w:rsid w:val="00B522C4"/>
    <w:rsid w:val="00B526FA"/>
    <w:rsid w:val="00B52EF9"/>
    <w:rsid w:val="00B52F63"/>
    <w:rsid w:val="00B5328B"/>
    <w:rsid w:val="00B5331C"/>
    <w:rsid w:val="00B53AAF"/>
    <w:rsid w:val="00B54488"/>
    <w:rsid w:val="00B54753"/>
    <w:rsid w:val="00B54EC1"/>
    <w:rsid w:val="00B551B3"/>
    <w:rsid w:val="00B553F8"/>
    <w:rsid w:val="00B55412"/>
    <w:rsid w:val="00B55424"/>
    <w:rsid w:val="00B5576F"/>
    <w:rsid w:val="00B557AC"/>
    <w:rsid w:val="00B55E6C"/>
    <w:rsid w:val="00B56400"/>
    <w:rsid w:val="00B56446"/>
    <w:rsid w:val="00B57490"/>
    <w:rsid w:val="00B5770A"/>
    <w:rsid w:val="00B57CC1"/>
    <w:rsid w:val="00B57D54"/>
    <w:rsid w:val="00B57E07"/>
    <w:rsid w:val="00B6000A"/>
    <w:rsid w:val="00B602BF"/>
    <w:rsid w:val="00B602E6"/>
    <w:rsid w:val="00B6030F"/>
    <w:rsid w:val="00B60721"/>
    <w:rsid w:val="00B60D82"/>
    <w:rsid w:val="00B6100E"/>
    <w:rsid w:val="00B613EE"/>
    <w:rsid w:val="00B61ACA"/>
    <w:rsid w:val="00B625F8"/>
    <w:rsid w:val="00B62769"/>
    <w:rsid w:val="00B627F1"/>
    <w:rsid w:val="00B62BDA"/>
    <w:rsid w:val="00B62FF6"/>
    <w:rsid w:val="00B63071"/>
    <w:rsid w:val="00B630BB"/>
    <w:rsid w:val="00B6372D"/>
    <w:rsid w:val="00B63B4A"/>
    <w:rsid w:val="00B64535"/>
    <w:rsid w:val="00B648BE"/>
    <w:rsid w:val="00B64B41"/>
    <w:rsid w:val="00B64CB2"/>
    <w:rsid w:val="00B658D6"/>
    <w:rsid w:val="00B65F28"/>
    <w:rsid w:val="00B6669E"/>
    <w:rsid w:val="00B666F0"/>
    <w:rsid w:val="00B66B2A"/>
    <w:rsid w:val="00B66C5E"/>
    <w:rsid w:val="00B66FB5"/>
    <w:rsid w:val="00B67019"/>
    <w:rsid w:val="00B670A3"/>
    <w:rsid w:val="00B67182"/>
    <w:rsid w:val="00B671F4"/>
    <w:rsid w:val="00B674B1"/>
    <w:rsid w:val="00B67C10"/>
    <w:rsid w:val="00B67FBF"/>
    <w:rsid w:val="00B702D5"/>
    <w:rsid w:val="00B704CE"/>
    <w:rsid w:val="00B707B4"/>
    <w:rsid w:val="00B70F39"/>
    <w:rsid w:val="00B70FA2"/>
    <w:rsid w:val="00B7102B"/>
    <w:rsid w:val="00B71619"/>
    <w:rsid w:val="00B7183C"/>
    <w:rsid w:val="00B72130"/>
    <w:rsid w:val="00B72C48"/>
    <w:rsid w:val="00B7333C"/>
    <w:rsid w:val="00B734AE"/>
    <w:rsid w:val="00B7395C"/>
    <w:rsid w:val="00B73AD4"/>
    <w:rsid w:val="00B744FA"/>
    <w:rsid w:val="00B74722"/>
    <w:rsid w:val="00B74814"/>
    <w:rsid w:val="00B75339"/>
    <w:rsid w:val="00B75A9D"/>
    <w:rsid w:val="00B75FD7"/>
    <w:rsid w:val="00B76019"/>
    <w:rsid w:val="00B76319"/>
    <w:rsid w:val="00B76360"/>
    <w:rsid w:val="00B76497"/>
    <w:rsid w:val="00B76579"/>
    <w:rsid w:val="00B7665F"/>
    <w:rsid w:val="00B76C4A"/>
    <w:rsid w:val="00B76D11"/>
    <w:rsid w:val="00B778A1"/>
    <w:rsid w:val="00B77929"/>
    <w:rsid w:val="00B8014A"/>
    <w:rsid w:val="00B804BA"/>
    <w:rsid w:val="00B80615"/>
    <w:rsid w:val="00B807C0"/>
    <w:rsid w:val="00B8082D"/>
    <w:rsid w:val="00B80E58"/>
    <w:rsid w:val="00B812E9"/>
    <w:rsid w:val="00B81726"/>
    <w:rsid w:val="00B81EE1"/>
    <w:rsid w:val="00B82156"/>
    <w:rsid w:val="00B82549"/>
    <w:rsid w:val="00B828E2"/>
    <w:rsid w:val="00B82A81"/>
    <w:rsid w:val="00B82B8E"/>
    <w:rsid w:val="00B82C6F"/>
    <w:rsid w:val="00B83252"/>
    <w:rsid w:val="00B83B69"/>
    <w:rsid w:val="00B83D58"/>
    <w:rsid w:val="00B83E92"/>
    <w:rsid w:val="00B840F1"/>
    <w:rsid w:val="00B845E6"/>
    <w:rsid w:val="00B845EF"/>
    <w:rsid w:val="00B8471D"/>
    <w:rsid w:val="00B84BA0"/>
    <w:rsid w:val="00B850E8"/>
    <w:rsid w:val="00B850F0"/>
    <w:rsid w:val="00B851A8"/>
    <w:rsid w:val="00B8562C"/>
    <w:rsid w:val="00B85763"/>
    <w:rsid w:val="00B86330"/>
    <w:rsid w:val="00B86799"/>
    <w:rsid w:val="00B867BC"/>
    <w:rsid w:val="00B8727A"/>
    <w:rsid w:val="00B872B0"/>
    <w:rsid w:val="00B878F9"/>
    <w:rsid w:val="00B9007E"/>
    <w:rsid w:val="00B90232"/>
    <w:rsid w:val="00B904F4"/>
    <w:rsid w:val="00B90850"/>
    <w:rsid w:val="00B9095B"/>
    <w:rsid w:val="00B90CBD"/>
    <w:rsid w:val="00B90EA9"/>
    <w:rsid w:val="00B911EE"/>
    <w:rsid w:val="00B9142E"/>
    <w:rsid w:val="00B921E5"/>
    <w:rsid w:val="00B9233B"/>
    <w:rsid w:val="00B92A4F"/>
    <w:rsid w:val="00B92C58"/>
    <w:rsid w:val="00B92EE1"/>
    <w:rsid w:val="00B93099"/>
    <w:rsid w:val="00B93255"/>
    <w:rsid w:val="00B93295"/>
    <w:rsid w:val="00B937F5"/>
    <w:rsid w:val="00B93B43"/>
    <w:rsid w:val="00B93F0B"/>
    <w:rsid w:val="00B94046"/>
    <w:rsid w:val="00B94272"/>
    <w:rsid w:val="00B94511"/>
    <w:rsid w:val="00B95586"/>
    <w:rsid w:val="00B95664"/>
    <w:rsid w:val="00B95A2D"/>
    <w:rsid w:val="00B95B10"/>
    <w:rsid w:val="00B95CEE"/>
    <w:rsid w:val="00B95D1D"/>
    <w:rsid w:val="00B95E23"/>
    <w:rsid w:val="00B9619E"/>
    <w:rsid w:val="00B96287"/>
    <w:rsid w:val="00B96C11"/>
    <w:rsid w:val="00B96FDE"/>
    <w:rsid w:val="00B96FF0"/>
    <w:rsid w:val="00B970FE"/>
    <w:rsid w:val="00B97AA0"/>
    <w:rsid w:val="00B97CAB"/>
    <w:rsid w:val="00B97D7C"/>
    <w:rsid w:val="00B97F57"/>
    <w:rsid w:val="00BA0094"/>
    <w:rsid w:val="00BA0B6E"/>
    <w:rsid w:val="00BA0D7C"/>
    <w:rsid w:val="00BA1774"/>
    <w:rsid w:val="00BA17EE"/>
    <w:rsid w:val="00BA1BAF"/>
    <w:rsid w:val="00BA1CDE"/>
    <w:rsid w:val="00BA1D76"/>
    <w:rsid w:val="00BA22A7"/>
    <w:rsid w:val="00BA2516"/>
    <w:rsid w:val="00BA2AF2"/>
    <w:rsid w:val="00BA34A8"/>
    <w:rsid w:val="00BA38D1"/>
    <w:rsid w:val="00BA3AEC"/>
    <w:rsid w:val="00BA3C6F"/>
    <w:rsid w:val="00BA3D1B"/>
    <w:rsid w:val="00BA4DF0"/>
    <w:rsid w:val="00BA55C9"/>
    <w:rsid w:val="00BA56C1"/>
    <w:rsid w:val="00BA5AD4"/>
    <w:rsid w:val="00BA5C22"/>
    <w:rsid w:val="00BA5FDC"/>
    <w:rsid w:val="00BA61E5"/>
    <w:rsid w:val="00BA62F6"/>
    <w:rsid w:val="00BA6838"/>
    <w:rsid w:val="00BA71BA"/>
    <w:rsid w:val="00BA7234"/>
    <w:rsid w:val="00BA7457"/>
    <w:rsid w:val="00BB05AF"/>
    <w:rsid w:val="00BB075D"/>
    <w:rsid w:val="00BB081F"/>
    <w:rsid w:val="00BB0851"/>
    <w:rsid w:val="00BB0BF0"/>
    <w:rsid w:val="00BB0E79"/>
    <w:rsid w:val="00BB14B7"/>
    <w:rsid w:val="00BB171B"/>
    <w:rsid w:val="00BB1757"/>
    <w:rsid w:val="00BB1EF2"/>
    <w:rsid w:val="00BB21FD"/>
    <w:rsid w:val="00BB2291"/>
    <w:rsid w:val="00BB23C1"/>
    <w:rsid w:val="00BB29B9"/>
    <w:rsid w:val="00BB2C24"/>
    <w:rsid w:val="00BB2CA5"/>
    <w:rsid w:val="00BB3602"/>
    <w:rsid w:val="00BB3865"/>
    <w:rsid w:val="00BB3A6E"/>
    <w:rsid w:val="00BB416D"/>
    <w:rsid w:val="00BB4678"/>
    <w:rsid w:val="00BB471E"/>
    <w:rsid w:val="00BB4A25"/>
    <w:rsid w:val="00BB4BC7"/>
    <w:rsid w:val="00BB556E"/>
    <w:rsid w:val="00BB56AB"/>
    <w:rsid w:val="00BB5943"/>
    <w:rsid w:val="00BB5B8F"/>
    <w:rsid w:val="00BB5BEB"/>
    <w:rsid w:val="00BB5DCD"/>
    <w:rsid w:val="00BB5F53"/>
    <w:rsid w:val="00BB6445"/>
    <w:rsid w:val="00BB666C"/>
    <w:rsid w:val="00BB669D"/>
    <w:rsid w:val="00BB6D19"/>
    <w:rsid w:val="00BB73B7"/>
    <w:rsid w:val="00BB74AD"/>
    <w:rsid w:val="00BB77F7"/>
    <w:rsid w:val="00BB7B25"/>
    <w:rsid w:val="00BB7C79"/>
    <w:rsid w:val="00BB7E57"/>
    <w:rsid w:val="00BC02F6"/>
    <w:rsid w:val="00BC0659"/>
    <w:rsid w:val="00BC0814"/>
    <w:rsid w:val="00BC10A3"/>
    <w:rsid w:val="00BC12A1"/>
    <w:rsid w:val="00BC1942"/>
    <w:rsid w:val="00BC1DEC"/>
    <w:rsid w:val="00BC1E2A"/>
    <w:rsid w:val="00BC26D9"/>
    <w:rsid w:val="00BC2A13"/>
    <w:rsid w:val="00BC2B34"/>
    <w:rsid w:val="00BC2E29"/>
    <w:rsid w:val="00BC2E61"/>
    <w:rsid w:val="00BC3234"/>
    <w:rsid w:val="00BC460F"/>
    <w:rsid w:val="00BC4AE8"/>
    <w:rsid w:val="00BC4D95"/>
    <w:rsid w:val="00BC595E"/>
    <w:rsid w:val="00BC5AEE"/>
    <w:rsid w:val="00BC5DC0"/>
    <w:rsid w:val="00BC5E21"/>
    <w:rsid w:val="00BC639B"/>
    <w:rsid w:val="00BC63B2"/>
    <w:rsid w:val="00BC660C"/>
    <w:rsid w:val="00BC67B6"/>
    <w:rsid w:val="00BC7003"/>
    <w:rsid w:val="00BC7435"/>
    <w:rsid w:val="00BC79B9"/>
    <w:rsid w:val="00BC7DCB"/>
    <w:rsid w:val="00BD0069"/>
    <w:rsid w:val="00BD016C"/>
    <w:rsid w:val="00BD033A"/>
    <w:rsid w:val="00BD0446"/>
    <w:rsid w:val="00BD09B4"/>
    <w:rsid w:val="00BD0AE9"/>
    <w:rsid w:val="00BD0E46"/>
    <w:rsid w:val="00BD0F8D"/>
    <w:rsid w:val="00BD13A6"/>
    <w:rsid w:val="00BD1462"/>
    <w:rsid w:val="00BD1589"/>
    <w:rsid w:val="00BD1791"/>
    <w:rsid w:val="00BD17A6"/>
    <w:rsid w:val="00BD2150"/>
    <w:rsid w:val="00BD2402"/>
    <w:rsid w:val="00BD2861"/>
    <w:rsid w:val="00BD289D"/>
    <w:rsid w:val="00BD291B"/>
    <w:rsid w:val="00BD2A36"/>
    <w:rsid w:val="00BD2C88"/>
    <w:rsid w:val="00BD2EB9"/>
    <w:rsid w:val="00BD314A"/>
    <w:rsid w:val="00BD3658"/>
    <w:rsid w:val="00BD39E1"/>
    <w:rsid w:val="00BD3BEF"/>
    <w:rsid w:val="00BD4029"/>
    <w:rsid w:val="00BD418A"/>
    <w:rsid w:val="00BD4271"/>
    <w:rsid w:val="00BD42F3"/>
    <w:rsid w:val="00BD4405"/>
    <w:rsid w:val="00BD4461"/>
    <w:rsid w:val="00BD4688"/>
    <w:rsid w:val="00BD46D1"/>
    <w:rsid w:val="00BD48A7"/>
    <w:rsid w:val="00BD4C2F"/>
    <w:rsid w:val="00BD4D5E"/>
    <w:rsid w:val="00BD5C25"/>
    <w:rsid w:val="00BD5CE8"/>
    <w:rsid w:val="00BD6061"/>
    <w:rsid w:val="00BD6D5B"/>
    <w:rsid w:val="00BD6FEF"/>
    <w:rsid w:val="00BD72A6"/>
    <w:rsid w:val="00BD737F"/>
    <w:rsid w:val="00BD75D6"/>
    <w:rsid w:val="00BD7B3E"/>
    <w:rsid w:val="00BE00AF"/>
    <w:rsid w:val="00BE0541"/>
    <w:rsid w:val="00BE0600"/>
    <w:rsid w:val="00BE0647"/>
    <w:rsid w:val="00BE0959"/>
    <w:rsid w:val="00BE1300"/>
    <w:rsid w:val="00BE147C"/>
    <w:rsid w:val="00BE1625"/>
    <w:rsid w:val="00BE1E60"/>
    <w:rsid w:val="00BE1EFA"/>
    <w:rsid w:val="00BE2933"/>
    <w:rsid w:val="00BE29B5"/>
    <w:rsid w:val="00BE2A5E"/>
    <w:rsid w:val="00BE34FB"/>
    <w:rsid w:val="00BE3AD3"/>
    <w:rsid w:val="00BE3C8B"/>
    <w:rsid w:val="00BE3E8C"/>
    <w:rsid w:val="00BE4888"/>
    <w:rsid w:val="00BE4A2B"/>
    <w:rsid w:val="00BE5436"/>
    <w:rsid w:val="00BE5C47"/>
    <w:rsid w:val="00BE68E9"/>
    <w:rsid w:val="00BE6C21"/>
    <w:rsid w:val="00BE6D94"/>
    <w:rsid w:val="00BE6E13"/>
    <w:rsid w:val="00BE71EC"/>
    <w:rsid w:val="00BE76D1"/>
    <w:rsid w:val="00BE79B5"/>
    <w:rsid w:val="00BE7E6E"/>
    <w:rsid w:val="00BE7F00"/>
    <w:rsid w:val="00BF0736"/>
    <w:rsid w:val="00BF07B2"/>
    <w:rsid w:val="00BF0B7F"/>
    <w:rsid w:val="00BF0CCA"/>
    <w:rsid w:val="00BF0D2A"/>
    <w:rsid w:val="00BF0FF4"/>
    <w:rsid w:val="00BF1654"/>
    <w:rsid w:val="00BF1AA5"/>
    <w:rsid w:val="00BF1B91"/>
    <w:rsid w:val="00BF1E98"/>
    <w:rsid w:val="00BF20D5"/>
    <w:rsid w:val="00BF2224"/>
    <w:rsid w:val="00BF2352"/>
    <w:rsid w:val="00BF28A0"/>
    <w:rsid w:val="00BF2B04"/>
    <w:rsid w:val="00BF347A"/>
    <w:rsid w:val="00BF3600"/>
    <w:rsid w:val="00BF3DFF"/>
    <w:rsid w:val="00BF3E29"/>
    <w:rsid w:val="00BF4105"/>
    <w:rsid w:val="00BF44C3"/>
    <w:rsid w:val="00BF4B34"/>
    <w:rsid w:val="00BF5586"/>
    <w:rsid w:val="00BF5BD0"/>
    <w:rsid w:val="00BF61D9"/>
    <w:rsid w:val="00BF6250"/>
    <w:rsid w:val="00BF6386"/>
    <w:rsid w:val="00BF6BB4"/>
    <w:rsid w:val="00BF783D"/>
    <w:rsid w:val="00BF7C47"/>
    <w:rsid w:val="00BF7D24"/>
    <w:rsid w:val="00BF7D49"/>
    <w:rsid w:val="00BF7D79"/>
    <w:rsid w:val="00C005C7"/>
    <w:rsid w:val="00C00ABC"/>
    <w:rsid w:val="00C00C7E"/>
    <w:rsid w:val="00C00D93"/>
    <w:rsid w:val="00C01829"/>
    <w:rsid w:val="00C0189F"/>
    <w:rsid w:val="00C018D8"/>
    <w:rsid w:val="00C01F8D"/>
    <w:rsid w:val="00C01FBD"/>
    <w:rsid w:val="00C0208F"/>
    <w:rsid w:val="00C02249"/>
    <w:rsid w:val="00C0244E"/>
    <w:rsid w:val="00C0253B"/>
    <w:rsid w:val="00C02B8C"/>
    <w:rsid w:val="00C02EC5"/>
    <w:rsid w:val="00C03192"/>
    <w:rsid w:val="00C03604"/>
    <w:rsid w:val="00C03DF6"/>
    <w:rsid w:val="00C03E3F"/>
    <w:rsid w:val="00C046CD"/>
    <w:rsid w:val="00C04833"/>
    <w:rsid w:val="00C04A9F"/>
    <w:rsid w:val="00C050B2"/>
    <w:rsid w:val="00C050DB"/>
    <w:rsid w:val="00C057A3"/>
    <w:rsid w:val="00C05B55"/>
    <w:rsid w:val="00C05F0E"/>
    <w:rsid w:val="00C060DC"/>
    <w:rsid w:val="00C061AD"/>
    <w:rsid w:val="00C06714"/>
    <w:rsid w:val="00C07E20"/>
    <w:rsid w:val="00C07FAF"/>
    <w:rsid w:val="00C10383"/>
    <w:rsid w:val="00C10420"/>
    <w:rsid w:val="00C106D8"/>
    <w:rsid w:val="00C10720"/>
    <w:rsid w:val="00C1077A"/>
    <w:rsid w:val="00C10814"/>
    <w:rsid w:val="00C10EB5"/>
    <w:rsid w:val="00C10FE4"/>
    <w:rsid w:val="00C1122B"/>
    <w:rsid w:val="00C1137E"/>
    <w:rsid w:val="00C113AB"/>
    <w:rsid w:val="00C1145C"/>
    <w:rsid w:val="00C115D5"/>
    <w:rsid w:val="00C117D4"/>
    <w:rsid w:val="00C117EB"/>
    <w:rsid w:val="00C11866"/>
    <w:rsid w:val="00C11C22"/>
    <w:rsid w:val="00C11EB4"/>
    <w:rsid w:val="00C11F75"/>
    <w:rsid w:val="00C12099"/>
    <w:rsid w:val="00C129C8"/>
    <w:rsid w:val="00C12D55"/>
    <w:rsid w:val="00C13126"/>
    <w:rsid w:val="00C1318F"/>
    <w:rsid w:val="00C13541"/>
    <w:rsid w:val="00C13A55"/>
    <w:rsid w:val="00C1403E"/>
    <w:rsid w:val="00C1414B"/>
    <w:rsid w:val="00C141ED"/>
    <w:rsid w:val="00C1456D"/>
    <w:rsid w:val="00C14C23"/>
    <w:rsid w:val="00C15A39"/>
    <w:rsid w:val="00C16034"/>
    <w:rsid w:val="00C1653E"/>
    <w:rsid w:val="00C16F1C"/>
    <w:rsid w:val="00C173A4"/>
    <w:rsid w:val="00C17DF1"/>
    <w:rsid w:val="00C200E8"/>
    <w:rsid w:val="00C208CA"/>
    <w:rsid w:val="00C20AE5"/>
    <w:rsid w:val="00C20B82"/>
    <w:rsid w:val="00C20D41"/>
    <w:rsid w:val="00C20E53"/>
    <w:rsid w:val="00C20F4B"/>
    <w:rsid w:val="00C21258"/>
    <w:rsid w:val="00C212C5"/>
    <w:rsid w:val="00C215B1"/>
    <w:rsid w:val="00C21DE8"/>
    <w:rsid w:val="00C21E54"/>
    <w:rsid w:val="00C220FD"/>
    <w:rsid w:val="00C2226C"/>
    <w:rsid w:val="00C22307"/>
    <w:rsid w:val="00C223B5"/>
    <w:rsid w:val="00C224EC"/>
    <w:rsid w:val="00C228CF"/>
    <w:rsid w:val="00C22955"/>
    <w:rsid w:val="00C22DFC"/>
    <w:rsid w:val="00C237F2"/>
    <w:rsid w:val="00C23F2D"/>
    <w:rsid w:val="00C23F96"/>
    <w:rsid w:val="00C24277"/>
    <w:rsid w:val="00C2440E"/>
    <w:rsid w:val="00C24584"/>
    <w:rsid w:val="00C24668"/>
    <w:rsid w:val="00C24883"/>
    <w:rsid w:val="00C24AE6"/>
    <w:rsid w:val="00C24B6C"/>
    <w:rsid w:val="00C24CDF"/>
    <w:rsid w:val="00C2523C"/>
    <w:rsid w:val="00C25702"/>
    <w:rsid w:val="00C25B08"/>
    <w:rsid w:val="00C25BB1"/>
    <w:rsid w:val="00C25F71"/>
    <w:rsid w:val="00C26DF5"/>
    <w:rsid w:val="00C270A2"/>
    <w:rsid w:val="00C270A4"/>
    <w:rsid w:val="00C273FF"/>
    <w:rsid w:val="00C275C8"/>
    <w:rsid w:val="00C27B63"/>
    <w:rsid w:val="00C27BA0"/>
    <w:rsid w:val="00C27BFE"/>
    <w:rsid w:val="00C30291"/>
    <w:rsid w:val="00C30D09"/>
    <w:rsid w:val="00C30F5F"/>
    <w:rsid w:val="00C31032"/>
    <w:rsid w:val="00C31285"/>
    <w:rsid w:val="00C315D7"/>
    <w:rsid w:val="00C31858"/>
    <w:rsid w:val="00C318EC"/>
    <w:rsid w:val="00C31AEE"/>
    <w:rsid w:val="00C31FCD"/>
    <w:rsid w:val="00C322A3"/>
    <w:rsid w:val="00C327EA"/>
    <w:rsid w:val="00C32EEA"/>
    <w:rsid w:val="00C33290"/>
    <w:rsid w:val="00C3335F"/>
    <w:rsid w:val="00C333FD"/>
    <w:rsid w:val="00C33941"/>
    <w:rsid w:val="00C33E0E"/>
    <w:rsid w:val="00C33E50"/>
    <w:rsid w:val="00C33F1D"/>
    <w:rsid w:val="00C33F63"/>
    <w:rsid w:val="00C34248"/>
    <w:rsid w:val="00C34964"/>
    <w:rsid w:val="00C353B8"/>
    <w:rsid w:val="00C3554E"/>
    <w:rsid w:val="00C355F3"/>
    <w:rsid w:val="00C35AF8"/>
    <w:rsid w:val="00C35BF9"/>
    <w:rsid w:val="00C36199"/>
    <w:rsid w:val="00C36443"/>
    <w:rsid w:val="00C3668F"/>
    <w:rsid w:val="00C36967"/>
    <w:rsid w:val="00C3699F"/>
    <w:rsid w:val="00C36D58"/>
    <w:rsid w:val="00C3721F"/>
    <w:rsid w:val="00C37A13"/>
    <w:rsid w:val="00C37B57"/>
    <w:rsid w:val="00C37BEF"/>
    <w:rsid w:val="00C37E1A"/>
    <w:rsid w:val="00C37EFE"/>
    <w:rsid w:val="00C40568"/>
    <w:rsid w:val="00C4094E"/>
    <w:rsid w:val="00C41203"/>
    <w:rsid w:val="00C41881"/>
    <w:rsid w:val="00C41CCB"/>
    <w:rsid w:val="00C42390"/>
    <w:rsid w:val="00C428F7"/>
    <w:rsid w:val="00C42E79"/>
    <w:rsid w:val="00C43479"/>
    <w:rsid w:val="00C43C30"/>
    <w:rsid w:val="00C44655"/>
    <w:rsid w:val="00C44C99"/>
    <w:rsid w:val="00C45643"/>
    <w:rsid w:val="00C456A0"/>
    <w:rsid w:val="00C456D2"/>
    <w:rsid w:val="00C45E9E"/>
    <w:rsid w:val="00C45F99"/>
    <w:rsid w:val="00C46276"/>
    <w:rsid w:val="00C46EAD"/>
    <w:rsid w:val="00C4726F"/>
    <w:rsid w:val="00C477AB"/>
    <w:rsid w:val="00C4791A"/>
    <w:rsid w:val="00C479AD"/>
    <w:rsid w:val="00C479BA"/>
    <w:rsid w:val="00C50616"/>
    <w:rsid w:val="00C508C1"/>
    <w:rsid w:val="00C50ABB"/>
    <w:rsid w:val="00C50D56"/>
    <w:rsid w:val="00C50E95"/>
    <w:rsid w:val="00C50F33"/>
    <w:rsid w:val="00C5108D"/>
    <w:rsid w:val="00C512E4"/>
    <w:rsid w:val="00C5159B"/>
    <w:rsid w:val="00C518CB"/>
    <w:rsid w:val="00C51FC1"/>
    <w:rsid w:val="00C51FD6"/>
    <w:rsid w:val="00C525E2"/>
    <w:rsid w:val="00C52764"/>
    <w:rsid w:val="00C5384F"/>
    <w:rsid w:val="00C5394A"/>
    <w:rsid w:val="00C53D19"/>
    <w:rsid w:val="00C53D1E"/>
    <w:rsid w:val="00C5401C"/>
    <w:rsid w:val="00C54047"/>
    <w:rsid w:val="00C54AF0"/>
    <w:rsid w:val="00C550BA"/>
    <w:rsid w:val="00C55F84"/>
    <w:rsid w:val="00C562C9"/>
    <w:rsid w:val="00C565B9"/>
    <w:rsid w:val="00C569DF"/>
    <w:rsid w:val="00C56A7E"/>
    <w:rsid w:val="00C571D8"/>
    <w:rsid w:val="00C572F1"/>
    <w:rsid w:val="00C5751A"/>
    <w:rsid w:val="00C57590"/>
    <w:rsid w:val="00C578AD"/>
    <w:rsid w:val="00C57B47"/>
    <w:rsid w:val="00C57B90"/>
    <w:rsid w:val="00C57C9C"/>
    <w:rsid w:val="00C57CF2"/>
    <w:rsid w:val="00C618B3"/>
    <w:rsid w:val="00C61A2F"/>
    <w:rsid w:val="00C61D44"/>
    <w:rsid w:val="00C61F09"/>
    <w:rsid w:val="00C6216F"/>
    <w:rsid w:val="00C6234D"/>
    <w:rsid w:val="00C62726"/>
    <w:rsid w:val="00C62C50"/>
    <w:rsid w:val="00C62DC6"/>
    <w:rsid w:val="00C6348A"/>
    <w:rsid w:val="00C6362B"/>
    <w:rsid w:val="00C636C4"/>
    <w:rsid w:val="00C645A4"/>
    <w:rsid w:val="00C64692"/>
    <w:rsid w:val="00C64A0E"/>
    <w:rsid w:val="00C64E12"/>
    <w:rsid w:val="00C65003"/>
    <w:rsid w:val="00C6515E"/>
    <w:rsid w:val="00C65D1A"/>
    <w:rsid w:val="00C668B1"/>
    <w:rsid w:val="00C6691F"/>
    <w:rsid w:val="00C669B7"/>
    <w:rsid w:val="00C66B4C"/>
    <w:rsid w:val="00C66C54"/>
    <w:rsid w:val="00C66D93"/>
    <w:rsid w:val="00C66F72"/>
    <w:rsid w:val="00C67294"/>
    <w:rsid w:val="00C67861"/>
    <w:rsid w:val="00C678ED"/>
    <w:rsid w:val="00C67C1C"/>
    <w:rsid w:val="00C67D86"/>
    <w:rsid w:val="00C67E81"/>
    <w:rsid w:val="00C702C5"/>
    <w:rsid w:val="00C70596"/>
    <w:rsid w:val="00C705CB"/>
    <w:rsid w:val="00C70F5F"/>
    <w:rsid w:val="00C7101F"/>
    <w:rsid w:val="00C710FC"/>
    <w:rsid w:val="00C71193"/>
    <w:rsid w:val="00C7154A"/>
    <w:rsid w:val="00C71642"/>
    <w:rsid w:val="00C71A7E"/>
    <w:rsid w:val="00C727F7"/>
    <w:rsid w:val="00C72BD6"/>
    <w:rsid w:val="00C73123"/>
    <w:rsid w:val="00C7332F"/>
    <w:rsid w:val="00C7345C"/>
    <w:rsid w:val="00C7384B"/>
    <w:rsid w:val="00C73901"/>
    <w:rsid w:val="00C739AA"/>
    <w:rsid w:val="00C73C55"/>
    <w:rsid w:val="00C73DF3"/>
    <w:rsid w:val="00C73EF2"/>
    <w:rsid w:val="00C749DA"/>
    <w:rsid w:val="00C749EA"/>
    <w:rsid w:val="00C74EA6"/>
    <w:rsid w:val="00C75757"/>
    <w:rsid w:val="00C761DD"/>
    <w:rsid w:val="00C7637C"/>
    <w:rsid w:val="00C76E0B"/>
    <w:rsid w:val="00C76EF0"/>
    <w:rsid w:val="00C77107"/>
    <w:rsid w:val="00C775BD"/>
    <w:rsid w:val="00C77A1E"/>
    <w:rsid w:val="00C77E55"/>
    <w:rsid w:val="00C803AF"/>
    <w:rsid w:val="00C804C3"/>
    <w:rsid w:val="00C80597"/>
    <w:rsid w:val="00C805E4"/>
    <w:rsid w:val="00C80858"/>
    <w:rsid w:val="00C80D1D"/>
    <w:rsid w:val="00C81A5F"/>
    <w:rsid w:val="00C821A8"/>
    <w:rsid w:val="00C823D3"/>
    <w:rsid w:val="00C82522"/>
    <w:rsid w:val="00C8270A"/>
    <w:rsid w:val="00C827F9"/>
    <w:rsid w:val="00C83115"/>
    <w:rsid w:val="00C8319D"/>
    <w:rsid w:val="00C831E5"/>
    <w:rsid w:val="00C8344E"/>
    <w:rsid w:val="00C83658"/>
    <w:rsid w:val="00C83673"/>
    <w:rsid w:val="00C8370A"/>
    <w:rsid w:val="00C83988"/>
    <w:rsid w:val="00C83B8A"/>
    <w:rsid w:val="00C8426B"/>
    <w:rsid w:val="00C8435C"/>
    <w:rsid w:val="00C84434"/>
    <w:rsid w:val="00C844AF"/>
    <w:rsid w:val="00C84736"/>
    <w:rsid w:val="00C84AB8"/>
    <w:rsid w:val="00C84C0A"/>
    <w:rsid w:val="00C84CF3"/>
    <w:rsid w:val="00C85213"/>
    <w:rsid w:val="00C852DD"/>
    <w:rsid w:val="00C853DC"/>
    <w:rsid w:val="00C85B6C"/>
    <w:rsid w:val="00C85F41"/>
    <w:rsid w:val="00C8607D"/>
    <w:rsid w:val="00C864EF"/>
    <w:rsid w:val="00C8696F"/>
    <w:rsid w:val="00C86BEC"/>
    <w:rsid w:val="00C87302"/>
    <w:rsid w:val="00C8734A"/>
    <w:rsid w:val="00C874D0"/>
    <w:rsid w:val="00C875E4"/>
    <w:rsid w:val="00C87753"/>
    <w:rsid w:val="00C8788B"/>
    <w:rsid w:val="00C879B5"/>
    <w:rsid w:val="00C87DE9"/>
    <w:rsid w:val="00C87FEA"/>
    <w:rsid w:val="00C918F2"/>
    <w:rsid w:val="00C91DF0"/>
    <w:rsid w:val="00C925C1"/>
    <w:rsid w:val="00C92A37"/>
    <w:rsid w:val="00C930BF"/>
    <w:rsid w:val="00C932E7"/>
    <w:rsid w:val="00C93682"/>
    <w:rsid w:val="00C9389B"/>
    <w:rsid w:val="00C93BEE"/>
    <w:rsid w:val="00C93C2D"/>
    <w:rsid w:val="00C93C38"/>
    <w:rsid w:val="00C93CB0"/>
    <w:rsid w:val="00C93E76"/>
    <w:rsid w:val="00C93FD4"/>
    <w:rsid w:val="00C947F2"/>
    <w:rsid w:val="00C949EA"/>
    <w:rsid w:val="00C95B44"/>
    <w:rsid w:val="00C9614E"/>
    <w:rsid w:val="00C96A82"/>
    <w:rsid w:val="00C96F5E"/>
    <w:rsid w:val="00C972DD"/>
    <w:rsid w:val="00C97340"/>
    <w:rsid w:val="00C97433"/>
    <w:rsid w:val="00CA0076"/>
    <w:rsid w:val="00CA05B4"/>
    <w:rsid w:val="00CA0E8A"/>
    <w:rsid w:val="00CA10E0"/>
    <w:rsid w:val="00CA13D0"/>
    <w:rsid w:val="00CA17F8"/>
    <w:rsid w:val="00CA1983"/>
    <w:rsid w:val="00CA19CB"/>
    <w:rsid w:val="00CA1CC9"/>
    <w:rsid w:val="00CA1FFB"/>
    <w:rsid w:val="00CA22FC"/>
    <w:rsid w:val="00CA2777"/>
    <w:rsid w:val="00CA3718"/>
    <w:rsid w:val="00CA3883"/>
    <w:rsid w:val="00CA3C8C"/>
    <w:rsid w:val="00CA3FCD"/>
    <w:rsid w:val="00CA3FD8"/>
    <w:rsid w:val="00CA4A12"/>
    <w:rsid w:val="00CA508D"/>
    <w:rsid w:val="00CA5117"/>
    <w:rsid w:val="00CA5413"/>
    <w:rsid w:val="00CA57F9"/>
    <w:rsid w:val="00CA587B"/>
    <w:rsid w:val="00CA5902"/>
    <w:rsid w:val="00CA5988"/>
    <w:rsid w:val="00CA5D1F"/>
    <w:rsid w:val="00CA6077"/>
    <w:rsid w:val="00CA652B"/>
    <w:rsid w:val="00CA6818"/>
    <w:rsid w:val="00CA74CB"/>
    <w:rsid w:val="00CA7920"/>
    <w:rsid w:val="00CA7E4D"/>
    <w:rsid w:val="00CB0042"/>
    <w:rsid w:val="00CB02FD"/>
    <w:rsid w:val="00CB0522"/>
    <w:rsid w:val="00CB081E"/>
    <w:rsid w:val="00CB0B7C"/>
    <w:rsid w:val="00CB1E20"/>
    <w:rsid w:val="00CB2067"/>
    <w:rsid w:val="00CB233A"/>
    <w:rsid w:val="00CB2347"/>
    <w:rsid w:val="00CB2394"/>
    <w:rsid w:val="00CB2A0B"/>
    <w:rsid w:val="00CB2B3D"/>
    <w:rsid w:val="00CB2CCB"/>
    <w:rsid w:val="00CB3488"/>
    <w:rsid w:val="00CB3721"/>
    <w:rsid w:val="00CB3A82"/>
    <w:rsid w:val="00CB3C7C"/>
    <w:rsid w:val="00CB3DC3"/>
    <w:rsid w:val="00CB4192"/>
    <w:rsid w:val="00CB4BF2"/>
    <w:rsid w:val="00CB5198"/>
    <w:rsid w:val="00CB53E2"/>
    <w:rsid w:val="00CB544B"/>
    <w:rsid w:val="00CB5E6D"/>
    <w:rsid w:val="00CB6386"/>
    <w:rsid w:val="00CB646A"/>
    <w:rsid w:val="00CB69AA"/>
    <w:rsid w:val="00CB6ABD"/>
    <w:rsid w:val="00CB6E1C"/>
    <w:rsid w:val="00CB704F"/>
    <w:rsid w:val="00CB7AD4"/>
    <w:rsid w:val="00CB7AD6"/>
    <w:rsid w:val="00CC04A3"/>
    <w:rsid w:val="00CC081C"/>
    <w:rsid w:val="00CC0933"/>
    <w:rsid w:val="00CC13F1"/>
    <w:rsid w:val="00CC140B"/>
    <w:rsid w:val="00CC1C3E"/>
    <w:rsid w:val="00CC22AD"/>
    <w:rsid w:val="00CC2588"/>
    <w:rsid w:val="00CC27A6"/>
    <w:rsid w:val="00CC2984"/>
    <w:rsid w:val="00CC2B36"/>
    <w:rsid w:val="00CC2D97"/>
    <w:rsid w:val="00CC2F27"/>
    <w:rsid w:val="00CC361A"/>
    <w:rsid w:val="00CC3E28"/>
    <w:rsid w:val="00CC3F5E"/>
    <w:rsid w:val="00CC3FEC"/>
    <w:rsid w:val="00CC4520"/>
    <w:rsid w:val="00CC4692"/>
    <w:rsid w:val="00CC4980"/>
    <w:rsid w:val="00CC4AFA"/>
    <w:rsid w:val="00CC4B82"/>
    <w:rsid w:val="00CC4CA8"/>
    <w:rsid w:val="00CC53C4"/>
    <w:rsid w:val="00CC55D4"/>
    <w:rsid w:val="00CC5747"/>
    <w:rsid w:val="00CC585D"/>
    <w:rsid w:val="00CC6380"/>
    <w:rsid w:val="00CC66F5"/>
    <w:rsid w:val="00CC6762"/>
    <w:rsid w:val="00CC6AB4"/>
    <w:rsid w:val="00CC6B5B"/>
    <w:rsid w:val="00CC6D6D"/>
    <w:rsid w:val="00CC6F41"/>
    <w:rsid w:val="00CC6F8C"/>
    <w:rsid w:val="00CC7BAD"/>
    <w:rsid w:val="00CC7BFF"/>
    <w:rsid w:val="00CD0782"/>
    <w:rsid w:val="00CD082A"/>
    <w:rsid w:val="00CD0865"/>
    <w:rsid w:val="00CD0C91"/>
    <w:rsid w:val="00CD0D44"/>
    <w:rsid w:val="00CD1335"/>
    <w:rsid w:val="00CD18DD"/>
    <w:rsid w:val="00CD1BEC"/>
    <w:rsid w:val="00CD1CAC"/>
    <w:rsid w:val="00CD1E45"/>
    <w:rsid w:val="00CD1EFE"/>
    <w:rsid w:val="00CD2007"/>
    <w:rsid w:val="00CD226B"/>
    <w:rsid w:val="00CD28BC"/>
    <w:rsid w:val="00CD2A0D"/>
    <w:rsid w:val="00CD2D54"/>
    <w:rsid w:val="00CD2F33"/>
    <w:rsid w:val="00CD3ABE"/>
    <w:rsid w:val="00CD3B54"/>
    <w:rsid w:val="00CD3B58"/>
    <w:rsid w:val="00CD3C4E"/>
    <w:rsid w:val="00CD417A"/>
    <w:rsid w:val="00CD42CB"/>
    <w:rsid w:val="00CD4660"/>
    <w:rsid w:val="00CD4FCE"/>
    <w:rsid w:val="00CD551F"/>
    <w:rsid w:val="00CD5734"/>
    <w:rsid w:val="00CD5C3D"/>
    <w:rsid w:val="00CD5D43"/>
    <w:rsid w:val="00CD644F"/>
    <w:rsid w:val="00CD69F0"/>
    <w:rsid w:val="00CD6C07"/>
    <w:rsid w:val="00CD6C14"/>
    <w:rsid w:val="00CD735D"/>
    <w:rsid w:val="00CD75CF"/>
    <w:rsid w:val="00CD7E6D"/>
    <w:rsid w:val="00CE07E1"/>
    <w:rsid w:val="00CE0B7F"/>
    <w:rsid w:val="00CE1799"/>
    <w:rsid w:val="00CE1DDC"/>
    <w:rsid w:val="00CE2A05"/>
    <w:rsid w:val="00CE3116"/>
    <w:rsid w:val="00CE3258"/>
    <w:rsid w:val="00CE3288"/>
    <w:rsid w:val="00CE39CC"/>
    <w:rsid w:val="00CE3A2B"/>
    <w:rsid w:val="00CE457F"/>
    <w:rsid w:val="00CE4A70"/>
    <w:rsid w:val="00CE4B2F"/>
    <w:rsid w:val="00CE4E87"/>
    <w:rsid w:val="00CE5090"/>
    <w:rsid w:val="00CE50A4"/>
    <w:rsid w:val="00CE50D1"/>
    <w:rsid w:val="00CE528E"/>
    <w:rsid w:val="00CE5A66"/>
    <w:rsid w:val="00CE5EBA"/>
    <w:rsid w:val="00CE6150"/>
    <w:rsid w:val="00CE6AED"/>
    <w:rsid w:val="00CE6D61"/>
    <w:rsid w:val="00CE6FFF"/>
    <w:rsid w:val="00CE7453"/>
    <w:rsid w:val="00CE74D9"/>
    <w:rsid w:val="00CE75A4"/>
    <w:rsid w:val="00CE7889"/>
    <w:rsid w:val="00CE7D15"/>
    <w:rsid w:val="00CF0875"/>
    <w:rsid w:val="00CF0A39"/>
    <w:rsid w:val="00CF0E75"/>
    <w:rsid w:val="00CF1002"/>
    <w:rsid w:val="00CF1191"/>
    <w:rsid w:val="00CF1263"/>
    <w:rsid w:val="00CF15F5"/>
    <w:rsid w:val="00CF1D1C"/>
    <w:rsid w:val="00CF1F47"/>
    <w:rsid w:val="00CF2008"/>
    <w:rsid w:val="00CF20BE"/>
    <w:rsid w:val="00CF22E4"/>
    <w:rsid w:val="00CF2353"/>
    <w:rsid w:val="00CF23F6"/>
    <w:rsid w:val="00CF2D36"/>
    <w:rsid w:val="00CF2DAE"/>
    <w:rsid w:val="00CF36FE"/>
    <w:rsid w:val="00CF3ADF"/>
    <w:rsid w:val="00CF3D04"/>
    <w:rsid w:val="00CF3E8A"/>
    <w:rsid w:val="00CF43CA"/>
    <w:rsid w:val="00CF474D"/>
    <w:rsid w:val="00CF48E9"/>
    <w:rsid w:val="00CF4E74"/>
    <w:rsid w:val="00CF4FF9"/>
    <w:rsid w:val="00CF5727"/>
    <w:rsid w:val="00CF5C35"/>
    <w:rsid w:val="00CF623B"/>
    <w:rsid w:val="00CF6A64"/>
    <w:rsid w:val="00CF6DCB"/>
    <w:rsid w:val="00CF7063"/>
    <w:rsid w:val="00CF70D3"/>
    <w:rsid w:val="00CF778B"/>
    <w:rsid w:val="00CF786D"/>
    <w:rsid w:val="00CF7A28"/>
    <w:rsid w:val="00D00103"/>
    <w:rsid w:val="00D00DD0"/>
    <w:rsid w:val="00D01ADD"/>
    <w:rsid w:val="00D01CDD"/>
    <w:rsid w:val="00D01D9C"/>
    <w:rsid w:val="00D021AF"/>
    <w:rsid w:val="00D0252B"/>
    <w:rsid w:val="00D0265E"/>
    <w:rsid w:val="00D03124"/>
    <w:rsid w:val="00D031E0"/>
    <w:rsid w:val="00D035FA"/>
    <w:rsid w:val="00D0370D"/>
    <w:rsid w:val="00D038E2"/>
    <w:rsid w:val="00D03A98"/>
    <w:rsid w:val="00D03C06"/>
    <w:rsid w:val="00D04540"/>
    <w:rsid w:val="00D05698"/>
    <w:rsid w:val="00D05C6B"/>
    <w:rsid w:val="00D06471"/>
    <w:rsid w:val="00D0660A"/>
    <w:rsid w:val="00D075D4"/>
    <w:rsid w:val="00D07881"/>
    <w:rsid w:val="00D079CD"/>
    <w:rsid w:val="00D07CA3"/>
    <w:rsid w:val="00D07D69"/>
    <w:rsid w:val="00D07D8D"/>
    <w:rsid w:val="00D106CB"/>
    <w:rsid w:val="00D1124E"/>
    <w:rsid w:val="00D11675"/>
    <w:rsid w:val="00D1168F"/>
    <w:rsid w:val="00D11754"/>
    <w:rsid w:val="00D117D4"/>
    <w:rsid w:val="00D11C2A"/>
    <w:rsid w:val="00D11F7E"/>
    <w:rsid w:val="00D125CB"/>
    <w:rsid w:val="00D12AB5"/>
    <w:rsid w:val="00D132BA"/>
    <w:rsid w:val="00D13556"/>
    <w:rsid w:val="00D13594"/>
    <w:rsid w:val="00D147A9"/>
    <w:rsid w:val="00D14A1A"/>
    <w:rsid w:val="00D151B0"/>
    <w:rsid w:val="00D1578F"/>
    <w:rsid w:val="00D15A61"/>
    <w:rsid w:val="00D16C9A"/>
    <w:rsid w:val="00D16D1F"/>
    <w:rsid w:val="00D17523"/>
    <w:rsid w:val="00D17C2C"/>
    <w:rsid w:val="00D17CB2"/>
    <w:rsid w:val="00D17F4A"/>
    <w:rsid w:val="00D200AC"/>
    <w:rsid w:val="00D20300"/>
    <w:rsid w:val="00D207A7"/>
    <w:rsid w:val="00D20AEA"/>
    <w:rsid w:val="00D20F97"/>
    <w:rsid w:val="00D215E9"/>
    <w:rsid w:val="00D21A63"/>
    <w:rsid w:val="00D21D6F"/>
    <w:rsid w:val="00D2208E"/>
    <w:rsid w:val="00D22923"/>
    <w:rsid w:val="00D23088"/>
    <w:rsid w:val="00D234C5"/>
    <w:rsid w:val="00D2422A"/>
    <w:rsid w:val="00D24781"/>
    <w:rsid w:val="00D2497A"/>
    <w:rsid w:val="00D24B07"/>
    <w:rsid w:val="00D24D7A"/>
    <w:rsid w:val="00D26417"/>
    <w:rsid w:val="00D26D57"/>
    <w:rsid w:val="00D26F4C"/>
    <w:rsid w:val="00D27033"/>
    <w:rsid w:val="00D272E4"/>
    <w:rsid w:val="00D27E0A"/>
    <w:rsid w:val="00D30079"/>
    <w:rsid w:val="00D30583"/>
    <w:rsid w:val="00D30AB3"/>
    <w:rsid w:val="00D30C80"/>
    <w:rsid w:val="00D31146"/>
    <w:rsid w:val="00D312EF"/>
    <w:rsid w:val="00D31DDF"/>
    <w:rsid w:val="00D31F9F"/>
    <w:rsid w:val="00D321D0"/>
    <w:rsid w:val="00D32488"/>
    <w:rsid w:val="00D32689"/>
    <w:rsid w:val="00D3299D"/>
    <w:rsid w:val="00D32AB0"/>
    <w:rsid w:val="00D32E17"/>
    <w:rsid w:val="00D33308"/>
    <w:rsid w:val="00D3343D"/>
    <w:rsid w:val="00D338DC"/>
    <w:rsid w:val="00D33ED4"/>
    <w:rsid w:val="00D343B8"/>
    <w:rsid w:val="00D34A92"/>
    <w:rsid w:val="00D34D7F"/>
    <w:rsid w:val="00D34E0A"/>
    <w:rsid w:val="00D35045"/>
    <w:rsid w:val="00D356CC"/>
    <w:rsid w:val="00D357FC"/>
    <w:rsid w:val="00D35D78"/>
    <w:rsid w:val="00D3608C"/>
    <w:rsid w:val="00D3609D"/>
    <w:rsid w:val="00D365F5"/>
    <w:rsid w:val="00D36DED"/>
    <w:rsid w:val="00D37146"/>
    <w:rsid w:val="00D3778E"/>
    <w:rsid w:val="00D379B6"/>
    <w:rsid w:val="00D37FE8"/>
    <w:rsid w:val="00D401F1"/>
    <w:rsid w:val="00D403DF"/>
    <w:rsid w:val="00D407DC"/>
    <w:rsid w:val="00D407F0"/>
    <w:rsid w:val="00D4091F"/>
    <w:rsid w:val="00D40CF7"/>
    <w:rsid w:val="00D412B5"/>
    <w:rsid w:val="00D4135C"/>
    <w:rsid w:val="00D414A9"/>
    <w:rsid w:val="00D41BD4"/>
    <w:rsid w:val="00D41C0E"/>
    <w:rsid w:val="00D41E87"/>
    <w:rsid w:val="00D421EA"/>
    <w:rsid w:val="00D4249B"/>
    <w:rsid w:val="00D424EC"/>
    <w:rsid w:val="00D42507"/>
    <w:rsid w:val="00D4268F"/>
    <w:rsid w:val="00D42F4A"/>
    <w:rsid w:val="00D43DE8"/>
    <w:rsid w:val="00D43E4E"/>
    <w:rsid w:val="00D43E9D"/>
    <w:rsid w:val="00D440F9"/>
    <w:rsid w:val="00D441D5"/>
    <w:rsid w:val="00D445C8"/>
    <w:rsid w:val="00D44615"/>
    <w:rsid w:val="00D4480E"/>
    <w:rsid w:val="00D44831"/>
    <w:rsid w:val="00D448C8"/>
    <w:rsid w:val="00D44C60"/>
    <w:rsid w:val="00D44E44"/>
    <w:rsid w:val="00D44E60"/>
    <w:rsid w:val="00D4636A"/>
    <w:rsid w:val="00D46704"/>
    <w:rsid w:val="00D467BB"/>
    <w:rsid w:val="00D46A73"/>
    <w:rsid w:val="00D46AD2"/>
    <w:rsid w:val="00D46D43"/>
    <w:rsid w:val="00D47436"/>
    <w:rsid w:val="00D4774A"/>
    <w:rsid w:val="00D47843"/>
    <w:rsid w:val="00D479A1"/>
    <w:rsid w:val="00D479F3"/>
    <w:rsid w:val="00D47EF8"/>
    <w:rsid w:val="00D50850"/>
    <w:rsid w:val="00D50AEC"/>
    <w:rsid w:val="00D50B68"/>
    <w:rsid w:val="00D50C3A"/>
    <w:rsid w:val="00D5109E"/>
    <w:rsid w:val="00D51196"/>
    <w:rsid w:val="00D51CDF"/>
    <w:rsid w:val="00D51E1C"/>
    <w:rsid w:val="00D51F60"/>
    <w:rsid w:val="00D51FA9"/>
    <w:rsid w:val="00D52389"/>
    <w:rsid w:val="00D526A2"/>
    <w:rsid w:val="00D5297F"/>
    <w:rsid w:val="00D52EDF"/>
    <w:rsid w:val="00D5325E"/>
    <w:rsid w:val="00D5338C"/>
    <w:rsid w:val="00D542CC"/>
    <w:rsid w:val="00D543FA"/>
    <w:rsid w:val="00D54A69"/>
    <w:rsid w:val="00D54EB3"/>
    <w:rsid w:val="00D55015"/>
    <w:rsid w:val="00D5518C"/>
    <w:rsid w:val="00D55929"/>
    <w:rsid w:val="00D55E57"/>
    <w:rsid w:val="00D562FB"/>
    <w:rsid w:val="00D56777"/>
    <w:rsid w:val="00D56899"/>
    <w:rsid w:val="00D56D0C"/>
    <w:rsid w:val="00D57467"/>
    <w:rsid w:val="00D57519"/>
    <w:rsid w:val="00D575F0"/>
    <w:rsid w:val="00D577C1"/>
    <w:rsid w:val="00D578FD"/>
    <w:rsid w:val="00D57AE6"/>
    <w:rsid w:val="00D57E99"/>
    <w:rsid w:val="00D60148"/>
    <w:rsid w:val="00D60268"/>
    <w:rsid w:val="00D60D0C"/>
    <w:rsid w:val="00D610D9"/>
    <w:rsid w:val="00D611AD"/>
    <w:rsid w:val="00D6173E"/>
    <w:rsid w:val="00D618B8"/>
    <w:rsid w:val="00D61A1E"/>
    <w:rsid w:val="00D61C93"/>
    <w:rsid w:val="00D62703"/>
    <w:rsid w:val="00D62A49"/>
    <w:rsid w:val="00D62FD3"/>
    <w:rsid w:val="00D63109"/>
    <w:rsid w:val="00D6311F"/>
    <w:rsid w:val="00D633F0"/>
    <w:rsid w:val="00D63418"/>
    <w:rsid w:val="00D63711"/>
    <w:rsid w:val="00D63E04"/>
    <w:rsid w:val="00D64869"/>
    <w:rsid w:val="00D6628E"/>
    <w:rsid w:val="00D6639D"/>
    <w:rsid w:val="00D669DE"/>
    <w:rsid w:val="00D67528"/>
    <w:rsid w:val="00D67910"/>
    <w:rsid w:val="00D67B5E"/>
    <w:rsid w:val="00D71272"/>
    <w:rsid w:val="00D71949"/>
    <w:rsid w:val="00D7197B"/>
    <w:rsid w:val="00D71C62"/>
    <w:rsid w:val="00D7282E"/>
    <w:rsid w:val="00D731A3"/>
    <w:rsid w:val="00D738F4"/>
    <w:rsid w:val="00D7426E"/>
    <w:rsid w:val="00D74B7C"/>
    <w:rsid w:val="00D74D17"/>
    <w:rsid w:val="00D75D84"/>
    <w:rsid w:val="00D764BA"/>
    <w:rsid w:val="00D76A8E"/>
    <w:rsid w:val="00D76E56"/>
    <w:rsid w:val="00D77A9D"/>
    <w:rsid w:val="00D77DE2"/>
    <w:rsid w:val="00D77E54"/>
    <w:rsid w:val="00D80210"/>
    <w:rsid w:val="00D806E3"/>
    <w:rsid w:val="00D811B7"/>
    <w:rsid w:val="00D8126D"/>
    <w:rsid w:val="00D81507"/>
    <w:rsid w:val="00D81F65"/>
    <w:rsid w:val="00D82101"/>
    <w:rsid w:val="00D822C0"/>
    <w:rsid w:val="00D8258B"/>
    <w:rsid w:val="00D8291A"/>
    <w:rsid w:val="00D82F0A"/>
    <w:rsid w:val="00D8332B"/>
    <w:rsid w:val="00D83537"/>
    <w:rsid w:val="00D8387A"/>
    <w:rsid w:val="00D8396C"/>
    <w:rsid w:val="00D84050"/>
    <w:rsid w:val="00D842EA"/>
    <w:rsid w:val="00D847CE"/>
    <w:rsid w:val="00D84FA0"/>
    <w:rsid w:val="00D84FA8"/>
    <w:rsid w:val="00D85190"/>
    <w:rsid w:val="00D86575"/>
    <w:rsid w:val="00D8666B"/>
    <w:rsid w:val="00D86805"/>
    <w:rsid w:val="00D86D1E"/>
    <w:rsid w:val="00D86D54"/>
    <w:rsid w:val="00D86DE2"/>
    <w:rsid w:val="00D86FAA"/>
    <w:rsid w:val="00D87284"/>
    <w:rsid w:val="00D87386"/>
    <w:rsid w:val="00D87396"/>
    <w:rsid w:val="00D874A5"/>
    <w:rsid w:val="00D87917"/>
    <w:rsid w:val="00D87B4C"/>
    <w:rsid w:val="00D87B6E"/>
    <w:rsid w:val="00D87BC6"/>
    <w:rsid w:val="00D87EE8"/>
    <w:rsid w:val="00D90221"/>
    <w:rsid w:val="00D9072D"/>
    <w:rsid w:val="00D90B6C"/>
    <w:rsid w:val="00D90CF7"/>
    <w:rsid w:val="00D90F84"/>
    <w:rsid w:val="00D91C28"/>
    <w:rsid w:val="00D921AA"/>
    <w:rsid w:val="00D92FE7"/>
    <w:rsid w:val="00D930A1"/>
    <w:rsid w:val="00D9353C"/>
    <w:rsid w:val="00D937E5"/>
    <w:rsid w:val="00D93AB8"/>
    <w:rsid w:val="00D93AC3"/>
    <w:rsid w:val="00D93AE9"/>
    <w:rsid w:val="00D93E12"/>
    <w:rsid w:val="00D93F1D"/>
    <w:rsid w:val="00D946B6"/>
    <w:rsid w:val="00D95215"/>
    <w:rsid w:val="00D952A0"/>
    <w:rsid w:val="00D953D4"/>
    <w:rsid w:val="00D95FDC"/>
    <w:rsid w:val="00D962E3"/>
    <w:rsid w:val="00D9654E"/>
    <w:rsid w:val="00D966D9"/>
    <w:rsid w:val="00D96775"/>
    <w:rsid w:val="00D96C82"/>
    <w:rsid w:val="00D96E31"/>
    <w:rsid w:val="00D96E86"/>
    <w:rsid w:val="00D97763"/>
    <w:rsid w:val="00D97CCD"/>
    <w:rsid w:val="00D97EE3"/>
    <w:rsid w:val="00DA059E"/>
    <w:rsid w:val="00DA05F2"/>
    <w:rsid w:val="00DA07D0"/>
    <w:rsid w:val="00DA0811"/>
    <w:rsid w:val="00DA09FF"/>
    <w:rsid w:val="00DA0C02"/>
    <w:rsid w:val="00DA0CB5"/>
    <w:rsid w:val="00DA0FCE"/>
    <w:rsid w:val="00DA12EC"/>
    <w:rsid w:val="00DA13A0"/>
    <w:rsid w:val="00DA163F"/>
    <w:rsid w:val="00DA1653"/>
    <w:rsid w:val="00DA1BD3"/>
    <w:rsid w:val="00DA1D9E"/>
    <w:rsid w:val="00DA1DB6"/>
    <w:rsid w:val="00DA1DBB"/>
    <w:rsid w:val="00DA1ED5"/>
    <w:rsid w:val="00DA20E6"/>
    <w:rsid w:val="00DA253B"/>
    <w:rsid w:val="00DA34AF"/>
    <w:rsid w:val="00DA34F3"/>
    <w:rsid w:val="00DA35A1"/>
    <w:rsid w:val="00DA44FB"/>
    <w:rsid w:val="00DA461B"/>
    <w:rsid w:val="00DA472C"/>
    <w:rsid w:val="00DA5013"/>
    <w:rsid w:val="00DA576F"/>
    <w:rsid w:val="00DA5BA8"/>
    <w:rsid w:val="00DA5E86"/>
    <w:rsid w:val="00DA65CC"/>
    <w:rsid w:val="00DA70DB"/>
    <w:rsid w:val="00DA7134"/>
    <w:rsid w:val="00DA7977"/>
    <w:rsid w:val="00DB005F"/>
    <w:rsid w:val="00DB00DD"/>
    <w:rsid w:val="00DB0399"/>
    <w:rsid w:val="00DB03BF"/>
    <w:rsid w:val="00DB0545"/>
    <w:rsid w:val="00DB05AA"/>
    <w:rsid w:val="00DB0CCF"/>
    <w:rsid w:val="00DB13F6"/>
    <w:rsid w:val="00DB1AD2"/>
    <w:rsid w:val="00DB1DAD"/>
    <w:rsid w:val="00DB21F4"/>
    <w:rsid w:val="00DB2495"/>
    <w:rsid w:val="00DB2532"/>
    <w:rsid w:val="00DB2749"/>
    <w:rsid w:val="00DB2A8D"/>
    <w:rsid w:val="00DB2BF4"/>
    <w:rsid w:val="00DB2C10"/>
    <w:rsid w:val="00DB2CB2"/>
    <w:rsid w:val="00DB2D72"/>
    <w:rsid w:val="00DB2ED9"/>
    <w:rsid w:val="00DB2FAA"/>
    <w:rsid w:val="00DB302A"/>
    <w:rsid w:val="00DB3845"/>
    <w:rsid w:val="00DB385A"/>
    <w:rsid w:val="00DB3B1A"/>
    <w:rsid w:val="00DB3D7F"/>
    <w:rsid w:val="00DB4065"/>
    <w:rsid w:val="00DB468C"/>
    <w:rsid w:val="00DB4E9F"/>
    <w:rsid w:val="00DB58DF"/>
    <w:rsid w:val="00DB5E82"/>
    <w:rsid w:val="00DB67EB"/>
    <w:rsid w:val="00DB741F"/>
    <w:rsid w:val="00DB7463"/>
    <w:rsid w:val="00DB7523"/>
    <w:rsid w:val="00DB797B"/>
    <w:rsid w:val="00DB7E33"/>
    <w:rsid w:val="00DB7E42"/>
    <w:rsid w:val="00DB7F70"/>
    <w:rsid w:val="00DC05F3"/>
    <w:rsid w:val="00DC0927"/>
    <w:rsid w:val="00DC0E1C"/>
    <w:rsid w:val="00DC0FEA"/>
    <w:rsid w:val="00DC2C89"/>
    <w:rsid w:val="00DC2D00"/>
    <w:rsid w:val="00DC2EFD"/>
    <w:rsid w:val="00DC3617"/>
    <w:rsid w:val="00DC394A"/>
    <w:rsid w:val="00DC39F1"/>
    <w:rsid w:val="00DC3B57"/>
    <w:rsid w:val="00DC3BDA"/>
    <w:rsid w:val="00DC3C41"/>
    <w:rsid w:val="00DC3F96"/>
    <w:rsid w:val="00DC4476"/>
    <w:rsid w:val="00DC4C54"/>
    <w:rsid w:val="00DC4D42"/>
    <w:rsid w:val="00DC4FF5"/>
    <w:rsid w:val="00DC58B5"/>
    <w:rsid w:val="00DC5970"/>
    <w:rsid w:val="00DC604C"/>
    <w:rsid w:val="00DC6113"/>
    <w:rsid w:val="00DC62CC"/>
    <w:rsid w:val="00DC6BC4"/>
    <w:rsid w:val="00DC77E1"/>
    <w:rsid w:val="00DC79D1"/>
    <w:rsid w:val="00DC7B0C"/>
    <w:rsid w:val="00DC7CBB"/>
    <w:rsid w:val="00DC7F26"/>
    <w:rsid w:val="00DD0859"/>
    <w:rsid w:val="00DD0A3D"/>
    <w:rsid w:val="00DD17B3"/>
    <w:rsid w:val="00DD1B75"/>
    <w:rsid w:val="00DD2184"/>
    <w:rsid w:val="00DD220F"/>
    <w:rsid w:val="00DD2299"/>
    <w:rsid w:val="00DD22AF"/>
    <w:rsid w:val="00DD25B8"/>
    <w:rsid w:val="00DD25EB"/>
    <w:rsid w:val="00DD27B1"/>
    <w:rsid w:val="00DD2FF9"/>
    <w:rsid w:val="00DD32B3"/>
    <w:rsid w:val="00DD3510"/>
    <w:rsid w:val="00DD3639"/>
    <w:rsid w:val="00DD365B"/>
    <w:rsid w:val="00DD373C"/>
    <w:rsid w:val="00DD398D"/>
    <w:rsid w:val="00DD3995"/>
    <w:rsid w:val="00DD3AA3"/>
    <w:rsid w:val="00DD4999"/>
    <w:rsid w:val="00DD4F74"/>
    <w:rsid w:val="00DD51DB"/>
    <w:rsid w:val="00DD526F"/>
    <w:rsid w:val="00DD542D"/>
    <w:rsid w:val="00DD574E"/>
    <w:rsid w:val="00DD6092"/>
    <w:rsid w:val="00DD614D"/>
    <w:rsid w:val="00DD617C"/>
    <w:rsid w:val="00DD618A"/>
    <w:rsid w:val="00DD6483"/>
    <w:rsid w:val="00DD649C"/>
    <w:rsid w:val="00DD6824"/>
    <w:rsid w:val="00DD6966"/>
    <w:rsid w:val="00DD69A1"/>
    <w:rsid w:val="00DD6CDD"/>
    <w:rsid w:val="00DD6EF8"/>
    <w:rsid w:val="00DD7468"/>
    <w:rsid w:val="00DD7740"/>
    <w:rsid w:val="00DD7CC1"/>
    <w:rsid w:val="00DE07B1"/>
    <w:rsid w:val="00DE0AC8"/>
    <w:rsid w:val="00DE0B00"/>
    <w:rsid w:val="00DE0D64"/>
    <w:rsid w:val="00DE0F6A"/>
    <w:rsid w:val="00DE1430"/>
    <w:rsid w:val="00DE1554"/>
    <w:rsid w:val="00DE1A5F"/>
    <w:rsid w:val="00DE1B94"/>
    <w:rsid w:val="00DE1F8C"/>
    <w:rsid w:val="00DE24A3"/>
    <w:rsid w:val="00DE27AE"/>
    <w:rsid w:val="00DE29DF"/>
    <w:rsid w:val="00DE2A78"/>
    <w:rsid w:val="00DE2EFF"/>
    <w:rsid w:val="00DE3049"/>
    <w:rsid w:val="00DE305B"/>
    <w:rsid w:val="00DE337C"/>
    <w:rsid w:val="00DE37DE"/>
    <w:rsid w:val="00DE397B"/>
    <w:rsid w:val="00DE399F"/>
    <w:rsid w:val="00DE3C68"/>
    <w:rsid w:val="00DE3DA7"/>
    <w:rsid w:val="00DE3FE2"/>
    <w:rsid w:val="00DE419B"/>
    <w:rsid w:val="00DE4377"/>
    <w:rsid w:val="00DE46D3"/>
    <w:rsid w:val="00DE4722"/>
    <w:rsid w:val="00DE4726"/>
    <w:rsid w:val="00DE4BA1"/>
    <w:rsid w:val="00DE4C68"/>
    <w:rsid w:val="00DE4D2A"/>
    <w:rsid w:val="00DE4D8E"/>
    <w:rsid w:val="00DE5434"/>
    <w:rsid w:val="00DE55CD"/>
    <w:rsid w:val="00DE5ABB"/>
    <w:rsid w:val="00DE5AEA"/>
    <w:rsid w:val="00DE5BAF"/>
    <w:rsid w:val="00DE5DE2"/>
    <w:rsid w:val="00DE6036"/>
    <w:rsid w:val="00DE607F"/>
    <w:rsid w:val="00DE66DD"/>
    <w:rsid w:val="00DE6B30"/>
    <w:rsid w:val="00DE6BE8"/>
    <w:rsid w:val="00DE6DAE"/>
    <w:rsid w:val="00DE6F7F"/>
    <w:rsid w:val="00DE724A"/>
    <w:rsid w:val="00DE7399"/>
    <w:rsid w:val="00DE76F2"/>
    <w:rsid w:val="00DF001D"/>
    <w:rsid w:val="00DF0453"/>
    <w:rsid w:val="00DF0477"/>
    <w:rsid w:val="00DF0788"/>
    <w:rsid w:val="00DF0C46"/>
    <w:rsid w:val="00DF11A9"/>
    <w:rsid w:val="00DF15FA"/>
    <w:rsid w:val="00DF1610"/>
    <w:rsid w:val="00DF193C"/>
    <w:rsid w:val="00DF1BC1"/>
    <w:rsid w:val="00DF2160"/>
    <w:rsid w:val="00DF23F6"/>
    <w:rsid w:val="00DF27B3"/>
    <w:rsid w:val="00DF3023"/>
    <w:rsid w:val="00DF393F"/>
    <w:rsid w:val="00DF42C1"/>
    <w:rsid w:val="00DF454C"/>
    <w:rsid w:val="00DF47C3"/>
    <w:rsid w:val="00DF4A80"/>
    <w:rsid w:val="00DF4D49"/>
    <w:rsid w:val="00DF5118"/>
    <w:rsid w:val="00DF513C"/>
    <w:rsid w:val="00DF525B"/>
    <w:rsid w:val="00DF565B"/>
    <w:rsid w:val="00DF5890"/>
    <w:rsid w:val="00DF5D0A"/>
    <w:rsid w:val="00DF5F66"/>
    <w:rsid w:val="00DF5F84"/>
    <w:rsid w:val="00DF5F87"/>
    <w:rsid w:val="00DF65EB"/>
    <w:rsid w:val="00DF66D9"/>
    <w:rsid w:val="00DF694E"/>
    <w:rsid w:val="00DF7BA8"/>
    <w:rsid w:val="00DF7F88"/>
    <w:rsid w:val="00E002DA"/>
    <w:rsid w:val="00E00456"/>
    <w:rsid w:val="00E00694"/>
    <w:rsid w:val="00E00715"/>
    <w:rsid w:val="00E00B79"/>
    <w:rsid w:val="00E00C73"/>
    <w:rsid w:val="00E00C91"/>
    <w:rsid w:val="00E00CCE"/>
    <w:rsid w:val="00E00EDE"/>
    <w:rsid w:val="00E01077"/>
    <w:rsid w:val="00E01D72"/>
    <w:rsid w:val="00E0209F"/>
    <w:rsid w:val="00E02A9D"/>
    <w:rsid w:val="00E02BC5"/>
    <w:rsid w:val="00E03524"/>
    <w:rsid w:val="00E0374D"/>
    <w:rsid w:val="00E040BE"/>
    <w:rsid w:val="00E0430B"/>
    <w:rsid w:val="00E0488C"/>
    <w:rsid w:val="00E049F8"/>
    <w:rsid w:val="00E056F7"/>
    <w:rsid w:val="00E05830"/>
    <w:rsid w:val="00E05C5A"/>
    <w:rsid w:val="00E05E8D"/>
    <w:rsid w:val="00E05F8C"/>
    <w:rsid w:val="00E06398"/>
    <w:rsid w:val="00E06B8C"/>
    <w:rsid w:val="00E06D33"/>
    <w:rsid w:val="00E077F3"/>
    <w:rsid w:val="00E07B1B"/>
    <w:rsid w:val="00E07BB0"/>
    <w:rsid w:val="00E07F8B"/>
    <w:rsid w:val="00E10660"/>
    <w:rsid w:val="00E1098F"/>
    <w:rsid w:val="00E109AE"/>
    <w:rsid w:val="00E1117E"/>
    <w:rsid w:val="00E116D6"/>
    <w:rsid w:val="00E117BF"/>
    <w:rsid w:val="00E11C2B"/>
    <w:rsid w:val="00E11C75"/>
    <w:rsid w:val="00E1208B"/>
    <w:rsid w:val="00E1250E"/>
    <w:rsid w:val="00E128D8"/>
    <w:rsid w:val="00E12CA6"/>
    <w:rsid w:val="00E12DB9"/>
    <w:rsid w:val="00E12FF5"/>
    <w:rsid w:val="00E13DC9"/>
    <w:rsid w:val="00E13F85"/>
    <w:rsid w:val="00E1405D"/>
    <w:rsid w:val="00E14303"/>
    <w:rsid w:val="00E148DC"/>
    <w:rsid w:val="00E14B66"/>
    <w:rsid w:val="00E14D61"/>
    <w:rsid w:val="00E14DE6"/>
    <w:rsid w:val="00E159DD"/>
    <w:rsid w:val="00E15A4C"/>
    <w:rsid w:val="00E15B3C"/>
    <w:rsid w:val="00E15E9E"/>
    <w:rsid w:val="00E15ECB"/>
    <w:rsid w:val="00E160AD"/>
    <w:rsid w:val="00E1616D"/>
    <w:rsid w:val="00E16408"/>
    <w:rsid w:val="00E1650A"/>
    <w:rsid w:val="00E16523"/>
    <w:rsid w:val="00E167C3"/>
    <w:rsid w:val="00E16EEF"/>
    <w:rsid w:val="00E1713B"/>
    <w:rsid w:val="00E17A5D"/>
    <w:rsid w:val="00E17FF3"/>
    <w:rsid w:val="00E206F4"/>
    <w:rsid w:val="00E209FD"/>
    <w:rsid w:val="00E21242"/>
    <w:rsid w:val="00E2139C"/>
    <w:rsid w:val="00E213D8"/>
    <w:rsid w:val="00E214A5"/>
    <w:rsid w:val="00E2184D"/>
    <w:rsid w:val="00E218C5"/>
    <w:rsid w:val="00E2192D"/>
    <w:rsid w:val="00E21B0F"/>
    <w:rsid w:val="00E22641"/>
    <w:rsid w:val="00E2342C"/>
    <w:rsid w:val="00E2376B"/>
    <w:rsid w:val="00E239DA"/>
    <w:rsid w:val="00E23C07"/>
    <w:rsid w:val="00E23C4D"/>
    <w:rsid w:val="00E23F53"/>
    <w:rsid w:val="00E241A3"/>
    <w:rsid w:val="00E2446F"/>
    <w:rsid w:val="00E244D0"/>
    <w:rsid w:val="00E24767"/>
    <w:rsid w:val="00E2487E"/>
    <w:rsid w:val="00E24925"/>
    <w:rsid w:val="00E24F1D"/>
    <w:rsid w:val="00E24F58"/>
    <w:rsid w:val="00E252AD"/>
    <w:rsid w:val="00E252FF"/>
    <w:rsid w:val="00E253E9"/>
    <w:rsid w:val="00E26686"/>
    <w:rsid w:val="00E267DA"/>
    <w:rsid w:val="00E2691F"/>
    <w:rsid w:val="00E26FD1"/>
    <w:rsid w:val="00E2713D"/>
    <w:rsid w:val="00E2719C"/>
    <w:rsid w:val="00E272D2"/>
    <w:rsid w:val="00E27498"/>
    <w:rsid w:val="00E278CC"/>
    <w:rsid w:val="00E27D09"/>
    <w:rsid w:val="00E30548"/>
    <w:rsid w:val="00E3094B"/>
    <w:rsid w:val="00E31307"/>
    <w:rsid w:val="00E31721"/>
    <w:rsid w:val="00E31A87"/>
    <w:rsid w:val="00E31F9D"/>
    <w:rsid w:val="00E32146"/>
    <w:rsid w:val="00E32FC5"/>
    <w:rsid w:val="00E3314C"/>
    <w:rsid w:val="00E336AF"/>
    <w:rsid w:val="00E34055"/>
    <w:rsid w:val="00E3421F"/>
    <w:rsid w:val="00E34428"/>
    <w:rsid w:val="00E345E6"/>
    <w:rsid w:val="00E34B59"/>
    <w:rsid w:val="00E351A0"/>
    <w:rsid w:val="00E352C0"/>
    <w:rsid w:val="00E35434"/>
    <w:rsid w:val="00E35489"/>
    <w:rsid w:val="00E358A8"/>
    <w:rsid w:val="00E36880"/>
    <w:rsid w:val="00E36951"/>
    <w:rsid w:val="00E3698B"/>
    <w:rsid w:val="00E36F84"/>
    <w:rsid w:val="00E37910"/>
    <w:rsid w:val="00E37AAA"/>
    <w:rsid w:val="00E37D76"/>
    <w:rsid w:val="00E37DD5"/>
    <w:rsid w:val="00E4061B"/>
    <w:rsid w:val="00E407E0"/>
    <w:rsid w:val="00E40B98"/>
    <w:rsid w:val="00E4146E"/>
    <w:rsid w:val="00E416DD"/>
    <w:rsid w:val="00E41979"/>
    <w:rsid w:val="00E41F65"/>
    <w:rsid w:val="00E42220"/>
    <w:rsid w:val="00E423E8"/>
    <w:rsid w:val="00E425B4"/>
    <w:rsid w:val="00E425D5"/>
    <w:rsid w:val="00E43293"/>
    <w:rsid w:val="00E43925"/>
    <w:rsid w:val="00E43D26"/>
    <w:rsid w:val="00E4445F"/>
    <w:rsid w:val="00E4488E"/>
    <w:rsid w:val="00E4490D"/>
    <w:rsid w:val="00E44D9C"/>
    <w:rsid w:val="00E450E3"/>
    <w:rsid w:val="00E450F7"/>
    <w:rsid w:val="00E4517F"/>
    <w:rsid w:val="00E451C6"/>
    <w:rsid w:val="00E4599B"/>
    <w:rsid w:val="00E460CD"/>
    <w:rsid w:val="00E46381"/>
    <w:rsid w:val="00E46BB9"/>
    <w:rsid w:val="00E46E01"/>
    <w:rsid w:val="00E46F8C"/>
    <w:rsid w:val="00E4788D"/>
    <w:rsid w:val="00E4797A"/>
    <w:rsid w:val="00E5025B"/>
    <w:rsid w:val="00E5036C"/>
    <w:rsid w:val="00E50829"/>
    <w:rsid w:val="00E50BA4"/>
    <w:rsid w:val="00E513BD"/>
    <w:rsid w:val="00E519B7"/>
    <w:rsid w:val="00E51A0C"/>
    <w:rsid w:val="00E51A4C"/>
    <w:rsid w:val="00E52020"/>
    <w:rsid w:val="00E52A59"/>
    <w:rsid w:val="00E540D7"/>
    <w:rsid w:val="00E542B2"/>
    <w:rsid w:val="00E542B4"/>
    <w:rsid w:val="00E54607"/>
    <w:rsid w:val="00E54810"/>
    <w:rsid w:val="00E54917"/>
    <w:rsid w:val="00E54F90"/>
    <w:rsid w:val="00E56034"/>
    <w:rsid w:val="00E5688E"/>
    <w:rsid w:val="00E56DE7"/>
    <w:rsid w:val="00E56E14"/>
    <w:rsid w:val="00E5714E"/>
    <w:rsid w:val="00E57162"/>
    <w:rsid w:val="00E57296"/>
    <w:rsid w:val="00E57507"/>
    <w:rsid w:val="00E5763E"/>
    <w:rsid w:val="00E577D4"/>
    <w:rsid w:val="00E577EF"/>
    <w:rsid w:val="00E578D8"/>
    <w:rsid w:val="00E60B9F"/>
    <w:rsid w:val="00E60D51"/>
    <w:rsid w:val="00E6106F"/>
    <w:rsid w:val="00E61246"/>
    <w:rsid w:val="00E61335"/>
    <w:rsid w:val="00E61BDC"/>
    <w:rsid w:val="00E61E7D"/>
    <w:rsid w:val="00E61F36"/>
    <w:rsid w:val="00E62016"/>
    <w:rsid w:val="00E62376"/>
    <w:rsid w:val="00E62935"/>
    <w:rsid w:val="00E62C76"/>
    <w:rsid w:val="00E63C1C"/>
    <w:rsid w:val="00E63ECF"/>
    <w:rsid w:val="00E64516"/>
    <w:rsid w:val="00E646B5"/>
    <w:rsid w:val="00E64796"/>
    <w:rsid w:val="00E64CF8"/>
    <w:rsid w:val="00E64E0D"/>
    <w:rsid w:val="00E653DB"/>
    <w:rsid w:val="00E654D1"/>
    <w:rsid w:val="00E65F31"/>
    <w:rsid w:val="00E65F3D"/>
    <w:rsid w:val="00E6662A"/>
    <w:rsid w:val="00E668AF"/>
    <w:rsid w:val="00E67032"/>
    <w:rsid w:val="00E6746E"/>
    <w:rsid w:val="00E67CD5"/>
    <w:rsid w:val="00E700D8"/>
    <w:rsid w:val="00E70230"/>
    <w:rsid w:val="00E70293"/>
    <w:rsid w:val="00E70547"/>
    <w:rsid w:val="00E70D17"/>
    <w:rsid w:val="00E7180C"/>
    <w:rsid w:val="00E719C0"/>
    <w:rsid w:val="00E71C62"/>
    <w:rsid w:val="00E72484"/>
    <w:rsid w:val="00E724B2"/>
    <w:rsid w:val="00E7296E"/>
    <w:rsid w:val="00E72E7B"/>
    <w:rsid w:val="00E72EAB"/>
    <w:rsid w:val="00E731B0"/>
    <w:rsid w:val="00E732AA"/>
    <w:rsid w:val="00E7331F"/>
    <w:rsid w:val="00E73C28"/>
    <w:rsid w:val="00E73D83"/>
    <w:rsid w:val="00E73DDF"/>
    <w:rsid w:val="00E73FFA"/>
    <w:rsid w:val="00E742AC"/>
    <w:rsid w:val="00E74C35"/>
    <w:rsid w:val="00E74CC2"/>
    <w:rsid w:val="00E74D8A"/>
    <w:rsid w:val="00E750BB"/>
    <w:rsid w:val="00E753F3"/>
    <w:rsid w:val="00E75518"/>
    <w:rsid w:val="00E760BE"/>
    <w:rsid w:val="00E760DD"/>
    <w:rsid w:val="00E764DC"/>
    <w:rsid w:val="00E767EA"/>
    <w:rsid w:val="00E7690C"/>
    <w:rsid w:val="00E7691F"/>
    <w:rsid w:val="00E76AEE"/>
    <w:rsid w:val="00E76C02"/>
    <w:rsid w:val="00E76D0B"/>
    <w:rsid w:val="00E7760F"/>
    <w:rsid w:val="00E77922"/>
    <w:rsid w:val="00E7795A"/>
    <w:rsid w:val="00E77FBC"/>
    <w:rsid w:val="00E80385"/>
    <w:rsid w:val="00E804F1"/>
    <w:rsid w:val="00E8062D"/>
    <w:rsid w:val="00E806B6"/>
    <w:rsid w:val="00E80707"/>
    <w:rsid w:val="00E80D6D"/>
    <w:rsid w:val="00E811A2"/>
    <w:rsid w:val="00E817D2"/>
    <w:rsid w:val="00E81848"/>
    <w:rsid w:val="00E81900"/>
    <w:rsid w:val="00E8192E"/>
    <w:rsid w:val="00E8208C"/>
    <w:rsid w:val="00E822B9"/>
    <w:rsid w:val="00E82583"/>
    <w:rsid w:val="00E82B62"/>
    <w:rsid w:val="00E83044"/>
    <w:rsid w:val="00E830CF"/>
    <w:rsid w:val="00E832EA"/>
    <w:rsid w:val="00E8351B"/>
    <w:rsid w:val="00E8356A"/>
    <w:rsid w:val="00E836E9"/>
    <w:rsid w:val="00E839F9"/>
    <w:rsid w:val="00E83C3B"/>
    <w:rsid w:val="00E83DB2"/>
    <w:rsid w:val="00E847C3"/>
    <w:rsid w:val="00E8482F"/>
    <w:rsid w:val="00E84DA7"/>
    <w:rsid w:val="00E855D3"/>
    <w:rsid w:val="00E85AD5"/>
    <w:rsid w:val="00E85FBF"/>
    <w:rsid w:val="00E86464"/>
    <w:rsid w:val="00E865DE"/>
    <w:rsid w:val="00E86844"/>
    <w:rsid w:val="00E868BD"/>
    <w:rsid w:val="00E87038"/>
    <w:rsid w:val="00E87427"/>
    <w:rsid w:val="00E87577"/>
    <w:rsid w:val="00E8768C"/>
    <w:rsid w:val="00E87756"/>
    <w:rsid w:val="00E87AF6"/>
    <w:rsid w:val="00E87BC5"/>
    <w:rsid w:val="00E87CCC"/>
    <w:rsid w:val="00E87E9A"/>
    <w:rsid w:val="00E9004B"/>
    <w:rsid w:val="00E90705"/>
    <w:rsid w:val="00E90CC4"/>
    <w:rsid w:val="00E90E3A"/>
    <w:rsid w:val="00E91DCB"/>
    <w:rsid w:val="00E91F13"/>
    <w:rsid w:val="00E921BC"/>
    <w:rsid w:val="00E92328"/>
    <w:rsid w:val="00E92CD9"/>
    <w:rsid w:val="00E933A3"/>
    <w:rsid w:val="00E933F9"/>
    <w:rsid w:val="00E9364D"/>
    <w:rsid w:val="00E93844"/>
    <w:rsid w:val="00E9403F"/>
    <w:rsid w:val="00E948A7"/>
    <w:rsid w:val="00E94A79"/>
    <w:rsid w:val="00E95955"/>
    <w:rsid w:val="00E959C5"/>
    <w:rsid w:val="00E95CEE"/>
    <w:rsid w:val="00E96993"/>
    <w:rsid w:val="00E96AEC"/>
    <w:rsid w:val="00E96B9F"/>
    <w:rsid w:val="00E96E32"/>
    <w:rsid w:val="00E9705E"/>
    <w:rsid w:val="00E972DB"/>
    <w:rsid w:val="00E9739F"/>
    <w:rsid w:val="00E974D0"/>
    <w:rsid w:val="00E97E5D"/>
    <w:rsid w:val="00EA04A6"/>
    <w:rsid w:val="00EA0740"/>
    <w:rsid w:val="00EA08AB"/>
    <w:rsid w:val="00EA0955"/>
    <w:rsid w:val="00EA0F7A"/>
    <w:rsid w:val="00EA12B8"/>
    <w:rsid w:val="00EA12BB"/>
    <w:rsid w:val="00EA13FA"/>
    <w:rsid w:val="00EA1E5B"/>
    <w:rsid w:val="00EA23E9"/>
    <w:rsid w:val="00EA248B"/>
    <w:rsid w:val="00EA2614"/>
    <w:rsid w:val="00EA2729"/>
    <w:rsid w:val="00EA28F9"/>
    <w:rsid w:val="00EA2A47"/>
    <w:rsid w:val="00EA2A65"/>
    <w:rsid w:val="00EA3DA8"/>
    <w:rsid w:val="00EA4331"/>
    <w:rsid w:val="00EA446A"/>
    <w:rsid w:val="00EA456D"/>
    <w:rsid w:val="00EA4A00"/>
    <w:rsid w:val="00EA4B16"/>
    <w:rsid w:val="00EA4E6C"/>
    <w:rsid w:val="00EA4F46"/>
    <w:rsid w:val="00EA510F"/>
    <w:rsid w:val="00EA51D4"/>
    <w:rsid w:val="00EA51D9"/>
    <w:rsid w:val="00EA56EC"/>
    <w:rsid w:val="00EA6181"/>
    <w:rsid w:val="00EA6534"/>
    <w:rsid w:val="00EA68D1"/>
    <w:rsid w:val="00EA7763"/>
    <w:rsid w:val="00EA79B6"/>
    <w:rsid w:val="00EA7DD9"/>
    <w:rsid w:val="00EB084B"/>
    <w:rsid w:val="00EB0A79"/>
    <w:rsid w:val="00EB0F2B"/>
    <w:rsid w:val="00EB13A6"/>
    <w:rsid w:val="00EB1683"/>
    <w:rsid w:val="00EB18C5"/>
    <w:rsid w:val="00EB1A43"/>
    <w:rsid w:val="00EB1C44"/>
    <w:rsid w:val="00EB1CA9"/>
    <w:rsid w:val="00EB1EDE"/>
    <w:rsid w:val="00EB26A5"/>
    <w:rsid w:val="00EB26BE"/>
    <w:rsid w:val="00EB26FB"/>
    <w:rsid w:val="00EB2A0C"/>
    <w:rsid w:val="00EB36D7"/>
    <w:rsid w:val="00EB3AB9"/>
    <w:rsid w:val="00EB3D41"/>
    <w:rsid w:val="00EB45F8"/>
    <w:rsid w:val="00EB4759"/>
    <w:rsid w:val="00EB479E"/>
    <w:rsid w:val="00EB4A48"/>
    <w:rsid w:val="00EB4C60"/>
    <w:rsid w:val="00EB5304"/>
    <w:rsid w:val="00EB5536"/>
    <w:rsid w:val="00EB5588"/>
    <w:rsid w:val="00EB5638"/>
    <w:rsid w:val="00EB56DE"/>
    <w:rsid w:val="00EB5BD1"/>
    <w:rsid w:val="00EB5C63"/>
    <w:rsid w:val="00EB5E4A"/>
    <w:rsid w:val="00EB647A"/>
    <w:rsid w:val="00EB6487"/>
    <w:rsid w:val="00EB64D9"/>
    <w:rsid w:val="00EB684A"/>
    <w:rsid w:val="00EB684F"/>
    <w:rsid w:val="00EB696B"/>
    <w:rsid w:val="00EB6B4E"/>
    <w:rsid w:val="00EB6D23"/>
    <w:rsid w:val="00EB6E1F"/>
    <w:rsid w:val="00EB6E7E"/>
    <w:rsid w:val="00EB70FC"/>
    <w:rsid w:val="00EB750F"/>
    <w:rsid w:val="00EB7684"/>
    <w:rsid w:val="00EB7B70"/>
    <w:rsid w:val="00EB7EB2"/>
    <w:rsid w:val="00EC092F"/>
    <w:rsid w:val="00EC0A87"/>
    <w:rsid w:val="00EC0B62"/>
    <w:rsid w:val="00EC0D85"/>
    <w:rsid w:val="00EC0E15"/>
    <w:rsid w:val="00EC2631"/>
    <w:rsid w:val="00EC2772"/>
    <w:rsid w:val="00EC27A0"/>
    <w:rsid w:val="00EC27BF"/>
    <w:rsid w:val="00EC33B9"/>
    <w:rsid w:val="00EC3788"/>
    <w:rsid w:val="00EC3ED4"/>
    <w:rsid w:val="00EC43C5"/>
    <w:rsid w:val="00EC4C4C"/>
    <w:rsid w:val="00EC4CBB"/>
    <w:rsid w:val="00EC4DCF"/>
    <w:rsid w:val="00EC504D"/>
    <w:rsid w:val="00EC5063"/>
    <w:rsid w:val="00EC57C0"/>
    <w:rsid w:val="00EC59B1"/>
    <w:rsid w:val="00EC5D56"/>
    <w:rsid w:val="00EC5E0C"/>
    <w:rsid w:val="00EC654E"/>
    <w:rsid w:val="00EC6582"/>
    <w:rsid w:val="00EC666F"/>
    <w:rsid w:val="00EC6A42"/>
    <w:rsid w:val="00EC6E67"/>
    <w:rsid w:val="00EC7138"/>
    <w:rsid w:val="00EC782E"/>
    <w:rsid w:val="00EC79D4"/>
    <w:rsid w:val="00EC7B0D"/>
    <w:rsid w:val="00EC7D22"/>
    <w:rsid w:val="00EC7DDC"/>
    <w:rsid w:val="00EC7E4C"/>
    <w:rsid w:val="00EC7EE1"/>
    <w:rsid w:val="00EC7FA9"/>
    <w:rsid w:val="00ED0309"/>
    <w:rsid w:val="00ED06EC"/>
    <w:rsid w:val="00ED09FB"/>
    <w:rsid w:val="00ED0DDF"/>
    <w:rsid w:val="00ED11D8"/>
    <w:rsid w:val="00ED1301"/>
    <w:rsid w:val="00ED1E47"/>
    <w:rsid w:val="00ED1F42"/>
    <w:rsid w:val="00ED33CE"/>
    <w:rsid w:val="00ED33F6"/>
    <w:rsid w:val="00ED3693"/>
    <w:rsid w:val="00ED42D1"/>
    <w:rsid w:val="00ED434B"/>
    <w:rsid w:val="00ED44D8"/>
    <w:rsid w:val="00ED4571"/>
    <w:rsid w:val="00ED46F3"/>
    <w:rsid w:val="00ED48D2"/>
    <w:rsid w:val="00ED4BA9"/>
    <w:rsid w:val="00ED53CF"/>
    <w:rsid w:val="00ED5B93"/>
    <w:rsid w:val="00ED5D14"/>
    <w:rsid w:val="00ED5ED4"/>
    <w:rsid w:val="00ED60F6"/>
    <w:rsid w:val="00ED6375"/>
    <w:rsid w:val="00ED654D"/>
    <w:rsid w:val="00ED6708"/>
    <w:rsid w:val="00ED67FE"/>
    <w:rsid w:val="00ED6C14"/>
    <w:rsid w:val="00ED6E12"/>
    <w:rsid w:val="00ED76A5"/>
    <w:rsid w:val="00ED789E"/>
    <w:rsid w:val="00ED790F"/>
    <w:rsid w:val="00ED7946"/>
    <w:rsid w:val="00ED7D47"/>
    <w:rsid w:val="00ED7D53"/>
    <w:rsid w:val="00ED7E71"/>
    <w:rsid w:val="00EE08BF"/>
    <w:rsid w:val="00EE090C"/>
    <w:rsid w:val="00EE0E64"/>
    <w:rsid w:val="00EE109B"/>
    <w:rsid w:val="00EE13F1"/>
    <w:rsid w:val="00EE172F"/>
    <w:rsid w:val="00EE1E35"/>
    <w:rsid w:val="00EE234B"/>
    <w:rsid w:val="00EE243A"/>
    <w:rsid w:val="00EE2B1D"/>
    <w:rsid w:val="00EE2FD2"/>
    <w:rsid w:val="00EE3220"/>
    <w:rsid w:val="00EE34EF"/>
    <w:rsid w:val="00EE3623"/>
    <w:rsid w:val="00EE4252"/>
    <w:rsid w:val="00EE4269"/>
    <w:rsid w:val="00EE4B83"/>
    <w:rsid w:val="00EE541F"/>
    <w:rsid w:val="00EE586F"/>
    <w:rsid w:val="00EE5B1C"/>
    <w:rsid w:val="00EE5E04"/>
    <w:rsid w:val="00EE60C8"/>
    <w:rsid w:val="00EE620D"/>
    <w:rsid w:val="00EE6563"/>
    <w:rsid w:val="00EE7115"/>
    <w:rsid w:val="00EE72AE"/>
    <w:rsid w:val="00EE73EB"/>
    <w:rsid w:val="00EE7633"/>
    <w:rsid w:val="00EF040C"/>
    <w:rsid w:val="00EF064C"/>
    <w:rsid w:val="00EF07AA"/>
    <w:rsid w:val="00EF08AA"/>
    <w:rsid w:val="00EF0E02"/>
    <w:rsid w:val="00EF122B"/>
    <w:rsid w:val="00EF1327"/>
    <w:rsid w:val="00EF1415"/>
    <w:rsid w:val="00EF15B5"/>
    <w:rsid w:val="00EF1681"/>
    <w:rsid w:val="00EF1FC2"/>
    <w:rsid w:val="00EF2206"/>
    <w:rsid w:val="00EF366B"/>
    <w:rsid w:val="00EF3687"/>
    <w:rsid w:val="00EF3FF4"/>
    <w:rsid w:val="00EF40D9"/>
    <w:rsid w:val="00EF428C"/>
    <w:rsid w:val="00EF4444"/>
    <w:rsid w:val="00EF45ED"/>
    <w:rsid w:val="00EF46B2"/>
    <w:rsid w:val="00EF4749"/>
    <w:rsid w:val="00EF4D48"/>
    <w:rsid w:val="00EF4FBD"/>
    <w:rsid w:val="00EF5699"/>
    <w:rsid w:val="00EF56AB"/>
    <w:rsid w:val="00EF5A26"/>
    <w:rsid w:val="00EF5B26"/>
    <w:rsid w:val="00EF653A"/>
    <w:rsid w:val="00EF6A8C"/>
    <w:rsid w:val="00EF6B11"/>
    <w:rsid w:val="00EF6F95"/>
    <w:rsid w:val="00EF707E"/>
    <w:rsid w:val="00EF7C36"/>
    <w:rsid w:val="00EF7E71"/>
    <w:rsid w:val="00EF7F1E"/>
    <w:rsid w:val="00EF7FAE"/>
    <w:rsid w:val="00F0068D"/>
    <w:rsid w:val="00F00AF9"/>
    <w:rsid w:val="00F00D73"/>
    <w:rsid w:val="00F01606"/>
    <w:rsid w:val="00F01626"/>
    <w:rsid w:val="00F01769"/>
    <w:rsid w:val="00F0182C"/>
    <w:rsid w:val="00F026A7"/>
    <w:rsid w:val="00F027F9"/>
    <w:rsid w:val="00F0283C"/>
    <w:rsid w:val="00F02A95"/>
    <w:rsid w:val="00F02ABF"/>
    <w:rsid w:val="00F02C9F"/>
    <w:rsid w:val="00F032BE"/>
    <w:rsid w:val="00F0357E"/>
    <w:rsid w:val="00F03746"/>
    <w:rsid w:val="00F03F38"/>
    <w:rsid w:val="00F04511"/>
    <w:rsid w:val="00F04942"/>
    <w:rsid w:val="00F051E6"/>
    <w:rsid w:val="00F05A79"/>
    <w:rsid w:val="00F06311"/>
    <w:rsid w:val="00F067F8"/>
    <w:rsid w:val="00F0681E"/>
    <w:rsid w:val="00F06A2F"/>
    <w:rsid w:val="00F06BFD"/>
    <w:rsid w:val="00F06EAC"/>
    <w:rsid w:val="00F07214"/>
    <w:rsid w:val="00F07333"/>
    <w:rsid w:val="00F07AF7"/>
    <w:rsid w:val="00F07F68"/>
    <w:rsid w:val="00F1144C"/>
    <w:rsid w:val="00F114B8"/>
    <w:rsid w:val="00F11AD4"/>
    <w:rsid w:val="00F11B7D"/>
    <w:rsid w:val="00F11CEB"/>
    <w:rsid w:val="00F1207D"/>
    <w:rsid w:val="00F12609"/>
    <w:rsid w:val="00F12938"/>
    <w:rsid w:val="00F130C6"/>
    <w:rsid w:val="00F13324"/>
    <w:rsid w:val="00F135F6"/>
    <w:rsid w:val="00F13711"/>
    <w:rsid w:val="00F13B57"/>
    <w:rsid w:val="00F13B71"/>
    <w:rsid w:val="00F13CF4"/>
    <w:rsid w:val="00F13E75"/>
    <w:rsid w:val="00F1498F"/>
    <w:rsid w:val="00F14A09"/>
    <w:rsid w:val="00F1539B"/>
    <w:rsid w:val="00F15A13"/>
    <w:rsid w:val="00F15E53"/>
    <w:rsid w:val="00F1641F"/>
    <w:rsid w:val="00F16E81"/>
    <w:rsid w:val="00F16F40"/>
    <w:rsid w:val="00F16FAD"/>
    <w:rsid w:val="00F17000"/>
    <w:rsid w:val="00F17320"/>
    <w:rsid w:val="00F17656"/>
    <w:rsid w:val="00F17B1C"/>
    <w:rsid w:val="00F17B73"/>
    <w:rsid w:val="00F17FE0"/>
    <w:rsid w:val="00F204E0"/>
    <w:rsid w:val="00F20504"/>
    <w:rsid w:val="00F20D3B"/>
    <w:rsid w:val="00F2112A"/>
    <w:rsid w:val="00F214FB"/>
    <w:rsid w:val="00F219A7"/>
    <w:rsid w:val="00F21E6E"/>
    <w:rsid w:val="00F21E7B"/>
    <w:rsid w:val="00F21ED3"/>
    <w:rsid w:val="00F22E61"/>
    <w:rsid w:val="00F2332A"/>
    <w:rsid w:val="00F233F9"/>
    <w:rsid w:val="00F23BAC"/>
    <w:rsid w:val="00F23F80"/>
    <w:rsid w:val="00F2419B"/>
    <w:rsid w:val="00F243C5"/>
    <w:rsid w:val="00F243CD"/>
    <w:rsid w:val="00F24AE0"/>
    <w:rsid w:val="00F25AE8"/>
    <w:rsid w:val="00F26401"/>
    <w:rsid w:val="00F27949"/>
    <w:rsid w:val="00F27A39"/>
    <w:rsid w:val="00F30270"/>
    <w:rsid w:val="00F3091B"/>
    <w:rsid w:val="00F317F1"/>
    <w:rsid w:val="00F31876"/>
    <w:rsid w:val="00F31B69"/>
    <w:rsid w:val="00F31EAB"/>
    <w:rsid w:val="00F3231E"/>
    <w:rsid w:val="00F32350"/>
    <w:rsid w:val="00F32749"/>
    <w:rsid w:val="00F32BB1"/>
    <w:rsid w:val="00F32CA6"/>
    <w:rsid w:val="00F32EC0"/>
    <w:rsid w:val="00F3310E"/>
    <w:rsid w:val="00F33149"/>
    <w:rsid w:val="00F331FA"/>
    <w:rsid w:val="00F33378"/>
    <w:rsid w:val="00F333C2"/>
    <w:rsid w:val="00F334DB"/>
    <w:rsid w:val="00F33583"/>
    <w:rsid w:val="00F33803"/>
    <w:rsid w:val="00F33D14"/>
    <w:rsid w:val="00F33E1C"/>
    <w:rsid w:val="00F33F6B"/>
    <w:rsid w:val="00F34069"/>
    <w:rsid w:val="00F342E3"/>
    <w:rsid w:val="00F35539"/>
    <w:rsid w:val="00F35A40"/>
    <w:rsid w:val="00F36248"/>
    <w:rsid w:val="00F367BA"/>
    <w:rsid w:val="00F36944"/>
    <w:rsid w:val="00F3695B"/>
    <w:rsid w:val="00F36DE5"/>
    <w:rsid w:val="00F36EED"/>
    <w:rsid w:val="00F36FEE"/>
    <w:rsid w:val="00F3748D"/>
    <w:rsid w:val="00F376A4"/>
    <w:rsid w:val="00F3786E"/>
    <w:rsid w:val="00F37D2B"/>
    <w:rsid w:val="00F37D6B"/>
    <w:rsid w:val="00F40598"/>
    <w:rsid w:val="00F40958"/>
    <w:rsid w:val="00F4095B"/>
    <w:rsid w:val="00F40B95"/>
    <w:rsid w:val="00F40DF3"/>
    <w:rsid w:val="00F40F58"/>
    <w:rsid w:val="00F41586"/>
    <w:rsid w:val="00F4179E"/>
    <w:rsid w:val="00F41924"/>
    <w:rsid w:val="00F41979"/>
    <w:rsid w:val="00F41EAB"/>
    <w:rsid w:val="00F41EC1"/>
    <w:rsid w:val="00F42011"/>
    <w:rsid w:val="00F42913"/>
    <w:rsid w:val="00F42E4B"/>
    <w:rsid w:val="00F42E58"/>
    <w:rsid w:val="00F432AC"/>
    <w:rsid w:val="00F43B90"/>
    <w:rsid w:val="00F43D67"/>
    <w:rsid w:val="00F43E54"/>
    <w:rsid w:val="00F43F16"/>
    <w:rsid w:val="00F44898"/>
    <w:rsid w:val="00F449F4"/>
    <w:rsid w:val="00F449FC"/>
    <w:rsid w:val="00F44D72"/>
    <w:rsid w:val="00F44F16"/>
    <w:rsid w:val="00F46493"/>
    <w:rsid w:val="00F469CE"/>
    <w:rsid w:val="00F46ADE"/>
    <w:rsid w:val="00F46E65"/>
    <w:rsid w:val="00F46EDC"/>
    <w:rsid w:val="00F4747B"/>
    <w:rsid w:val="00F477F4"/>
    <w:rsid w:val="00F47A03"/>
    <w:rsid w:val="00F47D76"/>
    <w:rsid w:val="00F50227"/>
    <w:rsid w:val="00F50289"/>
    <w:rsid w:val="00F5078D"/>
    <w:rsid w:val="00F50D7F"/>
    <w:rsid w:val="00F51284"/>
    <w:rsid w:val="00F51458"/>
    <w:rsid w:val="00F51478"/>
    <w:rsid w:val="00F51BCA"/>
    <w:rsid w:val="00F520BE"/>
    <w:rsid w:val="00F52382"/>
    <w:rsid w:val="00F523D4"/>
    <w:rsid w:val="00F527C9"/>
    <w:rsid w:val="00F53152"/>
    <w:rsid w:val="00F53159"/>
    <w:rsid w:val="00F53A6C"/>
    <w:rsid w:val="00F53C4D"/>
    <w:rsid w:val="00F53E27"/>
    <w:rsid w:val="00F53E31"/>
    <w:rsid w:val="00F54487"/>
    <w:rsid w:val="00F545D7"/>
    <w:rsid w:val="00F54B89"/>
    <w:rsid w:val="00F54DC1"/>
    <w:rsid w:val="00F54FED"/>
    <w:rsid w:val="00F55310"/>
    <w:rsid w:val="00F5535B"/>
    <w:rsid w:val="00F5553E"/>
    <w:rsid w:val="00F55B8C"/>
    <w:rsid w:val="00F5693A"/>
    <w:rsid w:val="00F56F90"/>
    <w:rsid w:val="00F57EC9"/>
    <w:rsid w:val="00F60042"/>
    <w:rsid w:val="00F600AA"/>
    <w:rsid w:val="00F602CA"/>
    <w:rsid w:val="00F60739"/>
    <w:rsid w:val="00F60822"/>
    <w:rsid w:val="00F6084B"/>
    <w:rsid w:val="00F60874"/>
    <w:rsid w:val="00F60BD0"/>
    <w:rsid w:val="00F614FA"/>
    <w:rsid w:val="00F61652"/>
    <w:rsid w:val="00F6171E"/>
    <w:rsid w:val="00F61AD6"/>
    <w:rsid w:val="00F61AE4"/>
    <w:rsid w:val="00F61BE9"/>
    <w:rsid w:val="00F626D8"/>
    <w:rsid w:val="00F62977"/>
    <w:rsid w:val="00F629B3"/>
    <w:rsid w:val="00F632D9"/>
    <w:rsid w:val="00F633B6"/>
    <w:rsid w:val="00F636E8"/>
    <w:rsid w:val="00F63893"/>
    <w:rsid w:val="00F63ADA"/>
    <w:rsid w:val="00F63B20"/>
    <w:rsid w:val="00F63D06"/>
    <w:rsid w:val="00F64089"/>
    <w:rsid w:val="00F64E55"/>
    <w:rsid w:val="00F64E8F"/>
    <w:rsid w:val="00F64EB4"/>
    <w:rsid w:val="00F651C6"/>
    <w:rsid w:val="00F6521F"/>
    <w:rsid w:val="00F65BF7"/>
    <w:rsid w:val="00F65C89"/>
    <w:rsid w:val="00F65FB3"/>
    <w:rsid w:val="00F666EC"/>
    <w:rsid w:val="00F6675E"/>
    <w:rsid w:val="00F66921"/>
    <w:rsid w:val="00F66F52"/>
    <w:rsid w:val="00F67110"/>
    <w:rsid w:val="00F67329"/>
    <w:rsid w:val="00F674EA"/>
    <w:rsid w:val="00F67C93"/>
    <w:rsid w:val="00F67D4D"/>
    <w:rsid w:val="00F67D5B"/>
    <w:rsid w:val="00F70CB4"/>
    <w:rsid w:val="00F70D99"/>
    <w:rsid w:val="00F70E45"/>
    <w:rsid w:val="00F710BB"/>
    <w:rsid w:val="00F71144"/>
    <w:rsid w:val="00F711E0"/>
    <w:rsid w:val="00F7156B"/>
    <w:rsid w:val="00F71F69"/>
    <w:rsid w:val="00F72281"/>
    <w:rsid w:val="00F72879"/>
    <w:rsid w:val="00F728C6"/>
    <w:rsid w:val="00F72E4D"/>
    <w:rsid w:val="00F72F9E"/>
    <w:rsid w:val="00F73183"/>
    <w:rsid w:val="00F732F8"/>
    <w:rsid w:val="00F73707"/>
    <w:rsid w:val="00F73901"/>
    <w:rsid w:val="00F73F36"/>
    <w:rsid w:val="00F7433A"/>
    <w:rsid w:val="00F74394"/>
    <w:rsid w:val="00F743B4"/>
    <w:rsid w:val="00F74A6F"/>
    <w:rsid w:val="00F74D0F"/>
    <w:rsid w:val="00F74EA7"/>
    <w:rsid w:val="00F750A6"/>
    <w:rsid w:val="00F7557D"/>
    <w:rsid w:val="00F756EB"/>
    <w:rsid w:val="00F75C46"/>
    <w:rsid w:val="00F75C94"/>
    <w:rsid w:val="00F75FB8"/>
    <w:rsid w:val="00F76463"/>
    <w:rsid w:val="00F7651D"/>
    <w:rsid w:val="00F772BE"/>
    <w:rsid w:val="00F778B4"/>
    <w:rsid w:val="00F77CB5"/>
    <w:rsid w:val="00F808C7"/>
    <w:rsid w:val="00F80B19"/>
    <w:rsid w:val="00F80DEB"/>
    <w:rsid w:val="00F80FAF"/>
    <w:rsid w:val="00F8120F"/>
    <w:rsid w:val="00F8139E"/>
    <w:rsid w:val="00F818BE"/>
    <w:rsid w:val="00F81B11"/>
    <w:rsid w:val="00F824E4"/>
    <w:rsid w:val="00F825D3"/>
    <w:rsid w:val="00F82BDF"/>
    <w:rsid w:val="00F82DF6"/>
    <w:rsid w:val="00F83015"/>
    <w:rsid w:val="00F83171"/>
    <w:rsid w:val="00F83683"/>
    <w:rsid w:val="00F8372D"/>
    <w:rsid w:val="00F83756"/>
    <w:rsid w:val="00F83766"/>
    <w:rsid w:val="00F83954"/>
    <w:rsid w:val="00F839E1"/>
    <w:rsid w:val="00F83BD0"/>
    <w:rsid w:val="00F83C40"/>
    <w:rsid w:val="00F846B9"/>
    <w:rsid w:val="00F8498F"/>
    <w:rsid w:val="00F84A75"/>
    <w:rsid w:val="00F84C01"/>
    <w:rsid w:val="00F85082"/>
    <w:rsid w:val="00F8542F"/>
    <w:rsid w:val="00F8547E"/>
    <w:rsid w:val="00F85BA7"/>
    <w:rsid w:val="00F863D2"/>
    <w:rsid w:val="00F868D8"/>
    <w:rsid w:val="00F86CF3"/>
    <w:rsid w:val="00F86E8A"/>
    <w:rsid w:val="00F87059"/>
    <w:rsid w:val="00F8720E"/>
    <w:rsid w:val="00F87455"/>
    <w:rsid w:val="00F900F2"/>
    <w:rsid w:val="00F90205"/>
    <w:rsid w:val="00F9070E"/>
    <w:rsid w:val="00F907E5"/>
    <w:rsid w:val="00F90EB4"/>
    <w:rsid w:val="00F91391"/>
    <w:rsid w:val="00F91572"/>
    <w:rsid w:val="00F91DB9"/>
    <w:rsid w:val="00F92298"/>
    <w:rsid w:val="00F92498"/>
    <w:rsid w:val="00F92691"/>
    <w:rsid w:val="00F9297D"/>
    <w:rsid w:val="00F92EAB"/>
    <w:rsid w:val="00F93070"/>
    <w:rsid w:val="00F935B1"/>
    <w:rsid w:val="00F93C99"/>
    <w:rsid w:val="00F93D69"/>
    <w:rsid w:val="00F93FED"/>
    <w:rsid w:val="00F946CE"/>
    <w:rsid w:val="00F94707"/>
    <w:rsid w:val="00F94EAC"/>
    <w:rsid w:val="00F9503B"/>
    <w:rsid w:val="00F951F2"/>
    <w:rsid w:val="00F95289"/>
    <w:rsid w:val="00F9568D"/>
    <w:rsid w:val="00F956F1"/>
    <w:rsid w:val="00F95906"/>
    <w:rsid w:val="00F95CDF"/>
    <w:rsid w:val="00F95F48"/>
    <w:rsid w:val="00F961D4"/>
    <w:rsid w:val="00F965ED"/>
    <w:rsid w:val="00F966D0"/>
    <w:rsid w:val="00F971C1"/>
    <w:rsid w:val="00FA11CC"/>
    <w:rsid w:val="00FA12D3"/>
    <w:rsid w:val="00FA134E"/>
    <w:rsid w:val="00FA13D9"/>
    <w:rsid w:val="00FA15C4"/>
    <w:rsid w:val="00FA16E8"/>
    <w:rsid w:val="00FA1B27"/>
    <w:rsid w:val="00FA1D03"/>
    <w:rsid w:val="00FA1DE9"/>
    <w:rsid w:val="00FA23FF"/>
    <w:rsid w:val="00FA243C"/>
    <w:rsid w:val="00FA24A6"/>
    <w:rsid w:val="00FA2656"/>
    <w:rsid w:val="00FA2A28"/>
    <w:rsid w:val="00FA2B36"/>
    <w:rsid w:val="00FA3344"/>
    <w:rsid w:val="00FA33E0"/>
    <w:rsid w:val="00FA3490"/>
    <w:rsid w:val="00FA3F7A"/>
    <w:rsid w:val="00FA40CE"/>
    <w:rsid w:val="00FA41BF"/>
    <w:rsid w:val="00FA4244"/>
    <w:rsid w:val="00FA473F"/>
    <w:rsid w:val="00FA48D6"/>
    <w:rsid w:val="00FA49D5"/>
    <w:rsid w:val="00FA4DDF"/>
    <w:rsid w:val="00FA575B"/>
    <w:rsid w:val="00FA5930"/>
    <w:rsid w:val="00FA5C69"/>
    <w:rsid w:val="00FA6084"/>
    <w:rsid w:val="00FA6102"/>
    <w:rsid w:val="00FA6152"/>
    <w:rsid w:val="00FA661D"/>
    <w:rsid w:val="00FA66CF"/>
    <w:rsid w:val="00FA6BB1"/>
    <w:rsid w:val="00FA6BEB"/>
    <w:rsid w:val="00FA6D96"/>
    <w:rsid w:val="00FA72EE"/>
    <w:rsid w:val="00FA7315"/>
    <w:rsid w:val="00FA7CB7"/>
    <w:rsid w:val="00FB03F0"/>
    <w:rsid w:val="00FB113A"/>
    <w:rsid w:val="00FB1145"/>
    <w:rsid w:val="00FB115D"/>
    <w:rsid w:val="00FB11DA"/>
    <w:rsid w:val="00FB139A"/>
    <w:rsid w:val="00FB1704"/>
    <w:rsid w:val="00FB1D30"/>
    <w:rsid w:val="00FB20C6"/>
    <w:rsid w:val="00FB2A9B"/>
    <w:rsid w:val="00FB31F8"/>
    <w:rsid w:val="00FB34E4"/>
    <w:rsid w:val="00FB364B"/>
    <w:rsid w:val="00FB3925"/>
    <w:rsid w:val="00FB3AD8"/>
    <w:rsid w:val="00FB3C72"/>
    <w:rsid w:val="00FB3CB5"/>
    <w:rsid w:val="00FB3E7B"/>
    <w:rsid w:val="00FB43B8"/>
    <w:rsid w:val="00FB44AD"/>
    <w:rsid w:val="00FB45F3"/>
    <w:rsid w:val="00FB4918"/>
    <w:rsid w:val="00FB58C5"/>
    <w:rsid w:val="00FB5B33"/>
    <w:rsid w:val="00FB5DEC"/>
    <w:rsid w:val="00FB60CB"/>
    <w:rsid w:val="00FB625B"/>
    <w:rsid w:val="00FB69AA"/>
    <w:rsid w:val="00FB6ABC"/>
    <w:rsid w:val="00FB710B"/>
    <w:rsid w:val="00FB7217"/>
    <w:rsid w:val="00FB7422"/>
    <w:rsid w:val="00FB75DC"/>
    <w:rsid w:val="00FB76FB"/>
    <w:rsid w:val="00FB79C8"/>
    <w:rsid w:val="00FC01A6"/>
    <w:rsid w:val="00FC051F"/>
    <w:rsid w:val="00FC07AC"/>
    <w:rsid w:val="00FC08DE"/>
    <w:rsid w:val="00FC0CF0"/>
    <w:rsid w:val="00FC0EDB"/>
    <w:rsid w:val="00FC0FB5"/>
    <w:rsid w:val="00FC0FDE"/>
    <w:rsid w:val="00FC1034"/>
    <w:rsid w:val="00FC1214"/>
    <w:rsid w:val="00FC1438"/>
    <w:rsid w:val="00FC190E"/>
    <w:rsid w:val="00FC1B48"/>
    <w:rsid w:val="00FC1CCD"/>
    <w:rsid w:val="00FC1E06"/>
    <w:rsid w:val="00FC1E0E"/>
    <w:rsid w:val="00FC226E"/>
    <w:rsid w:val="00FC2438"/>
    <w:rsid w:val="00FC263B"/>
    <w:rsid w:val="00FC2835"/>
    <w:rsid w:val="00FC2854"/>
    <w:rsid w:val="00FC2F9C"/>
    <w:rsid w:val="00FC30AD"/>
    <w:rsid w:val="00FC3570"/>
    <w:rsid w:val="00FC36D7"/>
    <w:rsid w:val="00FC3835"/>
    <w:rsid w:val="00FC3CB0"/>
    <w:rsid w:val="00FC3E0A"/>
    <w:rsid w:val="00FC4214"/>
    <w:rsid w:val="00FC4640"/>
    <w:rsid w:val="00FC52A7"/>
    <w:rsid w:val="00FC52E6"/>
    <w:rsid w:val="00FC56CA"/>
    <w:rsid w:val="00FC574D"/>
    <w:rsid w:val="00FC5985"/>
    <w:rsid w:val="00FC5A65"/>
    <w:rsid w:val="00FC5ADA"/>
    <w:rsid w:val="00FC5B0D"/>
    <w:rsid w:val="00FC5B76"/>
    <w:rsid w:val="00FC5DB9"/>
    <w:rsid w:val="00FC609E"/>
    <w:rsid w:val="00FC6210"/>
    <w:rsid w:val="00FC6493"/>
    <w:rsid w:val="00FC64CF"/>
    <w:rsid w:val="00FC6577"/>
    <w:rsid w:val="00FC6736"/>
    <w:rsid w:val="00FC6EB0"/>
    <w:rsid w:val="00FC7051"/>
    <w:rsid w:val="00FC75C8"/>
    <w:rsid w:val="00FC7C91"/>
    <w:rsid w:val="00FC7D20"/>
    <w:rsid w:val="00FC7D76"/>
    <w:rsid w:val="00FD00A4"/>
    <w:rsid w:val="00FD0605"/>
    <w:rsid w:val="00FD06AB"/>
    <w:rsid w:val="00FD0907"/>
    <w:rsid w:val="00FD0BB5"/>
    <w:rsid w:val="00FD0CDB"/>
    <w:rsid w:val="00FD0E79"/>
    <w:rsid w:val="00FD1208"/>
    <w:rsid w:val="00FD17E3"/>
    <w:rsid w:val="00FD1818"/>
    <w:rsid w:val="00FD1EF8"/>
    <w:rsid w:val="00FD2225"/>
    <w:rsid w:val="00FD3022"/>
    <w:rsid w:val="00FD3192"/>
    <w:rsid w:val="00FD3423"/>
    <w:rsid w:val="00FD38D2"/>
    <w:rsid w:val="00FD38DE"/>
    <w:rsid w:val="00FD3DAF"/>
    <w:rsid w:val="00FD3F3A"/>
    <w:rsid w:val="00FD441B"/>
    <w:rsid w:val="00FD4492"/>
    <w:rsid w:val="00FD4DBC"/>
    <w:rsid w:val="00FD4E01"/>
    <w:rsid w:val="00FD522F"/>
    <w:rsid w:val="00FD523B"/>
    <w:rsid w:val="00FD54E6"/>
    <w:rsid w:val="00FD592D"/>
    <w:rsid w:val="00FD62E6"/>
    <w:rsid w:val="00FD6552"/>
    <w:rsid w:val="00FD6AB3"/>
    <w:rsid w:val="00FD7005"/>
    <w:rsid w:val="00FD7367"/>
    <w:rsid w:val="00FD7C46"/>
    <w:rsid w:val="00FD7C51"/>
    <w:rsid w:val="00FD7D35"/>
    <w:rsid w:val="00FD7E3E"/>
    <w:rsid w:val="00FE05C3"/>
    <w:rsid w:val="00FE0985"/>
    <w:rsid w:val="00FE0C6F"/>
    <w:rsid w:val="00FE0D73"/>
    <w:rsid w:val="00FE0DF5"/>
    <w:rsid w:val="00FE10F0"/>
    <w:rsid w:val="00FE11AE"/>
    <w:rsid w:val="00FE1CF5"/>
    <w:rsid w:val="00FE1E8E"/>
    <w:rsid w:val="00FE2B23"/>
    <w:rsid w:val="00FE2BC6"/>
    <w:rsid w:val="00FE2D09"/>
    <w:rsid w:val="00FE3070"/>
    <w:rsid w:val="00FE30F1"/>
    <w:rsid w:val="00FE3298"/>
    <w:rsid w:val="00FE441A"/>
    <w:rsid w:val="00FE4CF3"/>
    <w:rsid w:val="00FE55A9"/>
    <w:rsid w:val="00FE5713"/>
    <w:rsid w:val="00FE5990"/>
    <w:rsid w:val="00FE6A31"/>
    <w:rsid w:val="00FE6AD2"/>
    <w:rsid w:val="00FE7D79"/>
    <w:rsid w:val="00FF02C1"/>
    <w:rsid w:val="00FF0871"/>
    <w:rsid w:val="00FF09D7"/>
    <w:rsid w:val="00FF0F64"/>
    <w:rsid w:val="00FF112F"/>
    <w:rsid w:val="00FF1356"/>
    <w:rsid w:val="00FF13B8"/>
    <w:rsid w:val="00FF157F"/>
    <w:rsid w:val="00FF17BA"/>
    <w:rsid w:val="00FF198D"/>
    <w:rsid w:val="00FF2012"/>
    <w:rsid w:val="00FF2202"/>
    <w:rsid w:val="00FF2483"/>
    <w:rsid w:val="00FF2AF6"/>
    <w:rsid w:val="00FF2C04"/>
    <w:rsid w:val="00FF2C6F"/>
    <w:rsid w:val="00FF34DA"/>
    <w:rsid w:val="00FF3737"/>
    <w:rsid w:val="00FF39FE"/>
    <w:rsid w:val="00FF3A6F"/>
    <w:rsid w:val="00FF3AA2"/>
    <w:rsid w:val="00FF4046"/>
    <w:rsid w:val="00FF41BB"/>
    <w:rsid w:val="00FF45D7"/>
    <w:rsid w:val="00FF485E"/>
    <w:rsid w:val="00FF4913"/>
    <w:rsid w:val="00FF4A39"/>
    <w:rsid w:val="00FF4E70"/>
    <w:rsid w:val="00FF4FA7"/>
    <w:rsid w:val="00FF510E"/>
    <w:rsid w:val="00FF521B"/>
    <w:rsid w:val="00FF52BC"/>
    <w:rsid w:val="00FF5619"/>
    <w:rsid w:val="00FF5EE1"/>
    <w:rsid w:val="00FF5F34"/>
    <w:rsid w:val="00FF6A04"/>
    <w:rsid w:val="00FF6D97"/>
    <w:rsid w:val="00FF71AC"/>
    <w:rsid w:val="00FF75CC"/>
    <w:rsid w:val="00FF768A"/>
    <w:rsid w:val="00FF7744"/>
    <w:rsid w:val="00FF778E"/>
    <w:rsid w:val="00FF7B8B"/>
    <w:rsid w:val="00FF7D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2D07B"/>
  <w15:docId w15:val="{7CDA36D1-4DBA-42F9-988B-BFC5D4FC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53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D4F09"/>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184228"/>
    <w:pPr>
      <w:tabs>
        <w:tab w:val="left" w:pos="7338"/>
      </w:tabs>
      <w:autoSpaceDE w:val="0"/>
      <w:autoSpaceDN w:val="0"/>
      <w:adjustRightInd w:val="0"/>
      <w:spacing w:line="480" w:lineRule="auto"/>
      <w:jc w:val="both"/>
      <w:outlineLvl w:val="1"/>
    </w:pPr>
    <w:rPr>
      <w:rFonts w:eastAsia="SimSun"/>
      <w:color w:val="00000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122E4"/>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8122E4"/>
    <w:rPr>
      <w:sz w:val="20"/>
      <w:szCs w:val="20"/>
    </w:rPr>
  </w:style>
  <w:style w:type="character" w:styleId="FootnoteReference">
    <w:name w:val="footnote reference"/>
    <w:basedOn w:val="DefaultParagraphFont"/>
    <w:uiPriority w:val="99"/>
    <w:unhideWhenUsed/>
    <w:rsid w:val="008122E4"/>
    <w:rPr>
      <w:vertAlign w:val="superscript"/>
    </w:rPr>
  </w:style>
  <w:style w:type="character" w:styleId="Hyperlink">
    <w:name w:val="Hyperlink"/>
    <w:basedOn w:val="DefaultParagraphFont"/>
    <w:uiPriority w:val="99"/>
    <w:unhideWhenUsed/>
    <w:rsid w:val="00C24277"/>
    <w:rPr>
      <w:color w:val="0563C1" w:themeColor="hyperlink"/>
      <w:u w:val="single"/>
    </w:rPr>
  </w:style>
  <w:style w:type="character" w:customStyle="1" w:styleId="UnresolvedMention1">
    <w:name w:val="Unresolved Mention1"/>
    <w:basedOn w:val="DefaultParagraphFont"/>
    <w:uiPriority w:val="99"/>
    <w:semiHidden/>
    <w:unhideWhenUsed/>
    <w:rsid w:val="00C24277"/>
    <w:rPr>
      <w:color w:val="605E5C"/>
      <w:shd w:val="clear" w:color="auto" w:fill="E1DFDD"/>
    </w:rPr>
  </w:style>
  <w:style w:type="character" w:styleId="CommentReference">
    <w:name w:val="annotation reference"/>
    <w:basedOn w:val="DefaultParagraphFont"/>
    <w:uiPriority w:val="99"/>
    <w:semiHidden/>
    <w:unhideWhenUsed/>
    <w:rsid w:val="0054693F"/>
    <w:rPr>
      <w:sz w:val="16"/>
      <w:szCs w:val="16"/>
    </w:rPr>
  </w:style>
  <w:style w:type="paragraph" w:styleId="CommentText">
    <w:name w:val="annotation text"/>
    <w:basedOn w:val="Normal"/>
    <w:link w:val="CommentTextChar"/>
    <w:uiPriority w:val="99"/>
    <w:unhideWhenUsed/>
    <w:rsid w:val="0054693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54693F"/>
    <w:rPr>
      <w:sz w:val="20"/>
      <w:szCs w:val="20"/>
    </w:rPr>
  </w:style>
  <w:style w:type="paragraph" w:styleId="CommentSubject">
    <w:name w:val="annotation subject"/>
    <w:basedOn w:val="CommentText"/>
    <w:next w:val="CommentText"/>
    <w:link w:val="CommentSubjectChar"/>
    <w:uiPriority w:val="99"/>
    <w:semiHidden/>
    <w:unhideWhenUsed/>
    <w:rsid w:val="0054693F"/>
    <w:rPr>
      <w:b/>
      <w:bCs/>
    </w:rPr>
  </w:style>
  <w:style w:type="character" w:customStyle="1" w:styleId="CommentSubjectChar">
    <w:name w:val="Comment Subject Char"/>
    <w:basedOn w:val="CommentTextChar"/>
    <w:link w:val="CommentSubject"/>
    <w:uiPriority w:val="99"/>
    <w:semiHidden/>
    <w:rsid w:val="0054693F"/>
    <w:rPr>
      <w:b/>
      <w:bCs/>
      <w:sz w:val="20"/>
      <w:szCs w:val="20"/>
    </w:rPr>
  </w:style>
  <w:style w:type="paragraph" w:styleId="BalloonText">
    <w:name w:val="Balloon Text"/>
    <w:basedOn w:val="Normal"/>
    <w:link w:val="BalloonTextChar"/>
    <w:uiPriority w:val="99"/>
    <w:semiHidden/>
    <w:unhideWhenUsed/>
    <w:rsid w:val="0054693F"/>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54693F"/>
    <w:rPr>
      <w:rFonts w:ascii="Times New Roman" w:hAnsi="Times New Roman" w:cs="Times New Roman"/>
      <w:sz w:val="18"/>
      <w:szCs w:val="18"/>
    </w:rPr>
  </w:style>
  <w:style w:type="paragraph" w:styleId="ListParagraph">
    <w:name w:val="List Paragraph"/>
    <w:basedOn w:val="Normal"/>
    <w:uiPriority w:val="34"/>
    <w:qFormat/>
    <w:rsid w:val="0018422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184228"/>
    <w:rPr>
      <w:rFonts w:ascii="Times New Roman" w:eastAsia="SimSun" w:hAnsi="Times New Roman" w:cs="Times New Roman"/>
      <w:color w:val="000000"/>
      <w:sz w:val="24"/>
      <w:szCs w:val="24"/>
      <w:lang w:eastAsia="x-none"/>
    </w:rPr>
  </w:style>
  <w:style w:type="paragraph" w:styleId="NormalWeb">
    <w:name w:val="Normal (Web)"/>
    <w:basedOn w:val="Normal"/>
    <w:uiPriority w:val="99"/>
    <w:unhideWhenUsed/>
    <w:rsid w:val="00047206"/>
    <w:pPr>
      <w:spacing w:before="100" w:beforeAutospacing="1" w:after="100" w:afterAutospacing="1" w:line="360" w:lineRule="auto"/>
    </w:pPr>
  </w:style>
  <w:style w:type="table" w:styleId="TableGrid">
    <w:name w:val="Table Grid"/>
    <w:basedOn w:val="TableNormal"/>
    <w:uiPriority w:val="59"/>
    <w:rsid w:val="00047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135FE"/>
    <w:rPr>
      <w:color w:val="954F72" w:themeColor="followedHyperlink"/>
      <w:u w:val="single"/>
    </w:rPr>
  </w:style>
  <w:style w:type="paragraph" w:styleId="Revision">
    <w:name w:val="Revision"/>
    <w:hidden/>
    <w:uiPriority w:val="99"/>
    <w:semiHidden/>
    <w:rsid w:val="000A61EC"/>
    <w:pPr>
      <w:spacing w:after="0" w:line="240" w:lineRule="auto"/>
    </w:pPr>
  </w:style>
  <w:style w:type="paragraph" w:styleId="Header">
    <w:name w:val="header"/>
    <w:basedOn w:val="Normal"/>
    <w:link w:val="HeaderChar"/>
    <w:uiPriority w:val="99"/>
    <w:unhideWhenUsed/>
    <w:rsid w:val="007829B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829B2"/>
  </w:style>
  <w:style w:type="paragraph" w:styleId="Footer">
    <w:name w:val="footer"/>
    <w:basedOn w:val="Normal"/>
    <w:link w:val="FooterChar"/>
    <w:uiPriority w:val="99"/>
    <w:unhideWhenUsed/>
    <w:rsid w:val="007829B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829B2"/>
  </w:style>
  <w:style w:type="character" w:customStyle="1" w:styleId="Heading1Char">
    <w:name w:val="Heading 1 Char"/>
    <w:basedOn w:val="DefaultParagraphFont"/>
    <w:link w:val="Heading1"/>
    <w:uiPriority w:val="9"/>
    <w:rsid w:val="009D4F09"/>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CD1CAC"/>
    <w:rPr>
      <w:color w:val="605E5C"/>
      <w:shd w:val="clear" w:color="auto" w:fill="E1DFDD"/>
    </w:rPr>
  </w:style>
  <w:style w:type="character" w:customStyle="1" w:styleId="apple-converted-space">
    <w:name w:val="apple-converted-space"/>
    <w:basedOn w:val="DefaultParagraphFont"/>
    <w:rsid w:val="00C710FC"/>
  </w:style>
  <w:style w:type="character" w:styleId="UnresolvedMention">
    <w:name w:val="Unresolved Mention"/>
    <w:basedOn w:val="DefaultParagraphFont"/>
    <w:uiPriority w:val="99"/>
    <w:semiHidden/>
    <w:unhideWhenUsed/>
    <w:rsid w:val="00564A8E"/>
    <w:rPr>
      <w:color w:val="605E5C"/>
      <w:shd w:val="clear" w:color="auto" w:fill="E1DFDD"/>
    </w:rPr>
  </w:style>
  <w:style w:type="character" w:styleId="Emphasis">
    <w:name w:val="Emphasis"/>
    <w:basedOn w:val="DefaultParagraphFont"/>
    <w:uiPriority w:val="20"/>
    <w:qFormat/>
    <w:rsid w:val="008C12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6006">
      <w:bodyDiv w:val="1"/>
      <w:marLeft w:val="0"/>
      <w:marRight w:val="0"/>
      <w:marTop w:val="0"/>
      <w:marBottom w:val="0"/>
      <w:divBdr>
        <w:top w:val="none" w:sz="0" w:space="0" w:color="auto"/>
        <w:left w:val="none" w:sz="0" w:space="0" w:color="auto"/>
        <w:bottom w:val="none" w:sz="0" w:space="0" w:color="auto"/>
        <w:right w:val="none" w:sz="0" w:space="0" w:color="auto"/>
      </w:divBdr>
    </w:div>
    <w:div w:id="140275274">
      <w:bodyDiv w:val="1"/>
      <w:marLeft w:val="0"/>
      <w:marRight w:val="0"/>
      <w:marTop w:val="0"/>
      <w:marBottom w:val="0"/>
      <w:divBdr>
        <w:top w:val="none" w:sz="0" w:space="0" w:color="auto"/>
        <w:left w:val="none" w:sz="0" w:space="0" w:color="auto"/>
        <w:bottom w:val="none" w:sz="0" w:space="0" w:color="auto"/>
        <w:right w:val="none" w:sz="0" w:space="0" w:color="auto"/>
      </w:divBdr>
    </w:div>
    <w:div w:id="258220165">
      <w:bodyDiv w:val="1"/>
      <w:marLeft w:val="0"/>
      <w:marRight w:val="0"/>
      <w:marTop w:val="0"/>
      <w:marBottom w:val="0"/>
      <w:divBdr>
        <w:top w:val="none" w:sz="0" w:space="0" w:color="auto"/>
        <w:left w:val="none" w:sz="0" w:space="0" w:color="auto"/>
        <w:bottom w:val="none" w:sz="0" w:space="0" w:color="auto"/>
        <w:right w:val="none" w:sz="0" w:space="0" w:color="auto"/>
      </w:divBdr>
    </w:div>
    <w:div w:id="271475212">
      <w:bodyDiv w:val="1"/>
      <w:marLeft w:val="0"/>
      <w:marRight w:val="0"/>
      <w:marTop w:val="0"/>
      <w:marBottom w:val="0"/>
      <w:divBdr>
        <w:top w:val="none" w:sz="0" w:space="0" w:color="auto"/>
        <w:left w:val="none" w:sz="0" w:space="0" w:color="auto"/>
        <w:bottom w:val="none" w:sz="0" w:space="0" w:color="auto"/>
        <w:right w:val="none" w:sz="0" w:space="0" w:color="auto"/>
      </w:divBdr>
    </w:div>
    <w:div w:id="290523614">
      <w:bodyDiv w:val="1"/>
      <w:marLeft w:val="0"/>
      <w:marRight w:val="0"/>
      <w:marTop w:val="0"/>
      <w:marBottom w:val="0"/>
      <w:divBdr>
        <w:top w:val="none" w:sz="0" w:space="0" w:color="auto"/>
        <w:left w:val="none" w:sz="0" w:space="0" w:color="auto"/>
        <w:bottom w:val="none" w:sz="0" w:space="0" w:color="auto"/>
        <w:right w:val="none" w:sz="0" w:space="0" w:color="auto"/>
      </w:divBdr>
    </w:div>
    <w:div w:id="321347678">
      <w:bodyDiv w:val="1"/>
      <w:marLeft w:val="0"/>
      <w:marRight w:val="0"/>
      <w:marTop w:val="0"/>
      <w:marBottom w:val="0"/>
      <w:divBdr>
        <w:top w:val="none" w:sz="0" w:space="0" w:color="auto"/>
        <w:left w:val="none" w:sz="0" w:space="0" w:color="auto"/>
        <w:bottom w:val="none" w:sz="0" w:space="0" w:color="auto"/>
        <w:right w:val="none" w:sz="0" w:space="0" w:color="auto"/>
      </w:divBdr>
    </w:div>
    <w:div w:id="512233479">
      <w:bodyDiv w:val="1"/>
      <w:marLeft w:val="0"/>
      <w:marRight w:val="0"/>
      <w:marTop w:val="0"/>
      <w:marBottom w:val="0"/>
      <w:divBdr>
        <w:top w:val="none" w:sz="0" w:space="0" w:color="auto"/>
        <w:left w:val="none" w:sz="0" w:space="0" w:color="auto"/>
        <w:bottom w:val="none" w:sz="0" w:space="0" w:color="auto"/>
        <w:right w:val="none" w:sz="0" w:space="0" w:color="auto"/>
      </w:divBdr>
    </w:div>
    <w:div w:id="515461794">
      <w:bodyDiv w:val="1"/>
      <w:marLeft w:val="0"/>
      <w:marRight w:val="0"/>
      <w:marTop w:val="0"/>
      <w:marBottom w:val="0"/>
      <w:divBdr>
        <w:top w:val="none" w:sz="0" w:space="0" w:color="auto"/>
        <w:left w:val="none" w:sz="0" w:space="0" w:color="auto"/>
        <w:bottom w:val="none" w:sz="0" w:space="0" w:color="auto"/>
        <w:right w:val="none" w:sz="0" w:space="0" w:color="auto"/>
      </w:divBdr>
    </w:div>
    <w:div w:id="627392241">
      <w:bodyDiv w:val="1"/>
      <w:marLeft w:val="0"/>
      <w:marRight w:val="0"/>
      <w:marTop w:val="0"/>
      <w:marBottom w:val="0"/>
      <w:divBdr>
        <w:top w:val="none" w:sz="0" w:space="0" w:color="auto"/>
        <w:left w:val="none" w:sz="0" w:space="0" w:color="auto"/>
        <w:bottom w:val="none" w:sz="0" w:space="0" w:color="auto"/>
        <w:right w:val="none" w:sz="0" w:space="0" w:color="auto"/>
      </w:divBdr>
    </w:div>
    <w:div w:id="741484452">
      <w:bodyDiv w:val="1"/>
      <w:marLeft w:val="0"/>
      <w:marRight w:val="0"/>
      <w:marTop w:val="0"/>
      <w:marBottom w:val="0"/>
      <w:divBdr>
        <w:top w:val="none" w:sz="0" w:space="0" w:color="auto"/>
        <w:left w:val="none" w:sz="0" w:space="0" w:color="auto"/>
        <w:bottom w:val="none" w:sz="0" w:space="0" w:color="auto"/>
        <w:right w:val="none" w:sz="0" w:space="0" w:color="auto"/>
      </w:divBdr>
    </w:div>
    <w:div w:id="982808046">
      <w:bodyDiv w:val="1"/>
      <w:marLeft w:val="0"/>
      <w:marRight w:val="0"/>
      <w:marTop w:val="0"/>
      <w:marBottom w:val="0"/>
      <w:divBdr>
        <w:top w:val="none" w:sz="0" w:space="0" w:color="auto"/>
        <w:left w:val="none" w:sz="0" w:space="0" w:color="auto"/>
        <w:bottom w:val="none" w:sz="0" w:space="0" w:color="auto"/>
        <w:right w:val="none" w:sz="0" w:space="0" w:color="auto"/>
      </w:divBdr>
    </w:div>
    <w:div w:id="1012293983">
      <w:bodyDiv w:val="1"/>
      <w:marLeft w:val="0"/>
      <w:marRight w:val="0"/>
      <w:marTop w:val="0"/>
      <w:marBottom w:val="0"/>
      <w:divBdr>
        <w:top w:val="none" w:sz="0" w:space="0" w:color="auto"/>
        <w:left w:val="none" w:sz="0" w:space="0" w:color="auto"/>
        <w:bottom w:val="none" w:sz="0" w:space="0" w:color="auto"/>
        <w:right w:val="none" w:sz="0" w:space="0" w:color="auto"/>
      </w:divBdr>
    </w:div>
    <w:div w:id="1057820781">
      <w:bodyDiv w:val="1"/>
      <w:marLeft w:val="0"/>
      <w:marRight w:val="0"/>
      <w:marTop w:val="0"/>
      <w:marBottom w:val="0"/>
      <w:divBdr>
        <w:top w:val="none" w:sz="0" w:space="0" w:color="auto"/>
        <w:left w:val="none" w:sz="0" w:space="0" w:color="auto"/>
        <w:bottom w:val="none" w:sz="0" w:space="0" w:color="auto"/>
        <w:right w:val="none" w:sz="0" w:space="0" w:color="auto"/>
      </w:divBdr>
    </w:div>
    <w:div w:id="1061976845">
      <w:bodyDiv w:val="1"/>
      <w:marLeft w:val="0"/>
      <w:marRight w:val="0"/>
      <w:marTop w:val="0"/>
      <w:marBottom w:val="0"/>
      <w:divBdr>
        <w:top w:val="none" w:sz="0" w:space="0" w:color="auto"/>
        <w:left w:val="none" w:sz="0" w:space="0" w:color="auto"/>
        <w:bottom w:val="none" w:sz="0" w:space="0" w:color="auto"/>
        <w:right w:val="none" w:sz="0" w:space="0" w:color="auto"/>
      </w:divBdr>
    </w:div>
    <w:div w:id="1155341148">
      <w:bodyDiv w:val="1"/>
      <w:marLeft w:val="0"/>
      <w:marRight w:val="0"/>
      <w:marTop w:val="0"/>
      <w:marBottom w:val="0"/>
      <w:divBdr>
        <w:top w:val="none" w:sz="0" w:space="0" w:color="auto"/>
        <w:left w:val="none" w:sz="0" w:space="0" w:color="auto"/>
        <w:bottom w:val="none" w:sz="0" w:space="0" w:color="auto"/>
        <w:right w:val="none" w:sz="0" w:space="0" w:color="auto"/>
      </w:divBdr>
    </w:div>
    <w:div w:id="1170415014">
      <w:bodyDiv w:val="1"/>
      <w:marLeft w:val="0"/>
      <w:marRight w:val="0"/>
      <w:marTop w:val="0"/>
      <w:marBottom w:val="0"/>
      <w:divBdr>
        <w:top w:val="none" w:sz="0" w:space="0" w:color="auto"/>
        <w:left w:val="none" w:sz="0" w:space="0" w:color="auto"/>
        <w:bottom w:val="none" w:sz="0" w:space="0" w:color="auto"/>
        <w:right w:val="none" w:sz="0" w:space="0" w:color="auto"/>
      </w:divBdr>
    </w:div>
    <w:div w:id="1259291944">
      <w:bodyDiv w:val="1"/>
      <w:marLeft w:val="0"/>
      <w:marRight w:val="0"/>
      <w:marTop w:val="0"/>
      <w:marBottom w:val="0"/>
      <w:divBdr>
        <w:top w:val="none" w:sz="0" w:space="0" w:color="auto"/>
        <w:left w:val="none" w:sz="0" w:space="0" w:color="auto"/>
        <w:bottom w:val="none" w:sz="0" w:space="0" w:color="auto"/>
        <w:right w:val="none" w:sz="0" w:space="0" w:color="auto"/>
      </w:divBdr>
    </w:div>
    <w:div w:id="1325282602">
      <w:bodyDiv w:val="1"/>
      <w:marLeft w:val="0"/>
      <w:marRight w:val="0"/>
      <w:marTop w:val="0"/>
      <w:marBottom w:val="0"/>
      <w:divBdr>
        <w:top w:val="none" w:sz="0" w:space="0" w:color="auto"/>
        <w:left w:val="none" w:sz="0" w:space="0" w:color="auto"/>
        <w:bottom w:val="none" w:sz="0" w:space="0" w:color="auto"/>
        <w:right w:val="none" w:sz="0" w:space="0" w:color="auto"/>
      </w:divBdr>
    </w:div>
    <w:div w:id="1459687508">
      <w:bodyDiv w:val="1"/>
      <w:marLeft w:val="0"/>
      <w:marRight w:val="0"/>
      <w:marTop w:val="0"/>
      <w:marBottom w:val="0"/>
      <w:divBdr>
        <w:top w:val="none" w:sz="0" w:space="0" w:color="auto"/>
        <w:left w:val="none" w:sz="0" w:space="0" w:color="auto"/>
        <w:bottom w:val="none" w:sz="0" w:space="0" w:color="auto"/>
        <w:right w:val="none" w:sz="0" w:space="0" w:color="auto"/>
      </w:divBdr>
    </w:div>
    <w:div w:id="1490092092">
      <w:bodyDiv w:val="1"/>
      <w:marLeft w:val="0"/>
      <w:marRight w:val="0"/>
      <w:marTop w:val="0"/>
      <w:marBottom w:val="0"/>
      <w:divBdr>
        <w:top w:val="none" w:sz="0" w:space="0" w:color="auto"/>
        <w:left w:val="none" w:sz="0" w:space="0" w:color="auto"/>
        <w:bottom w:val="none" w:sz="0" w:space="0" w:color="auto"/>
        <w:right w:val="none" w:sz="0" w:space="0" w:color="auto"/>
      </w:divBdr>
    </w:div>
    <w:div w:id="1537163068">
      <w:bodyDiv w:val="1"/>
      <w:marLeft w:val="0"/>
      <w:marRight w:val="0"/>
      <w:marTop w:val="0"/>
      <w:marBottom w:val="0"/>
      <w:divBdr>
        <w:top w:val="none" w:sz="0" w:space="0" w:color="auto"/>
        <w:left w:val="none" w:sz="0" w:space="0" w:color="auto"/>
        <w:bottom w:val="none" w:sz="0" w:space="0" w:color="auto"/>
        <w:right w:val="none" w:sz="0" w:space="0" w:color="auto"/>
      </w:divBdr>
    </w:div>
    <w:div w:id="1544247506">
      <w:bodyDiv w:val="1"/>
      <w:marLeft w:val="0"/>
      <w:marRight w:val="0"/>
      <w:marTop w:val="0"/>
      <w:marBottom w:val="0"/>
      <w:divBdr>
        <w:top w:val="none" w:sz="0" w:space="0" w:color="auto"/>
        <w:left w:val="none" w:sz="0" w:space="0" w:color="auto"/>
        <w:bottom w:val="none" w:sz="0" w:space="0" w:color="auto"/>
        <w:right w:val="none" w:sz="0" w:space="0" w:color="auto"/>
      </w:divBdr>
    </w:div>
    <w:div w:id="1576089545">
      <w:bodyDiv w:val="1"/>
      <w:marLeft w:val="0"/>
      <w:marRight w:val="0"/>
      <w:marTop w:val="0"/>
      <w:marBottom w:val="0"/>
      <w:divBdr>
        <w:top w:val="none" w:sz="0" w:space="0" w:color="auto"/>
        <w:left w:val="none" w:sz="0" w:space="0" w:color="auto"/>
        <w:bottom w:val="none" w:sz="0" w:space="0" w:color="auto"/>
        <w:right w:val="none" w:sz="0" w:space="0" w:color="auto"/>
      </w:divBdr>
    </w:div>
    <w:div w:id="1835106097">
      <w:bodyDiv w:val="1"/>
      <w:marLeft w:val="0"/>
      <w:marRight w:val="0"/>
      <w:marTop w:val="0"/>
      <w:marBottom w:val="0"/>
      <w:divBdr>
        <w:top w:val="none" w:sz="0" w:space="0" w:color="auto"/>
        <w:left w:val="none" w:sz="0" w:space="0" w:color="auto"/>
        <w:bottom w:val="none" w:sz="0" w:space="0" w:color="auto"/>
        <w:right w:val="none" w:sz="0" w:space="0" w:color="auto"/>
      </w:divBdr>
    </w:div>
    <w:div w:id="1963801400">
      <w:bodyDiv w:val="1"/>
      <w:marLeft w:val="0"/>
      <w:marRight w:val="0"/>
      <w:marTop w:val="0"/>
      <w:marBottom w:val="0"/>
      <w:divBdr>
        <w:top w:val="none" w:sz="0" w:space="0" w:color="auto"/>
        <w:left w:val="none" w:sz="0" w:space="0" w:color="auto"/>
        <w:bottom w:val="none" w:sz="0" w:space="0" w:color="auto"/>
        <w:right w:val="none" w:sz="0" w:space="0" w:color="auto"/>
      </w:divBdr>
    </w:div>
    <w:div w:id="1978797802">
      <w:bodyDiv w:val="1"/>
      <w:marLeft w:val="0"/>
      <w:marRight w:val="0"/>
      <w:marTop w:val="0"/>
      <w:marBottom w:val="0"/>
      <w:divBdr>
        <w:top w:val="none" w:sz="0" w:space="0" w:color="auto"/>
        <w:left w:val="none" w:sz="0" w:space="0" w:color="auto"/>
        <w:bottom w:val="none" w:sz="0" w:space="0" w:color="auto"/>
        <w:right w:val="none" w:sz="0" w:space="0" w:color="auto"/>
      </w:divBdr>
    </w:div>
    <w:div w:id="2089303961">
      <w:bodyDiv w:val="1"/>
      <w:marLeft w:val="0"/>
      <w:marRight w:val="0"/>
      <w:marTop w:val="0"/>
      <w:marBottom w:val="0"/>
      <w:divBdr>
        <w:top w:val="none" w:sz="0" w:space="0" w:color="auto"/>
        <w:left w:val="none" w:sz="0" w:space="0" w:color="auto"/>
        <w:bottom w:val="none" w:sz="0" w:space="0" w:color="auto"/>
        <w:right w:val="none" w:sz="0" w:space="0" w:color="auto"/>
      </w:divBdr>
    </w:div>
    <w:div w:id="2128890143">
      <w:bodyDiv w:val="1"/>
      <w:marLeft w:val="0"/>
      <w:marRight w:val="0"/>
      <w:marTop w:val="0"/>
      <w:marBottom w:val="0"/>
      <w:divBdr>
        <w:top w:val="none" w:sz="0" w:space="0" w:color="auto"/>
        <w:left w:val="none" w:sz="0" w:space="0" w:color="auto"/>
        <w:bottom w:val="none" w:sz="0" w:space="0" w:color="auto"/>
        <w:right w:val="none" w:sz="0" w:space="0" w:color="auto"/>
      </w:divBdr>
    </w:div>
    <w:div w:id="214396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48EB6-1DCA-45F3-BA40-8A2FBEB8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14273</Words>
  <Characters>81362</Characters>
  <Application>Microsoft Office Word</Application>
  <DocSecurity>4</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Ganotakis</dc:creator>
  <cp:keywords/>
  <dc:description/>
  <cp:lastModifiedBy>Panagiotis Ganotakis</cp:lastModifiedBy>
  <cp:revision>2</cp:revision>
  <dcterms:created xsi:type="dcterms:W3CDTF">2022-05-17T07:01:00Z</dcterms:created>
  <dcterms:modified xsi:type="dcterms:W3CDTF">2022-05-17T07:01:00Z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documentId_1727</vt:lpwstr>
  </property>
  <property fmtid="{D5CDD505-2E9C-101B-9397-08002B2CF9AE}" pid="3" name="grammarly_documentContext">
    <vt:lpwstr>{"goals":[],"domain":"general","emotions":[],"dialect":"american"}</vt:lpwstr>
  </property>
</Properties>
</file>