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2543" w14:textId="0C3C72E2" w:rsidR="0048655A" w:rsidRPr="0096295A" w:rsidRDefault="0048655A" w:rsidP="009A253F">
      <w:pPr>
        <w:spacing w:line="360" w:lineRule="auto"/>
        <w:ind w:left="720"/>
        <w:jc w:val="both"/>
        <w:rPr>
          <w:rFonts w:ascii="Century" w:hAnsi="Century"/>
          <w:b/>
          <w:bCs/>
          <w:sz w:val="28"/>
          <w:szCs w:val="28"/>
        </w:rPr>
      </w:pPr>
      <w:r w:rsidRPr="0096295A">
        <w:rPr>
          <w:rFonts w:ascii="Century" w:hAnsi="Century"/>
          <w:b/>
          <w:bCs/>
          <w:sz w:val="28"/>
          <w:szCs w:val="28"/>
        </w:rPr>
        <w:t xml:space="preserve">Written evidence to the </w:t>
      </w:r>
      <w:r w:rsidR="00F97E17">
        <w:rPr>
          <w:rFonts w:ascii="Century" w:hAnsi="Century"/>
          <w:b/>
          <w:bCs/>
          <w:sz w:val="28"/>
          <w:szCs w:val="28"/>
        </w:rPr>
        <w:t xml:space="preserve">Government of Ireland’s </w:t>
      </w:r>
      <w:r w:rsidRPr="0096295A">
        <w:rPr>
          <w:rFonts w:ascii="Century" w:hAnsi="Century"/>
          <w:b/>
          <w:bCs/>
          <w:sz w:val="28"/>
          <w:szCs w:val="28"/>
        </w:rPr>
        <w:t>Housing Commission submitted by Dr Conor Casey, Lecturer in Law at the University of Liverpool School of Law &amp; Social Justice</w:t>
      </w:r>
    </w:p>
    <w:p w14:paraId="07CD637E" w14:textId="77777777" w:rsidR="0048655A" w:rsidRPr="00142A36" w:rsidRDefault="0048655A" w:rsidP="00142A36">
      <w:pPr>
        <w:spacing w:line="480" w:lineRule="auto"/>
        <w:ind w:left="720" w:hanging="360"/>
        <w:jc w:val="both"/>
        <w:rPr>
          <w:rFonts w:ascii="Century" w:hAnsi="Century"/>
          <w:b/>
          <w:bCs/>
        </w:rPr>
      </w:pPr>
    </w:p>
    <w:p w14:paraId="6D6E9EAE" w14:textId="77777777" w:rsidR="0048655A" w:rsidRPr="00142A36" w:rsidRDefault="0048655A" w:rsidP="00142A36">
      <w:pPr>
        <w:spacing w:line="480" w:lineRule="auto"/>
        <w:ind w:left="720" w:hanging="360"/>
        <w:jc w:val="both"/>
        <w:rPr>
          <w:rFonts w:ascii="Century" w:hAnsi="Century"/>
          <w:b/>
          <w:bCs/>
        </w:rPr>
      </w:pPr>
      <w:r w:rsidRPr="00142A36">
        <w:rPr>
          <w:rFonts w:ascii="Century" w:hAnsi="Century"/>
          <w:b/>
          <w:bCs/>
        </w:rPr>
        <w:t>INTRODUCTION</w:t>
      </w:r>
    </w:p>
    <w:p w14:paraId="0D228BB7" w14:textId="6EBC3FDE" w:rsidR="0048655A" w:rsidRPr="00142A36" w:rsidRDefault="0048655A" w:rsidP="00FB4DF1">
      <w:pPr>
        <w:pStyle w:val="ListParagraph"/>
        <w:numPr>
          <w:ilvl w:val="0"/>
          <w:numId w:val="1"/>
        </w:numPr>
        <w:spacing w:line="360" w:lineRule="auto"/>
        <w:jc w:val="both"/>
        <w:rPr>
          <w:rFonts w:ascii="Century" w:hAnsi="Century" w:cs="Times New Roman"/>
          <w:b/>
          <w:bCs/>
        </w:rPr>
      </w:pPr>
      <w:r w:rsidRPr="00142A36">
        <w:rPr>
          <w:rFonts w:ascii="Century" w:hAnsi="Century" w:cs="Times New Roman"/>
        </w:rPr>
        <w:t>I have been invited by the Housing Commission to give evidence to aid their work in examining the “</w:t>
      </w:r>
      <w:r w:rsidRPr="00142A36">
        <w:rPr>
          <w:rFonts w:ascii="Century" w:hAnsi="Century"/>
        </w:rPr>
        <w:t>complex constitutional questions arising…around potential wording for an amendment to the Constitution” in respect of housing and property rights.</w:t>
      </w:r>
      <w:r w:rsidR="004632A0" w:rsidRPr="00142A36">
        <w:rPr>
          <w:rStyle w:val="FootnoteReference"/>
          <w:rFonts w:ascii="Century" w:hAnsi="Century"/>
        </w:rPr>
        <w:footnoteReference w:id="1"/>
      </w:r>
    </w:p>
    <w:p w14:paraId="3A95AC3A" w14:textId="77777777" w:rsidR="0048655A" w:rsidRPr="00142A36" w:rsidRDefault="0048655A" w:rsidP="00FB4DF1">
      <w:pPr>
        <w:spacing w:line="360" w:lineRule="auto"/>
        <w:jc w:val="both"/>
        <w:rPr>
          <w:rFonts w:ascii="Century" w:hAnsi="Century"/>
          <w:b/>
          <w:bCs/>
        </w:rPr>
      </w:pPr>
    </w:p>
    <w:p w14:paraId="789183B8" w14:textId="00CE6652" w:rsidR="0048655A" w:rsidRPr="005B20CD" w:rsidRDefault="0048655A" w:rsidP="00FB4DF1">
      <w:pPr>
        <w:pStyle w:val="ListParagraph"/>
        <w:numPr>
          <w:ilvl w:val="0"/>
          <w:numId w:val="1"/>
        </w:numPr>
        <w:spacing w:line="360" w:lineRule="auto"/>
        <w:jc w:val="both"/>
        <w:rPr>
          <w:rFonts w:ascii="Century" w:hAnsi="Century" w:cs="Times New Roman"/>
          <w:b/>
          <w:bCs/>
        </w:rPr>
      </w:pPr>
      <w:r w:rsidRPr="00142A36">
        <w:rPr>
          <w:rFonts w:ascii="Century" w:hAnsi="Century" w:cs="Times New Roman"/>
        </w:rPr>
        <w:t xml:space="preserve">My submissions </w:t>
      </w:r>
      <w:r w:rsidR="003537C2">
        <w:rPr>
          <w:rFonts w:ascii="Century" w:hAnsi="Century" w:cs="Times New Roman"/>
        </w:rPr>
        <w:t>address</w:t>
      </w:r>
      <w:r w:rsidR="00775776">
        <w:rPr>
          <w:rFonts w:ascii="Century" w:hAnsi="Century" w:cs="Times New Roman"/>
        </w:rPr>
        <w:t xml:space="preserve"> the</w:t>
      </w:r>
      <w:r w:rsidRPr="00142A36">
        <w:rPr>
          <w:rFonts w:ascii="Century" w:hAnsi="Century" w:cs="Times New Roman"/>
        </w:rPr>
        <w:t xml:space="preserve"> following questions:</w:t>
      </w:r>
    </w:p>
    <w:p w14:paraId="45E42393" w14:textId="77777777" w:rsidR="005B20CD" w:rsidRPr="005B20CD" w:rsidRDefault="005B20CD" w:rsidP="005B20CD">
      <w:pPr>
        <w:pStyle w:val="ListParagraph"/>
        <w:rPr>
          <w:rFonts w:ascii="Century" w:hAnsi="Century" w:cs="Times New Roman"/>
          <w:b/>
          <w:bCs/>
        </w:rPr>
      </w:pPr>
    </w:p>
    <w:p w14:paraId="093809FF" w14:textId="77777777" w:rsidR="005B20CD" w:rsidRPr="00405AA5" w:rsidRDefault="005B20CD" w:rsidP="005B20CD">
      <w:pPr>
        <w:pStyle w:val="ListParagraph"/>
        <w:spacing w:line="360" w:lineRule="auto"/>
        <w:jc w:val="both"/>
        <w:rPr>
          <w:rFonts w:ascii="Century" w:hAnsi="Century" w:cs="Times New Roman"/>
          <w:b/>
          <w:bCs/>
        </w:rPr>
      </w:pPr>
    </w:p>
    <w:p w14:paraId="00630EBE" w14:textId="13685CE4" w:rsidR="00224359" w:rsidRPr="009D6D2F" w:rsidRDefault="002D5AA1" w:rsidP="00FB4DF1">
      <w:pPr>
        <w:pStyle w:val="ListParagraph"/>
        <w:numPr>
          <w:ilvl w:val="0"/>
          <w:numId w:val="3"/>
        </w:numPr>
        <w:spacing w:line="360" w:lineRule="auto"/>
        <w:rPr>
          <w:rFonts w:ascii="Century" w:eastAsia="Times New Roman" w:hAnsi="Century" w:cs="Times New Roman"/>
          <w:color w:val="000000" w:themeColor="text1"/>
          <w:lang w:eastAsia="en-GB"/>
        </w:rPr>
      </w:pPr>
      <w:r w:rsidRPr="009D6D2F">
        <w:rPr>
          <w:rFonts w:ascii="Century" w:eastAsia="Times New Roman" w:hAnsi="Century" w:cs="Arial"/>
          <w:color w:val="000000" w:themeColor="text1"/>
          <w:shd w:val="clear" w:color="auto" w:fill="FFFFFF"/>
          <w:lang w:eastAsia="en-GB"/>
        </w:rPr>
        <w:t>How does the Constitution in its current form inhibit the State’s response to the housing crisis?</w:t>
      </w:r>
    </w:p>
    <w:p w14:paraId="3C7A05F3" w14:textId="2032EDB4" w:rsidR="002D5AA1" w:rsidRPr="009D6D2F" w:rsidRDefault="002D5AA1" w:rsidP="00FB4DF1">
      <w:pPr>
        <w:pStyle w:val="ListParagraph"/>
        <w:numPr>
          <w:ilvl w:val="0"/>
          <w:numId w:val="3"/>
        </w:numPr>
        <w:spacing w:line="360" w:lineRule="auto"/>
        <w:rPr>
          <w:rFonts w:ascii="Century" w:eastAsia="Times New Roman" w:hAnsi="Century" w:cs="Times New Roman"/>
          <w:color w:val="000000" w:themeColor="text1"/>
          <w:lang w:eastAsia="en-GB"/>
        </w:rPr>
      </w:pPr>
      <w:r w:rsidRPr="009D6D2F">
        <w:rPr>
          <w:rFonts w:ascii="Century" w:eastAsia="Times New Roman" w:hAnsi="Century" w:cs="Arial"/>
          <w:color w:val="000000" w:themeColor="text1"/>
          <w:shd w:val="clear" w:color="auto" w:fill="FFFFFF"/>
          <w:lang w:eastAsia="en-GB"/>
        </w:rPr>
        <w:t>Has the protection afforded to private property rights been overestimated?</w:t>
      </w:r>
    </w:p>
    <w:p w14:paraId="7C3D3E0A" w14:textId="77777777" w:rsidR="003537C2" w:rsidRDefault="003537C2" w:rsidP="00FB4DF1">
      <w:pPr>
        <w:pStyle w:val="ListParagraph"/>
        <w:spacing w:line="360" w:lineRule="auto"/>
        <w:rPr>
          <w:rFonts w:ascii="Century" w:eastAsia="Times New Roman" w:hAnsi="Century" w:cs="Times New Roman"/>
          <w:lang w:eastAsia="en-GB"/>
        </w:rPr>
      </w:pPr>
    </w:p>
    <w:p w14:paraId="5CD5D4C7" w14:textId="4EEF19A9" w:rsidR="002D5AA1" w:rsidRPr="00142A36" w:rsidRDefault="002D5AA1" w:rsidP="00FB4DF1">
      <w:pPr>
        <w:spacing w:line="360" w:lineRule="auto"/>
        <w:rPr>
          <w:rFonts w:ascii="Century" w:hAnsi="Century"/>
        </w:rPr>
      </w:pPr>
    </w:p>
    <w:p w14:paraId="45B85650" w14:textId="024B6AD4" w:rsidR="002D5AA1" w:rsidRDefault="002D5AA1" w:rsidP="00FB4DF1">
      <w:pPr>
        <w:spacing w:line="360" w:lineRule="auto"/>
        <w:rPr>
          <w:rFonts w:ascii="Century" w:hAnsi="Century"/>
        </w:rPr>
      </w:pPr>
    </w:p>
    <w:p w14:paraId="224DFEFD" w14:textId="253BFDB1" w:rsidR="00142A36" w:rsidRDefault="00142A36" w:rsidP="00FB4DF1">
      <w:pPr>
        <w:spacing w:line="360" w:lineRule="auto"/>
        <w:rPr>
          <w:rFonts w:ascii="Century" w:hAnsi="Century"/>
        </w:rPr>
      </w:pPr>
    </w:p>
    <w:p w14:paraId="09802840" w14:textId="1494D487" w:rsidR="00142A36" w:rsidRDefault="00142A36" w:rsidP="00FB4DF1">
      <w:pPr>
        <w:spacing w:line="360" w:lineRule="auto"/>
        <w:rPr>
          <w:rFonts w:ascii="Century" w:hAnsi="Century"/>
        </w:rPr>
      </w:pPr>
    </w:p>
    <w:p w14:paraId="382C2E1A" w14:textId="25C0528C" w:rsidR="00142A36" w:rsidRDefault="00142A36" w:rsidP="00FB4DF1">
      <w:pPr>
        <w:spacing w:line="360" w:lineRule="auto"/>
        <w:rPr>
          <w:rFonts w:ascii="Century" w:hAnsi="Century"/>
        </w:rPr>
      </w:pPr>
    </w:p>
    <w:p w14:paraId="5E2B95C8" w14:textId="491DFA17" w:rsidR="00405AA5" w:rsidRDefault="00405AA5" w:rsidP="00FB4DF1">
      <w:pPr>
        <w:spacing w:line="360" w:lineRule="auto"/>
        <w:rPr>
          <w:rFonts w:ascii="Century" w:hAnsi="Century"/>
        </w:rPr>
      </w:pPr>
    </w:p>
    <w:p w14:paraId="1E10156E" w14:textId="55408CED" w:rsidR="00405AA5" w:rsidRDefault="00405AA5" w:rsidP="00FB4DF1">
      <w:pPr>
        <w:spacing w:line="360" w:lineRule="auto"/>
        <w:rPr>
          <w:rFonts w:ascii="Century" w:hAnsi="Century"/>
        </w:rPr>
      </w:pPr>
    </w:p>
    <w:p w14:paraId="286B3F55" w14:textId="3569748D" w:rsidR="00FB4DF1" w:rsidRDefault="00FB4DF1" w:rsidP="00FB4DF1">
      <w:pPr>
        <w:spacing w:line="360" w:lineRule="auto"/>
        <w:rPr>
          <w:rFonts w:ascii="Century" w:hAnsi="Century"/>
        </w:rPr>
      </w:pPr>
    </w:p>
    <w:p w14:paraId="29A90271" w14:textId="53CF6BE3" w:rsidR="00FB4DF1" w:rsidRDefault="00FB4DF1" w:rsidP="00FB4DF1">
      <w:pPr>
        <w:spacing w:line="360" w:lineRule="auto"/>
        <w:rPr>
          <w:rFonts w:ascii="Century" w:hAnsi="Century"/>
        </w:rPr>
      </w:pPr>
    </w:p>
    <w:p w14:paraId="576ABE34" w14:textId="0FE6CF4D" w:rsidR="00FB4DF1" w:rsidRDefault="00FB4DF1" w:rsidP="00FB4DF1">
      <w:pPr>
        <w:spacing w:line="360" w:lineRule="auto"/>
        <w:rPr>
          <w:rFonts w:ascii="Century" w:hAnsi="Century"/>
        </w:rPr>
      </w:pPr>
    </w:p>
    <w:p w14:paraId="24AB7BEA" w14:textId="77777777" w:rsidR="009A253F" w:rsidRDefault="009A253F" w:rsidP="00FB4DF1">
      <w:pPr>
        <w:spacing w:line="360" w:lineRule="auto"/>
        <w:rPr>
          <w:rFonts w:ascii="Century" w:hAnsi="Century"/>
        </w:rPr>
      </w:pPr>
    </w:p>
    <w:p w14:paraId="60ED55CE" w14:textId="77777777" w:rsidR="00FB4DF1" w:rsidRPr="00142A36" w:rsidRDefault="00FB4DF1" w:rsidP="00FB4DF1">
      <w:pPr>
        <w:spacing w:line="360" w:lineRule="auto"/>
        <w:rPr>
          <w:rFonts w:ascii="Century" w:hAnsi="Century"/>
        </w:rPr>
      </w:pPr>
    </w:p>
    <w:p w14:paraId="56B7DF79" w14:textId="306CD539" w:rsidR="00BF2F64" w:rsidRDefault="002D5AA1" w:rsidP="00FB4DF1">
      <w:pPr>
        <w:spacing w:line="360" w:lineRule="auto"/>
        <w:rPr>
          <w:rFonts w:ascii="Century" w:hAnsi="Century"/>
          <w:b/>
          <w:bCs/>
        </w:rPr>
      </w:pPr>
      <w:r w:rsidRPr="003537C2">
        <w:rPr>
          <w:rFonts w:ascii="Century" w:hAnsi="Century"/>
          <w:b/>
          <w:bCs/>
        </w:rPr>
        <w:t>SUMMARY</w:t>
      </w:r>
    </w:p>
    <w:p w14:paraId="2EE573DB" w14:textId="55859DF0" w:rsidR="00516B31" w:rsidRPr="00516B31" w:rsidRDefault="00BF2F64" w:rsidP="00FA5540">
      <w:pPr>
        <w:pStyle w:val="ListParagraph"/>
        <w:numPr>
          <w:ilvl w:val="0"/>
          <w:numId w:val="10"/>
        </w:numPr>
        <w:spacing w:line="360" w:lineRule="auto"/>
        <w:jc w:val="both"/>
        <w:rPr>
          <w:rFonts w:ascii="Century" w:eastAsia="Times New Roman" w:hAnsi="Century" w:cs="Times New Roman"/>
          <w:b/>
          <w:bCs/>
          <w:lang w:eastAsia="en-GB"/>
        </w:rPr>
      </w:pPr>
      <w:r w:rsidRPr="00BF2F64">
        <w:rPr>
          <w:rFonts w:ascii="Century" w:hAnsi="Century" w:cs="Times New Roman"/>
        </w:rPr>
        <w:t>The Constitution in its current form – the text of Articles 4</w:t>
      </w:r>
      <w:r w:rsidR="001568AD">
        <w:rPr>
          <w:rFonts w:ascii="Century" w:hAnsi="Century" w:cs="Times New Roman"/>
        </w:rPr>
        <w:t>0.3</w:t>
      </w:r>
      <w:r w:rsidRPr="00BF2F64">
        <w:rPr>
          <w:rFonts w:ascii="Century" w:hAnsi="Century" w:cs="Times New Roman"/>
        </w:rPr>
        <w:t xml:space="preserve"> and 4</w:t>
      </w:r>
      <w:r w:rsidR="001568AD">
        <w:rPr>
          <w:rFonts w:ascii="Century" w:hAnsi="Century" w:cs="Times New Roman"/>
        </w:rPr>
        <w:t>3</w:t>
      </w:r>
      <w:r w:rsidRPr="00BF2F64">
        <w:rPr>
          <w:rFonts w:ascii="Century" w:hAnsi="Century" w:cs="Times New Roman"/>
        </w:rPr>
        <w:t xml:space="preserve"> and how they have been consistently interpreted by the Superior Courts – do not inhibit the Oireachtas and Government in taking whatever steps are required to delimit the exercise of property rights to ensure they are compliant with the common good.</w:t>
      </w:r>
      <w:r w:rsidR="00516B31">
        <w:rPr>
          <w:rFonts w:ascii="Century" w:hAnsi="Century" w:cs="Times New Roman"/>
        </w:rPr>
        <w:t xml:space="preserve"> </w:t>
      </w:r>
      <w:r w:rsidRPr="00516B31">
        <w:rPr>
          <w:rFonts w:ascii="Century" w:hAnsi="Century"/>
        </w:rPr>
        <w:t>The deeply entrenched political perception of the strength of constitutional protection afforded to private property rights</w:t>
      </w:r>
      <w:r w:rsidR="001568AD">
        <w:rPr>
          <w:rFonts w:ascii="Century" w:hAnsi="Century"/>
        </w:rPr>
        <w:t xml:space="preserve"> – that they pose a very serious stumbling block to legislative action - </w:t>
      </w:r>
      <w:r w:rsidRPr="00516B31">
        <w:rPr>
          <w:rFonts w:ascii="Century" w:hAnsi="Century"/>
        </w:rPr>
        <w:t>is</w:t>
      </w:r>
      <w:r w:rsidR="00AC5229" w:rsidRPr="00516B31">
        <w:rPr>
          <w:rFonts w:ascii="Century" w:hAnsi="Century"/>
        </w:rPr>
        <w:t xml:space="preserve"> </w:t>
      </w:r>
      <w:r w:rsidR="00516B31" w:rsidRPr="00516B31">
        <w:rPr>
          <w:rFonts w:ascii="Century" w:hAnsi="Century"/>
        </w:rPr>
        <w:t>therefore</w:t>
      </w:r>
      <w:r w:rsidRPr="00516B31">
        <w:rPr>
          <w:rFonts w:ascii="Century" w:hAnsi="Century"/>
        </w:rPr>
        <w:t xml:space="preserve"> very significantly overstated. </w:t>
      </w:r>
    </w:p>
    <w:p w14:paraId="339A6A02" w14:textId="77777777" w:rsidR="00516B31" w:rsidRPr="00516B31" w:rsidRDefault="00516B31" w:rsidP="00FA5540">
      <w:pPr>
        <w:pStyle w:val="ListParagraph"/>
        <w:jc w:val="both"/>
        <w:rPr>
          <w:rFonts w:ascii="Century" w:hAnsi="Century" w:cs="Times New Roman"/>
        </w:rPr>
      </w:pPr>
    </w:p>
    <w:p w14:paraId="6B3FFC0C" w14:textId="6D9D9DB8" w:rsidR="00203F68" w:rsidRPr="00AD362D" w:rsidRDefault="00BF2F64" w:rsidP="00FA5540">
      <w:pPr>
        <w:pStyle w:val="ListParagraph"/>
        <w:numPr>
          <w:ilvl w:val="0"/>
          <w:numId w:val="10"/>
        </w:numPr>
        <w:spacing w:line="360" w:lineRule="auto"/>
        <w:jc w:val="both"/>
        <w:rPr>
          <w:rFonts w:ascii="Century" w:eastAsia="Times New Roman" w:hAnsi="Century" w:cs="Times New Roman"/>
          <w:b/>
          <w:bCs/>
          <w:lang w:eastAsia="en-GB"/>
        </w:rPr>
      </w:pPr>
      <w:r>
        <w:rPr>
          <w:rFonts w:ascii="Century" w:hAnsi="Century" w:cs="Times New Roman"/>
        </w:rPr>
        <w:t>It</w:t>
      </w:r>
      <w:r w:rsidRPr="00142A36">
        <w:rPr>
          <w:rFonts w:ascii="Century" w:hAnsi="Century" w:cs="Times New Roman"/>
        </w:rPr>
        <w:t xml:space="preserve"> </w:t>
      </w:r>
      <w:r>
        <w:rPr>
          <w:rFonts w:ascii="Century" w:hAnsi="Century" w:cs="Times New Roman"/>
        </w:rPr>
        <w:t>is</w:t>
      </w:r>
      <w:r w:rsidRPr="00142A36">
        <w:rPr>
          <w:rFonts w:ascii="Century" w:hAnsi="Century" w:cs="Times New Roman"/>
        </w:rPr>
        <w:t xml:space="preserve"> reasonable to infer that the legal advice</w:t>
      </w:r>
      <w:r>
        <w:rPr>
          <w:rFonts w:ascii="Century" w:hAnsi="Century" w:cs="Times New Roman"/>
        </w:rPr>
        <w:t xml:space="preserve"> Government has</w:t>
      </w:r>
      <w:r w:rsidRPr="00142A36">
        <w:rPr>
          <w:rFonts w:ascii="Century" w:hAnsi="Century" w:cs="Times New Roman"/>
        </w:rPr>
        <w:t xml:space="preserve"> received</w:t>
      </w:r>
      <w:r>
        <w:rPr>
          <w:rFonts w:ascii="Century" w:hAnsi="Century" w:cs="Times New Roman"/>
        </w:rPr>
        <w:t xml:space="preserve"> from the Attorney General’s Office</w:t>
      </w:r>
      <w:r w:rsidRPr="00142A36">
        <w:rPr>
          <w:rFonts w:ascii="Century" w:hAnsi="Century" w:cs="Times New Roman"/>
        </w:rPr>
        <w:t xml:space="preserve"> has something to do with</w:t>
      </w:r>
      <w:r w:rsidR="00977C74">
        <w:rPr>
          <w:rFonts w:ascii="Century" w:hAnsi="Century" w:cs="Times New Roman"/>
        </w:rPr>
        <w:t xml:space="preserve"> the</w:t>
      </w:r>
      <w:r>
        <w:rPr>
          <w:rFonts w:ascii="Century" w:hAnsi="Century" w:cs="Times New Roman"/>
        </w:rPr>
        <w:t xml:space="preserve"> </w:t>
      </w:r>
      <w:r w:rsidRPr="00142A36">
        <w:rPr>
          <w:rFonts w:ascii="Century" w:hAnsi="Century" w:cs="Times New Roman"/>
        </w:rPr>
        <w:t>entrenchment</w:t>
      </w:r>
      <w:r w:rsidR="00516B31">
        <w:rPr>
          <w:rFonts w:ascii="Century" w:hAnsi="Century" w:cs="Times New Roman"/>
        </w:rPr>
        <w:t xml:space="preserve"> of this view</w:t>
      </w:r>
      <w:r w:rsidRPr="00142A36">
        <w:rPr>
          <w:rFonts w:ascii="Century" w:hAnsi="Century" w:cs="Times New Roman"/>
        </w:rPr>
        <w:t>.</w:t>
      </w:r>
      <w:r w:rsidR="00AD362D">
        <w:rPr>
          <w:rFonts w:ascii="Century" w:hAnsi="Century" w:cs="Times New Roman"/>
        </w:rPr>
        <w:t xml:space="preserve"> </w:t>
      </w:r>
      <w:r w:rsidR="00203F68" w:rsidRPr="00AD362D">
        <w:rPr>
          <w:rFonts w:ascii="Century" w:hAnsi="Century" w:cs="Times New Roman"/>
        </w:rPr>
        <w:t xml:space="preserve">There are two plausible </w:t>
      </w:r>
      <w:r w:rsidR="00AD362D">
        <w:rPr>
          <w:rFonts w:ascii="Century" w:hAnsi="Century" w:cs="Times New Roman"/>
        </w:rPr>
        <w:t>explanations for</w:t>
      </w:r>
      <w:r w:rsidR="00203F68" w:rsidRPr="00AD362D">
        <w:rPr>
          <w:rFonts w:ascii="Century" w:hAnsi="Century" w:cs="Times New Roman"/>
        </w:rPr>
        <w:t xml:space="preserve"> how legal advice relates to </w:t>
      </w:r>
      <w:r w:rsidR="00977C74">
        <w:rPr>
          <w:rFonts w:ascii="Century" w:hAnsi="Century" w:cs="Times New Roman"/>
        </w:rPr>
        <w:t>this</w:t>
      </w:r>
      <w:r w:rsidR="00203F68" w:rsidRPr="00AD362D">
        <w:rPr>
          <w:rFonts w:ascii="Century" w:hAnsi="Century" w:cs="Times New Roman"/>
        </w:rPr>
        <w:t xml:space="preserve"> constitutional misperception entrenched amongst political actors.</w:t>
      </w:r>
    </w:p>
    <w:p w14:paraId="63C81391" w14:textId="77777777" w:rsidR="00203F68" w:rsidRPr="00203F68" w:rsidRDefault="00203F68" w:rsidP="00FA5540">
      <w:pPr>
        <w:spacing w:line="360" w:lineRule="auto"/>
        <w:jc w:val="both"/>
        <w:rPr>
          <w:rFonts w:ascii="Century" w:hAnsi="Century"/>
        </w:rPr>
      </w:pPr>
    </w:p>
    <w:p w14:paraId="10B558F1" w14:textId="16CF6EB2" w:rsidR="00203F68" w:rsidRPr="00203F68" w:rsidRDefault="00203F68" w:rsidP="00FA5540">
      <w:pPr>
        <w:pStyle w:val="ListParagraph"/>
        <w:numPr>
          <w:ilvl w:val="0"/>
          <w:numId w:val="10"/>
        </w:numPr>
        <w:spacing w:line="360" w:lineRule="auto"/>
        <w:jc w:val="both"/>
        <w:rPr>
          <w:rFonts w:ascii="Century" w:hAnsi="Century" w:cs="Times New Roman"/>
        </w:rPr>
      </w:pPr>
      <w:r w:rsidRPr="00142A36">
        <w:rPr>
          <w:rFonts w:ascii="Century" w:hAnsi="Century" w:cs="Times New Roman"/>
        </w:rPr>
        <w:t>The first is that the legal advice given by the Attorney General’s Office</w:t>
      </w:r>
      <w:r>
        <w:rPr>
          <w:rFonts w:ascii="Century" w:hAnsi="Century" w:cs="Times New Roman"/>
        </w:rPr>
        <w:t xml:space="preserve"> </w:t>
      </w:r>
      <w:r w:rsidRPr="00142A36">
        <w:rPr>
          <w:rFonts w:ascii="Century" w:hAnsi="Century"/>
        </w:rPr>
        <w:t>has been excessively cautious and risk averse</w:t>
      </w:r>
      <w:r>
        <w:rPr>
          <w:rFonts w:ascii="Century" w:hAnsi="Century"/>
        </w:rPr>
        <w:t>, underestimat</w:t>
      </w:r>
      <w:r w:rsidR="00AD362D">
        <w:rPr>
          <w:rFonts w:ascii="Century" w:hAnsi="Century"/>
        </w:rPr>
        <w:t>ing</w:t>
      </w:r>
      <w:r>
        <w:rPr>
          <w:rFonts w:ascii="Century" w:hAnsi="Century"/>
        </w:rPr>
        <w:t xml:space="preserve"> the Oireachtas’ authority to regulate private property rights</w:t>
      </w:r>
      <w:r w:rsidR="00AD362D">
        <w:rPr>
          <w:rFonts w:ascii="Century" w:hAnsi="Century"/>
        </w:rPr>
        <w:t xml:space="preserve"> while </w:t>
      </w:r>
      <w:r w:rsidRPr="00142A36">
        <w:rPr>
          <w:rFonts w:ascii="Century" w:hAnsi="Century"/>
        </w:rPr>
        <w:t>overemphasis</w:t>
      </w:r>
      <w:r w:rsidR="00AD362D">
        <w:rPr>
          <w:rFonts w:ascii="Century" w:hAnsi="Century"/>
        </w:rPr>
        <w:t>ing</w:t>
      </w:r>
      <w:r w:rsidRPr="00142A36">
        <w:rPr>
          <w:rFonts w:ascii="Century" w:hAnsi="Century"/>
        </w:rPr>
        <w:t xml:space="preserve"> the legal risk of a Court invalidating </w:t>
      </w:r>
      <w:r>
        <w:rPr>
          <w:rFonts w:ascii="Century" w:hAnsi="Century"/>
        </w:rPr>
        <w:t>legislation designed to address Ireland’s housing crisis</w:t>
      </w:r>
      <w:r w:rsidRPr="00142A36">
        <w:rPr>
          <w:rFonts w:ascii="Century" w:hAnsi="Century"/>
        </w:rPr>
        <w:t xml:space="preserve">. </w:t>
      </w:r>
    </w:p>
    <w:p w14:paraId="4B78129A" w14:textId="77777777" w:rsidR="00203F68" w:rsidRPr="00203F68" w:rsidRDefault="00203F68" w:rsidP="00FB4DF1">
      <w:pPr>
        <w:spacing w:line="360" w:lineRule="auto"/>
        <w:jc w:val="both"/>
        <w:rPr>
          <w:rFonts w:ascii="Century" w:hAnsi="Century"/>
        </w:rPr>
      </w:pPr>
    </w:p>
    <w:p w14:paraId="5B91745E" w14:textId="23F729B1" w:rsidR="00203F68" w:rsidRDefault="00203F68" w:rsidP="00FB4DF1">
      <w:pPr>
        <w:pStyle w:val="ListParagraph"/>
        <w:numPr>
          <w:ilvl w:val="0"/>
          <w:numId w:val="10"/>
        </w:numPr>
        <w:spacing w:line="360" w:lineRule="auto"/>
        <w:jc w:val="both"/>
        <w:rPr>
          <w:rFonts w:ascii="Century" w:hAnsi="Century" w:cs="Times New Roman"/>
        </w:rPr>
      </w:pPr>
      <w:r w:rsidRPr="00142A36">
        <w:rPr>
          <w:rFonts w:ascii="Century" w:hAnsi="Century"/>
        </w:rPr>
        <w:t>The second is that Attorney General’s advice is not actually excessively risk averse or conservative</w:t>
      </w:r>
      <w:r w:rsidR="00AD362D">
        <w:rPr>
          <w:rFonts w:ascii="Century" w:hAnsi="Century"/>
        </w:rPr>
        <w:t>, and t</w:t>
      </w:r>
      <w:r w:rsidRPr="00142A36">
        <w:rPr>
          <w:rFonts w:ascii="Century" w:hAnsi="Century"/>
        </w:rPr>
        <w:t xml:space="preserve">he real problem is that it is </w:t>
      </w:r>
      <w:r>
        <w:rPr>
          <w:rFonts w:ascii="Century" w:hAnsi="Century"/>
        </w:rPr>
        <w:t xml:space="preserve">being </w:t>
      </w:r>
      <w:r w:rsidRPr="00142A36">
        <w:rPr>
          <w:rFonts w:ascii="Century" w:hAnsi="Century"/>
        </w:rPr>
        <w:t>presented as such</w:t>
      </w:r>
      <w:r w:rsidR="00EB091A">
        <w:rPr>
          <w:rFonts w:ascii="Century" w:hAnsi="Century"/>
        </w:rPr>
        <w:t xml:space="preserve"> by members of the Government</w:t>
      </w:r>
      <w:r w:rsidRPr="00142A36">
        <w:rPr>
          <w:rFonts w:ascii="Century" w:hAnsi="Century"/>
        </w:rPr>
        <w:t xml:space="preserve"> in the </w:t>
      </w:r>
      <w:r w:rsidR="00AD362D">
        <w:rPr>
          <w:rFonts w:ascii="Century" w:hAnsi="Century"/>
        </w:rPr>
        <w:t>Oireachtas</w:t>
      </w:r>
      <w:r w:rsidRPr="00142A36">
        <w:rPr>
          <w:rFonts w:ascii="Century" w:hAnsi="Century"/>
        </w:rPr>
        <w:t xml:space="preserve"> and</w:t>
      </w:r>
      <w:r w:rsidR="00AD362D">
        <w:rPr>
          <w:rFonts w:ascii="Century" w:hAnsi="Century"/>
        </w:rPr>
        <w:t xml:space="preserve"> in</w:t>
      </w:r>
      <w:r w:rsidRPr="00142A36">
        <w:rPr>
          <w:rFonts w:ascii="Century" w:hAnsi="Century"/>
        </w:rPr>
        <w:t xml:space="preserve"> public statements. What we might be witnessing is a situation where valid legal risks identified by the Attorney General are exaggerated, inflated, and find</w:t>
      </w:r>
      <w:r w:rsidR="00AD362D">
        <w:rPr>
          <w:rFonts w:ascii="Century" w:hAnsi="Century"/>
        </w:rPr>
        <w:t xml:space="preserve"> public</w:t>
      </w:r>
      <w:r w:rsidRPr="00142A36">
        <w:rPr>
          <w:rFonts w:ascii="Century" w:hAnsi="Century"/>
        </w:rPr>
        <w:t xml:space="preserve"> expression in a more categorical</w:t>
      </w:r>
      <w:r w:rsidR="00AD362D">
        <w:rPr>
          <w:rFonts w:ascii="Century" w:hAnsi="Century"/>
        </w:rPr>
        <w:t xml:space="preserve"> type of</w:t>
      </w:r>
      <w:r w:rsidRPr="00142A36">
        <w:rPr>
          <w:rFonts w:ascii="Century" w:hAnsi="Century"/>
        </w:rPr>
        <w:t xml:space="preserve"> claim</w:t>
      </w:r>
      <w:r w:rsidR="00AD362D">
        <w:rPr>
          <w:rFonts w:ascii="Century" w:hAnsi="Century"/>
        </w:rPr>
        <w:t xml:space="preserve"> </w:t>
      </w:r>
      <w:r w:rsidR="00EB091A">
        <w:rPr>
          <w:rFonts w:ascii="Century" w:hAnsi="Century"/>
        </w:rPr>
        <w:t>that the</w:t>
      </w:r>
      <w:r>
        <w:rPr>
          <w:rFonts w:ascii="Century" w:hAnsi="Century"/>
        </w:rPr>
        <w:t xml:space="preserve"> Government </w:t>
      </w:r>
      <w:r w:rsidR="00EB091A">
        <w:rPr>
          <w:rFonts w:ascii="Century" w:hAnsi="Century"/>
        </w:rPr>
        <w:t xml:space="preserve">has been advised </w:t>
      </w:r>
      <w:r>
        <w:rPr>
          <w:rFonts w:ascii="Century" w:hAnsi="Century"/>
        </w:rPr>
        <w:t>that a</w:t>
      </w:r>
      <w:r w:rsidRPr="00142A36">
        <w:rPr>
          <w:rFonts w:ascii="Century" w:hAnsi="Century"/>
        </w:rPr>
        <w:t xml:space="preserve"> measure </w:t>
      </w:r>
      <w:r w:rsidRPr="00142A36">
        <w:rPr>
          <w:rFonts w:ascii="Century" w:hAnsi="Century"/>
          <w:i/>
          <w:iCs/>
        </w:rPr>
        <w:t xml:space="preserve">could not </w:t>
      </w:r>
      <w:r w:rsidRPr="00142A36">
        <w:rPr>
          <w:rFonts w:ascii="Century" w:hAnsi="Century"/>
        </w:rPr>
        <w:t>be considered constitutional.</w:t>
      </w:r>
      <w:r w:rsidR="00AD362D">
        <w:rPr>
          <w:rFonts w:ascii="Century" w:hAnsi="Century"/>
        </w:rPr>
        <w:t xml:space="preserve"> That is,</w:t>
      </w:r>
      <w:r w:rsidRPr="00142A36">
        <w:rPr>
          <w:rFonts w:ascii="Century" w:hAnsi="Century"/>
        </w:rPr>
        <w:t xml:space="preserve"> </w:t>
      </w:r>
      <w:r w:rsidR="00976700">
        <w:rPr>
          <w:rFonts w:ascii="Century" w:hAnsi="Century"/>
        </w:rPr>
        <w:t xml:space="preserve">the </w:t>
      </w:r>
      <w:r w:rsidRPr="00142A36">
        <w:rPr>
          <w:rFonts w:ascii="Century" w:hAnsi="Century" w:cs="Times New Roman"/>
        </w:rPr>
        <w:t>Government might tactically convey the impression</w:t>
      </w:r>
      <w:r>
        <w:rPr>
          <w:rFonts w:ascii="Century" w:hAnsi="Century" w:cs="Times New Roman"/>
        </w:rPr>
        <w:t xml:space="preserve"> a measure</w:t>
      </w:r>
      <w:r w:rsidR="00AD362D">
        <w:rPr>
          <w:rFonts w:ascii="Century" w:hAnsi="Century" w:cs="Times New Roman"/>
        </w:rPr>
        <w:t xml:space="preserve"> contained in a bill</w:t>
      </w:r>
      <w:r>
        <w:rPr>
          <w:rFonts w:ascii="Century" w:hAnsi="Century" w:cs="Times New Roman"/>
        </w:rPr>
        <w:t xml:space="preserve"> has been emphatically</w:t>
      </w:r>
      <w:r w:rsidR="00124785">
        <w:rPr>
          <w:rFonts w:ascii="Century" w:hAnsi="Century" w:cs="Times New Roman"/>
        </w:rPr>
        <w:t xml:space="preserve"> dubbed</w:t>
      </w:r>
      <w:r>
        <w:rPr>
          <w:rFonts w:ascii="Century" w:hAnsi="Century" w:cs="Times New Roman"/>
        </w:rPr>
        <w:t xml:space="preserve"> unconstitutional</w:t>
      </w:r>
      <w:r w:rsidR="00AD362D">
        <w:rPr>
          <w:rFonts w:ascii="Century" w:hAnsi="Century" w:cs="Times New Roman"/>
        </w:rPr>
        <w:t>,</w:t>
      </w:r>
      <w:r>
        <w:rPr>
          <w:rFonts w:ascii="Century" w:hAnsi="Century" w:cs="Times New Roman"/>
        </w:rPr>
        <w:t xml:space="preserve"> </w:t>
      </w:r>
      <w:r w:rsidR="00653794">
        <w:rPr>
          <w:rFonts w:ascii="Century" w:hAnsi="Century" w:cs="Times New Roman"/>
        </w:rPr>
        <w:t>to</w:t>
      </w:r>
      <w:r w:rsidRPr="00142A36">
        <w:rPr>
          <w:rFonts w:ascii="Century" w:hAnsi="Century" w:cs="Times New Roman"/>
        </w:rPr>
        <w:t xml:space="preserve"> side-</w:t>
      </w:r>
      <w:r w:rsidRPr="00142A36">
        <w:rPr>
          <w:rFonts w:ascii="Century" w:hAnsi="Century" w:cs="Times New Roman"/>
        </w:rPr>
        <w:lastRenderedPageBreak/>
        <w:t>step pressure to take political action it simply does not want to take</w:t>
      </w:r>
      <w:r w:rsidR="00976700">
        <w:rPr>
          <w:rFonts w:ascii="Century" w:hAnsi="Century" w:cs="Times New Roman"/>
        </w:rPr>
        <w:t xml:space="preserve"> for policy reasons</w:t>
      </w:r>
      <w:r w:rsidRPr="00142A36">
        <w:rPr>
          <w:rFonts w:ascii="Century" w:hAnsi="Century" w:cs="Times New Roman"/>
        </w:rPr>
        <w:t xml:space="preserve">. </w:t>
      </w:r>
    </w:p>
    <w:p w14:paraId="6929D7E2" w14:textId="51B34ABD" w:rsidR="00203F68" w:rsidRDefault="00203F68" w:rsidP="00FB4DF1">
      <w:pPr>
        <w:pStyle w:val="ListParagraph"/>
        <w:spacing w:line="360" w:lineRule="auto"/>
        <w:jc w:val="both"/>
        <w:rPr>
          <w:rFonts w:ascii="Century" w:hAnsi="Century" w:cs="Times New Roman"/>
        </w:rPr>
      </w:pPr>
    </w:p>
    <w:p w14:paraId="5245FAC4" w14:textId="2A95FFC9" w:rsidR="00203F68" w:rsidRDefault="00203F68" w:rsidP="00FB4DF1">
      <w:pPr>
        <w:pStyle w:val="ListParagraph"/>
        <w:numPr>
          <w:ilvl w:val="0"/>
          <w:numId w:val="10"/>
        </w:numPr>
        <w:spacing w:line="360" w:lineRule="auto"/>
        <w:jc w:val="both"/>
        <w:rPr>
          <w:rFonts w:ascii="Century" w:hAnsi="Century" w:cs="Times New Roman"/>
        </w:rPr>
      </w:pPr>
      <w:r>
        <w:rPr>
          <w:rFonts w:ascii="Century" w:hAnsi="Century" w:cs="Times New Roman"/>
        </w:rPr>
        <w:t xml:space="preserve">It is hard to establish which account is more accurate given the </w:t>
      </w:r>
      <w:r w:rsidR="00AD362D">
        <w:rPr>
          <w:rFonts w:ascii="Century" w:hAnsi="Century" w:cs="Times New Roman"/>
        </w:rPr>
        <w:t>very high levels of</w:t>
      </w:r>
      <w:r>
        <w:rPr>
          <w:rFonts w:ascii="Century" w:hAnsi="Century" w:cs="Times New Roman"/>
        </w:rPr>
        <w:t xml:space="preserve"> confidentiality surrounding Attorney General’s legal advice. </w:t>
      </w:r>
      <w:r w:rsidR="00AD362D">
        <w:rPr>
          <w:rFonts w:ascii="Century" w:hAnsi="Century" w:cs="Times New Roman"/>
        </w:rPr>
        <w:t xml:space="preserve">But </w:t>
      </w:r>
      <w:r w:rsidR="00124785">
        <w:rPr>
          <w:rFonts w:ascii="Century" w:hAnsi="Century" w:cs="Times New Roman"/>
        </w:rPr>
        <w:t>either would</w:t>
      </w:r>
      <w:r w:rsidR="00AD362D">
        <w:rPr>
          <w:rFonts w:ascii="Century" w:hAnsi="Century" w:cs="Times New Roman"/>
        </w:rPr>
        <w:t xml:space="preserve"> </w:t>
      </w:r>
      <w:r w:rsidR="00124785">
        <w:rPr>
          <w:rFonts w:ascii="Century" w:hAnsi="Century" w:cs="Times New Roman"/>
        </w:rPr>
        <w:t>be</w:t>
      </w:r>
      <w:r w:rsidR="00AD362D">
        <w:rPr>
          <w:rFonts w:ascii="Century" w:hAnsi="Century" w:cs="Times New Roman"/>
        </w:rPr>
        <w:t xml:space="preserve"> problematic and unsatisfactory. </w:t>
      </w:r>
    </w:p>
    <w:p w14:paraId="2BA1D3B6" w14:textId="77777777" w:rsidR="00203F68" w:rsidRPr="00203F68" w:rsidRDefault="00203F68" w:rsidP="00FB4DF1">
      <w:pPr>
        <w:pStyle w:val="ListParagraph"/>
        <w:spacing w:line="360" w:lineRule="auto"/>
        <w:rPr>
          <w:rFonts w:ascii="Century" w:hAnsi="Century" w:cs="Times New Roman"/>
        </w:rPr>
      </w:pPr>
    </w:p>
    <w:p w14:paraId="007C1382" w14:textId="578294F7" w:rsidR="00203F68" w:rsidRDefault="00FB4DF1" w:rsidP="00FB4DF1">
      <w:pPr>
        <w:pStyle w:val="ListParagraph"/>
        <w:numPr>
          <w:ilvl w:val="0"/>
          <w:numId w:val="10"/>
        </w:numPr>
        <w:spacing w:line="360" w:lineRule="auto"/>
        <w:jc w:val="both"/>
        <w:rPr>
          <w:rFonts w:ascii="Century" w:hAnsi="Century" w:cs="Times New Roman"/>
        </w:rPr>
      </w:pPr>
      <w:r>
        <w:rPr>
          <w:rFonts w:ascii="Century" w:hAnsi="Century" w:cs="Times New Roman"/>
        </w:rPr>
        <w:t>On balance, I suggest it</w:t>
      </w:r>
      <w:r w:rsidR="00203F68">
        <w:rPr>
          <w:rFonts w:ascii="Century" w:hAnsi="Century" w:cs="Times New Roman"/>
        </w:rPr>
        <w:t xml:space="preserve"> would be constitutionally irresponsible to pursue a referendum to amend Article</w:t>
      </w:r>
      <w:r w:rsidR="00AD362D">
        <w:rPr>
          <w:rFonts w:ascii="Century" w:hAnsi="Century" w:cs="Times New Roman"/>
        </w:rPr>
        <w:t>s</w:t>
      </w:r>
      <w:r w:rsidR="00203F68">
        <w:rPr>
          <w:rFonts w:ascii="Century" w:hAnsi="Century" w:cs="Times New Roman"/>
        </w:rPr>
        <w:t xml:space="preserve"> 4</w:t>
      </w:r>
      <w:r w:rsidR="00AD362D">
        <w:rPr>
          <w:rFonts w:ascii="Century" w:hAnsi="Century" w:cs="Times New Roman"/>
        </w:rPr>
        <w:t>0 and 43</w:t>
      </w:r>
      <w:r w:rsidR="00203F68">
        <w:rPr>
          <w:rFonts w:ascii="Century" w:hAnsi="Century" w:cs="Times New Roman"/>
        </w:rPr>
        <w:t xml:space="preserve"> based on nothing more than an ultimately </w:t>
      </w:r>
      <w:r w:rsidR="00203F68" w:rsidRPr="005D3931">
        <w:rPr>
          <w:rFonts w:ascii="Century" w:hAnsi="Century" w:cs="Times New Roman"/>
          <w:i/>
          <w:iCs/>
        </w:rPr>
        <w:t>mistaken</w:t>
      </w:r>
      <w:r w:rsidR="00203F68">
        <w:rPr>
          <w:rFonts w:ascii="Century" w:hAnsi="Century" w:cs="Times New Roman"/>
        </w:rPr>
        <w:t xml:space="preserve"> political perception of how </w:t>
      </w:r>
      <w:r w:rsidR="00AD362D">
        <w:rPr>
          <w:rFonts w:ascii="Century" w:hAnsi="Century" w:cs="Times New Roman"/>
        </w:rPr>
        <w:t>they</w:t>
      </w:r>
      <w:r w:rsidR="00203F68">
        <w:rPr>
          <w:rFonts w:ascii="Century" w:hAnsi="Century" w:cs="Times New Roman"/>
        </w:rPr>
        <w:t xml:space="preserve"> </w:t>
      </w:r>
      <w:r w:rsidR="00AD362D">
        <w:rPr>
          <w:rFonts w:ascii="Century" w:hAnsi="Century" w:cs="Times New Roman"/>
        </w:rPr>
        <w:t>are</w:t>
      </w:r>
      <w:r w:rsidR="00203F68">
        <w:rPr>
          <w:rFonts w:ascii="Century" w:hAnsi="Century" w:cs="Times New Roman"/>
        </w:rPr>
        <w:t xml:space="preserve"> </w:t>
      </w:r>
      <w:r w:rsidR="00AD362D">
        <w:rPr>
          <w:rFonts w:ascii="Century" w:hAnsi="Century" w:cs="Times New Roman"/>
        </w:rPr>
        <w:t>hamstringing</w:t>
      </w:r>
      <w:r w:rsidR="00203F68">
        <w:rPr>
          <w:rFonts w:ascii="Century" w:hAnsi="Century" w:cs="Times New Roman"/>
        </w:rPr>
        <w:t xml:space="preserve"> the ability of the Oireachtas to regulate</w:t>
      </w:r>
      <w:r w:rsidR="002E5B44">
        <w:rPr>
          <w:rFonts w:ascii="Century" w:hAnsi="Century" w:cs="Times New Roman"/>
        </w:rPr>
        <w:t xml:space="preserve"> private property rights</w:t>
      </w:r>
      <w:r w:rsidR="00203F68">
        <w:rPr>
          <w:rFonts w:ascii="Century" w:hAnsi="Century" w:cs="Times New Roman"/>
        </w:rPr>
        <w:t xml:space="preserve">. </w:t>
      </w:r>
    </w:p>
    <w:p w14:paraId="33052271" w14:textId="77777777" w:rsidR="00203F68" w:rsidRPr="005361CC" w:rsidRDefault="00203F68" w:rsidP="00FB4DF1">
      <w:pPr>
        <w:pStyle w:val="ListParagraph"/>
        <w:spacing w:line="360" w:lineRule="auto"/>
        <w:rPr>
          <w:rFonts w:ascii="Century" w:hAnsi="Century" w:cs="Times New Roman"/>
        </w:rPr>
      </w:pPr>
    </w:p>
    <w:p w14:paraId="67071614" w14:textId="2A0308BC" w:rsidR="00203F68" w:rsidRDefault="00203F68" w:rsidP="00FB4DF1">
      <w:pPr>
        <w:pStyle w:val="ListParagraph"/>
        <w:numPr>
          <w:ilvl w:val="0"/>
          <w:numId w:val="10"/>
        </w:numPr>
        <w:spacing w:line="360" w:lineRule="auto"/>
        <w:jc w:val="both"/>
        <w:rPr>
          <w:rFonts w:ascii="Century" w:hAnsi="Century" w:cs="Times New Roman"/>
        </w:rPr>
      </w:pPr>
      <w:r>
        <w:rPr>
          <w:rFonts w:ascii="Century" w:hAnsi="Century" w:cs="Times New Roman"/>
        </w:rPr>
        <w:t xml:space="preserve"> </w:t>
      </w:r>
      <w:r w:rsidR="00124785">
        <w:rPr>
          <w:rFonts w:ascii="Century" w:hAnsi="Century" w:cs="Times New Roman"/>
        </w:rPr>
        <w:t>The</w:t>
      </w:r>
      <w:r>
        <w:rPr>
          <w:rFonts w:ascii="Century" w:hAnsi="Century" w:cs="Times New Roman"/>
        </w:rPr>
        <w:t xml:space="preserve"> Government and Oireachtas should instead first seek to test the bounds of their existing constitutional authority to regulate property rights. </w:t>
      </w:r>
      <w:r w:rsidRPr="005D3931">
        <w:rPr>
          <w:rFonts w:ascii="Century" w:hAnsi="Century" w:cs="Times New Roman"/>
        </w:rPr>
        <w:t xml:space="preserve">This </w:t>
      </w:r>
      <w:r w:rsidR="00AD362D">
        <w:rPr>
          <w:rFonts w:ascii="Century" w:hAnsi="Century" w:cs="Times New Roman"/>
        </w:rPr>
        <w:t>could</w:t>
      </w:r>
      <w:r w:rsidRPr="005D3931">
        <w:rPr>
          <w:rFonts w:ascii="Century" w:hAnsi="Century" w:cs="Times New Roman"/>
        </w:rPr>
        <w:t xml:space="preserve"> happen in conjunction with disclosure of Attorney General’s advice – whether in full or pr</w:t>
      </w:r>
      <w:r w:rsidR="00AC5229">
        <w:rPr>
          <w:rFonts w:ascii="Century" w:hAnsi="Century" w:cs="Times New Roman"/>
        </w:rPr>
        <w:t>é</w:t>
      </w:r>
      <w:r w:rsidRPr="005D3931">
        <w:rPr>
          <w:rFonts w:ascii="Century" w:hAnsi="Century" w:cs="Times New Roman"/>
        </w:rPr>
        <w:t xml:space="preserve">cis form – </w:t>
      </w:r>
      <w:r w:rsidR="00746D9D" w:rsidRPr="005D3931">
        <w:rPr>
          <w:rFonts w:ascii="Century" w:hAnsi="Century" w:cs="Times New Roman"/>
        </w:rPr>
        <w:t>to</w:t>
      </w:r>
      <w:r w:rsidRPr="005D3931">
        <w:rPr>
          <w:rFonts w:ascii="Century" w:hAnsi="Century" w:cs="Times New Roman"/>
        </w:rPr>
        <w:t xml:space="preserve"> bring</w:t>
      </w:r>
      <w:r w:rsidR="00ED3EC0">
        <w:rPr>
          <w:rFonts w:ascii="Century" w:hAnsi="Century" w:cs="Times New Roman"/>
        </w:rPr>
        <w:t xml:space="preserve"> a measure of</w:t>
      </w:r>
      <w:r w:rsidRPr="005D3931">
        <w:rPr>
          <w:rFonts w:ascii="Century" w:hAnsi="Century" w:cs="Times New Roman"/>
        </w:rPr>
        <w:t xml:space="preserve"> transparency to</w:t>
      </w:r>
      <w:r w:rsidR="00ED3EC0">
        <w:rPr>
          <w:rFonts w:ascii="Century" w:hAnsi="Century" w:cs="Times New Roman"/>
        </w:rPr>
        <w:t xml:space="preserve"> bear upon</w:t>
      </w:r>
      <w:r w:rsidRPr="005D3931">
        <w:rPr>
          <w:rFonts w:ascii="Century" w:hAnsi="Century" w:cs="Times New Roman"/>
        </w:rPr>
        <w:t xml:space="preserve"> the ostensible difficulties blocking the </w:t>
      </w:r>
      <w:r w:rsidR="007574BC">
        <w:rPr>
          <w:rFonts w:ascii="Century" w:hAnsi="Century" w:cs="Times New Roman"/>
        </w:rPr>
        <w:t>Oireachtas</w:t>
      </w:r>
      <w:r w:rsidRPr="005D3931">
        <w:rPr>
          <w:rFonts w:ascii="Century" w:hAnsi="Century" w:cs="Times New Roman"/>
        </w:rPr>
        <w:t xml:space="preserve"> taking robust</w:t>
      </w:r>
      <w:r w:rsidR="00ED3EC0">
        <w:rPr>
          <w:rFonts w:ascii="Century" w:hAnsi="Century" w:cs="Times New Roman"/>
        </w:rPr>
        <w:t xml:space="preserve"> legislative</w:t>
      </w:r>
      <w:r w:rsidRPr="005D3931">
        <w:rPr>
          <w:rFonts w:ascii="Century" w:hAnsi="Century" w:cs="Times New Roman"/>
        </w:rPr>
        <w:t xml:space="preserve"> action. </w:t>
      </w:r>
    </w:p>
    <w:p w14:paraId="53FDC6C5" w14:textId="77777777" w:rsidR="00203F68" w:rsidRPr="00203F68" w:rsidRDefault="00203F68" w:rsidP="00FB4DF1">
      <w:pPr>
        <w:spacing w:line="360" w:lineRule="auto"/>
        <w:jc w:val="both"/>
        <w:rPr>
          <w:rFonts w:ascii="Century" w:hAnsi="Century"/>
        </w:rPr>
      </w:pPr>
    </w:p>
    <w:p w14:paraId="49BF6588" w14:textId="54F41256" w:rsidR="00203F68" w:rsidRDefault="00203F68" w:rsidP="00FB4DF1">
      <w:pPr>
        <w:pStyle w:val="ListParagraph"/>
        <w:numPr>
          <w:ilvl w:val="0"/>
          <w:numId w:val="10"/>
        </w:numPr>
        <w:spacing w:line="360" w:lineRule="auto"/>
        <w:jc w:val="both"/>
        <w:rPr>
          <w:rFonts w:ascii="Century" w:hAnsi="Century" w:cs="Times New Roman"/>
        </w:rPr>
      </w:pPr>
      <w:r>
        <w:rPr>
          <w:rFonts w:ascii="Century" w:hAnsi="Century" w:cs="Times New Roman"/>
        </w:rPr>
        <w:t>Should the Superior Courts invalidate legislative measures brought to address the housing crisis</w:t>
      </w:r>
      <w:r w:rsidR="00ED3EC0">
        <w:rPr>
          <w:rFonts w:ascii="Century" w:hAnsi="Century" w:cs="Times New Roman"/>
        </w:rPr>
        <w:t xml:space="preserve"> </w:t>
      </w:r>
      <w:r>
        <w:rPr>
          <w:rFonts w:ascii="Century" w:hAnsi="Century" w:cs="Times New Roman"/>
        </w:rPr>
        <w:t xml:space="preserve">– whether via an </w:t>
      </w:r>
      <w:proofErr w:type="gramStart"/>
      <w:r>
        <w:rPr>
          <w:rFonts w:ascii="Century" w:hAnsi="Century" w:cs="Times New Roman"/>
        </w:rPr>
        <w:t>Article</w:t>
      </w:r>
      <w:proofErr w:type="gramEnd"/>
      <w:r>
        <w:rPr>
          <w:rFonts w:ascii="Century" w:hAnsi="Century" w:cs="Times New Roman"/>
        </w:rPr>
        <w:t xml:space="preserve"> 26 reference or </w:t>
      </w:r>
      <w:r w:rsidR="00ED3EC0">
        <w:rPr>
          <w:rFonts w:ascii="Century" w:hAnsi="Century" w:cs="Times New Roman"/>
        </w:rPr>
        <w:t>in the course of</w:t>
      </w:r>
      <w:r>
        <w:rPr>
          <w:rFonts w:ascii="Century" w:hAnsi="Century" w:cs="Times New Roman"/>
        </w:rPr>
        <w:t xml:space="preserve"> ordinary litigation – </w:t>
      </w:r>
      <w:r w:rsidR="00AC5229">
        <w:rPr>
          <w:rFonts w:ascii="Century" w:hAnsi="Century" w:cs="Times New Roman"/>
        </w:rPr>
        <w:t>it</w:t>
      </w:r>
      <w:r w:rsidR="00ED3EC0">
        <w:rPr>
          <w:rFonts w:ascii="Century" w:hAnsi="Century" w:cs="Times New Roman"/>
        </w:rPr>
        <w:t xml:space="preserve"> would</w:t>
      </w:r>
      <w:r w:rsidR="00AC5229">
        <w:rPr>
          <w:rFonts w:ascii="Century" w:hAnsi="Century" w:cs="Times New Roman"/>
        </w:rPr>
        <w:t xml:space="preserve"> then</w:t>
      </w:r>
      <w:r>
        <w:rPr>
          <w:rFonts w:ascii="Century" w:hAnsi="Century" w:cs="Times New Roman"/>
        </w:rPr>
        <w:t xml:space="preserve"> be</w:t>
      </w:r>
      <w:r w:rsidR="00ED3EC0">
        <w:rPr>
          <w:rFonts w:ascii="Century" w:hAnsi="Century" w:cs="Times New Roman"/>
        </w:rPr>
        <w:t xml:space="preserve"> a</w:t>
      </w:r>
      <w:r>
        <w:rPr>
          <w:rFonts w:ascii="Century" w:hAnsi="Century" w:cs="Times New Roman"/>
        </w:rPr>
        <w:t xml:space="preserve"> </w:t>
      </w:r>
      <w:r w:rsidR="00FB4DF1">
        <w:rPr>
          <w:rFonts w:ascii="Century" w:hAnsi="Century" w:cs="Times New Roman"/>
        </w:rPr>
        <w:t>more</w:t>
      </w:r>
      <w:r>
        <w:rPr>
          <w:rFonts w:ascii="Century" w:hAnsi="Century" w:cs="Times New Roman"/>
        </w:rPr>
        <w:t xml:space="preserve"> appropriate</w:t>
      </w:r>
      <w:r w:rsidR="00ED3EC0">
        <w:rPr>
          <w:rFonts w:ascii="Century" w:hAnsi="Century" w:cs="Times New Roman"/>
        </w:rPr>
        <w:t xml:space="preserve"> and proportionate response</w:t>
      </w:r>
      <w:r>
        <w:rPr>
          <w:rFonts w:ascii="Century" w:hAnsi="Century" w:cs="Times New Roman"/>
        </w:rPr>
        <w:t xml:space="preserve"> to consider </w:t>
      </w:r>
      <w:r w:rsidR="00746D9D">
        <w:rPr>
          <w:rFonts w:ascii="Century" w:hAnsi="Century" w:cs="Times New Roman"/>
        </w:rPr>
        <w:t xml:space="preserve">pursuing </w:t>
      </w:r>
      <w:r>
        <w:rPr>
          <w:rFonts w:ascii="Century" w:hAnsi="Century" w:cs="Times New Roman"/>
        </w:rPr>
        <w:t xml:space="preserve">a referendum </w:t>
      </w:r>
      <w:r w:rsidR="00822564">
        <w:rPr>
          <w:rFonts w:ascii="Century" w:hAnsi="Century" w:cs="Times New Roman"/>
        </w:rPr>
        <w:t>that would</w:t>
      </w:r>
      <w:r>
        <w:rPr>
          <w:rFonts w:ascii="Century" w:hAnsi="Century" w:cs="Times New Roman"/>
        </w:rPr>
        <w:t xml:space="preserve"> better empower the Oireachtas</w:t>
      </w:r>
      <w:r w:rsidR="00822564">
        <w:rPr>
          <w:rFonts w:ascii="Century" w:hAnsi="Century" w:cs="Times New Roman"/>
        </w:rPr>
        <w:t xml:space="preserve"> to regulate property rights</w:t>
      </w:r>
      <w:r>
        <w:rPr>
          <w:rFonts w:ascii="Century" w:hAnsi="Century" w:cs="Times New Roman"/>
        </w:rPr>
        <w:t xml:space="preserve">.  </w:t>
      </w:r>
    </w:p>
    <w:p w14:paraId="21D5C938" w14:textId="77777777" w:rsidR="00203F68" w:rsidRPr="00203F68" w:rsidRDefault="00203F68" w:rsidP="00FB4DF1">
      <w:pPr>
        <w:pStyle w:val="ListParagraph"/>
        <w:spacing w:line="360" w:lineRule="auto"/>
        <w:rPr>
          <w:rFonts w:ascii="Century" w:hAnsi="Century" w:cs="Times New Roman"/>
        </w:rPr>
      </w:pPr>
    </w:p>
    <w:p w14:paraId="3D1D2308" w14:textId="77777777" w:rsidR="00203F68" w:rsidRPr="005D7CC3" w:rsidRDefault="00203F68" w:rsidP="00FB4DF1">
      <w:pPr>
        <w:pStyle w:val="ListParagraph"/>
        <w:spacing w:line="360" w:lineRule="auto"/>
        <w:jc w:val="both"/>
        <w:rPr>
          <w:rFonts w:ascii="Century" w:hAnsi="Century" w:cs="Times New Roman"/>
        </w:rPr>
      </w:pPr>
    </w:p>
    <w:p w14:paraId="28EDC87F" w14:textId="162A8B11" w:rsidR="003537C2" w:rsidRDefault="003537C2" w:rsidP="00FB4DF1">
      <w:pPr>
        <w:spacing w:line="360" w:lineRule="auto"/>
        <w:rPr>
          <w:rFonts w:ascii="Century" w:hAnsi="Century"/>
        </w:rPr>
      </w:pPr>
    </w:p>
    <w:p w14:paraId="7925CCA9" w14:textId="3A296628" w:rsidR="00203F68" w:rsidRDefault="00203F68" w:rsidP="00FB4DF1">
      <w:pPr>
        <w:spacing w:line="360" w:lineRule="auto"/>
        <w:rPr>
          <w:rFonts w:ascii="Century" w:hAnsi="Century"/>
        </w:rPr>
      </w:pPr>
    </w:p>
    <w:p w14:paraId="6140E29F" w14:textId="32704AE7" w:rsidR="00203F68" w:rsidRDefault="00203F68" w:rsidP="00FB4DF1">
      <w:pPr>
        <w:spacing w:line="360" w:lineRule="auto"/>
        <w:rPr>
          <w:rFonts w:ascii="Century" w:hAnsi="Century"/>
        </w:rPr>
      </w:pPr>
    </w:p>
    <w:p w14:paraId="18F65BB5" w14:textId="77777777" w:rsidR="00746D9D" w:rsidRDefault="00746D9D" w:rsidP="00FB4DF1">
      <w:pPr>
        <w:spacing w:line="360" w:lineRule="auto"/>
        <w:rPr>
          <w:rFonts w:ascii="Century" w:hAnsi="Century"/>
        </w:rPr>
      </w:pPr>
    </w:p>
    <w:p w14:paraId="4DFDE1EE" w14:textId="1FD14952" w:rsidR="00203F68" w:rsidRDefault="00203F68" w:rsidP="00FB4DF1">
      <w:pPr>
        <w:spacing w:line="360" w:lineRule="auto"/>
        <w:rPr>
          <w:rFonts w:ascii="Century" w:hAnsi="Century"/>
        </w:rPr>
      </w:pPr>
    </w:p>
    <w:p w14:paraId="07D70E08" w14:textId="77777777" w:rsidR="00ED5248" w:rsidRPr="00142A36" w:rsidRDefault="00ED5248" w:rsidP="00FB4DF1">
      <w:pPr>
        <w:spacing w:line="360" w:lineRule="auto"/>
        <w:rPr>
          <w:rFonts w:ascii="Century" w:hAnsi="Century"/>
        </w:rPr>
      </w:pPr>
    </w:p>
    <w:p w14:paraId="454D4517" w14:textId="6A12E4F7" w:rsidR="002F6573" w:rsidRDefault="002D5AA1" w:rsidP="00FB4DF1">
      <w:pPr>
        <w:spacing w:line="360" w:lineRule="auto"/>
        <w:rPr>
          <w:rFonts w:ascii="Century" w:hAnsi="Century"/>
          <w:b/>
          <w:bCs/>
        </w:rPr>
      </w:pPr>
      <w:r w:rsidRPr="002F6573">
        <w:rPr>
          <w:rFonts w:ascii="Century" w:hAnsi="Century"/>
          <w:b/>
          <w:bCs/>
        </w:rPr>
        <w:lastRenderedPageBreak/>
        <w:t>SUBMISSIONS</w:t>
      </w:r>
    </w:p>
    <w:p w14:paraId="5E25A92F" w14:textId="13C47EC2" w:rsidR="0030142F" w:rsidRPr="003537C2" w:rsidRDefault="0030142F" w:rsidP="00FB4DF1">
      <w:pPr>
        <w:pStyle w:val="ListParagraph"/>
        <w:numPr>
          <w:ilvl w:val="0"/>
          <w:numId w:val="9"/>
        </w:numPr>
        <w:spacing w:line="360" w:lineRule="auto"/>
        <w:rPr>
          <w:rFonts w:ascii="Century" w:eastAsia="Times New Roman" w:hAnsi="Century" w:cs="Times New Roman"/>
          <w:b/>
          <w:bCs/>
          <w:lang w:eastAsia="en-GB"/>
        </w:rPr>
      </w:pPr>
      <w:r w:rsidRPr="003537C2">
        <w:rPr>
          <w:rFonts w:ascii="Century" w:hAnsi="Century"/>
          <w:b/>
          <w:bCs/>
        </w:rPr>
        <w:t>Constitutional Background</w:t>
      </w:r>
    </w:p>
    <w:p w14:paraId="2D2B604D" w14:textId="7E41890D" w:rsidR="00A874D0" w:rsidRPr="00142A36" w:rsidRDefault="00A874D0" w:rsidP="00FB4DF1">
      <w:pPr>
        <w:pStyle w:val="ListParagraph"/>
        <w:numPr>
          <w:ilvl w:val="0"/>
          <w:numId w:val="5"/>
        </w:numPr>
        <w:spacing w:line="360" w:lineRule="auto"/>
        <w:jc w:val="both"/>
        <w:rPr>
          <w:rFonts w:ascii="Century" w:hAnsi="Century"/>
        </w:rPr>
      </w:pPr>
      <w:r w:rsidRPr="00142A36">
        <w:rPr>
          <w:rFonts w:ascii="Century" w:hAnsi="Century"/>
        </w:rPr>
        <w:t>In our constitutional system, decisions about the most important policy questions – including taxation, education, health, the funding of public services, and</w:t>
      </w:r>
      <w:r w:rsidR="006826C3">
        <w:rPr>
          <w:rFonts w:ascii="Century" w:hAnsi="Century"/>
        </w:rPr>
        <w:t xml:space="preserve"> the provision and supply of</w:t>
      </w:r>
      <w:r w:rsidRPr="00142A36">
        <w:rPr>
          <w:rFonts w:ascii="Century" w:hAnsi="Century"/>
        </w:rPr>
        <w:t xml:space="preserve"> housing – are the responsibility of the Government and Oireachtas. </w:t>
      </w:r>
    </w:p>
    <w:p w14:paraId="2B3E7B8D" w14:textId="77777777" w:rsidR="00A874D0" w:rsidRPr="00142A36" w:rsidRDefault="00A874D0" w:rsidP="00FB4DF1">
      <w:pPr>
        <w:pStyle w:val="ListParagraph"/>
        <w:spacing w:line="360" w:lineRule="auto"/>
        <w:jc w:val="both"/>
        <w:rPr>
          <w:rFonts w:ascii="Century" w:hAnsi="Century"/>
        </w:rPr>
      </w:pPr>
    </w:p>
    <w:p w14:paraId="78C9B65D" w14:textId="77777777" w:rsidR="00E50682" w:rsidRDefault="00581CCC" w:rsidP="00FB4DF1">
      <w:pPr>
        <w:pStyle w:val="ListParagraph"/>
        <w:numPr>
          <w:ilvl w:val="0"/>
          <w:numId w:val="5"/>
        </w:numPr>
        <w:spacing w:line="360" w:lineRule="auto"/>
        <w:jc w:val="both"/>
        <w:rPr>
          <w:rFonts w:ascii="Century" w:hAnsi="Century"/>
        </w:rPr>
      </w:pPr>
      <w:r w:rsidRPr="00142A36">
        <w:rPr>
          <w:rFonts w:ascii="Century" w:hAnsi="Century"/>
        </w:rPr>
        <w:t>Our Constitution provides the Oireachtas the sole and exclusive power of making laws for the State.</w:t>
      </w:r>
      <w:r w:rsidR="00E50682">
        <w:rPr>
          <w:rStyle w:val="FootnoteReference"/>
          <w:rFonts w:ascii="Century" w:hAnsi="Century"/>
        </w:rPr>
        <w:footnoteReference w:id="2"/>
      </w:r>
      <w:r w:rsidR="00A874D0" w:rsidRPr="00142A36">
        <w:rPr>
          <w:rFonts w:ascii="Century" w:hAnsi="Century"/>
        </w:rPr>
        <w:t xml:space="preserve"> The Constitution provides the Government with the executive power of State, making it responsible for faithfully implementing the laws enacted by the Oireachtas.</w:t>
      </w:r>
      <w:r w:rsidR="00E50682">
        <w:rPr>
          <w:rStyle w:val="FootnoteReference"/>
          <w:rFonts w:ascii="Century" w:hAnsi="Century"/>
        </w:rPr>
        <w:footnoteReference w:id="3"/>
      </w:r>
      <w:r w:rsidR="00A874D0" w:rsidRPr="00142A36">
        <w:rPr>
          <w:rFonts w:ascii="Century" w:hAnsi="Century"/>
        </w:rPr>
        <w:t xml:space="preserve"> The Constitution</w:t>
      </w:r>
      <w:r w:rsidRPr="00142A36">
        <w:rPr>
          <w:rFonts w:ascii="Century" w:hAnsi="Century"/>
        </w:rPr>
        <w:t xml:space="preserve"> also provides the Government authority over preparing the annual budget outlining the revenue the State is estimated to take in in taxes, and how much it will spend on things like public services</w:t>
      </w:r>
      <w:r w:rsidR="00E50682">
        <w:rPr>
          <w:rFonts w:ascii="Century" w:hAnsi="Century"/>
        </w:rPr>
        <w:t>,</w:t>
      </w:r>
      <w:r w:rsidR="00A874D0" w:rsidRPr="00142A36">
        <w:rPr>
          <w:rFonts w:ascii="Century" w:hAnsi="Century"/>
        </w:rPr>
        <w:t xml:space="preserve"> that the Dáil must </w:t>
      </w:r>
      <w:r w:rsidR="00E50682">
        <w:rPr>
          <w:rFonts w:ascii="Century" w:hAnsi="Century"/>
        </w:rPr>
        <w:t xml:space="preserve">then consider and </w:t>
      </w:r>
      <w:r w:rsidR="00A874D0" w:rsidRPr="00142A36">
        <w:rPr>
          <w:rFonts w:ascii="Century" w:hAnsi="Century"/>
        </w:rPr>
        <w:t>approve</w:t>
      </w:r>
      <w:r w:rsidRPr="00142A36">
        <w:rPr>
          <w:rFonts w:ascii="Century" w:hAnsi="Century"/>
        </w:rPr>
        <w:t>.</w:t>
      </w:r>
      <w:r w:rsidR="00E50682">
        <w:rPr>
          <w:rStyle w:val="FootnoteReference"/>
          <w:rFonts w:ascii="Century" w:hAnsi="Century"/>
        </w:rPr>
        <w:footnoteReference w:id="4"/>
      </w:r>
      <w:r w:rsidRPr="00142A36">
        <w:rPr>
          <w:rFonts w:ascii="Century" w:hAnsi="Century"/>
        </w:rPr>
        <w:t xml:space="preserve"> </w:t>
      </w:r>
    </w:p>
    <w:p w14:paraId="6D6604EB" w14:textId="77777777" w:rsidR="00E50682" w:rsidRPr="00E50682" w:rsidRDefault="00E50682" w:rsidP="00FB4DF1">
      <w:pPr>
        <w:pStyle w:val="ListParagraph"/>
        <w:spacing w:line="360" w:lineRule="auto"/>
        <w:rPr>
          <w:rFonts w:ascii="Century" w:hAnsi="Century"/>
        </w:rPr>
      </w:pPr>
    </w:p>
    <w:p w14:paraId="6FDC5A96" w14:textId="32F634B6" w:rsidR="00581CCC" w:rsidRPr="00142A36" w:rsidRDefault="00581CCC" w:rsidP="00FB4DF1">
      <w:pPr>
        <w:pStyle w:val="ListParagraph"/>
        <w:numPr>
          <w:ilvl w:val="0"/>
          <w:numId w:val="5"/>
        </w:numPr>
        <w:spacing w:line="360" w:lineRule="auto"/>
        <w:jc w:val="both"/>
        <w:rPr>
          <w:rFonts w:ascii="Century" w:hAnsi="Century"/>
        </w:rPr>
      </w:pPr>
      <w:r w:rsidRPr="00142A36">
        <w:rPr>
          <w:rFonts w:ascii="Century" w:hAnsi="Century"/>
        </w:rPr>
        <w:t xml:space="preserve">Moreover, in practice the Government drafts </w:t>
      </w:r>
      <w:r w:rsidR="006826C3" w:rsidRPr="00142A36">
        <w:rPr>
          <w:rFonts w:ascii="Century" w:hAnsi="Century"/>
        </w:rPr>
        <w:t>most</w:t>
      </w:r>
      <w:r w:rsidRPr="00142A36">
        <w:rPr>
          <w:rFonts w:ascii="Century" w:hAnsi="Century"/>
        </w:rPr>
        <w:t xml:space="preserve"> bills that </w:t>
      </w:r>
      <w:r w:rsidR="00A8350B">
        <w:rPr>
          <w:rFonts w:ascii="Century" w:hAnsi="Century"/>
        </w:rPr>
        <w:t xml:space="preserve">are </w:t>
      </w:r>
      <w:r w:rsidRPr="00142A36">
        <w:rPr>
          <w:rFonts w:ascii="Century" w:hAnsi="Century"/>
        </w:rPr>
        <w:t>introduced to the Oireachtas for consideration</w:t>
      </w:r>
      <w:r w:rsidR="00600438" w:rsidRPr="00142A36">
        <w:rPr>
          <w:rFonts w:ascii="Century" w:hAnsi="Century"/>
        </w:rPr>
        <w:t>,</w:t>
      </w:r>
      <w:r w:rsidR="004632A0" w:rsidRPr="00142A36">
        <w:rPr>
          <w:rFonts w:ascii="Century" w:hAnsi="Century"/>
        </w:rPr>
        <w:t xml:space="preserve"> with the aid of the civil service and </w:t>
      </w:r>
      <w:r w:rsidR="00567EB0">
        <w:rPr>
          <w:rFonts w:ascii="Century" w:hAnsi="Century"/>
        </w:rPr>
        <w:t xml:space="preserve">parliamentary </w:t>
      </w:r>
      <w:r w:rsidR="004632A0" w:rsidRPr="00142A36">
        <w:rPr>
          <w:rFonts w:ascii="Century" w:hAnsi="Century"/>
        </w:rPr>
        <w:t>draftsmen in the Attorney General’s Office</w:t>
      </w:r>
      <w:r w:rsidRPr="00142A36">
        <w:rPr>
          <w:rFonts w:ascii="Century" w:hAnsi="Century"/>
        </w:rPr>
        <w:t>.</w:t>
      </w:r>
      <w:bookmarkStart w:id="0" w:name="_Ref101614001"/>
      <w:r w:rsidR="00E50682">
        <w:rPr>
          <w:rStyle w:val="FootnoteReference"/>
          <w:rFonts w:ascii="Century" w:hAnsi="Century"/>
        </w:rPr>
        <w:footnoteReference w:id="5"/>
      </w:r>
      <w:bookmarkEnd w:id="0"/>
      <w:r w:rsidRPr="00142A36">
        <w:rPr>
          <w:rFonts w:ascii="Century" w:hAnsi="Century"/>
        </w:rPr>
        <w:t xml:space="preserve"> </w:t>
      </w:r>
    </w:p>
    <w:p w14:paraId="46F6E872" w14:textId="77777777" w:rsidR="0092147B" w:rsidRPr="00142A36" w:rsidRDefault="0092147B" w:rsidP="00FB4DF1">
      <w:pPr>
        <w:pStyle w:val="ListParagraph"/>
        <w:spacing w:line="360" w:lineRule="auto"/>
        <w:jc w:val="both"/>
        <w:rPr>
          <w:rFonts w:ascii="Century" w:hAnsi="Century"/>
        </w:rPr>
      </w:pPr>
    </w:p>
    <w:p w14:paraId="59AC6DA3" w14:textId="61328F7D" w:rsidR="0092147B" w:rsidRPr="00142A36" w:rsidRDefault="0092147B" w:rsidP="00FB4DF1">
      <w:pPr>
        <w:pStyle w:val="ListParagraph"/>
        <w:numPr>
          <w:ilvl w:val="0"/>
          <w:numId w:val="5"/>
        </w:numPr>
        <w:spacing w:line="360" w:lineRule="auto"/>
        <w:jc w:val="both"/>
        <w:rPr>
          <w:rFonts w:ascii="Century" w:hAnsi="Century"/>
        </w:rPr>
      </w:pPr>
      <w:r w:rsidRPr="00142A36">
        <w:rPr>
          <w:rFonts w:ascii="Century" w:hAnsi="Century"/>
        </w:rPr>
        <w:t xml:space="preserve">Because </w:t>
      </w:r>
      <w:r w:rsidR="00E50682">
        <w:rPr>
          <w:rFonts w:ascii="Century" w:hAnsi="Century"/>
        </w:rPr>
        <w:t>Ireland</w:t>
      </w:r>
      <w:r w:rsidRPr="00142A36">
        <w:rPr>
          <w:rFonts w:ascii="Century" w:hAnsi="Century"/>
        </w:rPr>
        <w:t xml:space="preserve"> do</w:t>
      </w:r>
      <w:r w:rsidR="00E50682">
        <w:rPr>
          <w:rFonts w:ascii="Century" w:hAnsi="Century"/>
        </w:rPr>
        <w:t>es</w:t>
      </w:r>
      <w:r w:rsidRPr="00142A36">
        <w:rPr>
          <w:rFonts w:ascii="Century" w:hAnsi="Century"/>
        </w:rPr>
        <w:t xml:space="preserve"> not have a federal</w:t>
      </w:r>
      <w:r w:rsidR="006629F1">
        <w:rPr>
          <w:rFonts w:ascii="Century" w:hAnsi="Century"/>
        </w:rPr>
        <w:t xml:space="preserve"> or devolved</w:t>
      </w:r>
      <w:r w:rsidRPr="00142A36">
        <w:rPr>
          <w:rFonts w:ascii="Century" w:hAnsi="Century"/>
        </w:rPr>
        <w:t xml:space="preserve"> system</w:t>
      </w:r>
      <w:r w:rsidR="006629F1">
        <w:rPr>
          <w:rFonts w:ascii="Century" w:hAnsi="Century"/>
        </w:rPr>
        <w:t xml:space="preserve"> of government</w:t>
      </w:r>
      <w:r w:rsidRPr="00142A36">
        <w:rPr>
          <w:rFonts w:ascii="Century" w:hAnsi="Century"/>
        </w:rPr>
        <w:t>, the</w:t>
      </w:r>
      <w:r w:rsidR="006629F1">
        <w:rPr>
          <w:rFonts w:ascii="Century" w:hAnsi="Century"/>
        </w:rPr>
        <w:t xml:space="preserve"> executive and legislative</w:t>
      </w:r>
      <w:r w:rsidRPr="00142A36">
        <w:rPr>
          <w:rFonts w:ascii="Century" w:hAnsi="Century"/>
        </w:rPr>
        <w:t xml:space="preserve"> power</w:t>
      </w:r>
      <w:r w:rsidR="006629F1">
        <w:rPr>
          <w:rFonts w:ascii="Century" w:hAnsi="Century"/>
        </w:rPr>
        <w:t>s</w:t>
      </w:r>
      <w:r w:rsidRPr="00142A36">
        <w:rPr>
          <w:rFonts w:ascii="Century" w:hAnsi="Century"/>
        </w:rPr>
        <w:t xml:space="preserve"> of the Government and Oireachtas </w:t>
      </w:r>
      <w:r w:rsidR="006629F1">
        <w:rPr>
          <w:rFonts w:ascii="Century" w:hAnsi="Century"/>
        </w:rPr>
        <w:t>are</w:t>
      </w:r>
      <w:r w:rsidRPr="00142A36">
        <w:rPr>
          <w:rFonts w:ascii="Century" w:hAnsi="Century"/>
        </w:rPr>
        <w:t xml:space="preserve"> unitary, and not divided amongst sub-national political actors. This gives them very </w:t>
      </w:r>
      <w:r w:rsidR="004632A0" w:rsidRPr="00142A36">
        <w:rPr>
          <w:rFonts w:ascii="Century" w:hAnsi="Century"/>
        </w:rPr>
        <w:t xml:space="preserve">significant </w:t>
      </w:r>
      <w:r w:rsidRPr="00142A36">
        <w:rPr>
          <w:rFonts w:ascii="Century" w:hAnsi="Century"/>
        </w:rPr>
        <w:t>policy authority</w:t>
      </w:r>
      <w:r w:rsidR="005C4C87">
        <w:rPr>
          <w:rFonts w:ascii="Century" w:hAnsi="Century"/>
        </w:rPr>
        <w:t xml:space="preserve"> over issues like housing</w:t>
      </w:r>
      <w:r w:rsidRPr="00142A36">
        <w:rPr>
          <w:rFonts w:ascii="Century" w:hAnsi="Century"/>
        </w:rPr>
        <w:t xml:space="preserve">. </w:t>
      </w:r>
    </w:p>
    <w:p w14:paraId="687BA627" w14:textId="77777777" w:rsidR="00A874D0" w:rsidRPr="00142A36" w:rsidRDefault="00A874D0" w:rsidP="00FB4DF1">
      <w:pPr>
        <w:pStyle w:val="ListParagraph"/>
        <w:spacing w:line="360" w:lineRule="auto"/>
        <w:jc w:val="both"/>
        <w:rPr>
          <w:rFonts w:ascii="Century" w:hAnsi="Century"/>
        </w:rPr>
      </w:pPr>
    </w:p>
    <w:p w14:paraId="42C2A11B" w14:textId="4FB14F37" w:rsidR="00B32D9E" w:rsidRPr="00142A36" w:rsidRDefault="00A874D0" w:rsidP="00FB4DF1">
      <w:pPr>
        <w:pStyle w:val="ListParagraph"/>
        <w:numPr>
          <w:ilvl w:val="0"/>
          <w:numId w:val="5"/>
        </w:numPr>
        <w:spacing w:line="360" w:lineRule="auto"/>
        <w:jc w:val="both"/>
        <w:rPr>
          <w:rFonts w:ascii="Century" w:hAnsi="Century"/>
        </w:rPr>
      </w:pPr>
      <w:r w:rsidRPr="00142A36">
        <w:rPr>
          <w:rFonts w:ascii="Century" w:hAnsi="Century"/>
        </w:rPr>
        <w:t xml:space="preserve">However, the </w:t>
      </w:r>
      <w:r w:rsidR="0092147B" w:rsidRPr="00142A36">
        <w:rPr>
          <w:rFonts w:ascii="Century" w:hAnsi="Century"/>
        </w:rPr>
        <w:t xml:space="preserve">powers of both Government and </w:t>
      </w:r>
      <w:r w:rsidR="00F21444" w:rsidRPr="00142A36">
        <w:rPr>
          <w:rFonts w:ascii="Century" w:hAnsi="Century"/>
        </w:rPr>
        <w:t xml:space="preserve">the </w:t>
      </w:r>
      <w:r w:rsidR="0092147B" w:rsidRPr="00142A36">
        <w:rPr>
          <w:rFonts w:ascii="Century" w:hAnsi="Century"/>
        </w:rPr>
        <w:t xml:space="preserve">Oireachtas are limited by other </w:t>
      </w:r>
      <w:r w:rsidR="00E50682">
        <w:rPr>
          <w:rFonts w:ascii="Century" w:hAnsi="Century"/>
        </w:rPr>
        <w:t>provisions</w:t>
      </w:r>
      <w:r w:rsidR="0092147B" w:rsidRPr="00142A36">
        <w:rPr>
          <w:rFonts w:ascii="Century" w:hAnsi="Century"/>
        </w:rPr>
        <w:t xml:space="preserve"> of the Constitution. One limitation is that the </w:t>
      </w:r>
      <w:r w:rsidR="00B32D9E" w:rsidRPr="00142A36">
        <w:rPr>
          <w:rFonts w:ascii="Century" w:hAnsi="Century"/>
        </w:rPr>
        <w:t xml:space="preserve">Constitution does not permit the three organs of State – Oireachtas, Government, and judiciary – to take over each other’s functions, or to voluntarily alienate </w:t>
      </w:r>
      <w:r w:rsidR="00B32D9E" w:rsidRPr="00142A36">
        <w:rPr>
          <w:rFonts w:ascii="Century" w:hAnsi="Century"/>
        </w:rPr>
        <w:lastRenderedPageBreak/>
        <w:t>them.</w:t>
      </w:r>
      <w:r w:rsidR="00A168D2">
        <w:rPr>
          <w:rStyle w:val="FootnoteReference"/>
          <w:rFonts w:ascii="Century" w:hAnsi="Century"/>
        </w:rPr>
        <w:footnoteReference w:id="6"/>
      </w:r>
      <w:r w:rsidR="00B32D9E" w:rsidRPr="00142A36">
        <w:rPr>
          <w:rFonts w:ascii="Century" w:hAnsi="Century"/>
        </w:rPr>
        <w:t xml:space="preserve"> So, it would be unconstitutional to let the Courts make laws, and for the Government to start adjudicating cases</w:t>
      </w:r>
      <w:r w:rsidR="002C77FA">
        <w:rPr>
          <w:rFonts w:ascii="Century" w:hAnsi="Century"/>
        </w:rPr>
        <w:t xml:space="preserve"> for example</w:t>
      </w:r>
      <w:r w:rsidR="00B32D9E" w:rsidRPr="00142A36">
        <w:rPr>
          <w:rFonts w:ascii="Century" w:hAnsi="Century"/>
        </w:rPr>
        <w:t>.</w:t>
      </w:r>
    </w:p>
    <w:p w14:paraId="3FAB65A5" w14:textId="77777777" w:rsidR="00B32D9E" w:rsidRPr="00142A36" w:rsidRDefault="00B32D9E" w:rsidP="00FB4DF1">
      <w:pPr>
        <w:pStyle w:val="ListParagraph"/>
        <w:spacing w:line="360" w:lineRule="auto"/>
        <w:jc w:val="both"/>
        <w:rPr>
          <w:rFonts w:ascii="Century" w:hAnsi="Century"/>
        </w:rPr>
      </w:pPr>
    </w:p>
    <w:p w14:paraId="187B6228" w14:textId="4332AE61" w:rsidR="00B32D9E" w:rsidRPr="00142A36" w:rsidRDefault="00B32D9E" w:rsidP="00FB4DF1">
      <w:pPr>
        <w:pStyle w:val="ListParagraph"/>
        <w:numPr>
          <w:ilvl w:val="0"/>
          <w:numId w:val="5"/>
        </w:numPr>
        <w:spacing w:line="360" w:lineRule="auto"/>
        <w:jc w:val="both"/>
        <w:rPr>
          <w:rFonts w:ascii="Century" w:hAnsi="Century"/>
        </w:rPr>
      </w:pPr>
      <w:r w:rsidRPr="00142A36">
        <w:rPr>
          <w:rFonts w:ascii="Century" w:hAnsi="Century"/>
        </w:rPr>
        <w:t xml:space="preserve">Another limitation, more relevant to </w:t>
      </w:r>
      <w:r w:rsidR="00E50682">
        <w:rPr>
          <w:rFonts w:ascii="Century" w:hAnsi="Century"/>
        </w:rPr>
        <w:t>these</w:t>
      </w:r>
      <w:r w:rsidRPr="00142A36">
        <w:rPr>
          <w:rFonts w:ascii="Century" w:hAnsi="Century"/>
        </w:rPr>
        <w:t xml:space="preserve"> submissions, is that the powers of the Oireachtas and Government must be exercised consistent with, and not repugnant to, fundamental rights posited in the Constitution. This includes the right to private property protected by Article 40.3</w:t>
      </w:r>
      <w:r w:rsidR="00F21444" w:rsidRPr="00142A36">
        <w:rPr>
          <w:rStyle w:val="FootnoteReference"/>
          <w:rFonts w:ascii="Century" w:hAnsi="Century"/>
        </w:rPr>
        <w:footnoteReference w:id="7"/>
      </w:r>
      <w:r w:rsidRPr="00142A36">
        <w:rPr>
          <w:rFonts w:ascii="Century" w:hAnsi="Century"/>
        </w:rPr>
        <w:t xml:space="preserve"> and Article 43.</w:t>
      </w:r>
      <w:r w:rsidR="00F21444" w:rsidRPr="00142A36">
        <w:rPr>
          <w:rStyle w:val="FootnoteReference"/>
          <w:rFonts w:ascii="Century" w:hAnsi="Century"/>
        </w:rPr>
        <w:footnoteReference w:id="8"/>
      </w:r>
      <w:r w:rsidRPr="00142A36">
        <w:rPr>
          <w:rFonts w:ascii="Century" w:hAnsi="Century"/>
        </w:rPr>
        <w:t xml:space="preserve"> </w:t>
      </w:r>
    </w:p>
    <w:p w14:paraId="526D0277" w14:textId="77777777" w:rsidR="0078631F" w:rsidRPr="00142A36" w:rsidRDefault="0078631F" w:rsidP="00FB4DF1">
      <w:pPr>
        <w:pStyle w:val="ListParagraph"/>
        <w:spacing w:line="360" w:lineRule="auto"/>
        <w:rPr>
          <w:rFonts w:ascii="Century" w:hAnsi="Century"/>
        </w:rPr>
      </w:pPr>
    </w:p>
    <w:p w14:paraId="2D27DD7F" w14:textId="3B941167" w:rsidR="0078631F" w:rsidRPr="00142A36" w:rsidRDefault="0078631F" w:rsidP="00FB4DF1">
      <w:pPr>
        <w:pStyle w:val="ListParagraph"/>
        <w:numPr>
          <w:ilvl w:val="0"/>
          <w:numId w:val="5"/>
        </w:numPr>
        <w:spacing w:line="360" w:lineRule="auto"/>
        <w:jc w:val="both"/>
        <w:rPr>
          <w:rFonts w:ascii="Century" w:hAnsi="Century"/>
        </w:rPr>
      </w:pPr>
      <w:r w:rsidRPr="00142A36">
        <w:rPr>
          <w:rFonts w:ascii="Century" w:hAnsi="Century"/>
        </w:rPr>
        <w:t>A law may be found unconstitutional</w:t>
      </w:r>
      <w:r w:rsidR="00E50682">
        <w:rPr>
          <w:rFonts w:ascii="Century" w:hAnsi="Century"/>
        </w:rPr>
        <w:t xml:space="preserve"> by a Court</w:t>
      </w:r>
      <w:r w:rsidRPr="00142A36">
        <w:rPr>
          <w:rFonts w:ascii="Century" w:hAnsi="Century"/>
        </w:rPr>
        <w:t xml:space="preserve"> in two ways. One is through pre-enactment judicial review through the procedure established in Article 26. This allows the President, at her “absolute discretion</w:t>
      </w:r>
      <w:r w:rsidR="00116478">
        <w:rPr>
          <w:rFonts w:ascii="Century" w:hAnsi="Century"/>
        </w:rPr>
        <w:t>”</w:t>
      </w:r>
      <w:r w:rsidRPr="00142A36">
        <w:rPr>
          <w:rFonts w:ascii="Century" w:hAnsi="Century"/>
        </w:rPr>
        <w:t xml:space="preserve"> to refer a bill to the Supreme Court for a judgment on its constitutionality. If it is found unconstitutional the bill will not be signed into law</w:t>
      </w:r>
      <w:r w:rsidR="00116478">
        <w:rPr>
          <w:rFonts w:ascii="Century" w:hAnsi="Century"/>
        </w:rPr>
        <w:t>.</w:t>
      </w:r>
      <w:r w:rsidRPr="00142A36">
        <w:rPr>
          <w:rFonts w:ascii="Century" w:hAnsi="Century"/>
        </w:rPr>
        <w:t xml:space="preserve"> </w:t>
      </w:r>
      <w:r w:rsidR="00116478">
        <w:rPr>
          <w:rFonts w:ascii="Century" w:hAnsi="Century"/>
        </w:rPr>
        <w:t>I</w:t>
      </w:r>
      <w:r w:rsidRPr="00142A36">
        <w:rPr>
          <w:rFonts w:ascii="Century" w:hAnsi="Century"/>
        </w:rPr>
        <w:t xml:space="preserve">f </w:t>
      </w:r>
      <w:r w:rsidR="00116478">
        <w:rPr>
          <w:rFonts w:ascii="Century" w:hAnsi="Century"/>
        </w:rPr>
        <w:t>the bill</w:t>
      </w:r>
      <w:r w:rsidRPr="00142A36">
        <w:rPr>
          <w:rFonts w:ascii="Century" w:hAnsi="Century"/>
        </w:rPr>
        <w:t xml:space="preserve"> is upheld as constitutional the President will sign it into law. If a bill is found to be constitutional, its constitutionality cannot be challenged again.</w:t>
      </w:r>
      <w:r w:rsidR="002B3322" w:rsidRPr="00142A36">
        <w:rPr>
          <w:rFonts w:ascii="Century" w:hAnsi="Century"/>
        </w:rPr>
        <w:t xml:space="preserve"> Article 26 challenges have become increasingly rare, and there has not been a reference made since 2005.</w:t>
      </w:r>
      <w:r w:rsidR="007D2E9A">
        <w:rPr>
          <w:rStyle w:val="FootnoteReference"/>
          <w:rFonts w:ascii="Century" w:hAnsi="Century"/>
        </w:rPr>
        <w:footnoteReference w:id="9"/>
      </w:r>
      <w:r w:rsidR="0030142F" w:rsidRPr="00142A36">
        <w:rPr>
          <w:rFonts w:ascii="Century" w:hAnsi="Century"/>
        </w:rPr>
        <w:t xml:space="preserve"> </w:t>
      </w:r>
      <w:r w:rsidR="001C5217" w:rsidRPr="00142A36">
        <w:rPr>
          <w:rFonts w:ascii="Century" w:hAnsi="Century"/>
        </w:rPr>
        <w:t>Most</w:t>
      </w:r>
      <w:r w:rsidRPr="00142A36">
        <w:rPr>
          <w:rFonts w:ascii="Century" w:hAnsi="Century"/>
        </w:rPr>
        <w:t xml:space="preserve"> constitutional </w:t>
      </w:r>
      <w:r w:rsidR="001C5217" w:rsidRPr="00142A36">
        <w:rPr>
          <w:rFonts w:ascii="Century" w:hAnsi="Century"/>
        </w:rPr>
        <w:t>questions</w:t>
      </w:r>
      <w:r w:rsidRPr="00142A36">
        <w:rPr>
          <w:rFonts w:ascii="Century" w:hAnsi="Century"/>
        </w:rPr>
        <w:t xml:space="preserve"> do not </w:t>
      </w:r>
      <w:r w:rsidR="001C5217" w:rsidRPr="00142A36">
        <w:rPr>
          <w:rFonts w:ascii="Century" w:hAnsi="Century"/>
        </w:rPr>
        <w:t>arise</w:t>
      </w:r>
      <w:r w:rsidRPr="00142A36">
        <w:rPr>
          <w:rFonts w:ascii="Century" w:hAnsi="Century"/>
        </w:rPr>
        <w:t xml:space="preserve"> through Article 26</w:t>
      </w:r>
      <w:r w:rsidR="001C5217" w:rsidRPr="00142A36">
        <w:rPr>
          <w:rFonts w:ascii="Century" w:hAnsi="Century"/>
        </w:rPr>
        <w:t xml:space="preserve"> references</w:t>
      </w:r>
      <w:r w:rsidRPr="00142A36">
        <w:rPr>
          <w:rFonts w:ascii="Century" w:hAnsi="Century"/>
        </w:rPr>
        <w:t xml:space="preserve">, but </w:t>
      </w:r>
      <w:r w:rsidR="001C5217" w:rsidRPr="00142A36">
        <w:rPr>
          <w:rFonts w:ascii="Century" w:hAnsi="Century"/>
        </w:rPr>
        <w:t>through</w:t>
      </w:r>
      <w:r w:rsidRPr="00142A36">
        <w:rPr>
          <w:rFonts w:ascii="Century" w:hAnsi="Century"/>
        </w:rPr>
        <w:t xml:space="preserve"> ordinary litigation before the High Court</w:t>
      </w:r>
      <w:r w:rsidR="00E50682">
        <w:rPr>
          <w:rFonts w:ascii="Century" w:hAnsi="Century"/>
        </w:rPr>
        <w:t xml:space="preserve"> where a Plaintiff pleads a particular statutory provision is unconstitutional</w:t>
      </w:r>
      <w:r w:rsidRPr="00142A36">
        <w:rPr>
          <w:rFonts w:ascii="Century" w:hAnsi="Century"/>
        </w:rPr>
        <w:t>.</w:t>
      </w:r>
    </w:p>
    <w:p w14:paraId="0B7C2F6C" w14:textId="060FEE9E" w:rsidR="0030142F" w:rsidRDefault="0030142F" w:rsidP="00FB4DF1">
      <w:pPr>
        <w:pStyle w:val="ListParagraph"/>
        <w:spacing w:line="360" w:lineRule="auto"/>
        <w:jc w:val="both"/>
        <w:rPr>
          <w:rFonts w:ascii="Century" w:hAnsi="Century"/>
        </w:rPr>
      </w:pPr>
    </w:p>
    <w:p w14:paraId="2C41E4D0" w14:textId="77777777" w:rsidR="00F97E17" w:rsidRPr="00142A36" w:rsidRDefault="00F97E17" w:rsidP="00FB4DF1">
      <w:pPr>
        <w:pStyle w:val="ListParagraph"/>
        <w:spacing w:line="360" w:lineRule="auto"/>
        <w:jc w:val="both"/>
        <w:rPr>
          <w:rFonts w:ascii="Century" w:hAnsi="Century"/>
        </w:rPr>
      </w:pPr>
    </w:p>
    <w:p w14:paraId="58EC5A78" w14:textId="73F48FA1" w:rsidR="0030142F" w:rsidRPr="003537C2" w:rsidRDefault="0030142F" w:rsidP="00FB4DF1">
      <w:pPr>
        <w:pStyle w:val="ListParagraph"/>
        <w:numPr>
          <w:ilvl w:val="0"/>
          <w:numId w:val="9"/>
        </w:numPr>
        <w:spacing w:line="360" w:lineRule="auto"/>
        <w:jc w:val="both"/>
        <w:rPr>
          <w:rFonts w:ascii="Century" w:hAnsi="Century"/>
          <w:b/>
          <w:bCs/>
        </w:rPr>
      </w:pPr>
      <w:r w:rsidRPr="003537C2">
        <w:rPr>
          <w:rFonts w:ascii="Century" w:hAnsi="Century"/>
          <w:b/>
          <w:bCs/>
        </w:rPr>
        <w:lastRenderedPageBreak/>
        <w:t xml:space="preserve">Philosophical Background to </w:t>
      </w:r>
      <w:r w:rsidR="002F6573" w:rsidRPr="003537C2">
        <w:rPr>
          <w:rFonts w:ascii="Century" w:hAnsi="Century"/>
          <w:b/>
          <w:bCs/>
        </w:rPr>
        <w:t xml:space="preserve">Constitutional </w:t>
      </w:r>
      <w:r w:rsidRPr="003537C2">
        <w:rPr>
          <w:rFonts w:ascii="Century" w:hAnsi="Century"/>
          <w:b/>
          <w:bCs/>
        </w:rPr>
        <w:t>Property Rights</w:t>
      </w:r>
    </w:p>
    <w:p w14:paraId="2EAA55EA" w14:textId="7E80B056" w:rsidR="0030142F" w:rsidRPr="00142A36" w:rsidRDefault="00B32D9E" w:rsidP="00FB4DF1">
      <w:pPr>
        <w:pStyle w:val="ListParagraph"/>
        <w:numPr>
          <w:ilvl w:val="0"/>
          <w:numId w:val="5"/>
        </w:numPr>
        <w:spacing w:line="360" w:lineRule="auto"/>
        <w:jc w:val="both"/>
        <w:rPr>
          <w:rFonts w:ascii="Century" w:hAnsi="Century"/>
        </w:rPr>
      </w:pPr>
      <w:r w:rsidRPr="00142A36">
        <w:rPr>
          <w:rFonts w:ascii="Century" w:hAnsi="Century"/>
        </w:rPr>
        <w:t xml:space="preserve"> </w:t>
      </w:r>
      <w:r w:rsidR="00966138" w:rsidRPr="00142A36">
        <w:rPr>
          <w:rFonts w:ascii="Century" w:hAnsi="Century"/>
        </w:rPr>
        <w:t>The</w:t>
      </w:r>
      <w:r w:rsidR="001C5217" w:rsidRPr="00142A36">
        <w:rPr>
          <w:rFonts w:ascii="Century" w:hAnsi="Century"/>
        </w:rPr>
        <w:t xml:space="preserve"> dominant</w:t>
      </w:r>
      <w:r w:rsidR="00E50682">
        <w:rPr>
          <w:rFonts w:ascii="Century" w:hAnsi="Century"/>
        </w:rPr>
        <w:t xml:space="preserve"> </w:t>
      </w:r>
      <w:r w:rsidR="00ED5248">
        <w:rPr>
          <w:rFonts w:ascii="Century" w:hAnsi="Century"/>
        </w:rPr>
        <w:t>philosophical</w:t>
      </w:r>
      <w:r w:rsidR="001C5217" w:rsidRPr="00142A36">
        <w:rPr>
          <w:rFonts w:ascii="Century" w:hAnsi="Century"/>
        </w:rPr>
        <w:t xml:space="preserve"> </w:t>
      </w:r>
      <w:r w:rsidR="009D3C97" w:rsidRPr="00142A36">
        <w:rPr>
          <w:rFonts w:ascii="Century" w:hAnsi="Century"/>
        </w:rPr>
        <w:t>influenc</w:t>
      </w:r>
      <w:r w:rsidR="009D3C97">
        <w:rPr>
          <w:rFonts w:ascii="Century" w:hAnsi="Century"/>
        </w:rPr>
        <w:t>e</w:t>
      </w:r>
      <w:r w:rsidR="009D3C97" w:rsidRPr="00142A36">
        <w:rPr>
          <w:rFonts w:ascii="Century" w:hAnsi="Century"/>
        </w:rPr>
        <w:t>s</w:t>
      </w:r>
      <w:r w:rsidR="001C5217" w:rsidRPr="00142A36">
        <w:rPr>
          <w:rFonts w:ascii="Century" w:hAnsi="Century"/>
        </w:rPr>
        <w:t xml:space="preserve"> on the</w:t>
      </w:r>
      <w:r w:rsidR="006C3969" w:rsidRPr="00142A36">
        <w:rPr>
          <w:rFonts w:ascii="Century" w:hAnsi="Century"/>
        </w:rPr>
        <w:t xml:space="preserve"> text</w:t>
      </w:r>
      <w:r w:rsidR="0030142F" w:rsidRPr="00142A36">
        <w:rPr>
          <w:rFonts w:ascii="Century" w:hAnsi="Century"/>
        </w:rPr>
        <w:t xml:space="preserve"> of Article 43</w:t>
      </w:r>
      <w:r w:rsidR="006C3969" w:rsidRPr="00142A36">
        <w:rPr>
          <w:rFonts w:ascii="Century" w:hAnsi="Century"/>
        </w:rPr>
        <w:t xml:space="preserve"> </w:t>
      </w:r>
      <w:r w:rsidR="008430FB">
        <w:rPr>
          <w:rFonts w:ascii="Century" w:hAnsi="Century"/>
        </w:rPr>
        <w:t>come from</w:t>
      </w:r>
      <w:r w:rsidR="001C5217" w:rsidRPr="00142A36">
        <w:rPr>
          <w:rFonts w:ascii="Century" w:hAnsi="Century"/>
        </w:rPr>
        <w:t xml:space="preserve"> the</w:t>
      </w:r>
      <w:r w:rsidR="006C3969" w:rsidRPr="00142A36">
        <w:rPr>
          <w:rFonts w:ascii="Century" w:hAnsi="Century"/>
        </w:rPr>
        <w:t xml:space="preserve"> classical natural law tradition</w:t>
      </w:r>
      <w:r w:rsidR="00E50682">
        <w:rPr>
          <w:rStyle w:val="FootnoteReference"/>
          <w:rFonts w:ascii="Century" w:hAnsi="Century"/>
        </w:rPr>
        <w:footnoteReference w:id="10"/>
      </w:r>
      <w:r w:rsidR="006C3969" w:rsidRPr="00142A36">
        <w:rPr>
          <w:rFonts w:ascii="Century" w:hAnsi="Century"/>
        </w:rPr>
        <w:t xml:space="preserve"> and Catholic social teaching.</w:t>
      </w:r>
      <w:bookmarkStart w:id="1" w:name="_Ref101609462"/>
      <w:r w:rsidR="0030142F" w:rsidRPr="00142A36">
        <w:rPr>
          <w:rStyle w:val="FootnoteReference"/>
          <w:rFonts w:ascii="Century" w:hAnsi="Century"/>
        </w:rPr>
        <w:footnoteReference w:id="11"/>
      </w:r>
      <w:bookmarkEnd w:id="1"/>
      <w:r w:rsidR="00EC15FF" w:rsidRPr="00142A36">
        <w:rPr>
          <w:rFonts w:ascii="Century" w:hAnsi="Century"/>
        </w:rPr>
        <w:t xml:space="preserve"> </w:t>
      </w:r>
      <w:r w:rsidR="00E50682">
        <w:rPr>
          <w:rFonts w:ascii="Century" w:hAnsi="Century"/>
        </w:rPr>
        <w:t>For example, it</w:t>
      </w:r>
      <w:r w:rsidR="0030142F" w:rsidRPr="00142A36">
        <w:rPr>
          <w:rFonts w:ascii="Century" w:hAnsi="Century"/>
        </w:rPr>
        <w:t xml:space="preserve"> </w:t>
      </w:r>
      <w:r w:rsidR="00E50682">
        <w:rPr>
          <w:rFonts w:ascii="Century" w:hAnsi="Century"/>
        </w:rPr>
        <w:t>is</w:t>
      </w:r>
      <w:r w:rsidR="0030142F" w:rsidRPr="00142A36">
        <w:rPr>
          <w:rFonts w:ascii="Century" w:hAnsi="Century"/>
        </w:rPr>
        <w:t xml:space="preserve"> well documented </w:t>
      </w:r>
      <w:r w:rsidR="00E50682">
        <w:rPr>
          <w:rFonts w:ascii="Century" w:hAnsi="Century"/>
        </w:rPr>
        <w:t>how</w:t>
      </w:r>
      <w:r w:rsidR="0030142F" w:rsidRPr="00142A36">
        <w:rPr>
          <w:rFonts w:ascii="Century" w:hAnsi="Century"/>
        </w:rPr>
        <w:t xml:space="preserve"> the Papal Encyclicals </w:t>
      </w:r>
      <w:r w:rsidR="0030142F" w:rsidRPr="00142A36">
        <w:rPr>
          <w:rFonts w:ascii="Century" w:hAnsi="Century"/>
          <w:i/>
          <w:iCs/>
        </w:rPr>
        <w:t>Rerum Novarum</w:t>
      </w:r>
      <w:r w:rsidR="001C5217" w:rsidRPr="00142A36">
        <w:rPr>
          <w:rStyle w:val="FootnoteReference"/>
          <w:rFonts w:ascii="Century" w:hAnsi="Century"/>
        </w:rPr>
        <w:footnoteReference w:id="12"/>
      </w:r>
      <w:r w:rsidR="0030142F" w:rsidRPr="00142A36">
        <w:rPr>
          <w:rFonts w:ascii="Century" w:hAnsi="Century"/>
          <w:i/>
          <w:iCs/>
        </w:rPr>
        <w:t xml:space="preserve"> </w:t>
      </w:r>
      <w:r w:rsidR="0030142F" w:rsidRPr="00142A36">
        <w:rPr>
          <w:rFonts w:ascii="Century" w:hAnsi="Century"/>
        </w:rPr>
        <w:t xml:space="preserve">and </w:t>
      </w:r>
      <w:proofErr w:type="spellStart"/>
      <w:r w:rsidR="0030142F" w:rsidRPr="00142A36">
        <w:rPr>
          <w:rFonts w:ascii="Century" w:hAnsi="Century"/>
          <w:i/>
          <w:iCs/>
        </w:rPr>
        <w:t>Quadragesimo</w:t>
      </w:r>
      <w:proofErr w:type="spellEnd"/>
      <w:r w:rsidR="0030142F" w:rsidRPr="00142A36">
        <w:rPr>
          <w:rFonts w:ascii="Century" w:hAnsi="Century"/>
          <w:i/>
          <w:iCs/>
        </w:rPr>
        <w:t xml:space="preserve"> Anno</w:t>
      </w:r>
      <w:r w:rsidR="001C5217" w:rsidRPr="00142A36">
        <w:rPr>
          <w:rStyle w:val="FootnoteReference"/>
          <w:rFonts w:ascii="Century" w:hAnsi="Century"/>
        </w:rPr>
        <w:footnoteReference w:id="13"/>
      </w:r>
      <w:r w:rsidR="0030142F" w:rsidRPr="00142A36">
        <w:rPr>
          <w:rFonts w:ascii="Century" w:hAnsi="Century"/>
          <w:i/>
          <w:iCs/>
        </w:rPr>
        <w:t xml:space="preserve"> </w:t>
      </w:r>
      <w:r w:rsidR="0030142F" w:rsidRPr="00142A36">
        <w:rPr>
          <w:rFonts w:ascii="Century" w:hAnsi="Century"/>
        </w:rPr>
        <w:t xml:space="preserve">had a significant impact </w:t>
      </w:r>
      <w:r w:rsidR="00E50682">
        <w:rPr>
          <w:rFonts w:ascii="Century" w:hAnsi="Century"/>
        </w:rPr>
        <w:t>during</w:t>
      </w:r>
      <w:r w:rsidR="0030142F" w:rsidRPr="00142A36">
        <w:rPr>
          <w:rFonts w:ascii="Century" w:hAnsi="Century"/>
        </w:rPr>
        <w:t xml:space="preserve"> the drafting process. Both </w:t>
      </w:r>
      <w:r w:rsidR="004D7AB0" w:rsidRPr="00142A36">
        <w:rPr>
          <w:rFonts w:ascii="Century" w:hAnsi="Century"/>
        </w:rPr>
        <w:t>encyclicals</w:t>
      </w:r>
      <w:r w:rsidR="009D3C97">
        <w:rPr>
          <w:rFonts w:ascii="Century" w:hAnsi="Century"/>
        </w:rPr>
        <w:t xml:space="preserve"> at their core</w:t>
      </w:r>
      <w:r w:rsidR="0030142F" w:rsidRPr="00142A36">
        <w:rPr>
          <w:rFonts w:ascii="Century" w:hAnsi="Century"/>
        </w:rPr>
        <w:t xml:space="preserve"> emphasised</w:t>
      </w:r>
      <w:r w:rsidR="00E50682">
        <w:rPr>
          <w:rFonts w:ascii="Century" w:hAnsi="Century"/>
        </w:rPr>
        <w:t xml:space="preserve"> the need for</w:t>
      </w:r>
      <w:r w:rsidR="0030142F" w:rsidRPr="00142A36">
        <w:rPr>
          <w:rFonts w:ascii="Century" w:hAnsi="Century"/>
        </w:rPr>
        <w:t xml:space="preserve"> “rights</w:t>
      </w:r>
      <w:r w:rsidR="004D7AB0" w:rsidRPr="00142A36">
        <w:rPr>
          <w:rFonts w:ascii="Century" w:hAnsi="Century"/>
        </w:rPr>
        <w:t>-</w:t>
      </w:r>
      <w:r w:rsidR="0030142F" w:rsidRPr="00142A36">
        <w:rPr>
          <w:rFonts w:ascii="Century" w:hAnsi="Century"/>
        </w:rPr>
        <w:t>based protection of private ownership subject to State-imposed limitations designed to secure social justice”</w:t>
      </w:r>
      <w:r w:rsidR="00645255" w:rsidRPr="00142A36">
        <w:rPr>
          <w:rFonts w:ascii="Century" w:hAnsi="Century"/>
        </w:rPr>
        <w:t>.</w:t>
      </w:r>
      <w:r w:rsidR="0030142F" w:rsidRPr="00142A36">
        <w:rPr>
          <w:rStyle w:val="FootnoteReference"/>
          <w:rFonts w:ascii="Century" w:hAnsi="Century"/>
        </w:rPr>
        <w:footnoteReference w:id="14"/>
      </w:r>
      <w:r w:rsidR="001C5217" w:rsidRPr="00142A36">
        <w:rPr>
          <w:rFonts w:ascii="Century" w:hAnsi="Century"/>
        </w:rPr>
        <w:t xml:space="preserve"> </w:t>
      </w:r>
    </w:p>
    <w:p w14:paraId="645C9D34" w14:textId="77777777" w:rsidR="0030142F" w:rsidRPr="00142A36" w:rsidRDefault="0030142F" w:rsidP="00FB4DF1">
      <w:pPr>
        <w:pStyle w:val="ListParagraph"/>
        <w:spacing w:line="360" w:lineRule="auto"/>
        <w:jc w:val="both"/>
        <w:rPr>
          <w:rFonts w:ascii="Century" w:hAnsi="Century"/>
        </w:rPr>
      </w:pPr>
    </w:p>
    <w:p w14:paraId="5A533ABC" w14:textId="4CC3BD51" w:rsidR="00E15524" w:rsidRPr="00142A36" w:rsidRDefault="006C3969" w:rsidP="00FB4DF1">
      <w:pPr>
        <w:pStyle w:val="ListParagraph"/>
        <w:numPr>
          <w:ilvl w:val="0"/>
          <w:numId w:val="5"/>
        </w:numPr>
        <w:spacing w:line="360" w:lineRule="auto"/>
        <w:jc w:val="both"/>
        <w:rPr>
          <w:rFonts w:ascii="Century" w:hAnsi="Century"/>
        </w:rPr>
      </w:pPr>
      <w:r w:rsidRPr="00142A36">
        <w:rPr>
          <w:rFonts w:ascii="Century" w:hAnsi="Century"/>
        </w:rPr>
        <w:t>In th</w:t>
      </w:r>
      <w:r w:rsidR="00E50682">
        <w:rPr>
          <w:rFonts w:ascii="Century" w:hAnsi="Century"/>
        </w:rPr>
        <w:t xml:space="preserve">e </w:t>
      </w:r>
      <w:r w:rsidR="00967436">
        <w:rPr>
          <w:rFonts w:ascii="Century" w:hAnsi="Century"/>
        </w:rPr>
        <w:t xml:space="preserve">Thomistic </w:t>
      </w:r>
      <w:r w:rsidR="00E50682">
        <w:rPr>
          <w:rFonts w:ascii="Century" w:hAnsi="Century"/>
        </w:rPr>
        <w:t>natural law</w:t>
      </w:r>
      <w:r w:rsidRPr="00142A36">
        <w:rPr>
          <w:rFonts w:ascii="Century" w:hAnsi="Century"/>
        </w:rPr>
        <w:t xml:space="preserve"> </w:t>
      </w:r>
      <w:r w:rsidR="00967436">
        <w:rPr>
          <w:rFonts w:ascii="Century" w:hAnsi="Century"/>
        </w:rPr>
        <w:t xml:space="preserve">tradition </w:t>
      </w:r>
      <w:r w:rsidR="00E50682">
        <w:rPr>
          <w:rFonts w:ascii="Century" w:hAnsi="Century"/>
        </w:rPr>
        <w:t>and</w:t>
      </w:r>
      <w:r w:rsidR="00967436">
        <w:rPr>
          <w:rFonts w:ascii="Century" w:hAnsi="Century"/>
        </w:rPr>
        <w:t xml:space="preserve"> in contemporary</w:t>
      </w:r>
      <w:r w:rsidR="00E50682">
        <w:rPr>
          <w:rFonts w:ascii="Century" w:hAnsi="Century"/>
        </w:rPr>
        <w:t xml:space="preserve"> Catholic Social Teaching</w:t>
      </w:r>
      <w:r w:rsidRPr="00142A36">
        <w:rPr>
          <w:rFonts w:ascii="Century" w:hAnsi="Century"/>
        </w:rPr>
        <w:t>, the right to hold and bequeath property is an aspect of the natural law because of its intimate connection with</w:t>
      </w:r>
      <w:r w:rsidR="00F21444" w:rsidRPr="00142A36">
        <w:rPr>
          <w:rFonts w:ascii="Century" w:hAnsi="Century"/>
        </w:rPr>
        <w:t xml:space="preserve"> both individual</w:t>
      </w:r>
      <w:r w:rsidRPr="00142A36">
        <w:rPr>
          <w:rFonts w:ascii="Century" w:hAnsi="Century"/>
        </w:rPr>
        <w:t xml:space="preserve"> human flourishing</w:t>
      </w:r>
      <w:r w:rsidR="00E15524" w:rsidRPr="00142A36">
        <w:rPr>
          <w:rFonts w:ascii="Century" w:hAnsi="Century"/>
        </w:rPr>
        <w:t xml:space="preserve"> and </w:t>
      </w:r>
      <w:r w:rsidR="00F21444" w:rsidRPr="00142A36">
        <w:rPr>
          <w:rFonts w:ascii="Century" w:hAnsi="Century"/>
        </w:rPr>
        <w:t xml:space="preserve">the </w:t>
      </w:r>
      <w:r w:rsidR="00E15524" w:rsidRPr="00142A36">
        <w:rPr>
          <w:rFonts w:ascii="Century" w:hAnsi="Century"/>
        </w:rPr>
        <w:t>common good</w:t>
      </w:r>
      <w:r w:rsidR="00E50682">
        <w:rPr>
          <w:rFonts w:ascii="Century" w:hAnsi="Century"/>
        </w:rPr>
        <w:t>,</w:t>
      </w:r>
      <w:r w:rsidR="00E15524" w:rsidRPr="00142A36">
        <w:rPr>
          <w:rFonts w:ascii="Century" w:hAnsi="Century"/>
        </w:rPr>
        <w:t xml:space="preserve"> </w:t>
      </w:r>
      <w:r w:rsidR="00F21444" w:rsidRPr="00142A36">
        <w:rPr>
          <w:rFonts w:ascii="Century" w:hAnsi="Century"/>
        </w:rPr>
        <w:t>through</w:t>
      </w:r>
      <w:r w:rsidR="00E50682">
        <w:rPr>
          <w:rFonts w:ascii="Century" w:hAnsi="Century"/>
        </w:rPr>
        <w:t xml:space="preserve"> its connection to</w:t>
      </w:r>
      <w:r w:rsidR="00F21444" w:rsidRPr="00142A36">
        <w:rPr>
          <w:rFonts w:ascii="Century" w:hAnsi="Century"/>
        </w:rPr>
        <w:t xml:space="preserve"> </w:t>
      </w:r>
      <w:r w:rsidRPr="00142A36">
        <w:rPr>
          <w:rFonts w:ascii="Century" w:hAnsi="Century"/>
        </w:rPr>
        <w:t xml:space="preserve">promoting </w:t>
      </w:r>
      <w:r w:rsidR="00967436">
        <w:rPr>
          <w:rFonts w:ascii="Century" w:hAnsi="Century"/>
        </w:rPr>
        <w:t xml:space="preserve">social </w:t>
      </w:r>
      <w:r w:rsidRPr="00142A36">
        <w:rPr>
          <w:rFonts w:ascii="Century" w:hAnsi="Century"/>
        </w:rPr>
        <w:t xml:space="preserve">stability, sociability, familial </w:t>
      </w:r>
      <w:r w:rsidR="0030142F" w:rsidRPr="00142A36">
        <w:rPr>
          <w:rFonts w:ascii="Century" w:hAnsi="Century"/>
        </w:rPr>
        <w:t>security,</w:t>
      </w:r>
      <w:r w:rsidR="00F21444" w:rsidRPr="00142A36">
        <w:rPr>
          <w:rFonts w:ascii="Century" w:hAnsi="Century"/>
        </w:rPr>
        <w:t xml:space="preserve"> and values </w:t>
      </w:r>
      <w:r w:rsidR="0030142F" w:rsidRPr="00142A36">
        <w:rPr>
          <w:rFonts w:ascii="Century" w:hAnsi="Century"/>
        </w:rPr>
        <w:t>associated with</w:t>
      </w:r>
      <w:r w:rsidR="00F21444" w:rsidRPr="00142A36">
        <w:rPr>
          <w:rFonts w:ascii="Century" w:hAnsi="Century"/>
        </w:rPr>
        <w:t xml:space="preserve"> subsidiarity</w:t>
      </w:r>
      <w:r w:rsidRPr="00142A36">
        <w:rPr>
          <w:rFonts w:ascii="Century" w:hAnsi="Century"/>
        </w:rPr>
        <w:t>.</w:t>
      </w:r>
      <w:r w:rsidR="001C5217" w:rsidRPr="00142A36">
        <w:rPr>
          <w:rStyle w:val="FootnoteReference"/>
          <w:rFonts w:ascii="Century" w:hAnsi="Century"/>
        </w:rPr>
        <w:footnoteReference w:id="15"/>
      </w:r>
      <w:r w:rsidRPr="00142A36">
        <w:rPr>
          <w:rFonts w:ascii="Century" w:hAnsi="Century"/>
        </w:rPr>
        <w:t xml:space="preserve"> </w:t>
      </w:r>
    </w:p>
    <w:p w14:paraId="4601270C" w14:textId="77777777" w:rsidR="00E15524" w:rsidRPr="00142A36" w:rsidRDefault="00E15524" w:rsidP="00FB4DF1">
      <w:pPr>
        <w:pStyle w:val="ListParagraph"/>
        <w:spacing w:line="360" w:lineRule="auto"/>
        <w:jc w:val="both"/>
        <w:rPr>
          <w:rFonts w:ascii="Century" w:hAnsi="Century"/>
        </w:rPr>
      </w:pPr>
    </w:p>
    <w:p w14:paraId="33414006" w14:textId="344FD5B5" w:rsidR="00967436" w:rsidRPr="00967436" w:rsidRDefault="006C3969" w:rsidP="00967436">
      <w:pPr>
        <w:pStyle w:val="ListParagraph"/>
        <w:numPr>
          <w:ilvl w:val="0"/>
          <w:numId w:val="5"/>
        </w:numPr>
        <w:spacing w:line="360" w:lineRule="auto"/>
        <w:jc w:val="both"/>
        <w:rPr>
          <w:rFonts w:ascii="Century" w:hAnsi="Century"/>
        </w:rPr>
      </w:pPr>
      <w:r w:rsidRPr="00142A36">
        <w:rPr>
          <w:rFonts w:ascii="Century" w:hAnsi="Century"/>
        </w:rPr>
        <w:t xml:space="preserve">This means </w:t>
      </w:r>
      <w:r w:rsidR="00894A3B" w:rsidRPr="00142A36">
        <w:rPr>
          <w:rFonts w:ascii="Century" w:hAnsi="Century"/>
        </w:rPr>
        <w:t>people cannot be denied the</w:t>
      </w:r>
      <w:r w:rsidR="00E15524" w:rsidRPr="00142A36">
        <w:rPr>
          <w:rFonts w:ascii="Century" w:hAnsi="Century"/>
        </w:rPr>
        <w:t xml:space="preserve"> right to own and hold property</w:t>
      </w:r>
      <w:r w:rsidR="00894A3B" w:rsidRPr="00142A36">
        <w:rPr>
          <w:rFonts w:ascii="Century" w:hAnsi="Century"/>
        </w:rPr>
        <w:t xml:space="preserve"> and</w:t>
      </w:r>
      <w:r w:rsidR="008430FB">
        <w:rPr>
          <w:rFonts w:ascii="Century" w:hAnsi="Century"/>
        </w:rPr>
        <w:t xml:space="preserve"> that</w:t>
      </w:r>
      <w:r w:rsidRPr="00142A36">
        <w:rPr>
          <w:rFonts w:ascii="Century" w:hAnsi="Century"/>
        </w:rPr>
        <w:t xml:space="preserve"> </w:t>
      </w:r>
      <w:r w:rsidR="00894A3B" w:rsidRPr="00142A36">
        <w:rPr>
          <w:rFonts w:ascii="Century" w:hAnsi="Century"/>
        </w:rPr>
        <w:t xml:space="preserve">the institution of private property </w:t>
      </w:r>
      <w:r w:rsidRPr="00142A36">
        <w:rPr>
          <w:rFonts w:ascii="Century" w:hAnsi="Century"/>
        </w:rPr>
        <w:t>cannot be</w:t>
      </w:r>
      <w:r w:rsidR="00E15524" w:rsidRPr="00142A36">
        <w:rPr>
          <w:rFonts w:ascii="Century" w:hAnsi="Century"/>
        </w:rPr>
        <w:t xml:space="preserve"> legitimately</w:t>
      </w:r>
      <w:r w:rsidRPr="00142A36">
        <w:rPr>
          <w:rFonts w:ascii="Century" w:hAnsi="Century"/>
        </w:rPr>
        <w:t xml:space="preserve"> abolished</w:t>
      </w:r>
      <w:r w:rsidR="00E50682">
        <w:rPr>
          <w:rFonts w:ascii="Century" w:hAnsi="Century"/>
        </w:rPr>
        <w:t xml:space="preserve"> and </w:t>
      </w:r>
      <w:r w:rsidR="00E50682" w:rsidRPr="00967436">
        <w:rPr>
          <w:rFonts w:ascii="Century" w:hAnsi="Century"/>
        </w:rPr>
        <w:t xml:space="preserve">absorbed by the </w:t>
      </w:r>
      <w:r w:rsidR="00565439" w:rsidRPr="00967436">
        <w:rPr>
          <w:rFonts w:ascii="Century" w:hAnsi="Century"/>
        </w:rPr>
        <w:t>State</w:t>
      </w:r>
      <w:r w:rsidR="00565439">
        <w:rPr>
          <w:rFonts w:ascii="Century" w:hAnsi="Century"/>
        </w:rPr>
        <w:t xml:space="preserve">. Instead, the institution of private property </w:t>
      </w:r>
      <w:r w:rsidRPr="00967436">
        <w:rPr>
          <w:rFonts w:ascii="Century" w:hAnsi="Century"/>
        </w:rPr>
        <w:t>must be respected by</w:t>
      </w:r>
      <w:r w:rsidR="00E15524" w:rsidRPr="00967436">
        <w:rPr>
          <w:rFonts w:ascii="Century" w:hAnsi="Century"/>
        </w:rPr>
        <w:t xml:space="preserve"> </w:t>
      </w:r>
      <w:r w:rsidR="00E50682" w:rsidRPr="00967436">
        <w:rPr>
          <w:rFonts w:ascii="Century" w:hAnsi="Century"/>
        </w:rPr>
        <w:t xml:space="preserve">the </w:t>
      </w:r>
      <w:r w:rsidRPr="00967436">
        <w:rPr>
          <w:rFonts w:ascii="Century" w:hAnsi="Century"/>
        </w:rPr>
        <w:t xml:space="preserve">positive law </w:t>
      </w:r>
      <w:r w:rsidR="00E50682" w:rsidRPr="00967436">
        <w:rPr>
          <w:rFonts w:ascii="Century" w:hAnsi="Century"/>
        </w:rPr>
        <w:t>enacted</w:t>
      </w:r>
      <w:r w:rsidRPr="00967436">
        <w:rPr>
          <w:rFonts w:ascii="Century" w:hAnsi="Century"/>
        </w:rPr>
        <w:t xml:space="preserve"> by </w:t>
      </w:r>
      <w:r w:rsidR="00894A3B" w:rsidRPr="00967436">
        <w:rPr>
          <w:rFonts w:ascii="Century" w:hAnsi="Century"/>
        </w:rPr>
        <w:t>public</w:t>
      </w:r>
      <w:r w:rsidRPr="00967436">
        <w:rPr>
          <w:rFonts w:ascii="Century" w:hAnsi="Century"/>
        </w:rPr>
        <w:t xml:space="preserve"> authorities. </w:t>
      </w:r>
      <w:r w:rsidR="00967436" w:rsidRPr="00967436">
        <w:rPr>
          <w:rFonts w:ascii="Century" w:hAnsi="Century"/>
        </w:rPr>
        <w:t>This is reflected very clear</w:t>
      </w:r>
      <w:r w:rsidR="008430FB">
        <w:rPr>
          <w:rFonts w:ascii="Century" w:hAnsi="Century"/>
        </w:rPr>
        <w:t>ly</w:t>
      </w:r>
      <w:r w:rsidR="00967436" w:rsidRPr="00967436">
        <w:rPr>
          <w:rFonts w:ascii="Century" w:hAnsi="Century"/>
        </w:rPr>
        <w:t xml:space="preserve"> in Article 43’s guarantee that the State shall pass “no law </w:t>
      </w:r>
      <w:r w:rsidR="00967436" w:rsidRPr="00967436">
        <w:rPr>
          <w:rFonts w:ascii="Century" w:hAnsi="Century" w:cs="Arial"/>
        </w:rPr>
        <w:t>attempting to abolish the right of private ownership or the general right to transfer, bequeath, and inherit property.”</w:t>
      </w:r>
    </w:p>
    <w:p w14:paraId="1D20A82A" w14:textId="77777777" w:rsidR="00967436" w:rsidRPr="00967436" w:rsidRDefault="00967436" w:rsidP="00967436">
      <w:pPr>
        <w:rPr>
          <w:rFonts w:ascii="Century" w:hAnsi="Century"/>
        </w:rPr>
      </w:pPr>
    </w:p>
    <w:p w14:paraId="22368F66" w14:textId="25433918" w:rsidR="006A1D36" w:rsidRPr="00142A36" w:rsidRDefault="006C3969" w:rsidP="00FB4DF1">
      <w:pPr>
        <w:pStyle w:val="ListParagraph"/>
        <w:numPr>
          <w:ilvl w:val="0"/>
          <w:numId w:val="5"/>
        </w:numPr>
        <w:spacing w:line="360" w:lineRule="auto"/>
        <w:jc w:val="both"/>
        <w:rPr>
          <w:rFonts w:ascii="Century" w:hAnsi="Century"/>
        </w:rPr>
      </w:pPr>
      <w:r w:rsidRPr="00967436">
        <w:rPr>
          <w:rFonts w:ascii="Century" w:hAnsi="Century"/>
        </w:rPr>
        <w:t>But aside from non-abolition</w:t>
      </w:r>
      <w:r w:rsidR="00565439">
        <w:rPr>
          <w:rFonts w:ascii="Century" w:hAnsi="Century"/>
        </w:rPr>
        <w:t xml:space="preserve"> of the institution of private property</w:t>
      </w:r>
      <w:r w:rsidRPr="00967436">
        <w:rPr>
          <w:rFonts w:ascii="Century" w:hAnsi="Century"/>
        </w:rPr>
        <w:t xml:space="preserve">, </w:t>
      </w:r>
      <w:r w:rsidR="008430FB">
        <w:rPr>
          <w:rFonts w:ascii="Century" w:hAnsi="Century"/>
        </w:rPr>
        <w:t>these philosophical traditions</w:t>
      </w:r>
      <w:r w:rsidRPr="00967436">
        <w:rPr>
          <w:rFonts w:ascii="Century" w:hAnsi="Century"/>
        </w:rPr>
        <w:t xml:space="preserve"> give </w:t>
      </w:r>
      <w:r w:rsidR="00E15524" w:rsidRPr="00967436">
        <w:rPr>
          <w:rFonts w:ascii="Century" w:hAnsi="Century"/>
        </w:rPr>
        <w:t>a</w:t>
      </w:r>
      <w:r w:rsidR="00967436">
        <w:rPr>
          <w:rFonts w:ascii="Century" w:hAnsi="Century"/>
        </w:rPr>
        <w:t xml:space="preserve"> very </w:t>
      </w:r>
      <w:r w:rsidR="00E15524" w:rsidRPr="00967436">
        <w:rPr>
          <w:rFonts w:ascii="Century" w:hAnsi="Century"/>
        </w:rPr>
        <w:t>wide latitude to public authorities to</w:t>
      </w:r>
      <w:r w:rsidR="0079274A" w:rsidRPr="00967436">
        <w:rPr>
          <w:rFonts w:ascii="Century" w:hAnsi="Century"/>
        </w:rPr>
        <w:t xml:space="preserve"> </w:t>
      </w:r>
      <w:r w:rsidR="0079274A" w:rsidRPr="00967436">
        <w:rPr>
          <w:rFonts w:ascii="Century" w:hAnsi="Century"/>
        </w:rPr>
        <w:lastRenderedPageBreak/>
        <w:t>prudently</w:t>
      </w:r>
      <w:r w:rsidR="00E15524" w:rsidRPr="00967436">
        <w:rPr>
          <w:rFonts w:ascii="Century" w:hAnsi="Century"/>
        </w:rPr>
        <w:t xml:space="preserve"> </w:t>
      </w:r>
      <w:r w:rsidR="00F21444" w:rsidRPr="00967436">
        <w:rPr>
          <w:rFonts w:ascii="Century" w:hAnsi="Century"/>
        </w:rPr>
        <w:t>delimit and tailor</w:t>
      </w:r>
      <w:r w:rsidR="00E15524" w:rsidRPr="00967436">
        <w:rPr>
          <w:rFonts w:ascii="Century" w:hAnsi="Century"/>
        </w:rPr>
        <w:t xml:space="preserve"> the scope of an individual’s property entitlements, to ensure the</w:t>
      </w:r>
      <w:r w:rsidR="00F21444" w:rsidRPr="00967436">
        <w:rPr>
          <w:rFonts w:ascii="Century" w:hAnsi="Century"/>
        </w:rPr>
        <w:t>se entitlements</w:t>
      </w:r>
      <w:r w:rsidR="00E15524" w:rsidRPr="00142A36">
        <w:rPr>
          <w:rFonts w:ascii="Century" w:hAnsi="Century"/>
        </w:rPr>
        <w:t xml:space="preserve"> are conducive to the common good and </w:t>
      </w:r>
      <w:r w:rsidR="00F21444" w:rsidRPr="00142A36">
        <w:rPr>
          <w:rFonts w:ascii="Century" w:hAnsi="Century"/>
        </w:rPr>
        <w:t xml:space="preserve">to </w:t>
      </w:r>
      <w:r w:rsidR="00E15524" w:rsidRPr="00142A36">
        <w:rPr>
          <w:rFonts w:ascii="Century" w:hAnsi="Century"/>
        </w:rPr>
        <w:t xml:space="preserve">the flourishing of the whole community. </w:t>
      </w:r>
    </w:p>
    <w:p w14:paraId="30B9223E" w14:textId="77777777" w:rsidR="004D7AB0" w:rsidRPr="00142A36" w:rsidRDefault="004D7AB0" w:rsidP="00FB4DF1">
      <w:pPr>
        <w:spacing w:line="360" w:lineRule="auto"/>
        <w:jc w:val="both"/>
        <w:rPr>
          <w:rFonts w:ascii="Century" w:hAnsi="Century"/>
        </w:rPr>
      </w:pPr>
    </w:p>
    <w:p w14:paraId="338D8774" w14:textId="0D36ADE7" w:rsidR="001C5217" w:rsidRPr="00142A36" w:rsidRDefault="00E15524" w:rsidP="00FB4DF1">
      <w:pPr>
        <w:pStyle w:val="ListParagraph"/>
        <w:numPr>
          <w:ilvl w:val="0"/>
          <w:numId w:val="5"/>
        </w:numPr>
        <w:spacing w:line="360" w:lineRule="auto"/>
        <w:jc w:val="both"/>
        <w:rPr>
          <w:rFonts w:ascii="Century" w:hAnsi="Century"/>
        </w:rPr>
      </w:pPr>
      <w:r w:rsidRPr="00142A36">
        <w:rPr>
          <w:rFonts w:ascii="Century" w:hAnsi="Century"/>
        </w:rPr>
        <w:t xml:space="preserve">This point cannot be overemphasised: </w:t>
      </w:r>
      <w:r w:rsidR="00F64DC5" w:rsidRPr="00142A36">
        <w:rPr>
          <w:rFonts w:ascii="Century" w:hAnsi="Century"/>
        </w:rPr>
        <w:t xml:space="preserve">respect for </w:t>
      </w:r>
      <w:r w:rsidRPr="00142A36">
        <w:rPr>
          <w:rFonts w:ascii="Century" w:hAnsi="Century"/>
        </w:rPr>
        <w:t xml:space="preserve">property is </w:t>
      </w:r>
      <w:r w:rsidR="00F64DC5" w:rsidRPr="00142A36">
        <w:rPr>
          <w:rFonts w:ascii="Century" w:hAnsi="Century"/>
        </w:rPr>
        <w:t>mandated by the natural law</w:t>
      </w:r>
      <w:r w:rsidR="00645255" w:rsidRPr="00142A36">
        <w:rPr>
          <w:rFonts w:ascii="Century" w:hAnsi="Century"/>
        </w:rPr>
        <w:t xml:space="preserve"> tradition</w:t>
      </w:r>
      <w:r w:rsidRPr="00142A36">
        <w:rPr>
          <w:rFonts w:ascii="Century" w:hAnsi="Century"/>
        </w:rPr>
        <w:t xml:space="preserve"> </w:t>
      </w:r>
      <w:r w:rsidRPr="00142A36">
        <w:rPr>
          <w:rFonts w:ascii="Century" w:hAnsi="Century"/>
          <w:i/>
          <w:iCs/>
        </w:rPr>
        <w:t>not</w:t>
      </w:r>
      <w:r w:rsidRPr="00142A36">
        <w:rPr>
          <w:rFonts w:ascii="Century" w:hAnsi="Century"/>
        </w:rPr>
        <w:t xml:space="preserve"> because </w:t>
      </w:r>
      <w:r w:rsidR="00F64DC5" w:rsidRPr="00142A36">
        <w:rPr>
          <w:rFonts w:ascii="Century" w:hAnsi="Century"/>
        </w:rPr>
        <w:t>protect</w:t>
      </w:r>
      <w:r w:rsidR="001C5217" w:rsidRPr="00142A36">
        <w:rPr>
          <w:rFonts w:ascii="Century" w:hAnsi="Century"/>
        </w:rPr>
        <w:t>ing</w:t>
      </w:r>
      <w:r w:rsidR="00F64DC5" w:rsidRPr="00142A36">
        <w:rPr>
          <w:rFonts w:ascii="Century" w:hAnsi="Century"/>
        </w:rPr>
        <w:t xml:space="preserve"> </w:t>
      </w:r>
      <w:r w:rsidRPr="00142A36">
        <w:rPr>
          <w:rFonts w:ascii="Century" w:hAnsi="Century"/>
        </w:rPr>
        <w:t>individual</w:t>
      </w:r>
      <w:r w:rsidR="00F64DC5" w:rsidRPr="00142A36">
        <w:rPr>
          <w:rFonts w:ascii="Century" w:hAnsi="Century"/>
        </w:rPr>
        <w:t xml:space="preserve"> liberties</w:t>
      </w:r>
      <w:r w:rsidR="00F21444" w:rsidRPr="00142A36">
        <w:rPr>
          <w:rFonts w:ascii="Century" w:hAnsi="Century"/>
        </w:rPr>
        <w:t xml:space="preserve"> like property</w:t>
      </w:r>
      <w:r w:rsidR="00F64DC5" w:rsidRPr="00142A36">
        <w:rPr>
          <w:rFonts w:ascii="Century" w:hAnsi="Century"/>
        </w:rPr>
        <w:t xml:space="preserve"> </w:t>
      </w:r>
      <w:r w:rsidR="001C5217" w:rsidRPr="00142A36">
        <w:rPr>
          <w:rFonts w:ascii="Century" w:hAnsi="Century"/>
        </w:rPr>
        <w:t xml:space="preserve">is </w:t>
      </w:r>
      <w:r w:rsidR="00E2251C">
        <w:rPr>
          <w:rFonts w:ascii="Century" w:hAnsi="Century"/>
        </w:rPr>
        <w:t xml:space="preserve">first and foremost </w:t>
      </w:r>
      <w:r w:rsidR="001C5217" w:rsidRPr="00142A36">
        <w:rPr>
          <w:rFonts w:ascii="Century" w:hAnsi="Century"/>
        </w:rPr>
        <w:t>the most important job of the State</w:t>
      </w:r>
      <w:r w:rsidRPr="00142A36">
        <w:rPr>
          <w:rFonts w:ascii="Century" w:hAnsi="Century"/>
        </w:rPr>
        <w:t>, but because of the contribution private ownership</w:t>
      </w:r>
      <w:r w:rsidR="00F64DC5" w:rsidRPr="00142A36">
        <w:rPr>
          <w:rFonts w:ascii="Century" w:hAnsi="Century"/>
        </w:rPr>
        <w:t xml:space="preserve"> of property</w:t>
      </w:r>
      <w:r w:rsidR="00F21444" w:rsidRPr="00142A36">
        <w:rPr>
          <w:rFonts w:ascii="Century" w:hAnsi="Century"/>
        </w:rPr>
        <w:t xml:space="preserve"> can</w:t>
      </w:r>
      <w:r w:rsidRPr="00142A36">
        <w:rPr>
          <w:rFonts w:ascii="Century" w:hAnsi="Century"/>
        </w:rPr>
        <w:t xml:space="preserve"> make to the common good and human flourishing of all</w:t>
      </w:r>
      <w:r w:rsidR="001C5217" w:rsidRPr="00142A36">
        <w:rPr>
          <w:rFonts w:ascii="Century" w:hAnsi="Century"/>
        </w:rPr>
        <w:t xml:space="preserve"> in a community</w:t>
      </w:r>
      <w:r w:rsidRPr="00142A36">
        <w:rPr>
          <w:rFonts w:ascii="Century" w:hAnsi="Century"/>
        </w:rPr>
        <w:t xml:space="preserve">. </w:t>
      </w:r>
    </w:p>
    <w:p w14:paraId="57922A6E" w14:textId="77777777" w:rsidR="001C5217" w:rsidRPr="00142A36" w:rsidRDefault="001C5217" w:rsidP="00FB4DF1">
      <w:pPr>
        <w:pStyle w:val="ListParagraph"/>
        <w:spacing w:line="360" w:lineRule="auto"/>
        <w:rPr>
          <w:rFonts w:ascii="Century" w:hAnsi="Century"/>
        </w:rPr>
      </w:pPr>
    </w:p>
    <w:p w14:paraId="6A8058D6" w14:textId="7CB8D4B4" w:rsidR="00581CCC" w:rsidRPr="00142A36" w:rsidRDefault="00E15524" w:rsidP="00FB4DF1">
      <w:pPr>
        <w:pStyle w:val="ListParagraph"/>
        <w:numPr>
          <w:ilvl w:val="0"/>
          <w:numId w:val="5"/>
        </w:numPr>
        <w:spacing w:line="360" w:lineRule="auto"/>
        <w:jc w:val="both"/>
        <w:rPr>
          <w:rFonts w:ascii="Century" w:hAnsi="Century"/>
        </w:rPr>
      </w:pPr>
      <w:r w:rsidRPr="00142A36">
        <w:rPr>
          <w:rFonts w:ascii="Century" w:hAnsi="Century"/>
        </w:rPr>
        <w:t>Where</w:t>
      </w:r>
      <w:r w:rsidR="001C5217" w:rsidRPr="00142A36">
        <w:rPr>
          <w:rFonts w:ascii="Century" w:hAnsi="Century"/>
        </w:rPr>
        <w:t xml:space="preserve"> patterns of</w:t>
      </w:r>
      <w:r w:rsidRPr="00142A36">
        <w:rPr>
          <w:rFonts w:ascii="Century" w:hAnsi="Century"/>
        </w:rPr>
        <w:t xml:space="preserve"> property entitlements</w:t>
      </w:r>
      <w:r w:rsidR="001C5217" w:rsidRPr="00142A36">
        <w:rPr>
          <w:rFonts w:ascii="Century" w:hAnsi="Century"/>
        </w:rPr>
        <w:t xml:space="preserve"> and ownership</w:t>
      </w:r>
      <w:r w:rsidRPr="00142A36">
        <w:rPr>
          <w:rFonts w:ascii="Century" w:hAnsi="Century"/>
        </w:rPr>
        <w:t xml:space="preserve"> begin</w:t>
      </w:r>
      <w:r w:rsidR="008430FB">
        <w:rPr>
          <w:rFonts w:ascii="Century" w:hAnsi="Century"/>
        </w:rPr>
        <w:t xml:space="preserve"> to</w:t>
      </w:r>
      <w:r w:rsidRPr="00142A36">
        <w:rPr>
          <w:rFonts w:ascii="Century" w:hAnsi="Century"/>
        </w:rPr>
        <w:t xml:space="preserve"> </w:t>
      </w:r>
      <w:r w:rsidR="00F21444" w:rsidRPr="00142A36">
        <w:rPr>
          <w:rFonts w:ascii="Century" w:hAnsi="Century"/>
        </w:rPr>
        <w:t>have consequences</w:t>
      </w:r>
      <w:r w:rsidRPr="00142A36">
        <w:rPr>
          <w:rFonts w:ascii="Century" w:hAnsi="Century"/>
        </w:rPr>
        <w:t xml:space="preserve"> contrary to human flourishing and the common good, the State may have a duty to</w:t>
      </w:r>
      <w:r w:rsidR="008030A0" w:rsidRPr="00142A36">
        <w:rPr>
          <w:rFonts w:ascii="Century" w:hAnsi="Century"/>
        </w:rPr>
        <w:t xml:space="preserve"> take</w:t>
      </w:r>
      <w:r w:rsidR="00F21444" w:rsidRPr="00142A36">
        <w:rPr>
          <w:rFonts w:ascii="Century" w:hAnsi="Century"/>
        </w:rPr>
        <w:t xml:space="preserve"> act</w:t>
      </w:r>
      <w:r w:rsidR="008030A0" w:rsidRPr="00142A36">
        <w:rPr>
          <w:rFonts w:ascii="Century" w:hAnsi="Century"/>
        </w:rPr>
        <w:t>ion</w:t>
      </w:r>
      <w:r w:rsidR="00F21444" w:rsidRPr="00142A36">
        <w:rPr>
          <w:rFonts w:ascii="Century" w:hAnsi="Century"/>
        </w:rPr>
        <w:t xml:space="preserve"> to</w:t>
      </w:r>
      <w:r w:rsidRPr="00142A36">
        <w:rPr>
          <w:rFonts w:ascii="Century" w:hAnsi="Century"/>
        </w:rPr>
        <w:t xml:space="preserve"> reorient</w:t>
      </w:r>
      <w:r w:rsidR="001C5217" w:rsidRPr="00142A36">
        <w:rPr>
          <w:rFonts w:ascii="Century" w:hAnsi="Century"/>
        </w:rPr>
        <w:t xml:space="preserve"> their</w:t>
      </w:r>
      <w:r w:rsidRPr="00142A36">
        <w:rPr>
          <w:rFonts w:ascii="Century" w:hAnsi="Century"/>
        </w:rPr>
        <w:t xml:space="preserve"> exercise to the common good</w:t>
      </w:r>
      <w:r w:rsidR="001C5217" w:rsidRPr="00142A36">
        <w:rPr>
          <w:rFonts w:ascii="Century" w:hAnsi="Century"/>
        </w:rPr>
        <w:t xml:space="preserve"> by delimiting them</w:t>
      </w:r>
      <w:r w:rsidRPr="00142A36">
        <w:rPr>
          <w:rFonts w:ascii="Century" w:hAnsi="Century"/>
        </w:rPr>
        <w:t>.</w:t>
      </w:r>
    </w:p>
    <w:p w14:paraId="3A1B7BAF" w14:textId="0F3538DA" w:rsidR="00F21444" w:rsidRPr="00142A36" w:rsidRDefault="00F21444" w:rsidP="00FB4DF1">
      <w:pPr>
        <w:spacing w:line="360" w:lineRule="auto"/>
        <w:jc w:val="both"/>
        <w:rPr>
          <w:rFonts w:ascii="Century" w:hAnsi="Century"/>
        </w:rPr>
      </w:pPr>
    </w:p>
    <w:p w14:paraId="2F1221E1" w14:textId="7891F78A" w:rsidR="00E15524" w:rsidRPr="003537C2" w:rsidRDefault="002F6573" w:rsidP="00FB4DF1">
      <w:pPr>
        <w:pStyle w:val="ListParagraph"/>
        <w:numPr>
          <w:ilvl w:val="0"/>
          <w:numId w:val="9"/>
        </w:numPr>
        <w:spacing w:line="360" w:lineRule="auto"/>
        <w:jc w:val="both"/>
        <w:rPr>
          <w:rFonts w:ascii="Century" w:hAnsi="Century"/>
          <w:b/>
          <w:bCs/>
        </w:rPr>
      </w:pPr>
      <w:r w:rsidRPr="003537C2">
        <w:rPr>
          <w:rFonts w:ascii="Century" w:hAnsi="Century"/>
          <w:b/>
          <w:bCs/>
        </w:rPr>
        <w:t xml:space="preserve">Superior </w:t>
      </w:r>
      <w:r w:rsidR="00F21444" w:rsidRPr="003537C2">
        <w:rPr>
          <w:rFonts w:ascii="Century" w:hAnsi="Century"/>
          <w:b/>
          <w:bCs/>
        </w:rPr>
        <w:t>Court’s Treatment of Property Rights Provisions</w:t>
      </w:r>
    </w:p>
    <w:p w14:paraId="3D5CE035" w14:textId="7033F459" w:rsidR="00E15524" w:rsidRPr="00142A36" w:rsidRDefault="00F10A94" w:rsidP="00FB4DF1">
      <w:pPr>
        <w:pStyle w:val="ListParagraph"/>
        <w:numPr>
          <w:ilvl w:val="0"/>
          <w:numId w:val="5"/>
        </w:numPr>
        <w:spacing w:line="360" w:lineRule="auto"/>
        <w:jc w:val="both"/>
        <w:rPr>
          <w:rFonts w:ascii="Century" w:hAnsi="Century"/>
        </w:rPr>
      </w:pPr>
      <w:r w:rsidRPr="00142A36">
        <w:rPr>
          <w:rFonts w:ascii="Century" w:hAnsi="Century"/>
        </w:rPr>
        <w:t>In our constitutional system, it falls on</w:t>
      </w:r>
      <w:r w:rsidR="00E50682">
        <w:rPr>
          <w:rFonts w:ascii="Century" w:hAnsi="Century"/>
        </w:rPr>
        <w:t xml:space="preserve"> the</w:t>
      </w:r>
      <w:r w:rsidRPr="00142A36">
        <w:rPr>
          <w:rFonts w:ascii="Century" w:hAnsi="Century"/>
        </w:rPr>
        <w:t xml:space="preserve"> judges </w:t>
      </w:r>
      <w:r w:rsidR="00E50682">
        <w:rPr>
          <w:rFonts w:ascii="Century" w:hAnsi="Century"/>
        </w:rPr>
        <w:t>of</w:t>
      </w:r>
      <w:r w:rsidRPr="00142A36">
        <w:rPr>
          <w:rFonts w:ascii="Century" w:hAnsi="Century"/>
        </w:rPr>
        <w:t xml:space="preserve"> our Superior Courts</w:t>
      </w:r>
      <w:r w:rsidR="00E50682">
        <w:rPr>
          <w:rFonts w:ascii="Century" w:hAnsi="Century"/>
        </w:rPr>
        <w:t xml:space="preserve"> – the High Court, Court of Appeal and Supreme Court -</w:t>
      </w:r>
      <w:r w:rsidRPr="00142A36">
        <w:rPr>
          <w:rFonts w:ascii="Century" w:hAnsi="Century"/>
        </w:rPr>
        <w:t xml:space="preserve"> to interpret</w:t>
      </w:r>
      <w:r w:rsidR="00E50682">
        <w:rPr>
          <w:rFonts w:ascii="Century" w:hAnsi="Century"/>
        </w:rPr>
        <w:t xml:space="preserve"> </w:t>
      </w:r>
      <w:r w:rsidR="001302C5">
        <w:rPr>
          <w:rFonts w:ascii="Century" w:hAnsi="Century"/>
        </w:rPr>
        <w:t>the</w:t>
      </w:r>
      <w:r w:rsidR="00E50682">
        <w:rPr>
          <w:rFonts w:ascii="Century" w:hAnsi="Century"/>
        </w:rPr>
        <w:t xml:space="preserve"> Constitution’s</w:t>
      </w:r>
      <w:r w:rsidRPr="00142A36">
        <w:rPr>
          <w:rFonts w:ascii="Century" w:hAnsi="Century"/>
        </w:rPr>
        <w:t xml:space="preserve"> fundamental rights provisions and consider the impact legislative or executive action has on them. If the Courts are satisfied the impact is repugnant to the right, it may quash the action of the Oireachtas </w:t>
      </w:r>
      <w:r w:rsidR="00583CBA">
        <w:rPr>
          <w:rFonts w:ascii="Century" w:hAnsi="Century"/>
        </w:rPr>
        <w:t>or</w:t>
      </w:r>
      <w:r w:rsidRPr="00142A36">
        <w:rPr>
          <w:rFonts w:ascii="Century" w:hAnsi="Century"/>
        </w:rPr>
        <w:t xml:space="preserve"> Government as beyond </w:t>
      </w:r>
      <w:r w:rsidR="00583CBA">
        <w:rPr>
          <w:rFonts w:ascii="Century" w:hAnsi="Century"/>
        </w:rPr>
        <w:t>their</w:t>
      </w:r>
      <w:r w:rsidRPr="00142A36">
        <w:rPr>
          <w:rFonts w:ascii="Century" w:hAnsi="Century"/>
        </w:rPr>
        <w:t xml:space="preserve"> constitutional </w:t>
      </w:r>
      <w:r w:rsidR="008430FB">
        <w:rPr>
          <w:rFonts w:ascii="Century" w:hAnsi="Century"/>
        </w:rPr>
        <w:t>authority</w:t>
      </w:r>
      <w:r w:rsidRPr="00142A36">
        <w:rPr>
          <w:rFonts w:ascii="Century" w:hAnsi="Century"/>
        </w:rPr>
        <w:t>.</w:t>
      </w:r>
      <w:r w:rsidR="00E2251C">
        <w:rPr>
          <w:rStyle w:val="FootnoteReference"/>
          <w:rFonts w:ascii="Century" w:hAnsi="Century"/>
        </w:rPr>
        <w:footnoteReference w:id="16"/>
      </w:r>
    </w:p>
    <w:p w14:paraId="21ABAA1C" w14:textId="77777777" w:rsidR="00F10A94" w:rsidRPr="00142A36" w:rsidRDefault="00F10A94" w:rsidP="00FB4DF1">
      <w:pPr>
        <w:pStyle w:val="ListParagraph"/>
        <w:spacing w:line="360" w:lineRule="auto"/>
        <w:jc w:val="both"/>
        <w:rPr>
          <w:rFonts w:ascii="Century" w:hAnsi="Century"/>
        </w:rPr>
      </w:pPr>
    </w:p>
    <w:p w14:paraId="453135F4" w14:textId="77777777" w:rsidR="00A10052" w:rsidRPr="00A10052" w:rsidRDefault="00A10052" w:rsidP="00A10052">
      <w:pPr>
        <w:pStyle w:val="ListParagraph"/>
        <w:rPr>
          <w:rFonts w:ascii="Century" w:hAnsi="Century"/>
        </w:rPr>
      </w:pPr>
    </w:p>
    <w:p w14:paraId="1137B872" w14:textId="2260281B" w:rsidR="00F10A94" w:rsidRPr="00A10052" w:rsidRDefault="00A10052" w:rsidP="00A10052">
      <w:pPr>
        <w:pStyle w:val="ListParagraph"/>
        <w:numPr>
          <w:ilvl w:val="0"/>
          <w:numId w:val="5"/>
        </w:numPr>
        <w:spacing w:line="360" w:lineRule="auto"/>
        <w:jc w:val="both"/>
        <w:rPr>
          <w:rFonts w:ascii="Century" w:hAnsi="Century"/>
        </w:rPr>
      </w:pPr>
      <w:r w:rsidRPr="00A10052">
        <w:rPr>
          <w:rFonts w:ascii="Century" w:hAnsi="Century"/>
        </w:rPr>
        <w:t xml:space="preserve">It is of course difficult to </w:t>
      </w:r>
      <w:r w:rsidR="00AF6AA6">
        <w:rPr>
          <w:rFonts w:ascii="Century" w:hAnsi="Century"/>
        </w:rPr>
        <w:t>concisely</w:t>
      </w:r>
      <w:r w:rsidRPr="00A10052">
        <w:rPr>
          <w:rFonts w:ascii="Century" w:hAnsi="Century"/>
        </w:rPr>
        <w:t xml:space="preserve"> sum up over 80 years of constitutional doctrine on private property rights, </w:t>
      </w:r>
      <w:r>
        <w:rPr>
          <w:rFonts w:ascii="Century" w:hAnsi="Century"/>
        </w:rPr>
        <w:t>but t</w:t>
      </w:r>
      <w:r w:rsidR="00F21444" w:rsidRPr="00A10052">
        <w:rPr>
          <w:rFonts w:ascii="Century" w:hAnsi="Century"/>
        </w:rPr>
        <w:t>he</w:t>
      </w:r>
      <w:r w:rsidR="00F10A94" w:rsidRPr="00A10052">
        <w:rPr>
          <w:rFonts w:ascii="Century" w:hAnsi="Century"/>
        </w:rPr>
        <w:t xml:space="preserve"> consensus</w:t>
      </w:r>
      <w:r w:rsidR="006A1D36" w:rsidRPr="00A10052">
        <w:rPr>
          <w:rFonts w:ascii="Century" w:hAnsi="Century"/>
        </w:rPr>
        <w:t xml:space="preserve"> amongst public law scholars</w:t>
      </w:r>
      <w:r w:rsidR="00F10A94" w:rsidRPr="00A10052">
        <w:rPr>
          <w:rFonts w:ascii="Century" w:hAnsi="Century"/>
        </w:rPr>
        <w:t xml:space="preserve"> </w:t>
      </w:r>
      <w:r w:rsidR="006A1D36" w:rsidRPr="00A10052">
        <w:rPr>
          <w:rFonts w:ascii="Century" w:hAnsi="Century"/>
        </w:rPr>
        <w:t>is</w:t>
      </w:r>
      <w:r w:rsidR="008B183C" w:rsidRPr="00A10052">
        <w:rPr>
          <w:rFonts w:ascii="Century" w:hAnsi="Century"/>
        </w:rPr>
        <w:t xml:space="preserve"> that Irish Courts have largely interpreted the property rights provisions in a manner consistent with the basic tenor of its background influences. </w:t>
      </w:r>
      <w:r w:rsidR="00583CBA" w:rsidRPr="00A10052">
        <w:rPr>
          <w:rFonts w:ascii="Century" w:hAnsi="Century"/>
        </w:rPr>
        <w:t>Our</w:t>
      </w:r>
      <w:r w:rsidR="00AF6AA6">
        <w:rPr>
          <w:rFonts w:ascii="Century" w:hAnsi="Century"/>
        </w:rPr>
        <w:t xml:space="preserve"> </w:t>
      </w:r>
      <w:r w:rsidR="008B183C" w:rsidRPr="00A10052">
        <w:rPr>
          <w:rFonts w:ascii="Century" w:hAnsi="Century"/>
        </w:rPr>
        <w:t xml:space="preserve">Courts have </w:t>
      </w:r>
      <w:r w:rsidR="00F64DC5" w:rsidRPr="00A10052">
        <w:rPr>
          <w:rFonts w:ascii="Century" w:hAnsi="Century"/>
        </w:rPr>
        <w:t xml:space="preserve">consistently </w:t>
      </w:r>
      <w:r w:rsidR="008B183C" w:rsidRPr="00A10052">
        <w:rPr>
          <w:rFonts w:ascii="Century" w:hAnsi="Century"/>
        </w:rPr>
        <w:t>held that property rights are not absolute, can be</w:t>
      </w:r>
      <w:r w:rsidR="007C131F" w:rsidRPr="00A10052">
        <w:rPr>
          <w:rFonts w:ascii="Century" w:hAnsi="Century"/>
        </w:rPr>
        <w:t xml:space="preserve"> </w:t>
      </w:r>
      <w:r w:rsidR="00600438" w:rsidRPr="00A10052">
        <w:rPr>
          <w:rFonts w:ascii="Century" w:hAnsi="Century"/>
        </w:rPr>
        <w:t>extensively</w:t>
      </w:r>
      <w:r w:rsidR="008B183C" w:rsidRPr="00A10052">
        <w:rPr>
          <w:rFonts w:ascii="Century" w:hAnsi="Century"/>
        </w:rPr>
        <w:t xml:space="preserve"> regulated by the Oireachtas in the interests of the common good, and that Courts should be deferential in assessing </w:t>
      </w:r>
      <w:r w:rsidR="008B183C" w:rsidRPr="00A10052">
        <w:rPr>
          <w:rFonts w:ascii="Century" w:hAnsi="Century"/>
        </w:rPr>
        <w:lastRenderedPageBreak/>
        <w:t>whether</w:t>
      </w:r>
      <w:r w:rsidR="00A8575B">
        <w:rPr>
          <w:rFonts w:ascii="Century" w:hAnsi="Century"/>
        </w:rPr>
        <w:t xml:space="preserve"> legislative</w:t>
      </w:r>
      <w:r w:rsidR="008B183C" w:rsidRPr="00A10052">
        <w:rPr>
          <w:rFonts w:ascii="Century" w:hAnsi="Century"/>
        </w:rPr>
        <w:t xml:space="preserve"> action taken by the Oireachtas</w:t>
      </w:r>
      <w:r w:rsidR="0002337E" w:rsidRPr="00A10052">
        <w:rPr>
          <w:rFonts w:ascii="Century" w:hAnsi="Century"/>
        </w:rPr>
        <w:t xml:space="preserve"> to reconcile the exercise of individual property entitlements to the common good</w:t>
      </w:r>
      <w:r w:rsidR="008B183C" w:rsidRPr="00A10052">
        <w:rPr>
          <w:rFonts w:ascii="Century" w:hAnsi="Century"/>
        </w:rPr>
        <w:t xml:space="preserve"> is repugnant to the Constitution.</w:t>
      </w:r>
      <w:r w:rsidR="00E2251C">
        <w:rPr>
          <w:rStyle w:val="FootnoteReference"/>
          <w:rFonts w:ascii="Century" w:hAnsi="Century"/>
        </w:rPr>
        <w:footnoteReference w:id="17"/>
      </w:r>
    </w:p>
    <w:p w14:paraId="6A6F3F7A" w14:textId="77777777" w:rsidR="008B183C" w:rsidRPr="00142A36" w:rsidRDefault="008B183C" w:rsidP="00FB4DF1">
      <w:pPr>
        <w:pStyle w:val="ListParagraph"/>
        <w:spacing w:line="360" w:lineRule="auto"/>
        <w:jc w:val="both"/>
        <w:rPr>
          <w:rFonts w:ascii="Century" w:hAnsi="Century"/>
        </w:rPr>
      </w:pPr>
    </w:p>
    <w:p w14:paraId="2E4F820E" w14:textId="7A979CE5" w:rsidR="00894A3B" w:rsidRDefault="008B183C" w:rsidP="00FB4DF1">
      <w:pPr>
        <w:pStyle w:val="ListParagraph"/>
        <w:numPr>
          <w:ilvl w:val="0"/>
          <w:numId w:val="5"/>
        </w:numPr>
        <w:spacing w:line="360" w:lineRule="auto"/>
        <w:jc w:val="both"/>
        <w:rPr>
          <w:rFonts w:ascii="Century" w:hAnsi="Century"/>
        </w:rPr>
      </w:pPr>
      <w:r w:rsidRPr="00142A36">
        <w:rPr>
          <w:rFonts w:ascii="Century" w:hAnsi="Century"/>
        </w:rPr>
        <w:t>Since the 1990’s, the Courts have moved away from</w:t>
      </w:r>
      <w:r w:rsidR="007C131F" w:rsidRPr="00142A36">
        <w:rPr>
          <w:rFonts w:ascii="Century" w:hAnsi="Century"/>
        </w:rPr>
        <w:t xml:space="preserve"> explicitly</w:t>
      </w:r>
      <w:r w:rsidRPr="00142A36">
        <w:rPr>
          <w:rFonts w:ascii="Century" w:hAnsi="Century"/>
        </w:rPr>
        <w:t xml:space="preserve"> using the language of the</w:t>
      </w:r>
      <w:r w:rsidR="007C131F" w:rsidRPr="00142A36">
        <w:rPr>
          <w:rFonts w:ascii="Century" w:hAnsi="Century"/>
        </w:rPr>
        <w:t xml:space="preserve"> classical</w:t>
      </w:r>
      <w:r w:rsidRPr="00142A36">
        <w:rPr>
          <w:rFonts w:ascii="Century" w:hAnsi="Century"/>
        </w:rPr>
        <w:t xml:space="preserve"> natural law tradition</w:t>
      </w:r>
      <w:r w:rsidR="002572E9">
        <w:rPr>
          <w:rFonts w:ascii="Century" w:hAnsi="Century"/>
        </w:rPr>
        <w:t xml:space="preserve"> and Catholic Social Teaching</w:t>
      </w:r>
      <w:r w:rsidR="00E2251C">
        <w:rPr>
          <w:rFonts w:ascii="Century" w:hAnsi="Century"/>
        </w:rPr>
        <w:t xml:space="preserve"> when assessing the </w:t>
      </w:r>
      <w:r w:rsidR="007A7BFA">
        <w:rPr>
          <w:rFonts w:ascii="Century" w:hAnsi="Century"/>
        </w:rPr>
        <w:t>constitutionality</w:t>
      </w:r>
      <w:r w:rsidR="00E2251C">
        <w:rPr>
          <w:rFonts w:ascii="Century" w:hAnsi="Century"/>
        </w:rPr>
        <w:t xml:space="preserve"> of legislation regulating private property,</w:t>
      </w:r>
      <w:r w:rsidRPr="00142A36">
        <w:rPr>
          <w:rFonts w:ascii="Century" w:hAnsi="Century"/>
        </w:rPr>
        <w:t xml:space="preserve"> in favour of using the proportionality test of the kind found in many </w:t>
      </w:r>
      <w:r w:rsidR="00452D36">
        <w:rPr>
          <w:rFonts w:ascii="Century" w:hAnsi="Century"/>
        </w:rPr>
        <w:t>constitutional</w:t>
      </w:r>
      <w:r w:rsidRPr="00142A36">
        <w:rPr>
          <w:rFonts w:ascii="Century" w:hAnsi="Century"/>
        </w:rPr>
        <w:t xml:space="preserve"> systems around the world, and in </w:t>
      </w:r>
      <w:r w:rsidR="00452D36">
        <w:rPr>
          <w:rFonts w:ascii="Century" w:hAnsi="Century"/>
        </w:rPr>
        <w:t>s</w:t>
      </w:r>
      <w:r w:rsidRPr="00142A36">
        <w:rPr>
          <w:rFonts w:ascii="Century" w:hAnsi="Century"/>
        </w:rPr>
        <w:t xml:space="preserve">upranational courts like the </w:t>
      </w:r>
      <w:r w:rsidR="007A7BFA">
        <w:rPr>
          <w:rFonts w:ascii="Century" w:hAnsi="Century"/>
        </w:rPr>
        <w:t xml:space="preserve">European </w:t>
      </w:r>
      <w:r w:rsidRPr="00142A36">
        <w:rPr>
          <w:rFonts w:ascii="Century" w:hAnsi="Century"/>
        </w:rPr>
        <w:t>Court of Justice and European Court of Human Rights.</w:t>
      </w:r>
    </w:p>
    <w:p w14:paraId="4B80F2B7" w14:textId="77777777" w:rsidR="002572E9" w:rsidRPr="002572E9" w:rsidRDefault="002572E9" w:rsidP="00FB4DF1">
      <w:pPr>
        <w:pStyle w:val="ListParagraph"/>
        <w:spacing w:line="360" w:lineRule="auto"/>
        <w:rPr>
          <w:rFonts w:ascii="Century" w:hAnsi="Century"/>
        </w:rPr>
      </w:pPr>
    </w:p>
    <w:p w14:paraId="6C992DDA" w14:textId="38A93F33" w:rsidR="002572E9" w:rsidRPr="00142A36" w:rsidRDefault="002572E9" w:rsidP="00FB4DF1">
      <w:pPr>
        <w:pStyle w:val="ListParagraph"/>
        <w:numPr>
          <w:ilvl w:val="0"/>
          <w:numId w:val="5"/>
        </w:numPr>
        <w:spacing w:line="360" w:lineRule="auto"/>
        <w:jc w:val="both"/>
        <w:rPr>
          <w:rFonts w:ascii="Century" w:hAnsi="Century"/>
        </w:rPr>
      </w:pPr>
      <w:r>
        <w:rPr>
          <w:rFonts w:ascii="Century" w:hAnsi="Century"/>
        </w:rPr>
        <w:t>The proportionality test</w:t>
      </w:r>
      <w:r w:rsidR="00452D36">
        <w:rPr>
          <w:rFonts w:ascii="Century" w:hAnsi="Century"/>
        </w:rPr>
        <w:t xml:space="preserve"> typically</w:t>
      </w:r>
      <w:r>
        <w:rPr>
          <w:rFonts w:ascii="Century" w:hAnsi="Century"/>
        </w:rPr>
        <w:t xml:space="preserve"> involves </w:t>
      </w:r>
      <w:r w:rsidR="0002337E">
        <w:rPr>
          <w:rFonts w:ascii="Century" w:hAnsi="Century"/>
        </w:rPr>
        <w:t xml:space="preserve">an assessment of </w:t>
      </w:r>
      <w:r w:rsidR="00452D36">
        <w:rPr>
          <w:rFonts w:ascii="Century" w:hAnsi="Century"/>
        </w:rPr>
        <w:t xml:space="preserve">whether a legislative measure engaging a right aims at advancing a legitimate aim, is </w:t>
      </w:r>
      <w:r w:rsidR="005C6E72">
        <w:rPr>
          <w:rFonts w:ascii="Century" w:hAnsi="Century"/>
        </w:rPr>
        <w:t xml:space="preserve">framed in a manner </w:t>
      </w:r>
      <w:r w:rsidR="00452D36">
        <w:rPr>
          <w:rFonts w:ascii="Century" w:hAnsi="Century"/>
        </w:rPr>
        <w:t xml:space="preserve">rationally connected to that aim, interferes with the right no more than necessary to achieve the aim, and </w:t>
      </w:r>
      <w:r w:rsidR="005C6E72">
        <w:rPr>
          <w:rFonts w:ascii="Century" w:hAnsi="Century"/>
        </w:rPr>
        <w:t>has an</w:t>
      </w:r>
      <w:r w:rsidR="00452D36">
        <w:rPr>
          <w:rFonts w:ascii="Century" w:hAnsi="Century"/>
        </w:rPr>
        <w:t xml:space="preserve"> impact on the right</w:t>
      </w:r>
      <w:r w:rsidR="005C6E72">
        <w:rPr>
          <w:rFonts w:ascii="Century" w:hAnsi="Century"/>
        </w:rPr>
        <w:t xml:space="preserve"> in issue which</w:t>
      </w:r>
      <w:r w:rsidR="00452D36">
        <w:rPr>
          <w:rFonts w:ascii="Century" w:hAnsi="Century"/>
        </w:rPr>
        <w:t xml:space="preserve"> is</w:t>
      </w:r>
      <w:r w:rsidR="005C6E72">
        <w:rPr>
          <w:rFonts w:ascii="Century" w:hAnsi="Century"/>
        </w:rPr>
        <w:t xml:space="preserve"> overall</w:t>
      </w:r>
      <w:r w:rsidR="00452D36">
        <w:rPr>
          <w:rFonts w:ascii="Century" w:hAnsi="Century"/>
        </w:rPr>
        <w:t xml:space="preserve"> proportionate to the</w:t>
      </w:r>
      <w:r w:rsidR="006D4043">
        <w:rPr>
          <w:rFonts w:ascii="Century" w:hAnsi="Century"/>
        </w:rPr>
        <w:t xml:space="preserve"> good of the</w:t>
      </w:r>
      <w:r w:rsidR="00452D36">
        <w:rPr>
          <w:rFonts w:ascii="Century" w:hAnsi="Century"/>
        </w:rPr>
        <w:t xml:space="preserve"> </w:t>
      </w:r>
      <w:r w:rsidR="006D4043">
        <w:rPr>
          <w:rFonts w:ascii="Century" w:hAnsi="Century"/>
        </w:rPr>
        <w:t>objective to be</w:t>
      </w:r>
      <w:r w:rsidR="00452D36">
        <w:rPr>
          <w:rFonts w:ascii="Century" w:hAnsi="Century"/>
        </w:rPr>
        <w:t xml:space="preserve"> achieved by the </w:t>
      </w:r>
      <w:r w:rsidR="006D4043">
        <w:rPr>
          <w:rFonts w:ascii="Century" w:hAnsi="Century"/>
        </w:rPr>
        <w:t>legislation</w:t>
      </w:r>
      <w:r w:rsidR="00452D36">
        <w:rPr>
          <w:rFonts w:ascii="Century" w:hAnsi="Century"/>
        </w:rPr>
        <w:t xml:space="preserve">. </w:t>
      </w:r>
    </w:p>
    <w:p w14:paraId="3B3D2030" w14:textId="77777777" w:rsidR="00894A3B" w:rsidRPr="00142A36" w:rsidRDefault="00894A3B" w:rsidP="00FB4DF1">
      <w:pPr>
        <w:pStyle w:val="ListParagraph"/>
        <w:spacing w:line="360" w:lineRule="auto"/>
        <w:rPr>
          <w:rFonts w:ascii="Century" w:hAnsi="Century"/>
        </w:rPr>
      </w:pPr>
    </w:p>
    <w:p w14:paraId="2A28631E" w14:textId="3BAC6690" w:rsidR="008B183C" w:rsidRDefault="008B183C" w:rsidP="00FB4DF1">
      <w:pPr>
        <w:pStyle w:val="ListParagraph"/>
        <w:numPr>
          <w:ilvl w:val="0"/>
          <w:numId w:val="5"/>
        </w:numPr>
        <w:spacing w:line="360" w:lineRule="auto"/>
        <w:jc w:val="both"/>
        <w:rPr>
          <w:rFonts w:ascii="Century" w:hAnsi="Century"/>
        </w:rPr>
      </w:pPr>
      <w:r w:rsidRPr="00142A36">
        <w:rPr>
          <w:rFonts w:ascii="Century" w:hAnsi="Century"/>
        </w:rPr>
        <w:t>But</w:t>
      </w:r>
      <w:r w:rsidR="007C131F" w:rsidRPr="00142A36">
        <w:rPr>
          <w:rFonts w:ascii="Century" w:hAnsi="Century"/>
        </w:rPr>
        <w:t xml:space="preserve"> while the </w:t>
      </w:r>
      <w:r w:rsidR="0002337E">
        <w:rPr>
          <w:rFonts w:ascii="Century" w:hAnsi="Century"/>
        </w:rPr>
        <w:t>legal test</w:t>
      </w:r>
      <w:r w:rsidR="007C131F" w:rsidRPr="00142A36">
        <w:rPr>
          <w:rFonts w:ascii="Century" w:hAnsi="Century"/>
        </w:rPr>
        <w:t xml:space="preserve"> used by the Courts</w:t>
      </w:r>
      <w:r w:rsidR="002572E9">
        <w:rPr>
          <w:rFonts w:ascii="Century" w:hAnsi="Century"/>
        </w:rPr>
        <w:t xml:space="preserve"> in reviewing the constitutionality of legislation regulating private property rights</w:t>
      </w:r>
      <w:r w:rsidR="007C131F" w:rsidRPr="00142A36">
        <w:rPr>
          <w:rFonts w:ascii="Century" w:hAnsi="Century"/>
        </w:rPr>
        <w:t xml:space="preserve"> ha</w:t>
      </w:r>
      <w:r w:rsidR="002572E9">
        <w:rPr>
          <w:rFonts w:ascii="Century" w:hAnsi="Century"/>
        </w:rPr>
        <w:t>s</w:t>
      </w:r>
      <w:r w:rsidR="007C131F" w:rsidRPr="00142A36">
        <w:rPr>
          <w:rFonts w:ascii="Century" w:hAnsi="Century"/>
        </w:rPr>
        <w:t xml:space="preserve"> altered, they</w:t>
      </w:r>
      <w:r w:rsidRPr="00142A36">
        <w:rPr>
          <w:rFonts w:ascii="Century" w:hAnsi="Century"/>
        </w:rPr>
        <w:t xml:space="preserve"> have</w:t>
      </w:r>
      <w:r w:rsidR="006A1D36" w:rsidRPr="00142A36">
        <w:rPr>
          <w:rFonts w:ascii="Century" w:hAnsi="Century"/>
        </w:rPr>
        <w:t xml:space="preserve"> </w:t>
      </w:r>
      <w:r w:rsidRPr="00142A36">
        <w:rPr>
          <w:rFonts w:ascii="Century" w:hAnsi="Century"/>
        </w:rPr>
        <w:t xml:space="preserve">applied </w:t>
      </w:r>
      <w:r w:rsidR="006A1D36" w:rsidRPr="00142A36">
        <w:rPr>
          <w:rFonts w:ascii="Century" w:hAnsi="Century"/>
        </w:rPr>
        <w:t>th</w:t>
      </w:r>
      <w:r w:rsidR="007C131F" w:rsidRPr="00142A36">
        <w:rPr>
          <w:rFonts w:ascii="Century" w:hAnsi="Century"/>
        </w:rPr>
        <w:t>e proportionality</w:t>
      </w:r>
      <w:r w:rsidRPr="00142A36">
        <w:rPr>
          <w:rFonts w:ascii="Century" w:hAnsi="Century"/>
        </w:rPr>
        <w:t xml:space="preserve"> test in a manner highly deferential to the Oireachtas</w:t>
      </w:r>
      <w:r w:rsidR="00452D36">
        <w:rPr>
          <w:rFonts w:ascii="Century" w:hAnsi="Century"/>
        </w:rPr>
        <w:t>. T</w:t>
      </w:r>
      <w:r w:rsidR="002572E9">
        <w:rPr>
          <w:rFonts w:ascii="Century" w:hAnsi="Century"/>
        </w:rPr>
        <w:t>herefore</w:t>
      </w:r>
      <w:r w:rsidR="00452D36">
        <w:rPr>
          <w:rFonts w:ascii="Century" w:hAnsi="Century"/>
        </w:rPr>
        <w:t xml:space="preserve">, in </w:t>
      </w:r>
      <w:r w:rsidR="00B94CDD">
        <w:rPr>
          <w:rFonts w:ascii="Century" w:hAnsi="Century"/>
        </w:rPr>
        <w:t>substance</w:t>
      </w:r>
      <w:r w:rsidR="000447C6">
        <w:rPr>
          <w:rFonts w:ascii="Century" w:hAnsi="Century"/>
        </w:rPr>
        <w:t>,</w:t>
      </w:r>
      <w:r w:rsidR="00452D36">
        <w:rPr>
          <w:rFonts w:ascii="Century" w:hAnsi="Century"/>
        </w:rPr>
        <w:t xml:space="preserve"> there has been </w:t>
      </w:r>
      <w:r w:rsidR="0002337E">
        <w:rPr>
          <w:rFonts w:ascii="Century" w:hAnsi="Century"/>
        </w:rPr>
        <w:t>continuity with</w:t>
      </w:r>
      <w:r w:rsidR="006A1D36" w:rsidRPr="00142A36">
        <w:rPr>
          <w:rFonts w:ascii="Century" w:hAnsi="Century"/>
        </w:rPr>
        <w:t xml:space="preserve"> the natural law tradition</w:t>
      </w:r>
      <w:r w:rsidR="007C131F" w:rsidRPr="00142A36">
        <w:rPr>
          <w:rFonts w:ascii="Century" w:hAnsi="Century"/>
        </w:rPr>
        <w:t>’</w:t>
      </w:r>
      <w:r w:rsidR="006A1D36" w:rsidRPr="00142A36">
        <w:rPr>
          <w:rFonts w:ascii="Century" w:hAnsi="Century"/>
        </w:rPr>
        <w:t>s emphasis on</w:t>
      </w:r>
      <w:r w:rsidR="002572E9">
        <w:rPr>
          <w:rFonts w:ascii="Century" w:hAnsi="Century"/>
        </w:rPr>
        <w:t xml:space="preserve"> the need </w:t>
      </w:r>
      <w:r w:rsidR="0002337E">
        <w:rPr>
          <w:rFonts w:ascii="Century" w:hAnsi="Century"/>
        </w:rPr>
        <w:t>for public authorities to</w:t>
      </w:r>
      <w:r w:rsidR="00452D36">
        <w:rPr>
          <w:rFonts w:ascii="Century" w:hAnsi="Century"/>
        </w:rPr>
        <w:t xml:space="preserve"> have wide latitude to</w:t>
      </w:r>
      <w:r w:rsidR="006A1D36" w:rsidRPr="00142A36">
        <w:rPr>
          <w:rFonts w:ascii="Century" w:hAnsi="Century"/>
        </w:rPr>
        <w:t xml:space="preserve"> regulat</w:t>
      </w:r>
      <w:r w:rsidR="002572E9">
        <w:rPr>
          <w:rFonts w:ascii="Century" w:hAnsi="Century"/>
        </w:rPr>
        <w:t>e</w:t>
      </w:r>
      <w:r w:rsidR="006A1D36" w:rsidRPr="00142A36">
        <w:rPr>
          <w:rFonts w:ascii="Century" w:hAnsi="Century"/>
        </w:rPr>
        <w:t xml:space="preserve"> property rights</w:t>
      </w:r>
      <w:r w:rsidR="00452D36">
        <w:rPr>
          <w:rFonts w:ascii="Century" w:hAnsi="Century"/>
        </w:rPr>
        <w:t xml:space="preserve"> to ensure their exercise is</w:t>
      </w:r>
      <w:r w:rsidR="006A1D36" w:rsidRPr="00142A36">
        <w:rPr>
          <w:rFonts w:ascii="Century" w:hAnsi="Century"/>
        </w:rPr>
        <w:t xml:space="preserve"> consistent with the common good.</w:t>
      </w:r>
      <w:r w:rsidR="00894A3B" w:rsidRPr="00142A36">
        <w:rPr>
          <w:rStyle w:val="FootnoteReference"/>
          <w:rFonts w:ascii="Century" w:hAnsi="Century"/>
        </w:rPr>
        <w:footnoteReference w:id="18"/>
      </w:r>
    </w:p>
    <w:p w14:paraId="4E9E841D" w14:textId="77777777" w:rsidR="00C615F4" w:rsidRPr="008206A8" w:rsidRDefault="00C615F4" w:rsidP="008206A8">
      <w:pPr>
        <w:spacing w:line="360" w:lineRule="auto"/>
        <w:jc w:val="both"/>
        <w:rPr>
          <w:rFonts w:ascii="Century" w:hAnsi="Century"/>
        </w:rPr>
      </w:pPr>
    </w:p>
    <w:p w14:paraId="0FF1E9AE" w14:textId="1EB02C8A" w:rsidR="00C615F4" w:rsidRDefault="008206A8" w:rsidP="00FB4DF1">
      <w:pPr>
        <w:pStyle w:val="ListParagraph"/>
        <w:numPr>
          <w:ilvl w:val="0"/>
          <w:numId w:val="5"/>
        </w:numPr>
        <w:spacing w:line="360" w:lineRule="auto"/>
        <w:jc w:val="both"/>
        <w:rPr>
          <w:rFonts w:ascii="Century" w:hAnsi="Century"/>
        </w:rPr>
      </w:pPr>
      <w:r>
        <w:rPr>
          <w:rFonts w:ascii="Century" w:hAnsi="Century"/>
        </w:rPr>
        <w:t xml:space="preserve">The leading scholarly authority on constitutional property law, </w:t>
      </w:r>
      <w:r w:rsidR="00C615F4" w:rsidRPr="00142A36">
        <w:rPr>
          <w:rFonts w:ascii="Century" w:hAnsi="Century"/>
        </w:rPr>
        <w:t>Professor Walsh</w:t>
      </w:r>
      <w:r>
        <w:rPr>
          <w:rFonts w:ascii="Century" w:hAnsi="Century"/>
        </w:rPr>
        <w:t>,</w:t>
      </w:r>
      <w:r w:rsidR="0002337E">
        <w:rPr>
          <w:rFonts w:ascii="Century" w:hAnsi="Century"/>
        </w:rPr>
        <w:t xml:space="preserve"> </w:t>
      </w:r>
      <w:r w:rsidR="003537C2" w:rsidRPr="00142A36">
        <w:rPr>
          <w:rFonts w:ascii="Century" w:hAnsi="Century"/>
        </w:rPr>
        <w:t>s</w:t>
      </w:r>
      <w:r w:rsidR="003537C2">
        <w:rPr>
          <w:rFonts w:ascii="Century" w:hAnsi="Century"/>
        </w:rPr>
        <w:t xml:space="preserve">urmises that </w:t>
      </w:r>
      <w:r w:rsidR="00600438" w:rsidRPr="00142A36">
        <w:rPr>
          <w:rFonts w:ascii="Century" w:hAnsi="Century"/>
        </w:rPr>
        <w:t>the predominant response of Irish judges</w:t>
      </w:r>
      <w:r w:rsidR="006D4043">
        <w:rPr>
          <w:rFonts w:ascii="Century" w:hAnsi="Century"/>
        </w:rPr>
        <w:t xml:space="preserve"> “</w:t>
      </w:r>
      <w:r w:rsidR="00600438" w:rsidRPr="00142A36">
        <w:rPr>
          <w:rFonts w:ascii="Century" w:hAnsi="Century"/>
        </w:rPr>
        <w:t xml:space="preserve">has been to defer to judgments about the appropriate mediation of property rights and </w:t>
      </w:r>
      <w:r w:rsidR="00600438" w:rsidRPr="00142A36">
        <w:rPr>
          <w:rFonts w:ascii="Century" w:hAnsi="Century"/>
        </w:rPr>
        <w:lastRenderedPageBreak/>
        <w:t>social justice reflected in legislative and/or administrative decisions”.</w:t>
      </w:r>
      <w:bookmarkStart w:id="2" w:name="_Ref100649335"/>
      <w:r w:rsidR="00600438" w:rsidRPr="00142A36">
        <w:rPr>
          <w:rStyle w:val="FootnoteReference"/>
          <w:rFonts w:ascii="Century" w:hAnsi="Century"/>
        </w:rPr>
        <w:footnoteReference w:id="19"/>
      </w:r>
      <w:bookmarkEnd w:id="2"/>
      <w:r w:rsidR="008030A0" w:rsidRPr="00142A36">
        <w:rPr>
          <w:rFonts w:ascii="Century" w:hAnsi="Century"/>
        </w:rPr>
        <w:t xml:space="preserve"> </w:t>
      </w:r>
      <w:r w:rsidR="00172AE3" w:rsidRPr="00142A36">
        <w:rPr>
          <w:rFonts w:ascii="Century" w:hAnsi="Century"/>
        </w:rPr>
        <w:t>Invalidations of legislative measures</w:t>
      </w:r>
      <w:r w:rsidR="005B796D">
        <w:rPr>
          <w:rFonts w:ascii="Century" w:hAnsi="Century"/>
        </w:rPr>
        <w:t xml:space="preserve"> are</w:t>
      </w:r>
      <w:r w:rsidR="003537C2">
        <w:rPr>
          <w:rFonts w:ascii="Century" w:hAnsi="Century"/>
        </w:rPr>
        <w:t>, says Walsh,</w:t>
      </w:r>
      <w:r w:rsidR="00172AE3" w:rsidRPr="00142A36">
        <w:rPr>
          <w:rFonts w:ascii="Century" w:hAnsi="Century"/>
        </w:rPr>
        <w:t xml:space="preserve"> “rare overall” and when they do occur</w:t>
      </w:r>
      <w:r w:rsidR="003537C2">
        <w:rPr>
          <w:rFonts w:ascii="Century" w:hAnsi="Century"/>
        </w:rPr>
        <w:t xml:space="preserve"> typically</w:t>
      </w:r>
      <w:r w:rsidR="00172AE3" w:rsidRPr="00142A36">
        <w:rPr>
          <w:rFonts w:ascii="Century" w:hAnsi="Century"/>
        </w:rPr>
        <w:t xml:space="preserve"> concern </w:t>
      </w:r>
      <w:r w:rsidR="00AE4FFE">
        <w:rPr>
          <w:rFonts w:ascii="Century" w:hAnsi="Century"/>
        </w:rPr>
        <w:t>a</w:t>
      </w:r>
      <w:r w:rsidR="00172AE3" w:rsidRPr="00142A36">
        <w:rPr>
          <w:rFonts w:ascii="Century" w:hAnsi="Century"/>
        </w:rPr>
        <w:t xml:space="preserve"> failure of basic rationality or fair procedures</w:t>
      </w:r>
      <w:r w:rsidR="006D4043">
        <w:rPr>
          <w:rFonts w:ascii="Century" w:hAnsi="Century"/>
        </w:rPr>
        <w:t>,</w:t>
      </w:r>
      <w:r w:rsidR="003537C2">
        <w:rPr>
          <w:rFonts w:ascii="Century" w:hAnsi="Century"/>
        </w:rPr>
        <w:t xml:space="preserve"> as opposed to a Court second-guessing whether a measure was in the interests of the common good</w:t>
      </w:r>
      <w:r w:rsidR="00F731E9">
        <w:rPr>
          <w:rFonts w:ascii="Century" w:hAnsi="Century"/>
        </w:rPr>
        <w:t xml:space="preserve"> or proportionate overall</w:t>
      </w:r>
      <w:r w:rsidR="00172AE3" w:rsidRPr="00142A36">
        <w:rPr>
          <w:rFonts w:ascii="Century" w:hAnsi="Century"/>
        </w:rPr>
        <w:t>.</w:t>
      </w:r>
      <w:r w:rsidR="00172AE3" w:rsidRPr="00142A36">
        <w:rPr>
          <w:rStyle w:val="FootnoteReference"/>
          <w:rFonts w:ascii="Century" w:hAnsi="Century"/>
        </w:rPr>
        <w:footnoteReference w:id="20"/>
      </w:r>
      <w:r w:rsidR="00ED5248">
        <w:rPr>
          <w:rFonts w:ascii="Century" w:hAnsi="Century"/>
        </w:rPr>
        <w:t xml:space="preserve"> </w:t>
      </w:r>
    </w:p>
    <w:p w14:paraId="6FB7D8C9" w14:textId="77777777" w:rsidR="00ED5248" w:rsidRPr="006D4043" w:rsidRDefault="00ED5248" w:rsidP="00ED5248">
      <w:pPr>
        <w:pStyle w:val="ListParagraph"/>
        <w:rPr>
          <w:rFonts w:ascii="Century" w:hAnsi="Century"/>
        </w:rPr>
      </w:pPr>
    </w:p>
    <w:p w14:paraId="697CAF99" w14:textId="122CF16C" w:rsidR="00ED5248" w:rsidRPr="006D4043" w:rsidRDefault="006D4043" w:rsidP="00ED5248">
      <w:pPr>
        <w:pStyle w:val="ListParagraph"/>
        <w:numPr>
          <w:ilvl w:val="0"/>
          <w:numId w:val="5"/>
        </w:numPr>
        <w:spacing w:line="360" w:lineRule="auto"/>
        <w:jc w:val="both"/>
        <w:rPr>
          <w:rFonts w:ascii="Century" w:hAnsi="Century"/>
        </w:rPr>
      </w:pPr>
      <w:r w:rsidRPr="006D4043">
        <w:rPr>
          <w:rFonts w:ascii="Century" w:hAnsi="Century"/>
        </w:rPr>
        <w:t xml:space="preserve">On whether the property rights provisions place a serious obstacle in the way of the Oireachtas legislating to regulate property rights, </w:t>
      </w:r>
      <w:r w:rsidR="00ED5248" w:rsidRPr="006D4043">
        <w:rPr>
          <w:rFonts w:ascii="Century" w:hAnsi="Century"/>
        </w:rPr>
        <w:t>Professor Walsh concludes that:</w:t>
      </w:r>
    </w:p>
    <w:p w14:paraId="6F69722C" w14:textId="77777777" w:rsidR="00ED5248" w:rsidRPr="006D4043" w:rsidRDefault="00ED5248" w:rsidP="00ED5248">
      <w:pPr>
        <w:pStyle w:val="ListParagraph"/>
        <w:rPr>
          <w:rFonts w:ascii="Century" w:hAnsi="Century"/>
          <w:lang w:val="en-IE"/>
        </w:rPr>
      </w:pPr>
    </w:p>
    <w:p w14:paraId="29B913F9" w14:textId="2E1FE1E6" w:rsidR="00ED5248" w:rsidRPr="006D4043" w:rsidRDefault="00ED5248" w:rsidP="006D4043">
      <w:pPr>
        <w:spacing w:line="360" w:lineRule="auto"/>
        <w:ind w:left="1440"/>
        <w:jc w:val="both"/>
        <w:rPr>
          <w:rFonts w:ascii="Century" w:hAnsi="Century"/>
        </w:rPr>
      </w:pPr>
      <w:r w:rsidRPr="006D4043">
        <w:rPr>
          <w:rFonts w:ascii="Century" w:hAnsi="Century"/>
          <w:lang w:val="en-IE"/>
        </w:rPr>
        <w:t>On balance, given the nature of the protection for property rights enshrined in the Constitution (an institutional guarantee and a qualified individual rights protection, coupled with an express statement of the State’s power to delimit the exercise of property rights)</w:t>
      </w:r>
      <w:r w:rsidR="006D4043">
        <w:rPr>
          <w:rFonts w:ascii="Century" w:hAnsi="Century"/>
          <w:lang w:val="en-IE"/>
        </w:rPr>
        <w:t>…</w:t>
      </w:r>
      <w:r w:rsidRPr="006D4043">
        <w:rPr>
          <w:rFonts w:ascii="Century" w:hAnsi="Century"/>
          <w:lang w:val="en-IE"/>
        </w:rPr>
        <w:t>it is suggested that there is ample scope within the current constitutional framework to introduce measures that restrict the exercise of property rights to respond to the housing crisis.</w:t>
      </w:r>
      <w:bookmarkStart w:id="3" w:name="_Ref101639355"/>
      <w:r w:rsidRPr="006D4043">
        <w:rPr>
          <w:rStyle w:val="FootnoteReference"/>
          <w:rFonts w:ascii="Century" w:hAnsi="Century"/>
          <w:lang w:val="en-IE"/>
        </w:rPr>
        <w:footnoteReference w:id="21"/>
      </w:r>
      <w:bookmarkEnd w:id="3"/>
      <w:r w:rsidRPr="006D4043">
        <w:rPr>
          <w:rFonts w:ascii="Century" w:hAnsi="Century"/>
          <w:lang w:val="en-IE"/>
        </w:rPr>
        <w:t xml:space="preserve"> </w:t>
      </w:r>
    </w:p>
    <w:p w14:paraId="43760D5E" w14:textId="77777777" w:rsidR="00A7450C" w:rsidRPr="006D4043" w:rsidRDefault="00A7450C" w:rsidP="00FB4DF1">
      <w:pPr>
        <w:pStyle w:val="ListParagraph"/>
        <w:spacing w:line="360" w:lineRule="auto"/>
        <w:rPr>
          <w:rFonts w:ascii="Century" w:hAnsi="Century"/>
        </w:rPr>
      </w:pPr>
    </w:p>
    <w:p w14:paraId="2A652938" w14:textId="57B20429" w:rsidR="00D207FF" w:rsidRPr="00142A36" w:rsidRDefault="00A7450C" w:rsidP="00FB4DF1">
      <w:pPr>
        <w:pStyle w:val="ListParagraph"/>
        <w:numPr>
          <w:ilvl w:val="0"/>
          <w:numId w:val="5"/>
        </w:numPr>
        <w:spacing w:line="360" w:lineRule="auto"/>
        <w:jc w:val="both"/>
        <w:rPr>
          <w:rFonts w:ascii="Century" w:hAnsi="Century"/>
        </w:rPr>
      </w:pPr>
      <w:r w:rsidRPr="006D4043">
        <w:rPr>
          <w:rFonts w:ascii="Century" w:hAnsi="Century"/>
        </w:rPr>
        <w:t>The authors</w:t>
      </w:r>
      <w:r w:rsidR="006D4043">
        <w:rPr>
          <w:rStyle w:val="FootnoteReference"/>
          <w:rFonts w:ascii="Century" w:hAnsi="Century"/>
        </w:rPr>
        <w:footnoteReference w:id="22"/>
      </w:r>
      <w:r w:rsidRPr="006D4043">
        <w:rPr>
          <w:rFonts w:ascii="Century" w:hAnsi="Century"/>
        </w:rPr>
        <w:t xml:space="preserve"> of </w:t>
      </w:r>
      <w:r w:rsidRPr="006D4043">
        <w:rPr>
          <w:rFonts w:ascii="Century" w:hAnsi="Century"/>
          <w:i/>
          <w:iCs/>
        </w:rPr>
        <w:t>Kelly’s: Irish Constitution</w:t>
      </w:r>
      <w:r w:rsidRPr="006D4043">
        <w:rPr>
          <w:rFonts w:ascii="Century" w:hAnsi="Century"/>
        </w:rPr>
        <w:t xml:space="preserve">, the leading </w:t>
      </w:r>
      <w:r w:rsidR="006D4043">
        <w:rPr>
          <w:rFonts w:ascii="Century" w:hAnsi="Century"/>
        </w:rPr>
        <w:t>treatise</w:t>
      </w:r>
      <w:r w:rsidRPr="006D4043">
        <w:rPr>
          <w:rFonts w:ascii="Century" w:hAnsi="Century"/>
        </w:rPr>
        <w:t xml:space="preserve"> on Irish</w:t>
      </w:r>
      <w:r w:rsidRPr="00142A36">
        <w:rPr>
          <w:rFonts w:ascii="Century" w:hAnsi="Century"/>
        </w:rPr>
        <w:t xml:space="preserve"> constitutional law, </w:t>
      </w:r>
      <w:r w:rsidR="008206A8">
        <w:rPr>
          <w:rFonts w:ascii="Century" w:hAnsi="Century"/>
        </w:rPr>
        <w:t>similarly argue</w:t>
      </w:r>
      <w:r w:rsidRPr="00142A36">
        <w:rPr>
          <w:rFonts w:ascii="Century" w:hAnsi="Century"/>
        </w:rPr>
        <w:t xml:space="preserve"> that</w:t>
      </w:r>
      <w:r w:rsidR="008206A8">
        <w:rPr>
          <w:rFonts w:ascii="Century" w:hAnsi="Century"/>
        </w:rPr>
        <w:t xml:space="preserve"> analysis of the Court’s case-law yields the conclusion that</w:t>
      </w:r>
      <w:r w:rsidRPr="00142A36">
        <w:rPr>
          <w:rFonts w:ascii="Century" w:hAnsi="Century"/>
        </w:rPr>
        <w:t xml:space="preserve"> </w:t>
      </w:r>
      <w:r w:rsidR="00D207FF" w:rsidRPr="00142A36">
        <w:rPr>
          <w:rFonts w:ascii="Century" w:hAnsi="Century" w:cs="Times New Roman"/>
        </w:rPr>
        <w:t>“considerable latitude is given the Oireachtas to regulate and organise a modern economy</w:t>
      </w:r>
      <w:r w:rsidR="00A10052">
        <w:rPr>
          <w:rFonts w:ascii="Century" w:hAnsi="Century" w:cs="Times New Roman"/>
        </w:rPr>
        <w:t>” and that</w:t>
      </w:r>
      <w:r w:rsidR="00D207FF" w:rsidRPr="00142A36">
        <w:rPr>
          <w:rFonts w:ascii="Century" w:hAnsi="Century" w:cs="Times New Roman"/>
        </w:rPr>
        <w:t xml:space="preserve"> </w:t>
      </w:r>
      <w:r w:rsidR="00A10052">
        <w:rPr>
          <w:rFonts w:ascii="Century" w:hAnsi="Century" w:cs="Times New Roman"/>
        </w:rPr>
        <w:t>t</w:t>
      </w:r>
      <w:r w:rsidR="00D207FF" w:rsidRPr="00142A36">
        <w:rPr>
          <w:rFonts w:ascii="Century" w:hAnsi="Century" w:cs="Times New Roman"/>
        </w:rPr>
        <w:t xml:space="preserve">he </w:t>
      </w:r>
      <w:r w:rsidR="00A10052">
        <w:rPr>
          <w:rFonts w:ascii="Century" w:hAnsi="Century" w:cs="Times New Roman"/>
        </w:rPr>
        <w:t>“</w:t>
      </w:r>
      <w:r w:rsidR="00D207FF" w:rsidRPr="00142A36">
        <w:rPr>
          <w:rFonts w:ascii="Century" w:hAnsi="Century" w:cs="Times New Roman"/>
        </w:rPr>
        <w:t>popular conception to the contrary is a pure myth.”</w:t>
      </w:r>
      <w:r w:rsidR="00D207FF" w:rsidRPr="00142A36">
        <w:rPr>
          <w:rStyle w:val="FootnoteReference"/>
          <w:rFonts w:ascii="Century" w:hAnsi="Century" w:cs="Times New Roman"/>
        </w:rPr>
        <w:footnoteReference w:id="23"/>
      </w:r>
    </w:p>
    <w:p w14:paraId="1047247A" w14:textId="77777777" w:rsidR="00F64DC5" w:rsidRPr="008206A8" w:rsidRDefault="00F64DC5" w:rsidP="008206A8">
      <w:pPr>
        <w:spacing w:line="360" w:lineRule="auto"/>
        <w:jc w:val="both"/>
        <w:rPr>
          <w:rFonts w:ascii="Century" w:hAnsi="Century"/>
        </w:rPr>
      </w:pPr>
    </w:p>
    <w:p w14:paraId="6C0BCCA2" w14:textId="4DD9DC18" w:rsidR="0002337E" w:rsidRDefault="0002337E" w:rsidP="00FB4DF1">
      <w:pPr>
        <w:spacing w:line="360" w:lineRule="auto"/>
        <w:jc w:val="both"/>
        <w:rPr>
          <w:rFonts w:ascii="Century" w:hAnsi="Century"/>
        </w:rPr>
      </w:pPr>
    </w:p>
    <w:p w14:paraId="39DD64A1" w14:textId="7D6A3B24" w:rsidR="001B79C5" w:rsidRDefault="001B79C5" w:rsidP="00FB4DF1">
      <w:pPr>
        <w:spacing w:line="360" w:lineRule="auto"/>
        <w:jc w:val="both"/>
        <w:rPr>
          <w:rFonts w:ascii="Century" w:hAnsi="Century"/>
        </w:rPr>
      </w:pPr>
    </w:p>
    <w:p w14:paraId="6F6BDF4B" w14:textId="18622CF8" w:rsidR="001B79C5" w:rsidRDefault="001B79C5" w:rsidP="00FB4DF1">
      <w:pPr>
        <w:spacing w:line="360" w:lineRule="auto"/>
        <w:jc w:val="both"/>
        <w:rPr>
          <w:rFonts w:ascii="Century" w:hAnsi="Century"/>
        </w:rPr>
      </w:pPr>
    </w:p>
    <w:p w14:paraId="0963EF27" w14:textId="77777777" w:rsidR="001B79C5" w:rsidRPr="00E770B5" w:rsidRDefault="001B79C5" w:rsidP="00FB4DF1">
      <w:pPr>
        <w:spacing w:line="360" w:lineRule="auto"/>
        <w:jc w:val="both"/>
        <w:rPr>
          <w:rFonts w:ascii="Century" w:hAnsi="Century"/>
        </w:rPr>
      </w:pPr>
    </w:p>
    <w:p w14:paraId="644B4E6F" w14:textId="56133D08" w:rsidR="007C131F" w:rsidRPr="00E770B5" w:rsidRDefault="007C131F" w:rsidP="00FB4DF1">
      <w:pPr>
        <w:pStyle w:val="ListParagraph"/>
        <w:numPr>
          <w:ilvl w:val="0"/>
          <w:numId w:val="9"/>
        </w:numPr>
        <w:spacing w:line="360" w:lineRule="auto"/>
        <w:jc w:val="both"/>
        <w:rPr>
          <w:rFonts w:ascii="Century" w:hAnsi="Century"/>
          <w:b/>
          <w:bCs/>
        </w:rPr>
      </w:pPr>
      <w:r w:rsidRPr="00E770B5">
        <w:rPr>
          <w:rFonts w:ascii="Century" w:hAnsi="Century"/>
          <w:b/>
          <w:bCs/>
        </w:rPr>
        <w:lastRenderedPageBreak/>
        <w:t>Disjunction between</w:t>
      </w:r>
      <w:r w:rsidR="001C5217" w:rsidRPr="00E770B5">
        <w:rPr>
          <w:rFonts w:ascii="Century" w:hAnsi="Century"/>
          <w:b/>
          <w:bCs/>
        </w:rPr>
        <w:t xml:space="preserve"> Case</w:t>
      </w:r>
      <w:r w:rsidRPr="00E770B5">
        <w:rPr>
          <w:rFonts w:ascii="Century" w:hAnsi="Century"/>
          <w:b/>
          <w:bCs/>
        </w:rPr>
        <w:t xml:space="preserve"> Law and Political Practice</w:t>
      </w:r>
    </w:p>
    <w:p w14:paraId="1215A6F5" w14:textId="22F48C1E" w:rsidR="00ED5248" w:rsidRPr="00ED5248" w:rsidRDefault="009B05BE" w:rsidP="00FB4DF1">
      <w:pPr>
        <w:pStyle w:val="ListParagraph"/>
        <w:numPr>
          <w:ilvl w:val="0"/>
          <w:numId w:val="5"/>
        </w:numPr>
        <w:spacing w:line="360" w:lineRule="auto"/>
        <w:jc w:val="both"/>
        <w:rPr>
          <w:rFonts w:ascii="Century" w:hAnsi="Century" w:cs="Times New Roman"/>
        </w:rPr>
      </w:pPr>
      <w:r w:rsidRPr="00142A36">
        <w:rPr>
          <w:rFonts w:ascii="Century" w:hAnsi="Century"/>
        </w:rPr>
        <w:t>Th</w:t>
      </w:r>
      <w:r w:rsidR="001C5217" w:rsidRPr="00142A36">
        <w:rPr>
          <w:rFonts w:ascii="Century" w:hAnsi="Century"/>
        </w:rPr>
        <w:t>e</w:t>
      </w:r>
      <w:r w:rsidRPr="00142A36">
        <w:rPr>
          <w:rFonts w:ascii="Century" w:hAnsi="Century"/>
        </w:rPr>
        <w:t xml:space="preserve"> account </w:t>
      </w:r>
      <w:r w:rsidR="007D2299" w:rsidRPr="00142A36">
        <w:rPr>
          <w:rFonts w:ascii="Century" w:hAnsi="Century"/>
        </w:rPr>
        <w:t>just</w:t>
      </w:r>
      <w:r w:rsidR="001C5217" w:rsidRPr="00142A36">
        <w:rPr>
          <w:rFonts w:ascii="Century" w:hAnsi="Century"/>
        </w:rPr>
        <w:t xml:space="preserve"> sketched </w:t>
      </w:r>
      <w:r w:rsidR="007D2299" w:rsidRPr="00142A36">
        <w:rPr>
          <w:rFonts w:ascii="Century" w:hAnsi="Century"/>
        </w:rPr>
        <w:t>might</w:t>
      </w:r>
      <w:r w:rsidRPr="00142A36">
        <w:rPr>
          <w:rFonts w:ascii="Century" w:hAnsi="Century"/>
        </w:rPr>
        <w:t xml:space="preserve"> </w:t>
      </w:r>
      <w:r w:rsidR="006A1D36" w:rsidRPr="00142A36">
        <w:rPr>
          <w:rFonts w:ascii="Century" w:hAnsi="Century"/>
        </w:rPr>
        <w:t>surprise</w:t>
      </w:r>
      <w:r w:rsidRPr="00142A36">
        <w:rPr>
          <w:rFonts w:ascii="Century" w:hAnsi="Century"/>
        </w:rPr>
        <w:t xml:space="preserve"> the average reasonable </w:t>
      </w:r>
      <w:r w:rsidR="006A1D36" w:rsidRPr="00142A36">
        <w:rPr>
          <w:rFonts w:ascii="Century" w:hAnsi="Century"/>
        </w:rPr>
        <w:t xml:space="preserve">citizen who, although </w:t>
      </w:r>
      <w:r w:rsidRPr="00142A36">
        <w:rPr>
          <w:rFonts w:ascii="Century" w:hAnsi="Century"/>
        </w:rPr>
        <w:t>not</w:t>
      </w:r>
      <w:r w:rsidR="006A1D36" w:rsidRPr="00142A36">
        <w:rPr>
          <w:rFonts w:ascii="Century" w:hAnsi="Century"/>
        </w:rPr>
        <w:t xml:space="preserve"> </w:t>
      </w:r>
      <w:r w:rsidRPr="00142A36">
        <w:rPr>
          <w:rFonts w:ascii="Century" w:hAnsi="Century"/>
        </w:rPr>
        <w:t>familiar with the</w:t>
      </w:r>
      <w:r w:rsidR="006A1D36" w:rsidRPr="00142A36">
        <w:rPr>
          <w:rFonts w:ascii="Century" w:hAnsi="Century"/>
        </w:rPr>
        <w:t xml:space="preserve"> minutiae of </w:t>
      </w:r>
      <w:r w:rsidR="001302C5">
        <w:rPr>
          <w:rFonts w:ascii="Century" w:hAnsi="Century"/>
        </w:rPr>
        <w:t>judicial</w:t>
      </w:r>
      <w:r w:rsidR="006A1D36" w:rsidRPr="00142A36">
        <w:rPr>
          <w:rFonts w:ascii="Century" w:hAnsi="Century"/>
        </w:rPr>
        <w:t xml:space="preserve"> </w:t>
      </w:r>
      <w:r w:rsidR="001C5217" w:rsidRPr="00142A36">
        <w:rPr>
          <w:rFonts w:ascii="Century" w:hAnsi="Century"/>
        </w:rPr>
        <w:t>treatment of</w:t>
      </w:r>
      <w:r w:rsidR="006A1D36" w:rsidRPr="00142A36">
        <w:rPr>
          <w:rFonts w:ascii="Century" w:hAnsi="Century"/>
        </w:rPr>
        <w:t xml:space="preserve"> Article</w:t>
      </w:r>
      <w:r w:rsidR="003248DA">
        <w:rPr>
          <w:rFonts w:ascii="Century" w:hAnsi="Century"/>
        </w:rPr>
        <w:t xml:space="preserve">s 40 and </w:t>
      </w:r>
      <w:r w:rsidR="006A1D36" w:rsidRPr="00142A36">
        <w:rPr>
          <w:rFonts w:ascii="Century" w:hAnsi="Century"/>
        </w:rPr>
        <w:t xml:space="preserve">43, </w:t>
      </w:r>
      <w:r w:rsidR="002572E9">
        <w:rPr>
          <w:rFonts w:ascii="Century" w:hAnsi="Century"/>
        </w:rPr>
        <w:t>has</w:t>
      </w:r>
      <w:r w:rsidR="0083477D">
        <w:rPr>
          <w:rFonts w:ascii="Century" w:hAnsi="Century"/>
        </w:rPr>
        <w:t xml:space="preserve"> repeatedly</w:t>
      </w:r>
      <w:r w:rsidR="002572E9">
        <w:rPr>
          <w:rFonts w:ascii="Century" w:hAnsi="Century"/>
        </w:rPr>
        <w:t xml:space="preserve"> </w:t>
      </w:r>
      <w:r w:rsidR="003248DA">
        <w:rPr>
          <w:rFonts w:ascii="Century" w:hAnsi="Century"/>
        </w:rPr>
        <w:t>heard</w:t>
      </w:r>
      <w:r w:rsidR="006A1D36" w:rsidRPr="00142A36">
        <w:rPr>
          <w:rFonts w:ascii="Century" w:hAnsi="Century"/>
        </w:rPr>
        <w:t xml:space="preserve"> the </w:t>
      </w:r>
      <w:r w:rsidRPr="00142A36">
        <w:rPr>
          <w:rFonts w:ascii="Century" w:hAnsi="Century"/>
        </w:rPr>
        <w:t xml:space="preserve">Constitution’s </w:t>
      </w:r>
      <w:r w:rsidR="001C5217" w:rsidRPr="00142A36">
        <w:rPr>
          <w:rFonts w:ascii="Century" w:hAnsi="Century"/>
        </w:rPr>
        <w:t xml:space="preserve">ostensible rigorous </w:t>
      </w:r>
      <w:r w:rsidRPr="00142A36">
        <w:rPr>
          <w:rFonts w:ascii="Century" w:hAnsi="Century"/>
        </w:rPr>
        <w:t>protection of property rights</w:t>
      </w:r>
      <w:r w:rsidR="001C5217" w:rsidRPr="00142A36">
        <w:rPr>
          <w:rFonts w:ascii="Century" w:hAnsi="Century"/>
        </w:rPr>
        <w:t xml:space="preserve"> </w:t>
      </w:r>
      <w:r w:rsidR="0083477D">
        <w:rPr>
          <w:rFonts w:ascii="Century" w:hAnsi="Century"/>
        </w:rPr>
        <w:t xml:space="preserve">being </w:t>
      </w:r>
      <w:r w:rsidR="001C5217" w:rsidRPr="00142A36">
        <w:rPr>
          <w:rFonts w:ascii="Century" w:hAnsi="Century"/>
        </w:rPr>
        <w:t>invoked</w:t>
      </w:r>
      <w:r w:rsidR="006A1D36" w:rsidRPr="00142A36">
        <w:rPr>
          <w:rFonts w:ascii="Century" w:hAnsi="Century"/>
        </w:rPr>
        <w:t xml:space="preserve"> </w:t>
      </w:r>
      <w:r w:rsidR="001C5217" w:rsidRPr="00142A36">
        <w:rPr>
          <w:rFonts w:ascii="Century" w:hAnsi="Century"/>
        </w:rPr>
        <w:t xml:space="preserve">by </w:t>
      </w:r>
      <w:r w:rsidR="002572E9">
        <w:rPr>
          <w:rFonts w:ascii="Century" w:hAnsi="Century"/>
        </w:rPr>
        <w:t>successive</w:t>
      </w:r>
      <w:r w:rsidR="006A1D36" w:rsidRPr="00142A36">
        <w:rPr>
          <w:rFonts w:ascii="Century" w:hAnsi="Century"/>
        </w:rPr>
        <w:t xml:space="preserve"> </w:t>
      </w:r>
      <w:r w:rsidR="002572E9">
        <w:rPr>
          <w:rFonts w:ascii="Century" w:hAnsi="Century"/>
        </w:rPr>
        <w:t>G</w:t>
      </w:r>
      <w:r w:rsidR="006A1D36" w:rsidRPr="00142A36">
        <w:rPr>
          <w:rFonts w:ascii="Century" w:hAnsi="Century"/>
        </w:rPr>
        <w:t>overnments</w:t>
      </w:r>
      <w:r w:rsidRPr="00142A36">
        <w:rPr>
          <w:rFonts w:ascii="Century" w:hAnsi="Century"/>
        </w:rPr>
        <w:t xml:space="preserve"> to justify </w:t>
      </w:r>
      <w:r w:rsidR="00175A17" w:rsidRPr="00142A36">
        <w:rPr>
          <w:rFonts w:ascii="Century" w:hAnsi="Century"/>
        </w:rPr>
        <w:t>not pursuing certain policy</w:t>
      </w:r>
      <w:r w:rsidRPr="00142A36">
        <w:rPr>
          <w:rFonts w:ascii="Century" w:hAnsi="Century"/>
        </w:rPr>
        <w:t xml:space="preserve"> measures to address Ireland’s housing </w:t>
      </w:r>
      <w:r w:rsidR="001C5217" w:rsidRPr="00142A36">
        <w:rPr>
          <w:rFonts w:ascii="Century" w:hAnsi="Century"/>
        </w:rPr>
        <w:t>issues</w:t>
      </w:r>
      <w:r w:rsidRPr="00142A36">
        <w:rPr>
          <w:rFonts w:ascii="Century" w:hAnsi="Century"/>
        </w:rPr>
        <w:t>.</w:t>
      </w:r>
      <w:bookmarkStart w:id="4" w:name="_Ref101613386"/>
      <w:r w:rsidR="00193AF4">
        <w:rPr>
          <w:rStyle w:val="FootnoteReference"/>
          <w:rFonts w:ascii="Century" w:hAnsi="Century"/>
        </w:rPr>
        <w:footnoteReference w:id="24"/>
      </w:r>
      <w:bookmarkEnd w:id="4"/>
    </w:p>
    <w:p w14:paraId="5C253ACB" w14:textId="77777777" w:rsidR="00ED5248" w:rsidRPr="00ED5248" w:rsidRDefault="00ED5248" w:rsidP="00ED5248">
      <w:pPr>
        <w:pStyle w:val="ListParagraph"/>
        <w:spacing w:line="360" w:lineRule="auto"/>
        <w:jc w:val="both"/>
        <w:rPr>
          <w:rFonts w:ascii="Century" w:hAnsi="Century" w:cs="Times New Roman"/>
        </w:rPr>
      </w:pPr>
    </w:p>
    <w:p w14:paraId="3B14F28C" w14:textId="1AB02EE5" w:rsidR="009B05BE" w:rsidRPr="00142A36" w:rsidRDefault="002572E9" w:rsidP="00FB4DF1">
      <w:pPr>
        <w:pStyle w:val="ListParagraph"/>
        <w:numPr>
          <w:ilvl w:val="0"/>
          <w:numId w:val="5"/>
        </w:numPr>
        <w:spacing w:line="360" w:lineRule="auto"/>
        <w:jc w:val="both"/>
        <w:rPr>
          <w:rFonts w:ascii="Century" w:hAnsi="Century" w:cs="Times New Roman"/>
        </w:rPr>
      </w:pPr>
      <w:r>
        <w:rPr>
          <w:rFonts w:ascii="Century" w:hAnsi="Century"/>
        </w:rPr>
        <w:t>Indeed, a</w:t>
      </w:r>
      <w:r w:rsidR="001C5217" w:rsidRPr="00142A36">
        <w:rPr>
          <w:rFonts w:ascii="Century" w:hAnsi="Century"/>
        </w:rPr>
        <w:t>n</w:t>
      </w:r>
      <w:r>
        <w:rPr>
          <w:rFonts w:ascii="Century" w:hAnsi="Century"/>
        </w:rPr>
        <w:t xml:space="preserve"> ambient</w:t>
      </w:r>
      <w:r w:rsidR="009B05BE" w:rsidRPr="00142A36">
        <w:rPr>
          <w:rFonts w:ascii="Century" w:hAnsi="Century"/>
        </w:rPr>
        <w:t xml:space="preserve"> impression</w:t>
      </w:r>
      <w:r w:rsidR="006A1D36" w:rsidRPr="00142A36">
        <w:rPr>
          <w:rFonts w:ascii="Century" w:hAnsi="Century"/>
        </w:rPr>
        <w:t xml:space="preserve"> has</w:t>
      </w:r>
      <w:r w:rsidR="0083477D">
        <w:rPr>
          <w:rFonts w:ascii="Century" w:hAnsi="Century"/>
        </w:rPr>
        <w:t xml:space="preserve"> undoubtedly</w:t>
      </w:r>
      <w:r w:rsidR="006A1D36" w:rsidRPr="00142A36">
        <w:rPr>
          <w:rFonts w:ascii="Century" w:hAnsi="Century"/>
        </w:rPr>
        <w:t xml:space="preserve"> gained traction in public</w:t>
      </w:r>
      <w:r w:rsidR="00250907">
        <w:rPr>
          <w:rStyle w:val="FootnoteReference"/>
          <w:rFonts w:ascii="Century" w:hAnsi="Century"/>
        </w:rPr>
        <w:footnoteReference w:id="25"/>
      </w:r>
      <w:r w:rsidR="006A1D36" w:rsidRPr="00142A36">
        <w:rPr>
          <w:rFonts w:ascii="Century" w:hAnsi="Century"/>
        </w:rPr>
        <w:t xml:space="preserve"> </w:t>
      </w:r>
      <w:r w:rsidR="006A1D36" w:rsidRPr="00142A36">
        <w:rPr>
          <w:rFonts w:ascii="Century" w:hAnsi="Century" w:cs="Times New Roman"/>
        </w:rPr>
        <w:t>debate</w:t>
      </w:r>
      <w:r>
        <w:rPr>
          <w:rFonts w:ascii="Century" w:hAnsi="Century" w:cs="Times New Roman"/>
        </w:rPr>
        <w:t xml:space="preserve"> </w:t>
      </w:r>
      <w:r w:rsidR="009B05BE" w:rsidRPr="00142A36">
        <w:rPr>
          <w:rFonts w:ascii="Century" w:hAnsi="Century" w:cs="Times New Roman"/>
        </w:rPr>
        <w:t xml:space="preserve">that </w:t>
      </w:r>
      <w:r w:rsidR="0083477D">
        <w:rPr>
          <w:rFonts w:ascii="Century" w:hAnsi="Century" w:cs="Times New Roman"/>
        </w:rPr>
        <w:t>private</w:t>
      </w:r>
      <w:r w:rsidR="009B05BE" w:rsidRPr="00142A36">
        <w:rPr>
          <w:rFonts w:ascii="Century" w:hAnsi="Century" w:cs="Times New Roman"/>
        </w:rPr>
        <w:t xml:space="preserve"> property rights are strictly protected</w:t>
      </w:r>
      <w:r>
        <w:rPr>
          <w:rFonts w:ascii="Century" w:hAnsi="Century" w:cs="Times New Roman"/>
        </w:rPr>
        <w:t xml:space="preserve"> by the Constitution</w:t>
      </w:r>
      <w:r w:rsidR="009B05BE" w:rsidRPr="00142A36">
        <w:rPr>
          <w:rFonts w:ascii="Century" w:hAnsi="Century" w:cs="Times New Roman"/>
        </w:rPr>
        <w:t xml:space="preserve"> and</w:t>
      </w:r>
      <w:r w:rsidR="004F7DF9">
        <w:rPr>
          <w:rFonts w:ascii="Century" w:hAnsi="Century" w:cs="Times New Roman"/>
        </w:rPr>
        <w:t xml:space="preserve"> </w:t>
      </w:r>
      <w:r w:rsidR="009B05BE" w:rsidRPr="00142A36">
        <w:rPr>
          <w:rFonts w:ascii="Century" w:hAnsi="Century" w:cs="Times New Roman"/>
        </w:rPr>
        <w:t>p</w:t>
      </w:r>
      <w:r w:rsidR="006A1D36" w:rsidRPr="00142A36">
        <w:rPr>
          <w:rFonts w:ascii="Century" w:hAnsi="Century" w:cs="Times New Roman"/>
        </w:rPr>
        <w:t>lace</w:t>
      </w:r>
      <w:r w:rsidR="009B05BE" w:rsidRPr="00142A36">
        <w:rPr>
          <w:rFonts w:ascii="Century" w:hAnsi="Century" w:cs="Times New Roman"/>
        </w:rPr>
        <w:t xml:space="preserve"> onerous legal burdens and risks in the path of the Oireachtas and Government</w:t>
      </w:r>
      <w:r>
        <w:rPr>
          <w:rFonts w:ascii="Century" w:hAnsi="Century" w:cs="Times New Roman"/>
        </w:rPr>
        <w:t xml:space="preserve"> seeking to regulate them in the interests of the common good</w:t>
      </w:r>
      <w:r w:rsidR="009B05BE" w:rsidRPr="00142A36">
        <w:rPr>
          <w:rFonts w:ascii="Century" w:hAnsi="Century" w:cs="Times New Roman"/>
        </w:rPr>
        <w:t xml:space="preserve">. </w:t>
      </w:r>
    </w:p>
    <w:p w14:paraId="3D0CCBC6" w14:textId="77777777" w:rsidR="009B05BE" w:rsidRPr="00142A36" w:rsidRDefault="009B05BE" w:rsidP="00FB4DF1">
      <w:pPr>
        <w:pStyle w:val="ListParagraph"/>
        <w:spacing w:line="360" w:lineRule="auto"/>
        <w:jc w:val="both"/>
        <w:rPr>
          <w:rFonts w:ascii="Century" w:hAnsi="Century" w:cs="Times New Roman"/>
        </w:rPr>
      </w:pPr>
    </w:p>
    <w:p w14:paraId="1A57E1D0" w14:textId="7888A916" w:rsidR="009B05BE" w:rsidRPr="00142A36" w:rsidRDefault="006A1D36" w:rsidP="00FB4DF1">
      <w:pPr>
        <w:pStyle w:val="ListParagraph"/>
        <w:numPr>
          <w:ilvl w:val="0"/>
          <w:numId w:val="5"/>
        </w:numPr>
        <w:spacing w:line="360" w:lineRule="auto"/>
        <w:jc w:val="both"/>
        <w:rPr>
          <w:rFonts w:ascii="Century" w:hAnsi="Century" w:cs="Times New Roman"/>
        </w:rPr>
      </w:pPr>
      <w:r w:rsidRPr="00142A36">
        <w:rPr>
          <w:rFonts w:ascii="Century" w:hAnsi="Century" w:cs="Times New Roman"/>
        </w:rPr>
        <w:t xml:space="preserve">This </w:t>
      </w:r>
      <w:r w:rsidR="00175A17" w:rsidRPr="00142A36">
        <w:rPr>
          <w:rFonts w:ascii="Century" w:hAnsi="Century" w:cs="Times New Roman"/>
        </w:rPr>
        <w:t>gives</w:t>
      </w:r>
      <w:r w:rsidRPr="00142A36">
        <w:rPr>
          <w:rFonts w:ascii="Century" w:hAnsi="Century" w:cs="Times New Roman"/>
        </w:rPr>
        <w:t xml:space="preserve"> rise to a serious disjunct in need of explanation. How can </w:t>
      </w:r>
      <w:r w:rsidR="00175A17" w:rsidRPr="00142A36">
        <w:rPr>
          <w:rFonts w:ascii="Century" w:hAnsi="Century" w:cs="Times New Roman"/>
        </w:rPr>
        <w:t>we</w:t>
      </w:r>
      <w:r w:rsidRPr="00142A36">
        <w:rPr>
          <w:rFonts w:ascii="Century" w:hAnsi="Century" w:cs="Times New Roman"/>
        </w:rPr>
        <w:t xml:space="preserve"> have a situation where</w:t>
      </w:r>
      <w:r w:rsidR="004733ED" w:rsidRPr="00142A36">
        <w:rPr>
          <w:rFonts w:ascii="Century" w:hAnsi="Century" w:cs="Times New Roman"/>
        </w:rPr>
        <w:t xml:space="preserve"> </w:t>
      </w:r>
      <w:r w:rsidR="009B05BE" w:rsidRPr="00142A36">
        <w:rPr>
          <w:rFonts w:ascii="Century" w:hAnsi="Century" w:cs="Times New Roman"/>
        </w:rPr>
        <w:t>Courts have been largely deferential</w:t>
      </w:r>
      <w:r w:rsidR="00366FB2" w:rsidRPr="00142A36">
        <w:rPr>
          <w:rFonts w:ascii="Century" w:hAnsi="Century" w:cs="Times New Roman"/>
        </w:rPr>
        <w:t xml:space="preserve"> </w:t>
      </w:r>
      <w:r w:rsidR="004733ED" w:rsidRPr="00142A36">
        <w:rPr>
          <w:rFonts w:ascii="Century" w:hAnsi="Century" w:cs="Times New Roman"/>
        </w:rPr>
        <w:t xml:space="preserve">when assessing if </w:t>
      </w:r>
      <w:r w:rsidR="00366FB2" w:rsidRPr="00142A36">
        <w:rPr>
          <w:rFonts w:ascii="Century" w:hAnsi="Century" w:cs="Times New Roman"/>
        </w:rPr>
        <w:t>legislative measures regulating property rights</w:t>
      </w:r>
      <w:r w:rsidR="004733ED" w:rsidRPr="00142A36">
        <w:rPr>
          <w:rFonts w:ascii="Century" w:hAnsi="Century" w:cs="Times New Roman"/>
        </w:rPr>
        <w:t xml:space="preserve"> are constitutional</w:t>
      </w:r>
      <w:r w:rsidR="00366FB2" w:rsidRPr="00142A36">
        <w:rPr>
          <w:rFonts w:ascii="Century" w:hAnsi="Century" w:cs="Times New Roman"/>
        </w:rPr>
        <w:t>, but nonetheless</w:t>
      </w:r>
      <w:r w:rsidR="00175A17" w:rsidRPr="00142A36">
        <w:rPr>
          <w:rFonts w:ascii="Century" w:hAnsi="Century" w:cs="Times New Roman"/>
        </w:rPr>
        <w:t xml:space="preserve"> </w:t>
      </w:r>
      <w:r w:rsidR="002572E9">
        <w:rPr>
          <w:rFonts w:ascii="Century" w:hAnsi="Century" w:cs="Times New Roman"/>
        </w:rPr>
        <w:t>also have</w:t>
      </w:r>
      <w:r w:rsidR="00366FB2" w:rsidRPr="00142A36">
        <w:rPr>
          <w:rFonts w:ascii="Century" w:hAnsi="Century" w:cs="Times New Roman"/>
        </w:rPr>
        <w:t xml:space="preserve"> </w:t>
      </w:r>
      <w:r w:rsidR="00175A17" w:rsidRPr="00142A36">
        <w:rPr>
          <w:rFonts w:ascii="Century" w:hAnsi="Century" w:cs="Times New Roman"/>
        </w:rPr>
        <w:t>a</w:t>
      </w:r>
      <w:r w:rsidR="00366FB2" w:rsidRPr="00142A36">
        <w:rPr>
          <w:rFonts w:ascii="Century" w:hAnsi="Century" w:cs="Times New Roman"/>
        </w:rPr>
        <w:t xml:space="preserve"> widespread perception</w:t>
      </w:r>
      <w:r w:rsidR="00175A17" w:rsidRPr="00142A36">
        <w:rPr>
          <w:rFonts w:ascii="Century" w:hAnsi="Century" w:cs="Times New Roman"/>
        </w:rPr>
        <w:t xml:space="preserve"> that</w:t>
      </w:r>
      <w:r w:rsidR="00366FB2" w:rsidRPr="00142A36">
        <w:rPr>
          <w:rFonts w:ascii="Century" w:hAnsi="Century" w:cs="Times New Roman"/>
        </w:rPr>
        <w:t xml:space="preserve"> </w:t>
      </w:r>
      <w:r w:rsidR="006C24FB">
        <w:rPr>
          <w:rFonts w:ascii="Century" w:hAnsi="Century" w:cs="Times New Roman"/>
        </w:rPr>
        <w:t>the Constitution’s</w:t>
      </w:r>
      <w:r w:rsidR="00366FB2" w:rsidRPr="00142A36">
        <w:rPr>
          <w:rFonts w:ascii="Century" w:hAnsi="Century" w:cs="Times New Roman"/>
        </w:rPr>
        <w:t xml:space="preserve"> protection of property rights </w:t>
      </w:r>
      <w:r w:rsidR="006C24FB">
        <w:rPr>
          <w:rFonts w:ascii="Century" w:hAnsi="Century" w:cs="Times New Roman"/>
        </w:rPr>
        <w:t>presents</w:t>
      </w:r>
      <w:r w:rsidR="00366FB2" w:rsidRPr="00142A36">
        <w:rPr>
          <w:rFonts w:ascii="Century" w:hAnsi="Century" w:cs="Times New Roman"/>
        </w:rPr>
        <w:t xml:space="preserve"> a </w:t>
      </w:r>
      <w:r w:rsidR="00175A17" w:rsidRPr="00142A36">
        <w:rPr>
          <w:rFonts w:ascii="Century" w:hAnsi="Century" w:cs="Times New Roman"/>
        </w:rPr>
        <w:t>serious</w:t>
      </w:r>
      <w:r w:rsidR="00366FB2" w:rsidRPr="00142A36">
        <w:rPr>
          <w:rFonts w:ascii="Century" w:hAnsi="Century" w:cs="Times New Roman"/>
        </w:rPr>
        <w:t xml:space="preserve"> stumbling block to</w:t>
      </w:r>
      <w:r w:rsidR="00175A17" w:rsidRPr="00142A36">
        <w:rPr>
          <w:rFonts w:ascii="Century" w:hAnsi="Century" w:cs="Times New Roman"/>
        </w:rPr>
        <w:t xml:space="preserve"> successful</w:t>
      </w:r>
      <w:r w:rsidR="00366FB2" w:rsidRPr="00142A36">
        <w:rPr>
          <w:rFonts w:ascii="Century" w:hAnsi="Century" w:cs="Times New Roman"/>
        </w:rPr>
        <w:t xml:space="preserve"> legislative action</w:t>
      </w:r>
      <w:r w:rsidR="00175A17" w:rsidRPr="00142A36">
        <w:rPr>
          <w:rFonts w:ascii="Century" w:hAnsi="Century" w:cs="Times New Roman"/>
        </w:rPr>
        <w:t xml:space="preserve"> on housing issues</w:t>
      </w:r>
      <w:r w:rsidR="00366FB2" w:rsidRPr="00142A36">
        <w:rPr>
          <w:rFonts w:ascii="Century" w:hAnsi="Century" w:cs="Times New Roman"/>
        </w:rPr>
        <w:t>?</w:t>
      </w:r>
      <w:r w:rsidR="0079274A" w:rsidRPr="00142A36">
        <w:rPr>
          <w:rFonts w:ascii="Century" w:hAnsi="Century" w:cs="Times New Roman"/>
        </w:rPr>
        <w:t xml:space="preserve"> </w:t>
      </w:r>
      <w:r w:rsidR="004733ED" w:rsidRPr="00142A36">
        <w:rPr>
          <w:rFonts w:ascii="Century" w:hAnsi="Century" w:cs="Times New Roman"/>
        </w:rPr>
        <w:t>How can these facts</w:t>
      </w:r>
      <w:r w:rsidR="00175A17" w:rsidRPr="00142A36">
        <w:rPr>
          <w:rFonts w:ascii="Century" w:hAnsi="Century" w:cs="Times New Roman"/>
        </w:rPr>
        <w:t xml:space="preserve">, which clearly pull in </w:t>
      </w:r>
      <w:r w:rsidR="006C24FB">
        <w:rPr>
          <w:rFonts w:ascii="Century" w:hAnsi="Century" w:cs="Times New Roman"/>
        </w:rPr>
        <w:t>incompatible</w:t>
      </w:r>
      <w:r w:rsidR="00175A17" w:rsidRPr="00142A36">
        <w:rPr>
          <w:rFonts w:ascii="Century" w:hAnsi="Century" w:cs="Times New Roman"/>
        </w:rPr>
        <w:t xml:space="preserve"> directions,</w:t>
      </w:r>
      <w:r w:rsidR="004733ED" w:rsidRPr="00142A36">
        <w:rPr>
          <w:rFonts w:ascii="Century" w:hAnsi="Century" w:cs="Times New Roman"/>
        </w:rPr>
        <w:t xml:space="preserve"> </w:t>
      </w:r>
      <w:r w:rsidR="002572E9">
        <w:rPr>
          <w:rFonts w:ascii="Century" w:hAnsi="Century" w:cs="Times New Roman"/>
        </w:rPr>
        <w:t xml:space="preserve">possibly </w:t>
      </w:r>
      <w:r w:rsidR="001302C5">
        <w:rPr>
          <w:rFonts w:ascii="Century" w:hAnsi="Century" w:cs="Times New Roman"/>
        </w:rPr>
        <w:t>be</w:t>
      </w:r>
      <w:r w:rsidR="002572E9">
        <w:rPr>
          <w:rFonts w:ascii="Century" w:hAnsi="Century" w:cs="Times New Roman"/>
        </w:rPr>
        <w:t xml:space="preserve"> explained</w:t>
      </w:r>
      <w:r w:rsidR="004733ED" w:rsidRPr="00142A36">
        <w:rPr>
          <w:rFonts w:ascii="Century" w:hAnsi="Century" w:cs="Times New Roman"/>
        </w:rPr>
        <w:t>?</w:t>
      </w:r>
    </w:p>
    <w:p w14:paraId="739D7055" w14:textId="77777777" w:rsidR="00366FB2" w:rsidRPr="00142A36" w:rsidRDefault="00366FB2" w:rsidP="00FB4DF1">
      <w:pPr>
        <w:spacing w:line="360" w:lineRule="auto"/>
        <w:jc w:val="both"/>
        <w:rPr>
          <w:rFonts w:ascii="Century" w:hAnsi="Century"/>
        </w:rPr>
      </w:pPr>
    </w:p>
    <w:p w14:paraId="3E049DDA" w14:textId="79AE5F0D" w:rsidR="00322C96" w:rsidRDefault="007D2299" w:rsidP="00FB4DF1">
      <w:pPr>
        <w:pStyle w:val="ListParagraph"/>
        <w:numPr>
          <w:ilvl w:val="0"/>
          <w:numId w:val="5"/>
        </w:numPr>
        <w:spacing w:line="360" w:lineRule="auto"/>
        <w:jc w:val="both"/>
        <w:rPr>
          <w:rFonts w:ascii="Century" w:hAnsi="Century" w:cs="Times New Roman"/>
        </w:rPr>
      </w:pPr>
      <w:r w:rsidRPr="00142A36">
        <w:rPr>
          <w:rFonts w:ascii="Century" w:hAnsi="Century" w:cs="Times New Roman"/>
        </w:rPr>
        <w:t>I have</w:t>
      </w:r>
      <w:r w:rsidR="00322C96" w:rsidRPr="00142A36">
        <w:rPr>
          <w:rFonts w:ascii="Century" w:hAnsi="Century" w:cs="Times New Roman"/>
        </w:rPr>
        <w:t xml:space="preserve"> argued</w:t>
      </w:r>
      <w:r w:rsidR="00DB53F1" w:rsidRPr="00142A36">
        <w:rPr>
          <w:rFonts w:ascii="Century" w:hAnsi="Century" w:cs="Times New Roman"/>
        </w:rPr>
        <w:t>,</w:t>
      </w:r>
      <w:r w:rsidRPr="00142A36">
        <w:rPr>
          <w:rFonts w:ascii="Century" w:hAnsi="Century" w:cs="Times New Roman"/>
        </w:rPr>
        <w:t xml:space="preserve"> along with</w:t>
      </w:r>
      <w:r w:rsidR="00DB53F1" w:rsidRPr="00142A36">
        <w:rPr>
          <w:rFonts w:ascii="Century" w:hAnsi="Century" w:cs="Times New Roman"/>
        </w:rPr>
        <w:t xml:space="preserve"> several</w:t>
      </w:r>
      <w:r w:rsidRPr="00142A36">
        <w:rPr>
          <w:rFonts w:ascii="Century" w:hAnsi="Century" w:cs="Times New Roman"/>
        </w:rPr>
        <w:t xml:space="preserve"> others</w:t>
      </w:r>
      <w:r w:rsidR="00DB53F1" w:rsidRPr="00142A36">
        <w:rPr>
          <w:rFonts w:ascii="Century" w:hAnsi="Century" w:cs="Times New Roman"/>
        </w:rPr>
        <w:t>,</w:t>
      </w:r>
      <w:r w:rsidR="00322C96" w:rsidRPr="00142A36">
        <w:rPr>
          <w:rFonts w:ascii="Century" w:hAnsi="Century" w:cs="Times New Roman"/>
        </w:rPr>
        <w:t xml:space="preserve"> that </w:t>
      </w:r>
      <w:r w:rsidR="00DB53F1" w:rsidRPr="00142A36">
        <w:rPr>
          <w:rFonts w:ascii="Century" w:hAnsi="Century" w:cs="Times New Roman"/>
        </w:rPr>
        <w:t>one</w:t>
      </w:r>
      <w:r w:rsidR="00175A17" w:rsidRPr="00142A36">
        <w:rPr>
          <w:rFonts w:ascii="Century" w:hAnsi="Century" w:cs="Times New Roman"/>
        </w:rPr>
        <w:t xml:space="preserve"> reasonable explanation is that </w:t>
      </w:r>
      <w:r w:rsidR="00381972">
        <w:rPr>
          <w:rFonts w:ascii="Century" w:hAnsi="Century" w:cs="Times New Roman"/>
        </w:rPr>
        <w:t>successive</w:t>
      </w:r>
      <w:r w:rsidR="00322C96" w:rsidRPr="00142A36">
        <w:rPr>
          <w:rFonts w:ascii="Century" w:hAnsi="Century" w:cs="Times New Roman"/>
        </w:rPr>
        <w:t xml:space="preserve"> Government</w:t>
      </w:r>
      <w:r w:rsidR="00381972">
        <w:rPr>
          <w:rFonts w:ascii="Century" w:hAnsi="Century" w:cs="Times New Roman"/>
        </w:rPr>
        <w:t>s</w:t>
      </w:r>
      <w:r w:rsidR="00322C96" w:rsidRPr="00142A36">
        <w:rPr>
          <w:rFonts w:ascii="Century" w:hAnsi="Century" w:cs="Times New Roman"/>
        </w:rPr>
        <w:t xml:space="preserve"> have internalised a deeply skewed</w:t>
      </w:r>
      <w:r w:rsidR="00381972">
        <w:rPr>
          <w:rFonts w:ascii="Century" w:hAnsi="Century" w:cs="Times New Roman"/>
        </w:rPr>
        <w:t>, crabbed,</w:t>
      </w:r>
      <w:r w:rsidR="00322C96" w:rsidRPr="00142A36">
        <w:rPr>
          <w:rFonts w:ascii="Century" w:hAnsi="Century" w:cs="Times New Roman"/>
        </w:rPr>
        <w:t xml:space="preserve"> and highly risk averse understanding of the </w:t>
      </w:r>
      <w:r w:rsidR="00DB53F1" w:rsidRPr="00142A36">
        <w:rPr>
          <w:rFonts w:ascii="Century" w:hAnsi="Century" w:cs="Times New Roman"/>
        </w:rPr>
        <w:t>Oireachtas’</w:t>
      </w:r>
      <w:r w:rsidR="00322C96" w:rsidRPr="00142A36">
        <w:rPr>
          <w:rFonts w:ascii="Century" w:hAnsi="Century" w:cs="Times New Roman"/>
        </w:rPr>
        <w:t xml:space="preserve"> </w:t>
      </w:r>
      <w:r w:rsidRPr="00142A36">
        <w:rPr>
          <w:rFonts w:ascii="Century" w:hAnsi="Century" w:cs="Times New Roman"/>
        </w:rPr>
        <w:t xml:space="preserve">constitutional law-making </w:t>
      </w:r>
      <w:r w:rsidR="00322C96" w:rsidRPr="00142A36">
        <w:rPr>
          <w:rFonts w:ascii="Century" w:hAnsi="Century" w:cs="Times New Roman"/>
        </w:rPr>
        <w:t xml:space="preserve">authority to regulate property rights for the common good. </w:t>
      </w:r>
    </w:p>
    <w:p w14:paraId="4EDAD3BD" w14:textId="77777777" w:rsidR="00DF7539" w:rsidRPr="00DF7539" w:rsidRDefault="00DF7539" w:rsidP="00DF7539">
      <w:pPr>
        <w:pStyle w:val="ListParagraph"/>
        <w:rPr>
          <w:rFonts w:ascii="Century" w:hAnsi="Century" w:cs="Times New Roman"/>
        </w:rPr>
      </w:pPr>
    </w:p>
    <w:p w14:paraId="4CFFF328" w14:textId="77777777" w:rsidR="00DF7539" w:rsidRPr="00142A36" w:rsidRDefault="00DF7539" w:rsidP="00DF7539">
      <w:pPr>
        <w:pStyle w:val="ListParagraph"/>
        <w:numPr>
          <w:ilvl w:val="0"/>
          <w:numId w:val="5"/>
        </w:numPr>
        <w:spacing w:line="360" w:lineRule="auto"/>
        <w:jc w:val="both"/>
        <w:rPr>
          <w:rFonts w:ascii="Century" w:hAnsi="Century" w:cs="ñ’&amp;»˛"/>
        </w:rPr>
      </w:pPr>
      <w:r w:rsidRPr="00142A36">
        <w:rPr>
          <w:rFonts w:ascii="Century" w:hAnsi="Century" w:cs="Times New Roman"/>
        </w:rPr>
        <w:lastRenderedPageBreak/>
        <w:t xml:space="preserve">The confidentiality of </w:t>
      </w:r>
      <w:r>
        <w:rPr>
          <w:rFonts w:ascii="Century" w:hAnsi="Century" w:cs="Times New Roman"/>
        </w:rPr>
        <w:t>Government</w:t>
      </w:r>
      <w:r w:rsidRPr="00142A36">
        <w:rPr>
          <w:rFonts w:ascii="Century" w:hAnsi="Century" w:cs="Times New Roman"/>
        </w:rPr>
        <w:t xml:space="preserve"> deliberations</w:t>
      </w:r>
      <w:r>
        <w:rPr>
          <w:rStyle w:val="FootnoteReference"/>
          <w:rFonts w:ascii="Century" w:hAnsi="Century" w:cs="Times New Roman"/>
        </w:rPr>
        <w:footnoteReference w:id="26"/>
      </w:r>
      <w:r w:rsidRPr="00142A36">
        <w:rPr>
          <w:rFonts w:ascii="Century" w:hAnsi="Century" w:cs="Times New Roman"/>
        </w:rPr>
        <w:t xml:space="preserve"> makes it hard to say definitively how </w:t>
      </w:r>
      <w:r>
        <w:rPr>
          <w:rFonts w:ascii="Century" w:hAnsi="Century" w:cs="Times New Roman"/>
        </w:rPr>
        <w:t>its</w:t>
      </w:r>
      <w:r w:rsidRPr="00142A36">
        <w:rPr>
          <w:rFonts w:ascii="Century" w:hAnsi="Century" w:cs="Times New Roman"/>
        </w:rPr>
        <w:t xml:space="preserve"> internalisation of a skewed understanding of the relevant constitutional law has come about. But evidence can be gleaned </w:t>
      </w:r>
      <w:r>
        <w:rPr>
          <w:rFonts w:ascii="Century" w:hAnsi="Century" w:cs="Times New Roman"/>
        </w:rPr>
        <w:t>by</w:t>
      </w:r>
      <w:r w:rsidRPr="00142A36">
        <w:rPr>
          <w:rFonts w:ascii="Century" w:hAnsi="Century" w:cs="Times New Roman"/>
        </w:rPr>
        <w:t xml:space="preserve"> analysing what members of Government say in their public statements and during debates</w:t>
      </w:r>
      <w:r>
        <w:rPr>
          <w:rFonts w:ascii="Century" w:hAnsi="Century" w:cs="Times New Roman"/>
        </w:rPr>
        <w:t xml:space="preserve"> in the Oireachtas about why and how they have come to adopt this position. And when one analyses these statements, I argue it</w:t>
      </w:r>
      <w:r w:rsidRPr="00142A36">
        <w:rPr>
          <w:rFonts w:ascii="Century" w:hAnsi="Century" w:cs="Times New Roman"/>
        </w:rPr>
        <w:t xml:space="preserve"> support</w:t>
      </w:r>
      <w:r>
        <w:rPr>
          <w:rFonts w:ascii="Century" w:hAnsi="Century" w:cs="Times New Roman"/>
        </w:rPr>
        <w:t>s</w:t>
      </w:r>
      <w:r w:rsidRPr="00142A36">
        <w:rPr>
          <w:rFonts w:ascii="Century" w:hAnsi="Century" w:cs="Times New Roman"/>
        </w:rPr>
        <w:t xml:space="preserve"> </w:t>
      </w:r>
      <w:r>
        <w:rPr>
          <w:rFonts w:ascii="Century" w:hAnsi="Century" w:cs="Times New Roman"/>
        </w:rPr>
        <w:t>the contention</w:t>
      </w:r>
      <w:r w:rsidRPr="00142A36">
        <w:rPr>
          <w:rFonts w:ascii="Century" w:hAnsi="Century" w:cs="Times New Roman"/>
        </w:rPr>
        <w:t xml:space="preserve"> that legal advice given to the Government has played an outsized role in shaping their views on the legality of regulating property rights</w:t>
      </w:r>
    </w:p>
    <w:p w14:paraId="318177B9" w14:textId="77777777" w:rsidR="00DF7539" w:rsidRPr="00142A36" w:rsidRDefault="00DF7539" w:rsidP="00DF7539">
      <w:pPr>
        <w:pStyle w:val="ListParagraph"/>
        <w:spacing w:line="360" w:lineRule="auto"/>
        <w:jc w:val="both"/>
        <w:rPr>
          <w:rFonts w:ascii="Century" w:hAnsi="Century" w:cs="Times New Roman"/>
        </w:rPr>
      </w:pPr>
    </w:p>
    <w:p w14:paraId="78F70BD4" w14:textId="3EBA7EB6" w:rsidR="007D2299" w:rsidRPr="00DF7539" w:rsidRDefault="007D2299" w:rsidP="00DF7539">
      <w:pPr>
        <w:spacing w:line="360" w:lineRule="auto"/>
        <w:jc w:val="both"/>
        <w:rPr>
          <w:rFonts w:ascii="Century" w:hAnsi="Century"/>
        </w:rPr>
      </w:pPr>
    </w:p>
    <w:p w14:paraId="507D59AA" w14:textId="7779D2F1" w:rsidR="00D207FF" w:rsidRPr="00142A36" w:rsidRDefault="00BD1F9B" w:rsidP="00FB4DF1">
      <w:pPr>
        <w:pStyle w:val="ListParagraph"/>
        <w:numPr>
          <w:ilvl w:val="0"/>
          <w:numId w:val="5"/>
        </w:numPr>
        <w:spacing w:line="360" w:lineRule="auto"/>
        <w:jc w:val="both"/>
        <w:rPr>
          <w:rFonts w:ascii="Century" w:hAnsi="Century" w:cs="Times New Roman"/>
        </w:rPr>
      </w:pPr>
      <w:r>
        <w:rPr>
          <w:rFonts w:ascii="Century" w:hAnsi="Century" w:cs="Times New Roman"/>
        </w:rPr>
        <w:t>It is well documented that the</w:t>
      </w:r>
      <w:r w:rsidR="007D2299" w:rsidRPr="00142A36">
        <w:rPr>
          <w:rFonts w:ascii="Century" w:hAnsi="Century" w:cs="Times New Roman"/>
        </w:rPr>
        <w:t xml:space="preserve"> </w:t>
      </w:r>
      <w:r w:rsidR="008871D8">
        <w:rPr>
          <w:rFonts w:ascii="Century" w:hAnsi="Century" w:cs="Times New Roman"/>
        </w:rPr>
        <w:t>small group</w:t>
      </w:r>
      <w:r w:rsidR="007D2299" w:rsidRPr="00142A36">
        <w:rPr>
          <w:rFonts w:ascii="Century" w:hAnsi="Century" w:cs="Times New Roman"/>
        </w:rPr>
        <w:t xml:space="preserve"> lawyers who provide legal advice to Government – the</w:t>
      </w:r>
      <w:r w:rsidR="008871D8">
        <w:rPr>
          <w:rFonts w:ascii="Century" w:hAnsi="Century" w:cs="Times New Roman"/>
        </w:rPr>
        <w:t xml:space="preserve"> Attorney General, Advisory Counsel in the</w:t>
      </w:r>
      <w:r w:rsidR="007D2299" w:rsidRPr="00142A36">
        <w:rPr>
          <w:rFonts w:ascii="Century" w:hAnsi="Century" w:cs="Times New Roman"/>
        </w:rPr>
        <w:t xml:space="preserve"> Attorney General’s Office, the Office of Parliamentary Legal Counsel, and the small circle of senior barristers externally briefed to provide opinions to assist the Attorney General’s work</w:t>
      </w:r>
      <w:r w:rsidR="0096744B" w:rsidRPr="00142A36">
        <w:rPr>
          <w:rFonts w:ascii="Century" w:hAnsi="Century" w:cs="Times New Roman"/>
        </w:rPr>
        <w:t xml:space="preserve"> </w:t>
      </w:r>
      <w:r w:rsidR="007D2299" w:rsidRPr="00142A36">
        <w:rPr>
          <w:rFonts w:ascii="Century" w:hAnsi="Century" w:cs="Times New Roman"/>
        </w:rPr>
        <w:t>–</w:t>
      </w:r>
      <w:r w:rsidR="0002337E">
        <w:rPr>
          <w:rFonts w:ascii="Century" w:hAnsi="Century" w:cs="Times New Roman"/>
        </w:rPr>
        <w:t xml:space="preserve"> </w:t>
      </w:r>
      <w:r w:rsidR="007D2299" w:rsidRPr="00142A36">
        <w:rPr>
          <w:rFonts w:ascii="Century" w:hAnsi="Century" w:cs="Times New Roman"/>
        </w:rPr>
        <w:t xml:space="preserve">exercise a significant influence over the </w:t>
      </w:r>
      <w:r w:rsidR="00A17CC3" w:rsidRPr="00142A36">
        <w:rPr>
          <w:rFonts w:ascii="Century" w:hAnsi="Century" w:cs="Times New Roman"/>
        </w:rPr>
        <w:t xml:space="preserve">policymaking process. </w:t>
      </w:r>
      <w:r w:rsidR="00D207FF" w:rsidRPr="00142A36">
        <w:rPr>
          <w:rFonts w:ascii="Century" w:hAnsi="Century" w:cs="Times New Roman"/>
        </w:rPr>
        <w:t>Even though the Attorney-General is constitutionally</w:t>
      </w:r>
      <w:r w:rsidR="004E322F" w:rsidRPr="00142A36">
        <w:rPr>
          <w:rFonts w:ascii="Century" w:hAnsi="Century" w:cs="Times New Roman"/>
        </w:rPr>
        <w:t xml:space="preserve"> strictly speaking</w:t>
      </w:r>
      <w:r w:rsidR="00D207FF" w:rsidRPr="00142A36">
        <w:rPr>
          <w:rFonts w:ascii="Century" w:hAnsi="Century" w:cs="Times New Roman"/>
        </w:rPr>
        <w:t xml:space="preserve"> only a legal </w:t>
      </w:r>
      <w:r w:rsidR="00D207FF" w:rsidRPr="00142A36">
        <w:rPr>
          <w:rFonts w:ascii="Century" w:hAnsi="Century" w:cs="Times New Roman"/>
          <w:i/>
          <w:iCs/>
        </w:rPr>
        <w:t xml:space="preserve">advisor, </w:t>
      </w:r>
      <w:r w:rsidR="00D207FF" w:rsidRPr="00142A36">
        <w:rPr>
          <w:rFonts w:ascii="Century" w:hAnsi="Century" w:cs="Times New Roman"/>
        </w:rPr>
        <w:t>in practice Government</w:t>
      </w:r>
      <w:r w:rsidR="004E322F" w:rsidRPr="00142A36">
        <w:rPr>
          <w:rFonts w:ascii="Century" w:hAnsi="Century" w:cs="Times New Roman"/>
        </w:rPr>
        <w:t xml:space="preserve">s have </w:t>
      </w:r>
      <w:r w:rsidR="004E322F" w:rsidRPr="00142A36">
        <w:rPr>
          <w:rFonts w:ascii="Century" w:hAnsi="Century" w:cs="ñ’&amp;»˛"/>
        </w:rPr>
        <w:t>proceeded on the basis their</w:t>
      </w:r>
      <w:r w:rsidR="00D207FF" w:rsidRPr="00142A36">
        <w:rPr>
          <w:rFonts w:ascii="Century" w:hAnsi="Century" w:cs="ñ’&amp;»˛"/>
        </w:rPr>
        <w:t xml:space="preserve"> </w:t>
      </w:r>
      <w:r w:rsidR="004E322F" w:rsidRPr="00142A36">
        <w:rPr>
          <w:rFonts w:ascii="Century" w:hAnsi="Century" w:cs="ñ’&amp;»˛"/>
        </w:rPr>
        <w:t>“</w:t>
      </w:r>
      <w:r w:rsidR="00D207FF" w:rsidRPr="00142A36">
        <w:rPr>
          <w:rFonts w:ascii="Century" w:hAnsi="Century" w:cs="ñ’&amp;»˛"/>
        </w:rPr>
        <w:t>advice is not merely highly authoritative and of great</w:t>
      </w:r>
      <w:r w:rsidR="004E322F" w:rsidRPr="00142A36">
        <w:rPr>
          <w:rFonts w:ascii="Century" w:hAnsi="Century" w:cs="ñ’&amp;»˛"/>
        </w:rPr>
        <w:t xml:space="preserve"> </w:t>
      </w:r>
      <w:r w:rsidR="00D207FF" w:rsidRPr="00142A36">
        <w:rPr>
          <w:rFonts w:ascii="Century" w:hAnsi="Century" w:cs="ñ’&amp;»˛"/>
        </w:rPr>
        <w:t>weight when considering policies, but binding as a constitutional matter.</w:t>
      </w:r>
      <w:r w:rsidR="004E322F" w:rsidRPr="00142A36">
        <w:rPr>
          <w:rFonts w:ascii="Century" w:hAnsi="Century" w:cs="ñ’&amp;»˛"/>
        </w:rPr>
        <w:t>”</w:t>
      </w:r>
      <w:r w:rsidR="004E322F" w:rsidRPr="00142A36">
        <w:rPr>
          <w:rStyle w:val="FootnoteReference"/>
          <w:rFonts w:ascii="Century" w:hAnsi="Century" w:cs="ñ’&amp;»˛"/>
        </w:rPr>
        <w:footnoteReference w:id="27"/>
      </w:r>
    </w:p>
    <w:p w14:paraId="34D32B96" w14:textId="77777777" w:rsidR="00EC1473" w:rsidRPr="00142A36" w:rsidRDefault="00EC1473" w:rsidP="00FB4DF1">
      <w:pPr>
        <w:pStyle w:val="ListParagraph"/>
        <w:spacing w:line="360" w:lineRule="auto"/>
        <w:rPr>
          <w:rFonts w:ascii="Century" w:hAnsi="Century" w:cs="ñ’&amp;»˛"/>
        </w:rPr>
      </w:pPr>
    </w:p>
    <w:p w14:paraId="12E0FA0F" w14:textId="139BD22E" w:rsidR="00EC1473" w:rsidRPr="00DF7539" w:rsidRDefault="00EC1473" w:rsidP="00FB4DF1">
      <w:pPr>
        <w:pStyle w:val="ListParagraph"/>
        <w:numPr>
          <w:ilvl w:val="0"/>
          <w:numId w:val="5"/>
        </w:numPr>
        <w:spacing w:line="360" w:lineRule="auto"/>
        <w:jc w:val="both"/>
        <w:rPr>
          <w:rFonts w:ascii="Century" w:hAnsi="Century" w:cs="ñ’&amp;»˛"/>
        </w:rPr>
      </w:pPr>
      <w:r w:rsidRPr="00142A36">
        <w:rPr>
          <w:rFonts w:ascii="Century" w:hAnsi="Century" w:cs="ñ’&amp;»˛"/>
        </w:rPr>
        <w:t xml:space="preserve">This means it </w:t>
      </w:r>
      <w:r w:rsidRPr="00142A36">
        <w:rPr>
          <w:rFonts w:ascii="Century" w:hAnsi="Century" w:cs="Times New Roman"/>
        </w:rPr>
        <w:t xml:space="preserve">is no exaggeration to say, as Professor Carolan does, that the work of </w:t>
      </w:r>
      <w:r w:rsidR="00DB53F1" w:rsidRPr="00142A36">
        <w:rPr>
          <w:rFonts w:ascii="Century" w:hAnsi="Century" w:cs="Times New Roman"/>
        </w:rPr>
        <w:t>the Attorney General</w:t>
      </w:r>
      <w:r w:rsidR="008871D8">
        <w:rPr>
          <w:rFonts w:ascii="Century" w:hAnsi="Century" w:cs="Times New Roman"/>
        </w:rPr>
        <w:t xml:space="preserve"> and those assisting them</w:t>
      </w:r>
      <w:r w:rsidR="00DB53F1" w:rsidRPr="00142A36">
        <w:rPr>
          <w:rFonts w:ascii="Century" w:hAnsi="Century" w:cs="Times New Roman"/>
        </w:rPr>
        <w:t xml:space="preserve"> is</w:t>
      </w:r>
      <w:r w:rsidRPr="00142A36">
        <w:rPr>
          <w:rFonts w:ascii="Century" w:hAnsi="Century" w:cs="Times New Roman"/>
        </w:rPr>
        <w:t xml:space="preserve"> </w:t>
      </w:r>
      <w:r w:rsidR="009F3691">
        <w:rPr>
          <w:rFonts w:ascii="Century" w:hAnsi="Century" w:cs="Times New Roman"/>
        </w:rPr>
        <w:t>amongst the</w:t>
      </w:r>
      <w:r w:rsidRPr="00142A36">
        <w:rPr>
          <w:rFonts w:ascii="Century" w:hAnsi="Century" w:cs="Times New Roman"/>
        </w:rPr>
        <w:t xml:space="preserve"> </w:t>
      </w:r>
      <w:r w:rsidR="009F3691">
        <w:rPr>
          <w:rFonts w:ascii="Century" w:hAnsi="Century" w:cs="Times New Roman"/>
        </w:rPr>
        <w:t>“</w:t>
      </w:r>
      <w:r w:rsidRPr="00142A36">
        <w:rPr>
          <w:rFonts w:ascii="Century" w:hAnsi="Century" w:cs="Times New Roman"/>
        </w:rPr>
        <w:t>most significant constraint in the Irish system on the content of public policy”.</w:t>
      </w:r>
      <w:bookmarkStart w:id="5" w:name="_Ref101613181"/>
      <w:r w:rsidRPr="00142A36">
        <w:rPr>
          <w:rStyle w:val="FootnoteReference"/>
          <w:rFonts w:ascii="Century" w:hAnsi="Century" w:cs="Times New Roman"/>
        </w:rPr>
        <w:footnoteReference w:id="28"/>
      </w:r>
      <w:bookmarkEnd w:id="5"/>
      <w:r w:rsidRPr="00142A36">
        <w:rPr>
          <w:rFonts w:ascii="Century" w:hAnsi="Century" w:cs="Times New Roman"/>
        </w:rPr>
        <w:t xml:space="preserve"> The content and tenor of the legal advice given to the Government</w:t>
      </w:r>
      <w:r w:rsidR="0096744B" w:rsidRPr="00142A36">
        <w:rPr>
          <w:rFonts w:ascii="Century" w:hAnsi="Century" w:cs="Times New Roman"/>
        </w:rPr>
        <w:t xml:space="preserve"> by the Office</w:t>
      </w:r>
      <w:r w:rsidR="00DB53F1" w:rsidRPr="00142A36">
        <w:rPr>
          <w:rFonts w:ascii="Century" w:hAnsi="Century" w:cs="Times New Roman"/>
        </w:rPr>
        <w:t xml:space="preserve"> therefore</w:t>
      </w:r>
      <w:r w:rsidRPr="00142A36">
        <w:rPr>
          <w:rFonts w:ascii="Century" w:hAnsi="Century" w:cs="Times New Roman"/>
        </w:rPr>
        <w:t xml:space="preserve"> plays </w:t>
      </w:r>
      <w:r w:rsidR="00DB53F1" w:rsidRPr="00142A36">
        <w:rPr>
          <w:rFonts w:ascii="Century" w:hAnsi="Century" w:cs="Times New Roman"/>
        </w:rPr>
        <w:t>a</w:t>
      </w:r>
      <w:r w:rsidRPr="00142A36">
        <w:rPr>
          <w:rFonts w:ascii="Century" w:hAnsi="Century" w:cs="Times New Roman"/>
        </w:rPr>
        <w:t xml:space="preserve"> critical role in </w:t>
      </w:r>
      <w:r w:rsidR="00DB53F1" w:rsidRPr="00142A36">
        <w:rPr>
          <w:rFonts w:ascii="Century" w:hAnsi="Century" w:cs="Times New Roman"/>
        </w:rPr>
        <w:t>fixing</w:t>
      </w:r>
      <w:r w:rsidRPr="00142A36">
        <w:rPr>
          <w:rFonts w:ascii="Century" w:hAnsi="Century" w:cs="Times New Roman"/>
        </w:rPr>
        <w:t xml:space="preserve"> the bounds of what </w:t>
      </w:r>
      <w:r w:rsidR="009F3691">
        <w:rPr>
          <w:rFonts w:ascii="Century" w:hAnsi="Century" w:cs="Times New Roman"/>
        </w:rPr>
        <w:t>its</w:t>
      </w:r>
      <w:r w:rsidR="00DB53F1" w:rsidRPr="00142A36">
        <w:rPr>
          <w:rFonts w:ascii="Century" w:hAnsi="Century" w:cs="Times New Roman"/>
        </w:rPr>
        <w:t xml:space="preserve"> incumbents</w:t>
      </w:r>
      <w:r w:rsidRPr="00142A36">
        <w:rPr>
          <w:rFonts w:ascii="Century" w:hAnsi="Century" w:cs="Times New Roman"/>
        </w:rPr>
        <w:t xml:space="preserve"> internalise as constitutionally possible and licit</w:t>
      </w:r>
      <w:r w:rsidR="00DB53F1" w:rsidRPr="00142A36">
        <w:rPr>
          <w:rFonts w:ascii="Century" w:hAnsi="Century" w:cs="Times New Roman"/>
        </w:rPr>
        <w:t xml:space="preserve"> policy choices</w:t>
      </w:r>
      <w:r w:rsidRPr="00142A36">
        <w:rPr>
          <w:rFonts w:ascii="Century" w:hAnsi="Century" w:cs="Times New Roman"/>
        </w:rPr>
        <w:t>.</w:t>
      </w:r>
      <w:r w:rsidR="0008416D">
        <w:rPr>
          <w:rStyle w:val="FootnoteReference"/>
          <w:rFonts w:ascii="Century" w:hAnsi="Century" w:cs="Times New Roman"/>
        </w:rPr>
        <w:footnoteReference w:id="29"/>
      </w:r>
      <w:r w:rsidRPr="00142A36">
        <w:rPr>
          <w:rFonts w:ascii="Century" w:hAnsi="Century" w:cs="Times New Roman"/>
        </w:rPr>
        <w:t xml:space="preserve"> </w:t>
      </w:r>
    </w:p>
    <w:p w14:paraId="3B31D17B" w14:textId="77777777" w:rsidR="007D2299" w:rsidRPr="00142A36" w:rsidRDefault="007D2299" w:rsidP="00FB4DF1">
      <w:pPr>
        <w:spacing w:line="360" w:lineRule="auto"/>
        <w:rPr>
          <w:rFonts w:ascii="Century" w:hAnsi="Century"/>
        </w:rPr>
      </w:pPr>
    </w:p>
    <w:p w14:paraId="43616304" w14:textId="71FBFBE5" w:rsidR="00EE6C74" w:rsidRDefault="00F83ACE" w:rsidP="00FB4DF1">
      <w:pPr>
        <w:pStyle w:val="ListParagraph"/>
        <w:numPr>
          <w:ilvl w:val="0"/>
          <w:numId w:val="5"/>
        </w:numPr>
        <w:spacing w:line="360" w:lineRule="auto"/>
        <w:jc w:val="both"/>
        <w:rPr>
          <w:rFonts w:ascii="Century" w:hAnsi="Century" w:cs="Times New Roman"/>
        </w:rPr>
      </w:pPr>
      <w:r w:rsidRPr="008871D8">
        <w:rPr>
          <w:rFonts w:ascii="Century" w:hAnsi="Century" w:cs="Times New Roman"/>
        </w:rPr>
        <w:lastRenderedPageBreak/>
        <w:t>The</w:t>
      </w:r>
      <w:r w:rsidR="0096744B" w:rsidRPr="008871D8">
        <w:rPr>
          <w:rFonts w:ascii="Century" w:hAnsi="Century" w:cs="Times New Roman"/>
        </w:rPr>
        <w:t xml:space="preserve"> starting point for assessing the </w:t>
      </w:r>
      <w:r w:rsidR="008871D8" w:rsidRPr="008871D8">
        <w:rPr>
          <w:rFonts w:ascii="Century" w:hAnsi="Century" w:cs="Times New Roman"/>
        </w:rPr>
        <w:t xml:space="preserve">likely </w:t>
      </w:r>
      <w:r w:rsidR="00752095" w:rsidRPr="008871D8">
        <w:rPr>
          <w:rFonts w:ascii="Century" w:hAnsi="Century" w:cs="Times New Roman"/>
        </w:rPr>
        <w:t>impact</w:t>
      </w:r>
      <w:r w:rsidR="0096744B" w:rsidRPr="008871D8">
        <w:rPr>
          <w:rFonts w:ascii="Century" w:hAnsi="Century" w:cs="Times New Roman"/>
        </w:rPr>
        <w:t xml:space="preserve"> </w:t>
      </w:r>
      <w:r w:rsidR="00752095" w:rsidRPr="008871D8">
        <w:rPr>
          <w:rFonts w:ascii="Century" w:hAnsi="Century" w:cs="Times New Roman"/>
        </w:rPr>
        <w:t xml:space="preserve">the </w:t>
      </w:r>
      <w:r w:rsidR="0096744B" w:rsidRPr="008871D8">
        <w:rPr>
          <w:rFonts w:ascii="Century" w:hAnsi="Century" w:cs="Times New Roman"/>
        </w:rPr>
        <w:t>legal advice given to Government on the constitutionality of property rights</w:t>
      </w:r>
      <w:r w:rsidR="00752095" w:rsidRPr="008871D8">
        <w:rPr>
          <w:rFonts w:ascii="Century" w:hAnsi="Century" w:cs="Times New Roman"/>
        </w:rPr>
        <w:t xml:space="preserve"> has had on housing policy</w:t>
      </w:r>
      <w:r w:rsidR="008871D8" w:rsidRPr="008871D8">
        <w:rPr>
          <w:rFonts w:ascii="Century" w:hAnsi="Century" w:cs="Times New Roman"/>
        </w:rPr>
        <w:t>,</w:t>
      </w:r>
      <w:r w:rsidR="0096744B" w:rsidRPr="008871D8">
        <w:rPr>
          <w:rFonts w:ascii="Century" w:hAnsi="Century" w:cs="Times New Roman"/>
        </w:rPr>
        <w:t xml:space="preserve"> is to note that Attorney General’s advice is legally privileged. There is a very strong</w:t>
      </w:r>
      <w:r w:rsidR="00F97E17">
        <w:rPr>
          <w:rFonts w:ascii="Century" w:hAnsi="Century" w:cs="Times New Roman"/>
        </w:rPr>
        <w:t xml:space="preserve"> </w:t>
      </w:r>
      <w:r w:rsidR="0096744B" w:rsidRPr="008871D8">
        <w:rPr>
          <w:rFonts w:ascii="Century" w:hAnsi="Century" w:cs="Times New Roman"/>
        </w:rPr>
        <w:t xml:space="preserve">level of confidentiality </w:t>
      </w:r>
      <w:r w:rsidR="00752095" w:rsidRPr="008871D8">
        <w:rPr>
          <w:rFonts w:ascii="Century" w:hAnsi="Century" w:cs="Times New Roman"/>
        </w:rPr>
        <w:t>maintained</w:t>
      </w:r>
      <w:r w:rsidR="0096744B" w:rsidRPr="008871D8">
        <w:rPr>
          <w:rFonts w:ascii="Century" w:hAnsi="Century" w:cs="Times New Roman"/>
        </w:rPr>
        <w:t xml:space="preserve"> by Government over the content of the legal advice it receive</w:t>
      </w:r>
      <w:r w:rsidR="00752095" w:rsidRPr="008871D8">
        <w:rPr>
          <w:rFonts w:ascii="Century" w:hAnsi="Century" w:cs="Times New Roman"/>
        </w:rPr>
        <w:t>s</w:t>
      </w:r>
      <w:r w:rsidR="0096744B" w:rsidRPr="008871D8">
        <w:rPr>
          <w:rFonts w:ascii="Century" w:hAnsi="Century" w:cs="Times New Roman"/>
        </w:rPr>
        <w:t>.</w:t>
      </w:r>
      <w:r w:rsidR="001A2A21">
        <w:rPr>
          <w:rStyle w:val="FootnoteReference"/>
          <w:rFonts w:ascii="Century" w:hAnsi="Century" w:cs="Times New Roman"/>
        </w:rPr>
        <w:footnoteReference w:id="30"/>
      </w:r>
      <w:r w:rsidR="001E17BC" w:rsidRPr="008871D8">
        <w:rPr>
          <w:rFonts w:ascii="Century" w:hAnsi="Century" w:cs="Times New Roman"/>
        </w:rPr>
        <w:t xml:space="preserve"> </w:t>
      </w:r>
      <w:r w:rsidR="00752095" w:rsidRPr="008871D8">
        <w:rPr>
          <w:rFonts w:ascii="Century" w:hAnsi="Century" w:cs="Times New Roman"/>
        </w:rPr>
        <w:t xml:space="preserve">Because the Government enjoys legal privilege and </w:t>
      </w:r>
      <w:r w:rsidR="001A2A21">
        <w:rPr>
          <w:rFonts w:ascii="Century" w:hAnsi="Century" w:cs="Times New Roman"/>
        </w:rPr>
        <w:t>the benefit of c</w:t>
      </w:r>
      <w:r w:rsidR="00752095" w:rsidRPr="008871D8">
        <w:rPr>
          <w:rFonts w:ascii="Century" w:hAnsi="Century" w:cs="Times New Roman"/>
        </w:rPr>
        <w:t>abinet confidentiality, it cannot be</w:t>
      </w:r>
      <w:r w:rsidR="00EE6C74" w:rsidRPr="008871D8">
        <w:rPr>
          <w:rFonts w:ascii="Century" w:hAnsi="Century" w:cs="Times New Roman"/>
        </w:rPr>
        <w:t xml:space="preserve"> </w:t>
      </w:r>
      <w:r w:rsidR="00EE6C74" w:rsidRPr="008871D8">
        <w:rPr>
          <w:rFonts w:ascii="Century" w:hAnsi="Century" w:cs="Times New Roman"/>
          <w:i/>
          <w:iCs/>
        </w:rPr>
        <w:t>compelled</w:t>
      </w:r>
      <w:r w:rsidR="00EE6C74" w:rsidRPr="008871D8">
        <w:rPr>
          <w:rFonts w:ascii="Century" w:hAnsi="Century" w:cs="Times New Roman"/>
        </w:rPr>
        <w:t xml:space="preserve"> to disclose the legal advice it receives</w:t>
      </w:r>
      <w:r w:rsidR="00752095" w:rsidRPr="008871D8">
        <w:rPr>
          <w:rFonts w:ascii="Century" w:hAnsi="Century" w:cs="Times New Roman"/>
        </w:rPr>
        <w:t xml:space="preserve">. But </w:t>
      </w:r>
      <w:r w:rsidR="001E17BC" w:rsidRPr="008871D8">
        <w:rPr>
          <w:rFonts w:ascii="Century" w:hAnsi="Century" w:cs="Times New Roman"/>
        </w:rPr>
        <w:t>the Government can</w:t>
      </w:r>
      <w:r w:rsidR="00EE6C74" w:rsidRPr="008871D8">
        <w:rPr>
          <w:rFonts w:ascii="Century" w:hAnsi="Century" w:cs="Times New Roman"/>
        </w:rPr>
        <w:t xml:space="preserve"> </w:t>
      </w:r>
      <w:r w:rsidR="00EE6C74" w:rsidRPr="008871D8">
        <w:rPr>
          <w:rFonts w:ascii="Century" w:hAnsi="Century" w:cs="Times New Roman"/>
          <w:i/>
          <w:iCs/>
        </w:rPr>
        <w:t>choose</w:t>
      </w:r>
      <w:r w:rsidR="00EE6C74" w:rsidRPr="008871D8">
        <w:rPr>
          <w:rFonts w:ascii="Century" w:hAnsi="Century" w:cs="Times New Roman"/>
        </w:rPr>
        <w:t xml:space="preserve"> to</w:t>
      </w:r>
      <w:r w:rsidR="001E17BC" w:rsidRPr="008871D8">
        <w:rPr>
          <w:rFonts w:ascii="Century" w:hAnsi="Century" w:cs="Times New Roman"/>
        </w:rPr>
        <w:t xml:space="preserve"> disclose the advice it receives anytime it wants, </w:t>
      </w:r>
      <w:r w:rsidR="00EE6C74" w:rsidRPr="008871D8">
        <w:rPr>
          <w:rFonts w:ascii="Century" w:hAnsi="Century" w:cs="Times New Roman"/>
        </w:rPr>
        <w:t>and</w:t>
      </w:r>
      <w:r w:rsidR="001E17BC" w:rsidRPr="008871D8">
        <w:rPr>
          <w:rFonts w:ascii="Century" w:hAnsi="Century" w:cs="Times New Roman"/>
        </w:rPr>
        <w:t xml:space="preserve"> in any format it </w:t>
      </w:r>
      <w:r w:rsidR="00EE6C74" w:rsidRPr="008871D8">
        <w:rPr>
          <w:rFonts w:ascii="Century" w:hAnsi="Century" w:cs="Times New Roman"/>
        </w:rPr>
        <w:t>wishes</w:t>
      </w:r>
      <w:r w:rsidR="001E17BC" w:rsidRPr="008871D8">
        <w:rPr>
          <w:rFonts w:ascii="Century" w:hAnsi="Century" w:cs="Times New Roman"/>
        </w:rPr>
        <w:t xml:space="preserve">. </w:t>
      </w:r>
      <w:r w:rsidR="00EE6C74" w:rsidRPr="008871D8">
        <w:rPr>
          <w:rFonts w:ascii="Century" w:hAnsi="Century" w:cs="Times New Roman"/>
        </w:rPr>
        <w:t>It</w:t>
      </w:r>
      <w:r w:rsidR="001E17BC" w:rsidRPr="008871D8">
        <w:rPr>
          <w:rFonts w:ascii="Century" w:hAnsi="Century" w:cs="Times New Roman"/>
        </w:rPr>
        <w:t xml:space="preserve"> is entire</w:t>
      </w:r>
      <w:r w:rsidR="00EE6C74" w:rsidRPr="008871D8">
        <w:rPr>
          <w:rFonts w:ascii="Century" w:hAnsi="Century" w:cs="Times New Roman"/>
        </w:rPr>
        <w:t xml:space="preserve">ly within its gift as the client in receipt of the legal advice. </w:t>
      </w:r>
    </w:p>
    <w:p w14:paraId="6FA2CA54" w14:textId="77777777" w:rsidR="008871D8" w:rsidRPr="008871D8" w:rsidRDefault="008871D8" w:rsidP="00FB4DF1">
      <w:pPr>
        <w:spacing w:line="360" w:lineRule="auto"/>
        <w:jc w:val="both"/>
        <w:rPr>
          <w:rFonts w:ascii="Century" w:hAnsi="Century"/>
        </w:rPr>
      </w:pPr>
    </w:p>
    <w:p w14:paraId="4774CD1F" w14:textId="77777777" w:rsidR="00F97E17" w:rsidRDefault="008871D8" w:rsidP="00FB4DF1">
      <w:pPr>
        <w:pStyle w:val="ListParagraph"/>
        <w:numPr>
          <w:ilvl w:val="0"/>
          <w:numId w:val="5"/>
        </w:numPr>
        <w:spacing w:line="360" w:lineRule="auto"/>
        <w:jc w:val="both"/>
        <w:rPr>
          <w:rFonts w:ascii="Century" w:hAnsi="Century" w:cs="Times New Roman"/>
        </w:rPr>
      </w:pPr>
      <w:r>
        <w:rPr>
          <w:rFonts w:ascii="Century" w:hAnsi="Century" w:cs="Times New Roman"/>
        </w:rPr>
        <w:t>While within the Government’s gift, s</w:t>
      </w:r>
      <w:r w:rsidR="00EE6C74" w:rsidRPr="00142A36">
        <w:rPr>
          <w:rFonts w:ascii="Century" w:hAnsi="Century" w:cs="Times New Roman"/>
        </w:rPr>
        <w:t xml:space="preserve">uccessive </w:t>
      </w:r>
      <w:r>
        <w:rPr>
          <w:rFonts w:ascii="Century" w:hAnsi="Century" w:cs="Times New Roman"/>
        </w:rPr>
        <w:t>administrations</w:t>
      </w:r>
      <w:r w:rsidR="00EE6C74" w:rsidRPr="00142A36">
        <w:rPr>
          <w:rFonts w:ascii="Century" w:hAnsi="Century" w:cs="Times New Roman"/>
        </w:rPr>
        <w:t xml:space="preserve"> have flatly refused to disclose the content of </w:t>
      </w:r>
      <w:r w:rsidR="00CE2925">
        <w:rPr>
          <w:rFonts w:ascii="Century" w:hAnsi="Century" w:cs="Times New Roman"/>
        </w:rPr>
        <w:t>the</w:t>
      </w:r>
      <w:r w:rsidR="00EE6C74" w:rsidRPr="00142A36">
        <w:rPr>
          <w:rFonts w:ascii="Century" w:hAnsi="Century" w:cs="Times New Roman"/>
        </w:rPr>
        <w:t xml:space="preserve"> legal advice</w:t>
      </w:r>
      <w:r w:rsidR="00CE2925">
        <w:rPr>
          <w:rFonts w:ascii="Century" w:hAnsi="Century" w:cs="Times New Roman"/>
        </w:rPr>
        <w:t xml:space="preserve"> it receives</w:t>
      </w:r>
      <w:r w:rsidR="00F97E17">
        <w:rPr>
          <w:rFonts w:ascii="Century" w:hAnsi="Century" w:cs="Times New Roman"/>
        </w:rPr>
        <w:t>,</w:t>
      </w:r>
      <w:r w:rsidR="001A2A21">
        <w:rPr>
          <w:rFonts w:ascii="Century" w:hAnsi="Century" w:cs="Times New Roman"/>
        </w:rPr>
        <w:t xml:space="preserve"> unless they see a political advantage in doing so</w:t>
      </w:r>
      <w:r w:rsidR="00EE6C74" w:rsidRPr="00142A36">
        <w:rPr>
          <w:rFonts w:ascii="Century" w:hAnsi="Century" w:cs="Times New Roman"/>
        </w:rPr>
        <w:t>.</w:t>
      </w:r>
      <w:r w:rsidR="001A2A21">
        <w:rPr>
          <w:rStyle w:val="FootnoteReference"/>
          <w:rFonts w:ascii="Century" w:hAnsi="Century" w:cs="Times New Roman"/>
        </w:rPr>
        <w:footnoteReference w:id="31"/>
      </w:r>
      <w:r w:rsidR="00EE6C74" w:rsidRPr="00142A36">
        <w:rPr>
          <w:rFonts w:ascii="Century" w:hAnsi="Century" w:cs="Times New Roman"/>
        </w:rPr>
        <w:t xml:space="preserve"> </w:t>
      </w:r>
    </w:p>
    <w:p w14:paraId="66EDEF55" w14:textId="77777777" w:rsidR="00F97E17" w:rsidRPr="00F97E17" w:rsidRDefault="00F97E17" w:rsidP="00F97E17">
      <w:pPr>
        <w:pStyle w:val="ListParagraph"/>
        <w:rPr>
          <w:rFonts w:ascii="Century" w:hAnsi="Century" w:cs="Times New Roman"/>
        </w:rPr>
      </w:pPr>
    </w:p>
    <w:p w14:paraId="17CFE5A8" w14:textId="6404F527" w:rsidR="00640CA9" w:rsidRPr="00142A36" w:rsidRDefault="00752095" w:rsidP="00FB4DF1">
      <w:pPr>
        <w:pStyle w:val="ListParagraph"/>
        <w:numPr>
          <w:ilvl w:val="0"/>
          <w:numId w:val="5"/>
        </w:numPr>
        <w:spacing w:line="360" w:lineRule="auto"/>
        <w:jc w:val="both"/>
        <w:rPr>
          <w:rFonts w:ascii="Century" w:hAnsi="Century" w:cs="Times New Roman"/>
        </w:rPr>
      </w:pPr>
      <w:r w:rsidRPr="00142A36">
        <w:rPr>
          <w:rFonts w:ascii="Century" w:hAnsi="Century" w:cs="Times New Roman"/>
        </w:rPr>
        <w:t xml:space="preserve">Because they </w:t>
      </w:r>
      <w:r w:rsidR="00640CA9" w:rsidRPr="00142A36">
        <w:rPr>
          <w:rFonts w:ascii="Century" w:hAnsi="Century" w:cs="Times New Roman"/>
        </w:rPr>
        <w:t>are strongly wedded to confidentiality</w:t>
      </w:r>
      <w:r w:rsidRPr="00142A36">
        <w:rPr>
          <w:rFonts w:ascii="Century" w:hAnsi="Century" w:cs="Times New Roman"/>
        </w:rPr>
        <w:t>, the best we can do to assess the impact</w:t>
      </w:r>
      <w:r w:rsidR="00CE2925">
        <w:rPr>
          <w:rFonts w:ascii="Century" w:hAnsi="Century" w:cs="Times New Roman"/>
        </w:rPr>
        <w:t xml:space="preserve"> and influence</w:t>
      </w:r>
      <w:r w:rsidRPr="00142A36">
        <w:rPr>
          <w:rFonts w:ascii="Century" w:hAnsi="Century" w:cs="Times New Roman"/>
        </w:rPr>
        <w:t xml:space="preserve"> </w:t>
      </w:r>
      <w:r w:rsidR="00640CA9" w:rsidRPr="00142A36">
        <w:rPr>
          <w:rFonts w:ascii="Century" w:hAnsi="Century" w:cs="Times New Roman"/>
        </w:rPr>
        <w:t>of legal advice on policymaking concerning housing issues is to draw</w:t>
      </w:r>
      <w:r w:rsidR="00CE2925">
        <w:rPr>
          <w:rFonts w:ascii="Century" w:hAnsi="Century" w:cs="Times New Roman"/>
        </w:rPr>
        <w:t xml:space="preserve"> reasonable</w:t>
      </w:r>
      <w:r w:rsidR="00640CA9" w:rsidRPr="00142A36">
        <w:rPr>
          <w:rFonts w:ascii="Century" w:hAnsi="Century" w:cs="Times New Roman"/>
        </w:rPr>
        <w:t xml:space="preserve"> inferences from the </w:t>
      </w:r>
      <w:r w:rsidR="00775AC3" w:rsidRPr="00142A36">
        <w:rPr>
          <w:rFonts w:ascii="Century" w:hAnsi="Century" w:cs="Times New Roman"/>
        </w:rPr>
        <w:t>way</w:t>
      </w:r>
      <w:r w:rsidR="00F97E17">
        <w:rPr>
          <w:rFonts w:ascii="Century" w:hAnsi="Century" w:cs="Times New Roman"/>
        </w:rPr>
        <w:t xml:space="preserve"> the</w:t>
      </w:r>
      <w:r w:rsidR="00640CA9" w:rsidRPr="00142A36">
        <w:rPr>
          <w:rFonts w:ascii="Century" w:hAnsi="Century" w:cs="Times New Roman"/>
        </w:rPr>
        <w:t xml:space="preserve"> Government </w:t>
      </w:r>
      <w:r w:rsidR="00775AC3">
        <w:rPr>
          <w:rFonts w:ascii="Century" w:hAnsi="Century" w:cs="Times New Roman"/>
        </w:rPr>
        <w:t>characterises</w:t>
      </w:r>
      <w:r w:rsidR="00640CA9" w:rsidRPr="00142A36">
        <w:rPr>
          <w:rFonts w:ascii="Century" w:hAnsi="Century" w:cs="Times New Roman"/>
        </w:rPr>
        <w:t xml:space="preserve"> </w:t>
      </w:r>
      <w:r w:rsidR="00775AC3">
        <w:rPr>
          <w:rFonts w:ascii="Century" w:hAnsi="Century" w:cs="Times New Roman"/>
        </w:rPr>
        <w:t>the</w:t>
      </w:r>
      <w:r w:rsidR="00640CA9" w:rsidRPr="00142A36">
        <w:rPr>
          <w:rFonts w:ascii="Century" w:hAnsi="Century" w:cs="Times New Roman"/>
        </w:rPr>
        <w:t xml:space="preserve"> advice in its public statements and in </w:t>
      </w:r>
      <w:r w:rsidR="00F97E17">
        <w:rPr>
          <w:rFonts w:ascii="Century" w:hAnsi="Century" w:cs="Times New Roman"/>
        </w:rPr>
        <w:t xml:space="preserve">the course of </w:t>
      </w:r>
      <w:r w:rsidR="001A2A21">
        <w:rPr>
          <w:rFonts w:ascii="Century" w:hAnsi="Century" w:cs="Times New Roman"/>
        </w:rPr>
        <w:t>Oireachtas</w:t>
      </w:r>
      <w:r w:rsidR="00640CA9" w:rsidRPr="00142A36">
        <w:rPr>
          <w:rFonts w:ascii="Century" w:hAnsi="Century" w:cs="Times New Roman"/>
        </w:rPr>
        <w:t xml:space="preserve"> debates.</w:t>
      </w:r>
      <w:bookmarkStart w:id="6" w:name="_Ref101639095"/>
      <w:r w:rsidR="00C21405" w:rsidRPr="00142A36">
        <w:rPr>
          <w:rStyle w:val="FootnoteReference"/>
          <w:rFonts w:ascii="Century" w:hAnsi="Century" w:cs="Times New Roman"/>
        </w:rPr>
        <w:footnoteReference w:id="32"/>
      </w:r>
      <w:bookmarkEnd w:id="6"/>
      <w:r w:rsidR="00640CA9" w:rsidRPr="00142A36">
        <w:rPr>
          <w:rFonts w:ascii="Century" w:hAnsi="Century" w:cs="Times New Roman"/>
        </w:rPr>
        <w:t xml:space="preserve"> That is, </w:t>
      </w:r>
      <w:r w:rsidR="00CE2925">
        <w:rPr>
          <w:rFonts w:ascii="Century" w:hAnsi="Century" w:cs="Times New Roman"/>
        </w:rPr>
        <w:t xml:space="preserve">by considering </w:t>
      </w:r>
      <w:r w:rsidR="00640CA9" w:rsidRPr="00142A36">
        <w:rPr>
          <w:rFonts w:ascii="Century" w:hAnsi="Century" w:cs="Times New Roman"/>
        </w:rPr>
        <w:t>how members of Government</w:t>
      </w:r>
      <w:r w:rsidR="008871D8">
        <w:rPr>
          <w:rFonts w:ascii="Century" w:hAnsi="Century" w:cs="Times New Roman"/>
        </w:rPr>
        <w:t xml:space="preserve"> themselves</w:t>
      </w:r>
      <w:r w:rsidR="00640CA9" w:rsidRPr="00142A36">
        <w:rPr>
          <w:rFonts w:ascii="Century" w:hAnsi="Century" w:cs="Times New Roman"/>
        </w:rPr>
        <w:t xml:space="preserve"> characterise the impact of legal advice on their disposition toward a proposed policy</w:t>
      </w:r>
      <w:r w:rsidR="00F97E17">
        <w:rPr>
          <w:rFonts w:ascii="Century" w:hAnsi="Century" w:cs="Times New Roman"/>
        </w:rPr>
        <w:t xml:space="preserve"> or bill</w:t>
      </w:r>
      <w:r w:rsidR="00CE2925">
        <w:rPr>
          <w:rFonts w:ascii="Century" w:hAnsi="Century" w:cs="Times New Roman"/>
        </w:rPr>
        <w:t>.</w:t>
      </w:r>
    </w:p>
    <w:p w14:paraId="212C315D" w14:textId="77777777" w:rsidR="00640CA9" w:rsidRPr="00142A36" w:rsidRDefault="00640CA9" w:rsidP="00FB4DF1">
      <w:pPr>
        <w:pStyle w:val="ListParagraph"/>
        <w:spacing w:line="360" w:lineRule="auto"/>
        <w:jc w:val="both"/>
        <w:rPr>
          <w:rFonts w:ascii="Century" w:hAnsi="Century" w:cs="Times New Roman"/>
        </w:rPr>
      </w:pPr>
    </w:p>
    <w:p w14:paraId="59B2B22F" w14:textId="1FC956B5" w:rsidR="002C36CC" w:rsidRPr="00142A36" w:rsidRDefault="00640CA9" w:rsidP="00FB4DF1">
      <w:pPr>
        <w:pStyle w:val="ListParagraph"/>
        <w:numPr>
          <w:ilvl w:val="0"/>
          <w:numId w:val="5"/>
        </w:numPr>
        <w:spacing w:line="360" w:lineRule="auto"/>
        <w:jc w:val="both"/>
        <w:rPr>
          <w:rFonts w:ascii="Century" w:hAnsi="Century" w:cs="Times New Roman"/>
        </w:rPr>
      </w:pPr>
      <w:r w:rsidRPr="00142A36">
        <w:rPr>
          <w:rFonts w:ascii="Century" w:hAnsi="Century" w:cs="Times New Roman"/>
        </w:rPr>
        <w:t xml:space="preserve"> </w:t>
      </w:r>
      <w:r w:rsidR="008871D8">
        <w:rPr>
          <w:rFonts w:ascii="Century" w:hAnsi="Century" w:cs="Times New Roman"/>
        </w:rPr>
        <w:t>Helpfully for</w:t>
      </w:r>
      <w:r w:rsidR="00CE2925">
        <w:rPr>
          <w:rFonts w:ascii="Century" w:hAnsi="Century" w:cs="Times New Roman"/>
        </w:rPr>
        <w:t xml:space="preserve"> the purposes of</w:t>
      </w:r>
      <w:r w:rsidR="008871D8">
        <w:rPr>
          <w:rFonts w:ascii="Century" w:hAnsi="Century" w:cs="Times New Roman"/>
        </w:rPr>
        <w:t xml:space="preserve"> this assessment,</w:t>
      </w:r>
      <w:r w:rsidRPr="00142A36">
        <w:rPr>
          <w:rFonts w:ascii="Century" w:hAnsi="Century" w:cs="Times New Roman"/>
        </w:rPr>
        <w:t xml:space="preserve"> Government</w:t>
      </w:r>
      <w:r w:rsidR="008871D8">
        <w:rPr>
          <w:rFonts w:ascii="Century" w:hAnsi="Century" w:cs="Times New Roman"/>
        </w:rPr>
        <w:t>s</w:t>
      </w:r>
      <w:r w:rsidRPr="00142A36">
        <w:rPr>
          <w:rFonts w:ascii="Century" w:hAnsi="Century" w:cs="Times New Roman"/>
        </w:rPr>
        <w:t xml:space="preserve"> </w:t>
      </w:r>
      <w:r w:rsidR="008871D8">
        <w:rPr>
          <w:rFonts w:ascii="Century" w:hAnsi="Century" w:cs="Times New Roman"/>
        </w:rPr>
        <w:t>have</w:t>
      </w:r>
      <w:r w:rsidRPr="00142A36">
        <w:rPr>
          <w:rFonts w:ascii="Century" w:hAnsi="Century" w:cs="Times New Roman"/>
        </w:rPr>
        <w:t xml:space="preserve"> </w:t>
      </w:r>
      <w:r w:rsidR="00C45B59" w:rsidRPr="00142A36">
        <w:rPr>
          <w:rFonts w:ascii="Century" w:hAnsi="Century" w:cs="Times New Roman"/>
        </w:rPr>
        <w:t>consistently</w:t>
      </w:r>
      <w:r w:rsidR="00CE2925">
        <w:rPr>
          <w:rFonts w:ascii="Century" w:hAnsi="Century" w:cs="Times New Roman"/>
        </w:rPr>
        <w:t xml:space="preserve"> and vocally</w:t>
      </w:r>
      <w:r w:rsidR="00C45B59" w:rsidRPr="00142A36">
        <w:rPr>
          <w:rFonts w:ascii="Century" w:hAnsi="Century" w:cs="Times New Roman"/>
        </w:rPr>
        <w:t xml:space="preserve"> </w:t>
      </w:r>
      <w:r w:rsidRPr="00142A36">
        <w:rPr>
          <w:rFonts w:ascii="Century" w:hAnsi="Century" w:cs="Times New Roman"/>
        </w:rPr>
        <w:t xml:space="preserve">invoked legal advice received from the Attorney </w:t>
      </w:r>
      <w:r w:rsidRPr="00142A36">
        <w:rPr>
          <w:rFonts w:ascii="Century" w:hAnsi="Century" w:cs="Times New Roman"/>
        </w:rPr>
        <w:lastRenderedPageBreak/>
        <w:t>General</w:t>
      </w:r>
      <w:r w:rsidR="00CE2925">
        <w:rPr>
          <w:rFonts w:ascii="Century" w:hAnsi="Century" w:cs="Times New Roman"/>
        </w:rPr>
        <w:t>,</w:t>
      </w:r>
      <w:r w:rsidR="008871D8">
        <w:rPr>
          <w:rFonts w:ascii="Century" w:hAnsi="Century" w:cs="Times New Roman"/>
        </w:rPr>
        <w:t xml:space="preserve"> in</w:t>
      </w:r>
      <w:r w:rsidR="00F97E17">
        <w:rPr>
          <w:rFonts w:ascii="Century" w:hAnsi="Century" w:cs="Times New Roman"/>
        </w:rPr>
        <w:t xml:space="preserve"> their</w:t>
      </w:r>
      <w:r w:rsidR="008871D8">
        <w:rPr>
          <w:rFonts w:ascii="Century" w:hAnsi="Century" w:cs="Times New Roman"/>
        </w:rPr>
        <w:t xml:space="preserve"> public statements and during </w:t>
      </w:r>
      <w:r w:rsidR="00F97E17">
        <w:rPr>
          <w:rFonts w:ascii="Century" w:hAnsi="Century" w:cs="Times New Roman"/>
        </w:rPr>
        <w:t>parliamentary</w:t>
      </w:r>
      <w:r w:rsidR="008871D8">
        <w:rPr>
          <w:rFonts w:ascii="Century" w:hAnsi="Century" w:cs="Times New Roman"/>
        </w:rPr>
        <w:t xml:space="preserve"> debates</w:t>
      </w:r>
      <w:r w:rsidR="00CE2925">
        <w:rPr>
          <w:rFonts w:ascii="Century" w:hAnsi="Century" w:cs="Times New Roman"/>
        </w:rPr>
        <w:t>,</w:t>
      </w:r>
      <w:r w:rsidRPr="00142A36">
        <w:rPr>
          <w:rFonts w:ascii="Century" w:hAnsi="Century" w:cs="Times New Roman"/>
        </w:rPr>
        <w:t xml:space="preserve"> to justify not taking a course of </w:t>
      </w:r>
      <w:r w:rsidR="00CE2925">
        <w:rPr>
          <w:rFonts w:ascii="Century" w:hAnsi="Century" w:cs="Times New Roman"/>
        </w:rPr>
        <w:t>legislative</w:t>
      </w:r>
      <w:r w:rsidRPr="00142A36">
        <w:rPr>
          <w:rFonts w:ascii="Century" w:hAnsi="Century" w:cs="Times New Roman"/>
        </w:rPr>
        <w:t xml:space="preserve"> action in respect of</w:t>
      </w:r>
      <w:r w:rsidR="00CE2925">
        <w:rPr>
          <w:rFonts w:ascii="Century" w:hAnsi="Century" w:cs="Times New Roman"/>
        </w:rPr>
        <w:t xml:space="preserve"> Ireland’s</w:t>
      </w:r>
      <w:r w:rsidRPr="00142A36">
        <w:rPr>
          <w:rFonts w:ascii="Century" w:hAnsi="Century" w:cs="Times New Roman"/>
        </w:rPr>
        <w:t xml:space="preserve"> housing</w:t>
      </w:r>
      <w:r w:rsidR="00CE2925">
        <w:rPr>
          <w:rFonts w:ascii="Century" w:hAnsi="Century" w:cs="Times New Roman"/>
        </w:rPr>
        <w:t xml:space="preserve"> issues</w:t>
      </w:r>
      <w:r w:rsidRPr="00142A36">
        <w:rPr>
          <w:rFonts w:ascii="Century" w:hAnsi="Century" w:cs="Times New Roman"/>
        </w:rPr>
        <w:t>.</w:t>
      </w:r>
      <w:r w:rsidR="00772CB0" w:rsidRPr="00142A36">
        <w:rPr>
          <w:rStyle w:val="FootnoteReference"/>
          <w:rFonts w:ascii="Century" w:hAnsi="Century" w:cs="Times New Roman"/>
        </w:rPr>
        <w:footnoteReference w:id="33"/>
      </w:r>
      <w:r w:rsidRPr="00142A36">
        <w:rPr>
          <w:rFonts w:ascii="Century" w:hAnsi="Century" w:cs="Times New Roman"/>
        </w:rPr>
        <w:t xml:space="preserve"> </w:t>
      </w:r>
    </w:p>
    <w:p w14:paraId="376A93B6" w14:textId="77777777" w:rsidR="002C36CC" w:rsidRPr="00142A36" w:rsidRDefault="002C36CC" w:rsidP="00FB4DF1">
      <w:pPr>
        <w:pStyle w:val="ListParagraph"/>
        <w:spacing w:line="360" w:lineRule="auto"/>
        <w:rPr>
          <w:rFonts w:ascii="Century" w:hAnsi="Century" w:cs="Times New Roman"/>
        </w:rPr>
      </w:pPr>
    </w:p>
    <w:p w14:paraId="17ABF1BF" w14:textId="7BD5BD42" w:rsidR="00C717F3" w:rsidRPr="00142A36" w:rsidRDefault="008871D8" w:rsidP="00FB4DF1">
      <w:pPr>
        <w:pStyle w:val="ListParagraph"/>
        <w:numPr>
          <w:ilvl w:val="0"/>
          <w:numId w:val="5"/>
        </w:numPr>
        <w:spacing w:line="360" w:lineRule="auto"/>
        <w:jc w:val="both"/>
        <w:rPr>
          <w:rFonts w:ascii="Century" w:hAnsi="Century" w:cs="Times New Roman"/>
        </w:rPr>
      </w:pPr>
      <w:r>
        <w:rPr>
          <w:rFonts w:ascii="Century" w:hAnsi="Century" w:cs="Times New Roman"/>
        </w:rPr>
        <w:t>For example, the</w:t>
      </w:r>
      <w:r w:rsidR="002C36CC" w:rsidRPr="00142A36">
        <w:rPr>
          <w:rFonts w:ascii="Century" w:hAnsi="Century" w:cs="Times New Roman"/>
        </w:rPr>
        <w:t xml:space="preserve"> Fine Gael-Labour coalition government (2011-2016) claimed to face very severe limitations on legislative action due to </w:t>
      </w:r>
      <w:r w:rsidR="00C823BC" w:rsidRPr="00142A36">
        <w:rPr>
          <w:rFonts w:ascii="Century" w:hAnsi="Century" w:cs="Times New Roman"/>
        </w:rPr>
        <w:t>legal</w:t>
      </w:r>
      <w:r w:rsidR="002C36CC" w:rsidRPr="00142A36">
        <w:rPr>
          <w:rFonts w:ascii="Century" w:hAnsi="Century" w:cs="Times New Roman"/>
        </w:rPr>
        <w:t xml:space="preserve"> advice on constitutional property rights.  </w:t>
      </w:r>
      <w:r w:rsidR="00C823BC" w:rsidRPr="00142A36">
        <w:rPr>
          <w:rFonts w:ascii="Century" w:hAnsi="Century" w:cs="Times New Roman"/>
        </w:rPr>
        <w:t>M</w:t>
      </w:r>
      <w:r w:rsidR="002C36CC" w:rsidRPr="00142A36">
        <w:rPr>
          <w:rFonts w:ascii="Century" w:hAnsi="Century" w:cs="Times New Roman"/>
        </w:rPr>
        <w:t xml:space="preserve">easures apparently thwarted by </w:t>
      </w:r>
      <w:r w:rsidR="00C823BC" w:rsidRPr="00142A36">
        <w:rPr>
          <w:rFonts w:ascii="Century" w:hAnsi="Century" w:cs="Times New Roman"/>
        </w:rPr>
        <w:t>included</w:t>
      </w:r>
      <w:r w:rsidR="002C36CC" w:rsidRPr="00142A36">
        <w:rPr>
          <w:rFonts w:ascii="Century" w:hAnsi="Century" w:cs="Times New Roman"/>
        </w:rPr>
        <w:t xml:space="preserve"> land-hoarding restrictions, capping mortgage interest rates, eviction protections, and regulation of 'vulture funds'. Alan Kelly TD, having served as the relevant Minister for Housing for much of this period, stated later</w:t>
      </w:r>
      <w:r w:rsidR="00C823BC" w:rsidRPr="00142A36">
        <w:rPr>
          <w:rFonts w:ascii="Century" w:hAnsi="Century" w:cs="Times New Roman"/>
        </w:rPr>
        <w:t>:</w:t>
      </w:r>
      <w:r w:rsidR="002C36CC" w:rsidRPr="00142A36">
        <w:rPr>
          <w:rStyle w:val="FootnoteReference"/>
          <w:rFonts w:ascii="Century" w:hAnsi="Century" w:cs="Times New Roman"/>
        </w:rPr>
        <w:footnoteReference w:id="34"/>
      </w:r>
    </w:p>
    <w:p w14:paraId="4FA022F3" w14:textId="77777777" w:rsidR="00C823BC" w:rsidRPr="00142A36" w:rsidRDefault="00C823BC" w:rsidP="00FB4DF1">
      <w:pPr>
        <w:pStyle w:val="ListParagraph"/>
        <w:spacing w:line="360" w:lineRule="auto"/>
        <w:rPr>
          <w:rFonts w:ascii="Century" w:hAnsi="Century" w:cs="Times New Roman"/>
        </w:rPr>
      </w:pPr>
    </w:p>
    <w:p w14:paraId="3E583078" w14:textId="1E5C6213" w:rsidR="00C823BC" w:rsidRPr="00142A36" w:rsidRDefault="00C823BC" w:rsidP="00FB4DF1">
      <w:pPr>
        <w:pStyle w:val="ListParagraph"/>
        <w:spacing w:line="360" w:lineRule="auto"/>
        <w:ind w:left="1440"/>
        <w:jc w:val="both"/>
        <w:rPr>
          <w:rFonts w:ascii="Century" w:hAnsi="Century" w:cs="Times New Roman"/>
        </w:rPr>
      </w:pPr>
      <w:r w:rsidRPr="00142A36">
        <w:rPr>
          <w:rFonts w:ascii="Century" w:hAnsi="Century" w:cs="Times New Roman"/>
        </w:rPr>
        <w:t xml:space="preserve">I was not hampered by political or financial obstacles. I was blocked by the Constitution. From the time it is taking to introduce the vacant site levy to tackle land hoarding, to protecting tenants </w:t>
      </w:r>
      <w:proofErr w:type="spellStart"/>
      <w:r w:rsidRPr="00142A36">
        <w:rPr>
          <w:rFonts w:ascii="Century" w:hAnsi="Century" w:cs="Times New Roman"/>
        </w:rPr>
        <w:t>fro m</w:t>
      </w:r>
      <w:proofErr w:type="spellEnd"/>
      <w:r w:rsidRPr="00142A36">
        <w:rPr>
          <w:rFonts w:ascii="Century" w:hAnsi="Century" w:cs="Times New Roman"/>
        </w:rPr>
        <w:t xml:space="preserve"> eviction in circumstances where their landlord wishes to sell the property, and many other issues, I was repeatedly blocked from making provision for what I believed was the common good by the strength by which property rights are protected under Article 43 of the Constitution.</w:t>
      </w:r>
      <w:r w:rsidRPr="00142A36">
        <w:rPr>
          <w:rStyle w:val="FootnoteReference"/>
          <w:rFonts w:ascii="Century" w:hAnsi="Century" w:cs="Times New Roman"/>
        </w:rPr>
        <w:footnoteReference w:id="35"/>
      </w:r>
    </w:p>
    <w:p w14:paraId="3A65E76E" w14:textId="77777777" w:rsidR="00C717F3" w:rsidRPr="00142A36" w:rsidRDefault="00C717F3" w:rsidP="00FB4DF1">
      <w:pPr>
        <w:pStyle w:val="ListParagraph"/>
        <w:spacing w:line="360" w:lineRule="auto"/>
        <w:rPr>
          <w:rFonts w:ascii="Century" w:hAnsi="Century" w:cs="Times New Roman"/>
        </w:rPr>
      </w:pPr>
    </w:p>
    <w:p w14:paraId="6573F5AE" w14:textId="28DBAECB" w:rsidR="00C45B59" w:rsidRDefault="00C45B59" w:rsidP="00FB4DF1">
      <w:pPr>
        <w:pStyle w:val="ListParagraph"/>
        <w:numPr>
          <w:ilvl w:val="0"/>
          <w:numId w:val="5"/>
        </w:numPr>
        <w:spacing w:line="360" w:lineRule="auto"/>
        <w:jc w:val="both"/>
        <w:rPr>
          <w:rFonts w:ascii="Century" w:hAnsi="Century" w:cs="Times New Roman"/>
        </w:rPr>
      </w:pPr>
      <w:r w:rsidRPr="00142A36">
        <w:rPr>
          <w:rFonts w:ascii="Century" w:hAnsi="Century" w:cs="Times New Roman"/>
        </w:rPr>
        <w:t>In a particularly forensic study, Hogan and Keyes document</w:t>
      </w:r>
      <w:r w:rsidR="00EB03BD" w:rsidRPr="00142A36">
        <w:rPr>
          <w:rFonts w:ascii="Century" w:hAnsi="Century" w:cs="Times New Roman"/>
        </w:rPr>
        <w:t xml:space="preserve"> </w:t>
      </w:r>
      <w:r w:rsidR="00CE2925">
        <w:rPr>
          <w:rFonts w:ascii="Century" w:hAnsi="Century" w:cs="Times New Roman"/>
        </w:rPr>
        <w:t>that</w:t>
      </w:r>
      <w:r w:rsidR="00EB03BD" w:rsidRPr="00142A36">
        <w:rPr>
          <w:rFonts w:ascii="Century" w:hAnsi="Century" w:cs="Times New Roman"/>
        </w:rPr>
        <w:t xml:space="preserve"> </w:t>
      </w:r>
      <w:r w:rsidR="008871D8">
        <w:rPr>
          <w:rFonts w:ascii="Century" w:hAnsi="Century" w:cs="Times New Roman"/>
        </w:rPr>
        <w:t>from 2010-2020</w:t>
      </w:r>
      <w:r w:rsidRPr="00142A36">
        <w:rPr>
          <w:rFonts w:ascii="Century" w:hAnsi="Century" w:cs="Times New Roman"/>
        </w:rPr>
        <w:t xml:space="preserve"> over 13 Private Members bills</w:t>
      </w:r>
      <w:r w:rsidR="002C36CC" w:rsidRPr="00142A36">
        <w:rPr>
          <w:rFonts w:ascii="Century" w:hAnsi="Century" w:cs="Times New Roman"/>
        </w:rPr>
        <w:t xml:space="preserve"> proposing a range of policy measures</w:t>
      </w:r>
      <w:r w:rsidRPr="00142A36">
        <w:rPr>
          <w:rFonts w:ascii="Century" w:hAnsi="Century" w:cs="Times New Roman"/>
        </w:rPr>
        <w:t xml:space="preserve"> </w:t>
      </w:r>
      <w:r w:rsidR="00EB03BD" w:rsidRPr="00142A36">
        <w:rPr>
          <w:rFonts w:ascii="Century" w:hAnsi="Century" w:cs="Times New Roman"/>
        </w:rPr>
        <w:t>have</w:t>
      </w:r>
      <w:r w:rsidRPr="00142A36">
        <w:rPr>
          <w:rFonts w:ascii="Century" w:hAnsi="Century" w:cs="Times New Roman"/>
        </w:rPr>
        <w:t xml:space="preserve"> </w:t>
      </w:r>
      <w:r w:rsidR="00EB03BD" w:rsidRPr="00142A36">
        <w:rPr>
          <w:rFonts w:ascii="Century" w:hAnsi="Century" w:cs="Times New Roman"/>
        </w:rPr>
        <w:t>been</w:t>
      </w:r>
      <w:r w:rsidRPr="00142A36">
        <w:rPr>
          <w:rFonts w:ascii="Century" w:hAnsi="Century" w:cs="Times New Roman"/>
        </w:rPr>
        <w:t xml:space="preserve"> rejected by Government</w:t>
      </w:r>
      <w:r w:rsidR="00EB03BD" w:rsidRPr="00142A36">
        <w:rPr>
          <w:rFonts w:ascii="Century" w:hAnsi="Century" w:cs="Times New Roman"/>
        </w:rPr>
        <w:t>s</w:t>
      </w:r>
      <w:r w:rsidR="00775AC3">
        <w:rPr>
          <w:rFonts w:ascii="Century" w:hAnsi="Century" w:cs="Times New Roman"/>
        </w:rPr>
        <w:t>,</w:t>
      </w:r>
      <w:r w:rsidRPr="00142A36">
        <w:rPr>
          <w:rFonts w:ascii="Century" w:hAnsi="Century" w:cs="Times New Roman"/>
        </w:rPr>
        <w:t xml:space="preserve"> </w:t>
      </w:r>
      <w:r w:rsidRPr="00142A36">
        <w:rPr>
          <w:rFonts w:ascii="Century" w:hAnsi="Century" w:cs="Times New Roman"/>
          <w:i/>
          <w:iCs/>
        </w:rPr>
        <w:t xml:space="preserve">not </w:t>
      </w:r>
      <w:r w:rsidRPr="00142A36">
        <w:rPr>
          <w:rFonts w:ascii="Century" w:hAnsi="Century" w:cs="Times New Roman"/>
        </w:rPr>
        <w:t>because of straightforward policy disagreement, but ostensibly because of constitutional concerns raised in Attorney General’s advice.</w:t>
      </w:r>
      <w:r w:rsidRPr="00142A36">
        <w:rPr>
          <w:rStyle w:val="FootnoteReference"/>
          <w:rFonts w:ascii="Century" w:hAnsi="Century" w:cs="Times New Roman"/>
        </w:rPr>
        <w:footnoteReference w:id="36"/>
      </w:r>
      <w:r w:rsidRPr="00142A36">
        <w:rPr>
          <w:rFonts w:ascii="Century" w:hAnsi="Century" w:cs="Times New Roman"/>
        </w:rPr>
        <w:t xml:space="preserve"> </w:t>
      </w:r>
      <w:r w:rsidR="00CE2925">
        <w:rPr>
          <w:rFonts w:ascii="Century" w:hAnsi="Century" w:cs="Times New Roman"/>
        </w:rPr>
        <w:t>Examples of bills rejected on this basis</w:t>
      </w:r>
      <w:r w:rsidR="00596A1F" w:rsidRPr="00142A36">
        <w:rPr>
          <w:rFonts w:ascii="Century" w:hAnsi="Century" w:cs="Times New Roman"/>
        </w:rPr>
        <w:t xml:space="preserve"> include </w:t>
      </w:r>
      <w:r w:rsidR="00CE2925">
        <w:rPr>
          <w:rFonts w:ascii="Century" w:hAnsi="Century" w:cs="Times New Roman"/>
        </w:rPr>
        <w:t>those</w:t>
      </w:r>
      <w:r w:rsidR="00596A1F" w:rsidRPr="00142A36">
        <w:rPr>
          <w:rFonts w:ascii="Century" w:hAnsi="Century" w:cs="Times New Roman"/>
        </w:rPr>
        <w:t xml:space="preserve"> proposing to (</w:t>
      </w:r>
      <w:proofErr w:type="spellStart"/>
      <w:r w:rsidR="00596A1F" w:rsidRPr="00142A36">
        <w:rPr>
          <w:rFonts w:ascii="Century" w:hAnsi="Century" w:cs="Times New Roman"/>
        </w:rPr>
        <w:t>i</w:t>
      </w:r>
      <w:proofErr w:type="spellEnd"/>
      <w:r w:rsidR="00596A1F" w:rsidRPr="00142A36">
        <w:rPr>
          <w:rFonts w:ascii="Century" w:hAnsi="Century" w:cs="Times New Roman"/>
        </w:rPr>
        <w:t xml:space="preserve">) ban upward only rent review clauses; (ii) </w:t>
      </w:r>
      <w:r w:rsidR="00772CB0" w:rsidRPr="00142A36">
        <w:rPr>
          <w:rFonts w:ascii="Century" w:hAnsi="Century" w:cs="Times New Roman"/>
        </w:rPr>
        <w:t xml:space="preserve">vacant site levies designed to curb site hoarding and speculation and encourage development; (iii) restricting the statutory grounds upon which a tenant </w:t>
      </w:r>
      <w:r w:rsidR="00772CB0" w:rsidRPr="00142A36">
        <w:rPr>
          <w:rFonts w:ascii="Century" w:hAnsi="Century" w:cs="Times New Roman"/>
        </w:rPr>
        <w:lastRenderedPageBreak/>
        <w:t>could be evicted; (iv) introduce</w:t>
      </w:r>
      <w:r w:rsidR="00F87E51" w:rsidRPr="00142A36">
        <w:rPr>
          <w:rFonts w:ascii="Century" w:hAnsi="Century" w:cs="Times New Roman"/>
        </w:rPr>
        <w:t xml:space="preserve"> temporary</w:t>
      </w:r>
      <w:r w:rsidR="00772CB0" w:rsidRPr="00142A36">
        <w:rPr>
          <w:rFonts w:ascii="Century" w:hAnsi="Century" w:cs="Times New Roman"/>
        </w:rPr>
        <w:t xml:space="preserve"> rent controls</w:t>
      </w:r>
      <w:r w:rsidR="00F87E51" w:rsidRPr="00142A36">
        <w:rPr>
          <w:rFonts w:ascii="Century" w:hAnsi="Century" w:cs="Times New Roman"/>
        </w:rPr>
        <w:t xml:space="preserve"> or </w:t>
      </w:r>
      <w:r w:rsidR="002C36CC" w:rsidRPr="00142A36">
        <w:rPr>
          <w:rFonts w:ascii="Century" w:hAnsi="Century" w:cs="Times New Roman"/>
        </w:rPr>
        <w:t>f</w:t>
      </w:r>
      <w:r w:rsidR="00F87E51" w:rsidRPr="00142A36">
        <w:rPr>
          <w:rFonts w:ascii="Century" w:hAnsi="Century" w:cs="Times New Roman"/>
        </w:rPr>
        <w:t xml:space="preserve">reezes. </w:t>
      </w:r>
      <w:r w:rsidR="00C823BC" w:rsidRPr="00142A36">
        <w:rPr>
          <w:rFonts w:ascii="Century" w:hAnsi="Century" w:cs="Times New Roman"/>
        </w:rPr>
        <w:t xml:space="preserve">On some occasions the Government expressed sympathy to the goal behind a </w:t>
      </w:r>
      <w:r w:rsidR="00CE2925">
        <w:rPr>
          <w:rFonts w:ascii="Century" w:hAnsi="Century" w:cs="Times New Roman"/>
        </w:rPr>
        <w:t xml:space="preserve">legislative </w:t>
      </w:r>
      <w:r w:rsidR="00F97E17" w:rsidRPr="00142A36">
        <w:rPr>
          <w:rFonts w:ascii="Century" w:hAnsi="Century" w:cs="Times New Roman"/>
        </w:rPr>
        <w:t>proposal and</w:t>
      </w:r>
      <w:r w:rsidR="00BC2ECB">
        <w:rPr>
          <w:rFonts w:ascii="Century" w:hAnsi="Century" w:cs="Times New Roman"/>
        </w:rPr>
        <w:t xml:space="preserve"> stressed</w:t>
      </w:r>
      <w:r w:rsidR="00C823BC" w:rsidRPr="00142A36">
        <w:rPr>
          <w:rFonts w:ascii="Century" w:hAnsi="Century" w:cs="Times New Roman"/>
        </w:rPr>
        <w:t xml:space="preserve"> that their objection was purely legal.</w:t>
      </w:r>
      <w:r w:rsidR="00C823BC" w:rsidRPr="00142A36">
        <w:rPr>
          <w:rStyle w:val="FootnoteReference"/>
          <w:rFonts w:ascii="Century" w:hAnsi="Century" w:cs="Times New Roman"/>
        </w:rPr>
        <w:footnoteReference w:id="37"/>
      </w:r>
    </w:p>
    <w:p w14:paraId="7BAA4384" w14:textId="4C8A5001" w:rsidR="008871D8" w:rsidRDefault="008871D8" w:rsidP="00FB4DF1">
      <w:pPr>
        <w:pStyle w:val="ListParagraph"/>
        <w:spacing w:line="360" w:lineRule="auto"/>
        <w:jc w:val="both"/>
        <w:rPr>
          <w:rFonts w:ascii="Century" w:hAnsi="Century" w:cs="Times New Roman"/>
        </w:rPr>
      </w:pPr>
    </w:p>
    <w:p w14:paraId="431E5F7F" w14:textId="6C76D8E1" w:rsidR="008871D8" w:rsidRPr="00142A36" w:rsidRDefault="00CE2925" w:rsidP="00FB4DF1">
      <w:pPr>
        <w:pStyle w:val="ListParagraph"/>
        <w:numPr>
          <w:ilvl w:val="0"/>
          <w:numId w:val="5"/>
        </w:numPr>
        <w:spacing w:line="360" w:lineRule="auto"/>
        <w:jc w:val="both"/>
        <w:rPr>
          <w:rFonts w:ascii="Century" w:hAnsi="Century" w:cs="Times New Roman"/>
        </w:rPr>
      </w:pPr>
      <w:r>
        <w:rPr>
          <w:rFonts w:ascii="Century" w:hAnsi="Century" w:cs="Times New Roman"/>
        </w:rPr>
        <w:t>It is clear then that l</w:t>
      </w:r>
      <w:r w:rsidR="000316CD">
        <w:rPr>
          <w:rFonts w:ascii="Century" w:hAnsi="Century" w:cs="Times New Roman"/>
        </w:rPr>
        <w:t>egal</w:t>
      </w:r>
      <w:r w:rsidR="008871D8">
        <w:rPr>
          <w:rFonts w:ascii="Century" w:hAnsi="Century" w:cs="Times New Roman"/>
        </w:rPr>
        <w:t xml:space="preserve"> advice</w:t>
      </w:r>
      <w:r w:rsidR="000316CD">
        <w:rPr>
          <w:rFonts w:ascii="Century" w:hAnsi="Century" w:cs="Times New Roman"/>
        </w:rPr>
        <w:t xml:space="preserve"> tendered by the Attorney General</w:t>
      </w:r>
      <w:r w:rsidR="008871D8">
        <w:rPr>
          <w:rFonts w:ascii="Century" w:hAnsi="Century" w:cs="Times New Roman"/>
        </w:rPr>
        <w:t xml:space="preserve"> </w:t>
      </w:r>
      <w:r w:rsidR="000316CD">
        <w:rPr>
          <w:rFonts w:ascii="Century" w:hAnsi="Century" w:cs="Times New Roman"/>
        </w:rPr>
        <w:t xml:space="preserve">is regularly invoked as a major </w:t>
      </w:r>
      <w:r w:rsidR="008871D8">
        <w:rPr>
          <w:rFonts w:ascii="Century" w:hAnsi="Century" w:cs="Times New Roman"/>
        </w:rPr>
        <w:t>stumbling block</w:t>
      </w:r>
      <w:r w:rsidR="000316CD">
        <w:rPr>
          <w:rFonts w:ascii="Century" w:hAnsi="Century" w:cs="Times New Roman"/>
        </w:rPr>
        <w:t xml:space="preserve"> to robust legislative action. This raises an additional question: how can this advice be squared with the case law of the Superior Courts?</w:t>
      </w:r>
    </w:p>
    <w:p w14:paraId="17C830D3" w14:textId="1D4B412A" w:rsidR="00D87F5D" w:rsidRDefault="00D87F5D" w:rsidP="00FB4DF1">
      <w:pPr>
        <w:spacing w:line="360" w:lineRule="auto"/>
        <w:rPr>
          <w:rFonts w:ascii="Century" w:hAnsi="Century"/>
        </w:rPr>
      </w:pPr>
    </w:p>
    <w:p w14:paraId="71B9B241" w14:textId="77777777" w:rsidR="008206A8" w:rsidRPr="00142A36" w:rsidRDefault="008206A8" w:rsidP="00FB4DF1">
      <w:pPr>
        <w:spacing w:line="360" w:lineRule="auto"/>
        <w:rPr>
          <w:rFonts w:ascii="Century" w:hAnsi="Century"/>
        </w:rPr>
      </w:pPr>
    </w:p>
    <w:p w14:paraId="356B121D" w14:textId="251BC318" w:rsidR="00C823BC" w:rsidRPr="002F6573" w:rsidRDefault="002F6573" w:rsidP="00FB4DF1">
      <w:pPr>
        <w:spacing w:line="360" w:lineRule="auto"/>
        <w:rPr>
          <w:rFonts w:ascii="Century" w:hAnsi="Century"/>
        </w:rPr>
      </w:pPr>
      <w:r>
        <w:rPr>
          <w:rFonts w:ascii="Century" w:hAnsi="Century"/>
        </w:rPr>
        <w:t xml:space="preserve">V. </w:t>
      </w:r>
      <w:r w:rsidR="00C85647" w:rsidRPr="00D87F5D">
        <w:rPr>
          <w:rFonts w:ascii="Century" w:hAnsi="Century"/>
          <w:b/>
          <w:bCs/>
        </w:rPr>
        <w:t>Assessing the</w:t>
      </w:r>
      <w:r w:rsidRPr="00D87F5D">
        <w:rPr>
          <w:rFonts w:ascii="Century" w:hAnsi="Century"/>
          <w:b/>
          <w:bCs/>
        </w:rPr>
        <w:t xml:space="preserve"> Political</w:t>
      </w:r>
      <w:r w:rsidR="00C85647" w:rsidRPr="00D87F5D">
        <w:rPr>
          <w:rFonts w:ascii="Century" w:hAnsi="Century"/>
          <w:b/>
          <w:bCs/>
        </w:rPr>
        <w:t xml:space="preserve"> Impact of Attorney General’s Advice: Two Plausible Accounts</w:t>
      </w:r>
    </w:p>
    <w:p w14:paraId="6F0D498D" w14:textId="0439FF12" w:rsidR="007D2299" w:rsidRPr="00142A36" w:rsidRDefault="00F83ACE" w:rsidP="00FB4DF1">
      <w:pPr>
        <w:pStyle w:val="ListParagraph"/>
        <w:numPr>
          <w:ilvl w:val="0"/>
          <w:numId w:val="5"/>
        </w:numPr>
        <w:spacing w:line="360" w:lineRule="auto"/>
        <w:jc w:val="both"/>
        <w:rPr>
          <w:rFonts w:ascii="Century" w:hAnsi="Century" w:cs="Times New Roman"/>
        </w:rPr>
      </w:pPr>
      <w:r w:rsidRPr="00142A36">
        <w:rPr>
          <w:rFonts w:ascii="Century" w:hAnsi="Century" w:cs="Times New Roman"/>
        </w:rPr>
        <w:t xml:space="preserve"> </w:t>
      </w:r>
      <w:r w:rsidR="00C85647" w:rsidRPr="00142A36">
        <w:rPr>
          <w:rFonts w:ascii="Century" w:hAnsi="Century" w:cs="Times New Roman"/>
        </w:rPr>
        <w:t xml:space="preserve">Political </w:t>
      </w:r>
      <w:r w:rsidRPr="00142A36">
        <w:rPr>
          <w:rFonts w:ascii="Century" w:hAnsi="Century" w:cs="Times New Roman"/>
        </w:rPr>
        <w:t xml:space="preserve">perception </w:t>
      </w:r>
      <w:r w:rsidR="00C85647" w:rsidRPr="00142A36">
        <w:rPr>
          <w:rFonts w:ascii="Century" w:hAnsi="Century" w:cs="Times New Roman"/>
        </w:rPr>
        <w:t>of the strength of constitutional</w:t>
      </w:r>
      <w:r w:rsidRPr="00142A36">
        <w:rPr>
          <w:rFonts w:ascii="Century" w:hAnsi="Century" w:cs="Times New Roman"/>
        </w:rPr>
        <w:t xml:space="preserve"> protection afforded to private property rights </w:t>
      </w:r>
      <w:r w:rsidR="00D87F5D">
        <w:rPr>
          <w:rFonts w:ascii="Century" w:hAnsi="Century" w:cs="Times New Roman"/>
        </w:rPr>
        <w:t>is</w:t>
      </w:r>
      <w:r w:rsidR="00C85647" w:rsidRPr="00142A36">
        <w:rPr>
          <w:rFonts w:ascii="Century" w:hAnsi="Century" w:cs="Times New Roman"/>
        </w:rPr>
        <w:t xml:space="preserve"> very</w:t>
      </w:r>
      <w:r w:rsidRPr="00142A36">
        <w:rPr>
          <w:rFonts w:ascii="Century" w:hAnsi="Century" w:cs="Times New Roman"/>
        </w:rPr>
        <w:t xml:space="preserve"> significantly overstated</w:t>
      </w:r>
      <w:r w:rsidR="00C85647" w:rsidRPr="00142A36">
        <w:rPr>
          <w:rFonts w:ascii="Century" w:hAnsi="Century" w:cs="Times New Roman"/>
        </w:rPr>
        <w:t>, and it seems reasonable to infer that the legal advice</w:t>
      </w:r>
      <w:r w:rsidR="0048643D">
        <w:rPr>
          <w:rFonts w:ascii="Century" w:hAnsi="Century" w:cs="Times New Roman"/>
        </w:rPr>
        <w:t xml:space="preserve"> recent</w:t>
      </w:r>
      <w:r w:rsidR="00775AC3">
        <w:rPr>
          <w:rFonts w:ascii="Century" w:hAnsi="Century" w:cs="Times New Roman"/>
        </w:rPr>
        <w:t xml:space="preserve"> Government</w:t>
      </w:r>
      <w:r w:rsidR="0048643D">
        <w:rPr>
          <w:rFonts w:ascii="Century" w:hAnsi="Century" w:cs="Times New Roman"/>
        </w:rPr>
        <w:t>s</w:t>
      </w:r>
      <w:r w:rsidR="00775AC3">
        <w:rPr>
          <w:rFonts w:ascii="Century" w:hAnsi="Century" w:cs="Times New Roman"/>
        </w:rPr>
        <w:t xml:space="preserve"> ha</w:t>
      </w:r>
      <w:r w:rsidR="0048643D">
        <w:rPr>
          <w:rFonts w:ascii="Century" w:hAnsi="Century" w:cs="Times New Roman"/>
        </w:rPr>
        <w:t>ve</w:t>
      </w:r>
      <w:r w:rsidR="00C85647" w:rsidRPr="00142A36">
        <w:rPr>
          <w:rFonts w:ascii="Century" w:hAnsi="Century" w:cs="Times New Roman"/>
        </w:rPr>
        <w:t xml:space="preserve"> received has something to do with</w:t>
      </w:r>
      <w:r w:rsidR="00D87F5D">
        <w:rPr>
          <w:rFonts w:ascii="Century" w:hAnsi="Century" w:cs="Times New Roman"/>
        </w:rPr>
        <w:t xml:space="preserve"> </w:t>
      </w:r>
      <w:r w:rsidR="00775AC3">
        <w:rPr>
          <w:rFonts w:ascii="Century" w:hAnsi="Century" w:cs="Times New Roman"/>
        </w:rPr>
        <w:t>its</w:t>
      </w:r>
      <w:r w:rsidR="00C85647" w:rsidRPr="00142A36">
        <w:rPr>
          <w:rFonts w:ascii="Century" w:hAnsi="Century" w:cs="Times New Roman"/>
        </w:rPr>
        <w:t xml:space="preserve"> entrenchment. </w:t>
      </w:r>
      <w:r w:rsidR="00FD0A20" w:rsidRPr="00142A36">
        <w:rPr>
          <w:rFonts w:ascii="Century" w:hAnsi="Century" w:cs="Times New Roman"/>
        </w:rPr>
        <w:t>There</w:t>
      </w:r>
      <w:r w:rsidRPr="00142A36">
        <w:rPr>
          <w:rFonts w:ascii="Century" w:hAnsi="Century" w:cs="Times New Roman"/>
        </w:rPr>
        <w:t xml:space="preserve"> are two plausible </w:t>
      </w:r>
      <w:r w:rsidR="0048643D">
        <w:rPr>
          <w:rFonts w:ascii="Century" w:hAnsi="Century" w:cs="Times New Roman"/>
        </w:rPr>
        <w:t>explanations</w:t>
      </w:r>
      <w:r w:rsidR="00FD0A20" w:rsidRPr="00142A36">
        <w:rPr>
          <w:rFonts w:ascii="Century" w:hAnsi="Century" w:cs="Times New Roman"/>
        </w:rPr>
        <w:t xml:space="preserve"> </w:t>
      </w:r>
      <w:r w:rsidR="0048643D">
        <w:rPr>
          <w:rFonts w:ascii="Century" w:hAnsi="Century" w:cs="Times New Roman"/>
        </w:rPr>
        <w:t>for how</w:t>
      </w:r>
      <w:r w:rsidRPr="00142A36">
        <w:rPr>
          <w:rFonts w:ascii="Century" w:hAnsi="Century" w:cs="Times New Roman"/>
        </w:rPr>
        <w:t xml:space="preserve"> </w:t>
      </w:r>
      <w:r w:rsidR="0048643D">
        <w:rPr>
          <w:rFonts w:ascii="Century" w:hAnsi="Century" w:cs="Times New Roman"/>
        </w:rPr>
        <w:t xml:space="preserve">legal advice is linked to </w:t>
      </w:r>
      <w:r w:rsidR="00C85647" w:rsidRPr="00142A36">
        <w:rPr>
          <w:rFonts w:ascii="Century" w:hAnsi="Century" w:cs="Times New Roman"/>
        </w:rPr>
        <w:t>the</w:t>
      </w:r>
      <w:r w:rsidRPr="00142A36">
        <w:rPr>
          <w:rFonts w:ascii="Century" w:hAnsi="Century" w:cs="Times New Roman"/>
        </w:rPr>
        <w:t xml:space="preserve"> misperception</w:t>
      </w:r>
      <w:r w:rsidR="00C85647" w:rsidRPr="00142A36">
        <w:rPr>
          <w:rFonts w:ascii="Century" w:hAnsi="Century" w:cs="Times New Roman"/>
        </w:rPr>
        <w:t xml:space="preserve"> </w:t>
      </w:r>
      <w:r w:rsidR="00775AC3">
        <w:rPr>
          <w:rFonts w:ascii="Century" w:hAnsi="Century" w:cs="Times New Roman"/>
        </w:rPr>
        <w:t>entrenched</w:t>
      </w:r>
      <w:r w:rsidRPr="00142A36">
        <w:rPr>
          <w:rFonts w:ascii="Century" w:hAnsi="Century" w:cs="Times New Roman"/>
        </w:rPr>
        <w:t xml:space="preserve"> amongst political actors. </w:t>
      </w:r>
    </w:p>
    <w:p w14:paraId="6BCBA1A1" w14:textId="77777777" w:rsidR="007D2299" w:rsidRPr="00142A36" w:rsidRDefault="007D2299" w:rsidP="00FB4DF1">
      <w:pPr>
        <w:pStyle w:val="ListParagraph"/>
        <w:spacing w:line="360" w:lineRule="auto"/>
        <w:rPr>
          <w:rFonts w:ascii="Century" w:hAnsi="Century" w:cs="Times New Roman"/>
        </w:rPr>
      </w:pPr>
    </w:p>
    <w:p w14:paraId="394082FF" w14:textId="77777777" w:rsidR="00F97E17" w:rsidRPr="00F97E17" w:rsidRDefault="00F83ACE" w:rsidP="0048643D">
      <w:pPr>
        <w:pStyle w:val="ListParagraph"/>
        <w:numPr>
          <w:ilvl w:val="0"/>
          <w:numId w:val="5"/>
        </w:numPr>
        <w:spacing w:line="360" w:lineRule="auto"/>
        <w:jc w:val="both"/>
        <w:rPr>
          <w:rFonts w:ascii="Century" w:hAnsi="Century" w:cs="Times New Roman"/>
        </w:rPr>
      </w:pPr>
      <w:r w:rsidRPr="00142A36">
        <w:rPr>
          <w:rFonts w:ascii="Century" w:hAnsi="Century" w:cs="Times New Roman"/>
        </w:rPr>
        <w:t xml:space="preserve">The first is that the legal advice given by the Attorney General’s Office, likely informed by opinions offered by </w:t>
      </w:r>
      <w:r w:rsidR="00F97E17">
        <w:rPr>
          <w:rFonts w:ascii="Century" w:hAnsi="Century" w:cs="Times New Roman"/>
        </w:rPr>
        <w:t>external</w:t>
      </w:r>
      <w:r w:rsidRPr="00142A36">
        <w:rPr>
          <w:rFonts w:ascii="Century" w:hAnsi="Century" w:cs="Times New Roman"/>
        </w:rPr>
        <w:t xml:space="preserve"> </w:t>
      </w:r>
      <w:r w:rsidR="00F97E17">
        <w:rPr>
          <w:rFonts w:ascii="Century" w:hAnsi="Century" w:cs="Times New Roman"/>
        </w:rPr>
        <w:t>counsel</w:t>
      </w:r>
      <w:r w:rsidRPr="00142A36">
        <w:rPr>
          <w:rFonts w:ascii="Century" w:hAnsi="Century"/>
        </w:rPr>
        <w:t xml:space="preserve"> from the Law Library, has been excessively cautious and risk averse; </w:t>
      </w:r>
      <w:r w:rsidR="0048643D">
        <w:rPr>
          <w:rFonts w:ascii="Century" w:hAnsi="Century"/>
        </w:rPr>
        <w:t xml:space="preserve">downplaying the constitutional authority the Oireachtas enjoys while </w:t>
      </w:r>
      <w:r w:rsidRPr="00142A36">
        <w:rPr>
          <w:rFonts w:ascii="Century" w:hAnsi="Century"/>
        </w:rPr>
        <w:t>overemphasis</w:t>
      </w:r>
      <w:r w:rsidR="0048643D">
        <w:rPr>
          <w:rFonts w:ascii="Century" w:hAnsi="Century"/>
        </w:rPr>
        <w:t>ing</w:t>
      </w:r>
      <w:r w:rsidRPr="00142A36">
        <w:rPr>
          <w:rFonts w:ascii="Century" w:hAnsi="Century"/>
        </w:rPr>
        <w:t xml:space="preserve"> the legal risk of a Court invalidating a proposed</w:t>
      </w:r>
      <w:r w:rsidR="00775AC3">
        <w:rPr>
          <w:rFonts w:ascii="Century" w:hAnsi="Century"/>
        </w:rPr>
        <w:t xml:space="preserve"> policy</w:t>
      </w:r>
      <w:r w:rsidRPr="00142A36">
        <w:rPr>
          <w:rFonts w:ascii="Century" w:hAnsi="Century"/>
        </w:rPr>
        <w:t xml:space="preserve"> measure. </w:t>
      </w:r>
    </w:p>
    <w:p w14:paraId="7AEE538A" w14:textId="77777777" w:rsidR="00F97E17" w:rsidRPr="00F97E17" w:rsidRDefault="00F97E17" w:rsidP="00F97E17">
      <w:pPr>
        <w:pStyle w:val="ListParagraph"/>
        <w:rPr>
          <w:rFonts w:ascii="Century" w:hAnsi="Century" w:cs="Times New Roman"/>
        </w:rPr>
      </w:pPr>
    </w:p>
    <w:p w14:paraId="5923215C" w14:textId="77777777" w:rsidR="00DF7539" w:rsidRDefault="00D42BD6" w:rsidP="00DF7539">
      <w:pPr>
        <w:pStyle w:val="ListParagraph"/>
        <w:numPr>
          <w:ilvl w:val="0"/>
          <w:numId w:val="5"/>
        </w:numPr>
        <w:spacing w:line="360" w:lineRule="auto"/>
        <w:jc w:val="both"/>
        <w:rPr>
          <w:rFonts w:ascii="Century" w:hAnsi="Century" w:cs="Times New Roman"/>
        </w:rPr>
      </w:pPr>
      <w:r w:rsidRPr="0048643D">
        <w:rPr>
          <w:rFonts w:ascii="Century" w:hAnsi="Century" w:cs="Times New Roman"/>
        </w:rPr>
        <w:t>Assuming the</w:t>
      </w:r>
      <w:r w:rsidR="00EB03BD" w:rsidRPr="0048643D">
        <w:rPr>
          <w:rFonts w:ascii="Century" w:hAnsi="Century" w:cs="Times New Roman"/>
        </w:rPr>
        <w:t xml:space="preserve"> Government</w:t>
      </w:r>
      <w:r w:rsidR="00775AC3" w:rsidRPr="0048643D">
        <w:rPr>
          <w:rFonts w:ascii="Century" w:hAnsi="Century" w:cs="Times New Roman"/>
        </w:rPr>
        <w:t>’</w:t>
      </w:r>
      <w:r w:rsidR="00EB03BD" w:rsidRPr="0048643D">
        <w:rPr>
          <w:rFonts w:ascii="Century" w:hAnsi="Century" w:cs="Times New Roman"/>
        </w:rPr>
        <w:t>s</w:t>
      </w:r>
      <w:r w:rsidRPr="0048643D">
        <w:rPr>
          <w:rFonts w:ascii="Century" w:hAnsi="Century" w:cs="Times New Roman"/>
        </w:rPr>
        <w:t xml:space="preserve"> representation of</w:t>
      </w:r>
      <w:r w:rsidR="00EB03BD" w:rsidRPr="0048643D">
        <w:rPr>
          <w:rFonts w:ascii="Century" w:hAnsi="Century" w:cs="Times New Roman"/>
        </w:rPr>
        <w:t xml:space="preserve"> the</w:t>
      </w:r>
      <w:r w:rsidR="00F97E17">
        <w:rPr>
          <w:rFonts w:ascii="Century" w:hAnsi="Century" w:cs="Times New Roman"/>
        </w:rPr>
        <w:t xml:space="preserve"> tenor and content of the</w:t>
      </w:r>
      <w:r w:rsidRPr="0048643D">
        <w:rPr>
          <w:rFonts w:ascii="Century" w:hAnsi="Century" w:cs="Times New Roman"/>
        </w:rPr>
        <w:t xml:space="preserve"> constitutional advice </w:t>
      </w:r>
      <w:r w:rsidR="00EB03BD" w:rsidRPr="0048643D">
        <w:rPr>
          <w:rFonts w:ascii="Century" w:hAnsi="Century" w:cs="Times New Roman"/>
        </w:rPr>
        <w:t xml:space="preserve">it is receiving in the examples given above </w:t>
      </w:r>
      <w:r w:rsidR="00775AC3" w:rsidRPr="0048643D">
        <w:rPr>
          <w:rFonts w:ascii="Century" w:hAnsi="Century" w:cs="Times New Roman"/>
        </w:rPr>
        <w:t>is</w:t>
      </w:r>
      <w:r w:rsidRPr="0048643D">
        <w:rPr>
          <w:rFonts w:ascii="Century" w:hAnsi="Century" w:cs="Times New Roman"/>
        </w:rPr>
        <w:t xml:space="preserve"> accurate</w:t>
      </w:r>
      <w:r w:rsidR="00F97E17">
        <w:rPr>
          <w:rFonts w:ascii="Century" w:hAnsi="Century" w:cs="Times New Roman"/>
        </w:rPr>
        <w:t xml:space="preserve">, </w:t>
      </w:r>
      <w:r w:rsidRPr="0048643D">
        <w:rPr>
          <w:rFonts w:ascii="Century" w:hAnsi="Century" w:cs="Times New Roman"/>
        </w:rPr>
        <w:t>it appears the</w:t>
      </w:r>
      <w:r w:rsidR="00775AC3" w:rsidRPr="0048643D">
        <w:rPr>
          <w:rFonts w:ascii="Century" w:hAnsi="Century" w:cs="Times New Roman"/>
        </w:rPr>
        <w:t xml:space="preserve"> advice has the</w:t>
      </w:r>
      <w:r w:rsidRPr="0048643D">
        <w:rPr>
          <w:rFonts w:ascii="Century" w:hAnsi="Century" w:cs="Times New Roman"/>
        </w:rPr>
        <w:t xml:space="preserve"> following</w:t>
      </w:r>
      <w:r w:rsidR="00EB03BD" w:rsidRPr="0048643D">
        <w:rPr>
          <w:rFonts w:ascii="Century" w:hAnsi="Century" w:cs="Times New Roman"/>
        </w:rPr>
        <w:t xml:space="preserve"> general</w:t>
      </w:r>
      <w:r w:rsidRPr="0048643D">
        <w:rPr>
          <w:rFonts w:ascii="Century" w:hAnsi="Century" w:cs="Times New Roman"/>
        </w:rPr>
        <w:t xml:space="preserve"> characteristics:</w:t>
      </w:r>
    </w:p>
    <w:p w14:paraId="33C3BAB6" w14:textId="77777777" w:rsidR="00DF7539" w:rsidRPr="00DF7539" w:rsidRDefault="00DF7539" w:rsidP="00DF7539">
      <w:pPr>
        <w:pStyle w:val="ListParagraph"/>
        <w:rPr>
          <w:rFonts w:ascii="Century" w:hAnsi="Century"/>
        </w:rPr>
      </w:pPr>
    </w:p>
    <w:p w14:paraId="1F03A56D" w14:textId="17A61292" w:rsidR="00D42BD6" w:rsidRPr="00DF7539" w:rsidRDefault="00A65F0F" w:rsidP="00DF7539">
      <w:pPr>
        <w:pStyle w:val="ListParagraph"/>
        <w:numPr>
          <w:ilvl w:val="0"/>
          <w:numId w:val="7"/>
        </w:numPr>
        <w:spacing w:line="360" w:lineRule="auto"/>
        <w:jc w:val="both"/>
        <w:rPr>
          <w:rFonts w:ascii="Century" w:hAnsi="Century" w:cs="Times New Roman"/>
        </w:rPr>
      </w:pPr>
      <w:r w:rsidRPr="00DF7539">
        <w:rPr>
          <w:rFonts w:ascii="Century" w:hAnsi="Century"/>
        </w:rPr>
        <w:t xml:space="preserve">it has </w:t>
      </w:r>
      <w:r w:rsidR="00D42BD6" w:rsidRPr="00DF7539">
        <w:rPr>
          <w:rFonts w:ascii="Century" w:hAnsi="Century"/>
        </w:rPr>
        <w:t xml:space="preserve">a heavy focus on risk </w:t>
      </w:r>
      <w:proofErr w:type="gramStart"/>
      <w:r w:rsidR="00D42BD6" w:rsidRPr="00DF7539">
        <w:rPr>
          <w:rFonts w:ascii="Century" w:hAnsi="Century"/>
        </w:rPr>
        <w:t>minimisation;</w:t>
      </w:r>
      <w:proofErr w:type="gramEnd"/>
    </w:p>
    <w:p w14:paraId="3565EFD5" w14:textId="23AA765E" w:rsidR="00D42BD6" w:rsidRPr="00142A36" w:rsidRDefault="00A65F0F" w:rsidP="00FB4DF1">
      <w:pPr>
        <w:pStyle w:val="ListParagraph"/>
        <w:numPr>
          <w:ilvl w:val="0"/>
          <w:numId w:val="7"/>
        </w:numPr>
        <w:autoSpaceDE w:val="0"/>
        <w:autoSpaceDN w:val="0"/>
        <w:adjustRightInd w:val="0"/>
        <w:spacing w:line="360" w:lineRule="auto"/>
        <w:jc w:val="both"/>
        <w:rPr>
          <w:rFonts w:ascii="Century" w:hAnsi="Century" w:cs="Times New Roman"/>
        </w:rPr>
      </w:pPr>
      <w:r>
        <w:rPr>
          <w:rFonts w:ascii="Century" w:hAnsi="Century" w:cs="Times New Roman"/>
        </w:rPr>
        <w:lastRenderedPageBreak/>
        <w:t xml:space="preserve">it places </w:t>
      </w:r>
      <w:r w:rsidR="00D42BD6" w:rsidRPr="00142A36">
        <w:rPr>
          <w:rFonts w:ascii="Century" w:hAnsi="Century" w:cs="Times New Roman"/>
        </w:rPr>
        <w:t xml:space="preserve">careful attention to whether policies, particularly those with ambitious scope, might engage the interests of constitutional rights-holders with the incentive and means to take </w:t>
      </w:r>
      <w:proofErr w:type="gramStart"/>
      <w:r w:rsidR="00D42BD6" w:rsidRPr="00142A36">
        <w:rPr>
          <w:rFonts w:ascii="Century" w:hAnsi="Century" w:cs="Times New Roman"/>
        </w:rPr>
        <w:t>litigation</w:t>
      </w:r>
      <w:r w:rsidR="00775AC3">
        <w:rPr>
          <w:rFonts w:ascii="Century" w:hAnsi="Century" w:cs="Times New Roman"/>
        </w:rPr>
        <w:t>;</w:t>
      </w:r>
      <w:proofErr w:type="gramEnd"/>
    </w:p>
    <w:p w14:paraId="724255A2" w14:textId="0B6C3A40" w:rsidR="00D42BD6" w:rsidRPr="00142A36" w:rsidRDefault="00A65F0F" w:rsidP="00FB4DF1">
      <w:pPr>
        <w:pStyle w:val="ListParagraph"/>
        <w:numPr>
          <w:ilvl w:val="0"/>
          <w:numId w:val="7"/>
        </w:numPr>
        <w:autoSpaceDE w:val="0"/>
        <w:autoSpaceDN w:val="0"/>
        <w:adjustRightInd w:val="0"/>
        <w:spacing w:line="360" w:lineRule="auto"/>
        <w:jc w:val="both"/>
        <w:rPr>
          <w:rFonts w:ascii="Century" w:hAnsi="Century" w:cs="Times New Roman"/>
        </w:rPr>
      </w:pPr>
      <w:r>
        <w:rPr>
          <w:rFonts w:ascii="Century" w:hAnsi="Century" w:cs="Times New Roman"/>
        </w:rPr>
        <w:t>it has keen</w:t>
      </w:r>
      <w:r w:rsidR="00D42BD6" w:rsidRPr="00142A36">
        <w:rPr>
          <w:rFonts w:ascii="Century" w:hAnsi="Century" w:cs="Times New Roman"/>
        </w:rPr>
        <w:t xml:space="preserve"> awareness of the risk that even an ultimately successful defence of a challenged policy may </w:t>
      </w:r>
      <w:r w:rsidR="00104335">
        <w:rPr>
          <w:rFonts w:ascii="Century" w:hAnsi="Century" w:cs="Times New Roman"/>
        </w:rPr>
        <w:t>“</w:t>
      </w:r>
      <w:r w:rsidR="00D42BD6" w:rsidRPr="00142A36">
        <w:rPr>
          <w:rFonts w:ascii="Century" w:hAnsi="Century" w:cs="Times New Roman"/>
        </w:rPr>
        <w:t>lead to significant delays and costs on the part of the State</w:t>
      </w:r>
      <w:r w:rsidR="00104335">
        <w:rPr>
          <w:rFonts w:ascii="Century" w:hAnsi="Century" w:cs="Times New Roman"/>
        </w:rPr>
        <w:t>”</w:t>
      </w:r>
      <w:r w:rsidR="00D42BD6" w:rsidRPr="00142A36">
        <w:rPr>
          <w:rFonts w:ascii="Century" w:hAnsi="Century" w:cs="Times New Roman"/>
        </w:rPr>
        <w:t>;</w:t>
      </w:r>
      <w:r w:rsidR="00D42BD6" w:rsidRPr="00142A36">
        <w:rPr>
          <w:rStyle w:val="FootnoteReference"/>
          <w:rFonts w:ascii="Century" w:hAnsi="Century" w:cs="Times New Roman"/>
        </w:rPr>
        <w:footnoteReference w:id="38"/>
      </w:r>
    </w:p>
    <w:p w14:paraId="32CB99A9" w14:textId="34E98AFA" w:rsidR="00D42BD6" w:rsidRPr="00142A36" w:rsidRDefault="00A65F0F" w:rsidP="00FB4DF1">
      <w:pPr>
        <w:pStyle w:val="ListParagraph"/>
        <w:numPr>
          <w:ilvl w:val="0"/>
          <w:numId w:val="7"/>
        </w:numPr>
        <w:autoSpaceDE w:val="0"/>
        <w:autoSpaceDN w:val="0"/>
        <w:adjustRightInd w:val="0"/>
        <w:spacing w:line="360" w:lineRule="auto"/>
        <w:jc w:val="both"/>
        <w:rPr>
          <w:rFonts w:ascii="Century" w:hAnsi="Century" w:cs="Times New Roman"/>
        </w:rPr>
      </w:pPr>
      <w:r>
        <w:rPr>
          <w:rFonts w:ascii="Century" w:hAnsi="Century" w:cs="Times New Roman"/>
        </w:rPr>
        <w:t xml:space="preserve">it works with </w:t>
      </w:r>
      <w:r w:rsidR="00D42BD6" w:rsidRPr="00142A36">
        <w:rPr>
          <w:rFonts w:ascii="Century" w:hAnsi="Century" w:cs="Times New Roman"/>
        </w:rPr>
        <w:t xml:space="preserve">an assumption that the best way to minimise risk is to practise cautious </w:t>
      </w:r>
      <w:r w:rsidR="00104335">
        <w:rPr>
          <w:rFonts w:ascii="Century" w:hAnsi="Century" w:cs="Times New Roman"/>
        </w:rPr>
        <w:t>“</w:t>
      </w:r>
      <w:r w:rsidR="00D42BD6" w:rsidRPr="00142A36">
        <w:rPr>
          <w:rFonts w:ascii="Century" w:hAnsi="Century" w:cs="Times New Roman"/>
        </w:rPr>
        <w:t>political risk-avoidance in the design or introduction of policy measures</w:t>
      </w:r>
      <w:r w:rsidR="00104335">
        <w:rPr>
          <w:rFonts w:ascii="Century" w:hAnsi="Century" w:cs="Times New Roman"/>
        </w:rPr>
        <w:t>”</w:t>
      </w:r>
      <w:r w:rsidR="00D42BD6" w:rsidRPr="00142A36">
        <w:rPr>
          <w:rFonts w:ascii="Century" w:hAnsi="Century" w:cs="Times New Roman"/>
        </w:rPr>
        <w:t>,</w:t>
      </w:r>
      <w:r w:rsidR="00D42BD6" w:rsidRPr="00142A36">
        <w:rPr>
          <w:rStyle w:val="FootnoteReference"/>
          <w:rFonts w:ascii="Century" w:hAnsi="Century" w:cs="Times New Roman"/>
        </w:rPr>
        <w:footnoteReference w:id="39"/>
      </w:r>
      <w:r w:rsidR="00D42BD6" w:rsidRPr="00142A36">
        <w:rPr>
          <w:rFonts w:ascii="Century" w:hAnsi="Century" w:cs="Times New Roman"/>
        </w:rPr>
        <w:t xml:space="preserve"> whether by diluting, or excessively proceduralising preferred policies, or requiring elevated burdens of proof as to their necessity and efficacy.</w:t>
      </w:r>
    </w:p>
    <w:p w14:paraId="1CF1620F" w14:textId="734B8E45" w:rsidR="00D42BD6" w:rsidRPr="00142A36" w:rsidRDefault="00D42BD6" w:rsidP="00FB4DF1">
      <w:pPr>
        <w:spacing w:line="360" w:lineRule="auto"/>
        <w:jc w:val="both"/>
        <w:rPr>
          <w:rFonts w:ascii="Century" w:hAnsi="Century"/>
        </w:rPr>
      </w:pPr>
    </w:p>
    <w:p w14:paraId="0084694E" w14:textId="4B429DFC" w:rsidR="001A2A21" w:rsidRPr="001A2A21" w:rsidRDefault="00D42BD6" w:rsidP="001A2A21">
      <w:pPr>
        <w:pStyle w:val="ListParagraph"/>
        <w:numPr>
          <w:ilvl w:val="0"/>
          <w:numId w:val="5"/>
        </w:numPr>
        <w:spacing w:line="360" w:lineRule="auto"/>
        <w:jc w:val="both"/>
        <w:rPr>
          <w:rFonts w:ascii="Century" w:hAnsi="Century" w:cs="Times New Roman"/>
        </w:rPr>
      </w:pPr>
      <w:r w:rsidRPr="00142A36">
        <w:rPr>
          <w:rFonts w:ascii="Century" w:hAnsi="Century" w:cs="Times New Roman"/>
        </w:rPr>
        <w:t>Attorney General’s advice appears to put a “peculiar premium…on risk aversion in the sense of minimising the risk of constitutional invalidation or even of legal challenge altogether”.</w:t>
      </w:r>
      <w:r w:rsidRPr="00142A36">
        <w:rPr>
          <w:rStyle w:val="FootnoteReference"/>
          <w:rFonts w:ascii="Century" w:hAnsi="Century" w:cs="Times New Roman"/>
        </w:rPr>
        <w:footnoteReference w:id="40"/>
      </w:r>
      <w:r w:rsidR="008E45F2" w:rsidRPr="00142A36">
        <w:rPr>
          <w:rFonts w:ascii="Century" w:hAnsi="Century" w:cs="Times New Roman"/>
        </w:rPr>
        <w:t xml:space="preserve"> </w:t>
      </w:r>
      <w:r w:rsidR="00D71AED">
        <w:rPr>
          <w:rFonts w:ascii="Century" w:hAnsi="Century" w:cs="Times New Roman"/>
        </w:rPr>
        <w:t>To be clear, this is not a criticism of the professional norms or technocratic competence of the lawyers involved in advising the Government on these constitutional issues.</w:t>
      </w:r>
      <w:r w:rsidR="001A2A21">
        <w:rPr>
          <w:rFonts w:ascii="Century" w:hAnsi="Century" w:cs="Times New Roman"/>
        </w:rPr>
        <w:t xml:space="preserve"> </w:t>
      </w:r>
      <w:r w:rsidR="00D31106" w:rsidRPr="001A2A21">
        <w:rPr>
          <w:rFonts w:ascii="Century" w:hAnsi="Century"/>
        </w:rPr>
        <w:t>Legal r</w:t>
      </w:r>
      <w:r w:rsidR="000316CD" w:rsidRPr="001A2A21">
        <w:rPr>
          <w:rFonts w:ascii="Century" w:hAnsi="Century"/>
        </w:rPr>
        <w:t xml:space="preserve">isk aversion amongst Government legal advisors </w:t>
      </w:r>
      <w:r w:rsidR="00D31106" w:rsidRPr="001A2A21">
        <w:rPr>
          <w:rFonts w:ascii="Century" w:hAnsi="Century"/>
        </w:rPr>
        <w:t xml:space="preserve">is </w:t>
      </w:r>
      <w:r w:rsidR="00D71AED" w:rsidRPr="001A2A21">
        <w:rPr>
          <w:rFonts w:ascii="Century" w:hAnsi="Century"/>
        </w:rPr>
        <w:t>certainly</w:t>
      </w:r>
      <w:r w:rsidR="00D31106" w:rsidRPr="001A2A21">
        <w:rPr>
          <w:rFonts w:ascii="Century" w:hAnsi="Century"/>
        </w:rPr>
        <w:t xml:space="preserve"> not</w:t>
      </w:r>
      <w:r w:rsidR="000316CD" w:rsidRPr="001A2A21">
        <w:rPr>
          <w:rFonts w:ascii="Century" w:hAnsi="Century"/>
        </w:rPr>
        <w:t xml:space="preserve"> unique to Ir</w:t>
      </w:r>
      <w:r w:rsidR="00D31106" w:rsidRPr="001A2A21">
        <w:rPr>
          <w:rFonts w:ascii="Century" w:hAnsi="Century"/>
        </w:rPr>
        <w:t>ish politic</w:t>
      </w:r>
      <w:r w:rsidR="00D71AED" w:rsidRPr="001A2A21">
        <w:rPr>
          <w:rFonts w:ascii="Century" w:hAnsi="Century"/>
        </w:rPr>
        <w:t>al life</w:t>
      </w:r>
      <w:r w:rsidR="000316CD" w:rsidRPr="001A2A21">
        <w:rPr>
          <w:rFonts w:ascii="Century" w:hAnsi="Century"/>
        </w:rPr>
        <w:t xml:space="preserve"> and </w:t>
      </w:r>
      <w:r w:rsidR="004515A4" w:rsidRPr="001A2A21">
        <w:rPr>
          <w:rFonts w:ascii="Century" w:hAnsi="Century"/>
        </w:rPr>
        <w:t>has been</w:t>
      </w:r>
      <w:r w:rsidR="000316CD" w:rsidRPr="001A2A21">
        <w:rPr>
          <w:rFonts w:ascii="Century" w:hAnsi="Century"/>
        </w:rPr>
        <w:t xml:space="preserve"> well-documented in other legal systems where </w:t>
      </w:r>
      <w:r w:rsidR="00D31106" w:rsidRPr="001A2A21">
        <w:rPr>
          <w:rFonts w:ascii="Century" w:hAnsi="Century"/>
        </w:rPr>
        <w:t>senior</w:t>
      </w:r>
      <w:r w:rsidR="000316CD" w:rsidRPr="001A2A21">
        <w:rPr>
          <w:rFonts w:ascii="Century" w:hAnsi="Century"/>
        </w:rPr>
        <w:t xml:space="preserve"> legal advisor</w:t>
      </w:r>
      <w:r w:rsidR="00D31106" w:rsidRPr="001A2A21">
        <w:rPr>
          <w:rFonts w:ascii="Century" w:hAnsi="Century"/>
        </w:rPr>
        <w:t>s</w:t>
      </w:r>
      <w:r w:rsidR="000316CD" w:rsidRPr="001A2A21">
        <w:rPr>
          <w:rFonts w:ascii="Century" w:hAnsi="Century"/>
        </w:rPr>
        <w:t xml:space="preserve"> </w:t>
      </w:r>
      <w:r w:rsidR="00D31106" w:rsidRPr="001A2A21">
        <w:rPr>
          <w:rFonts w:ascii="Century" w:hAnsi="Century"/>
        </w:rPr>
        <w:t>are</w:t>
      </w:r>
      <w:r w:rsidR="000316CD" w:rsidRPr="001A2A21">
        <w:rPr>
          <w:rFonts w:ascii="Century" w:hAnsi="Century"/>
        </w:rPr>
        <w:t xml:space="preserve"> designed to be a largely technocratic figure, as opposed to a dual legal-political actor </w:t>
      </w:r>
      <w:r w:rsidR="00D31106" w:rsidRPr="001A2A21">
        <w:rPr>
          <w:rFonts w:ascii="Century" w:hAnsi="Century"/>
        </w:rPr>
        <w:t>along the lines of</w:t>
      </w:r>
      <w:r w:rsidR="000316CD" w:rsidRPr="001A2A21">
        <w:rPr>
          <w:rFonts w:ascii="Century" w:hAnsi="Century"/>
        </w:rPr>
        <w:t xml:space="preserve"> the UK Attorney General.</w:t>
      </w:r>
      <w:r w:rsidR="000316CD" w:rsidRPr="00D71AED">
        <w:rPr>
          <w:rStyle w:val="FootnoteReference"/>
          <w:rFonts w:ascii="Century" w:hAnsi="Century" w:cs="Times New Roman"/>
        </w:rPr>
        <w:footnoteReference w:id="41"/>
      </w:r>
      <w:r w:rsidR="000316CD" w:rsidRPr="001A2A21">
        <w:rPr>
          <w:rFonts w:ascii="Century" w:hAnsi="Century"/>
        </w:rPr>
        <w:t xml:space="preserve"> </w:t>
      </w:r>
    </w:p>
    <w:p w14:paraId="143ACDF6" w14:textId="77777777" w:rsidR="001A2A21" w:rsidRPr="001A2A21" w:rsidRDefault="001A2A21" w:rsidP="001A2A21">
      <w:pPr>
        <w:pStyle w:val="ListParagraph"/>
        <w:spacing w:line="360" w:lineRule="auto"/>
        <w:jc w:val="both"/>
        <w:rPr>
          <w:rFonts w:ascii="Century" w:hAnsi="Century" w:cs="Times New Roman"/>
        </w:rPr>
      </w:pPr>
    </w:p>
    <w:p w14:paraId="5D987AAF" w14:textId="587A3628" w:rsidR="00D42BD6" w:rsidRPr="00DF7539" w:rsidRDefault="00D71AED" w:rsidP="00DF7539">
      <w:pPr>
        <w:pStyle w:val="ListParagraph"/>
        <w:numPr>
          <w:ilvl w:val="0"/>
          <w:numId w:val="5"/>
        </w:numPr>
        <w:spacing w:line="360" w:lineRule="auto"/>
        <w:jc w:val="both"/>
        <w:rPr>
          <w:rFonts w:ascii="Century" w:hAnsi="Century" w:cs="Times New Roman"/>
        </w:rPr>
      </w:pPr>
      <w:r w:rsidRPr="001A2A21">
        <w:rPr>
          <w:rFonts w:ascii="Century" w:hAnsi="Century"/>
        </w:rPr>
        <w:t>However, this cautious and risk-minimising disposition to</w:t>
      </w:r>
      <w:r w:rsidR="00DF7539">
        <w:rPr>
          <w:rFonts w:ascii="Century" w:hAnsi="Century"/>
        </w:rPr>
        <w:t xml:space="preserve"> legal</w:t>
      </w:r>
      <w:r w:rsidRPr="001A2A21">
        <w:rPr>
          <w:rFonts w:ascii="Century" w:hAnsi="Century"/>
        </w:rPr>
        <w:t xml:space="preserve"> advice giving can</w:t>
      </w:r>
      <w:r w:rsidR="00DF7539">
        <w:rPr>
          <w:rFonts w:ascii="Century" w:hAnsi="Century"/>
        </w:rPr>
        <w:t xml:space="preserve"> </w:t>
      </w:r>
      <w:r w:rsidR="00570DCD">
        <w:rPr>
          <w:rFonts w:ascii="Century" w:hAnsi="Century"/>
        </w:rPr>
        <w:t>have</w:t>
      </w:r>
      <w:r w:rsidRPr="001A2A21">
        <w:rPr>
          <w:rFonts w:ascii="Century" w:hAnsi="Century"/>
        </w:rPr>
        <w:t xml:space="preserve"> significant costs</w:t>
      </w:r>
      <w:r w:rsidR="001F437A" w:rsidRPr="001A2A21">
        <w:rPr>
          <w:rFonts w:ascii="Century" w:hAnsi="Century"/>
        </w:rPr>
        <w:t xml:space="preserve"> and downsides</w:t>
      </w:r>
      <w:r w:rsidRPr="001A2A21">
        <w:rPr>
          <w:rFonts w:ascii="Century" w:hAnsi="Century"/>
        </w:rPr>
        <w:t xml:space="preserve">, </w:t>
      </w:r>
      <w:r w:rsidR="00570DCD">
        <w:rPr>
          <w:rFonts w:ascii="Century" w:hAnsi="Century"/>
        </w:rPr>
        <w:t>like</w:t>
      </w:r>
      <w:r w:rsidR="001F437A" w:rsidRPr="001A2A21">
        <w:rPr>
          <w:rFonts w:ascii="Century" w:hAnsi="Century"/>
        </w:rPr>
        <w:t xml:space="preserve"> helping to</w:t>
      </w:r>
      <w:r w:rsidRPr="001A2A21">
        <w:rPr>
          <w:rFonts w:ascii="Century" w:hAnsi="Century"/>
        </w:rPr>
        <w:t xml:space="preserve"> seriously narrow what political actors like the Government </w:t>
      </w:r>
      <w:r w:rsidR="001F437A" w:rsidRPr="001A2A21">
        <w:rPr>
          <w:rFonts w:ascii="Century" w:hAnsi="Century"/>
        </w:rPr>
        <w:t>regard</w:t>
      </w:r>
      <w:r w:rsidRPr="001A2A21">
        <w:rPr>
          <w:rFonts w:ascii="Century" w:hAnsi="Century"/>
        </w:rPr>
        <w:t xml:space="preserve"> as the appropriate scope of political action for the common good.</w:t>
      </w:r>
      <w:r w:rsidR="00DF7539">
        <w:rPr>
          <w:rFonts w:ascii="Century" w:hAnsi="Century"/>
        </w:rPr>
        <w:t xml:space="preserve"> </w:t>
      </w:r>
      <w:r w:rsidR="008E45F2" w:rsidRPr="00DF7539">
        <w:rPr>
          <w:rFonts w:ascii="Century" w:hAnsi="Century"/>
        </w:rPr>
        <w:t>Given that</w:t>
      </w:r>
      <w:r w:rsidR="00A65F0F" w:rsidRPr="00DF7539">
        <w:rPr>
          <w:rFonts w:ascii="Century" w:hAnsi="Century"/>
        </w:rPr>
        <w:t>,</w:t>
      </w:r>
      <w:r w:rsidR="008E45F2" w:rsidRPr="00DF7539">
        <w:rPr>
          <w:rFonts w:ascii="Century" w:hAnsi="Century"/>
        </w:rPr>
        <w:t xml:space="preserve"> </w:t>
      </w:r>
      <w:r w:rsidR="00D31106" w:rsidRPr="00DF7539">
        <w:rPr>
          <w:rFonts w:ascii="Century" w:hAnsi="Century"/>
        </w:rPr>
        <w:t>in practice</w:t>
      </w:r>
      <w:r w:rsidR="00A65F0F" w:rsidRPr="00DF7539">
        <w:rPr>
          <w:rFonts w:ascii="Century" w:hAnsi="Century"/>
        </w:rPr>
        <w:t>,</w:t>
      </w:r>
      <w:r w:rsidR="00D31106" w:rsidRPr="00DF7539">
        <w:rPr>
          <w:rFonts w:ascii="Century" w:hAnsi="Century"/>
        </w:rPr>
        <w:t xml:space="preserve"> </w:t>
      </w:r>
      <w:r w:rsidR="008E45F2" w:rsidRPr="00DF7539">
        <w:rPr>
          <w:rFonts w:ascii="Century" w:hAnsi="Century"/>
        </w:rPr>
        <w:t xml:space="preserve">Attorney General’s advice is treated as binding, </w:t>
      </w:r>
      <w:r w:rsidR="001302C5">
        <w:rPr>
          <w:rFonts w:ascii="Century" w:hAnsi="Century"/>
        </w:rPr>
        <w:t>the</w:t>
      </w:r>
      <w:r w:rsidR="00EB03BD" w:rsidRPr="00DF7539">
        <w:rPr>
          <w:rFonts w:ascii="Century" w:hAnsi="Century"/>
        </w:rPr>
        <w:t xml:space="preserve"> existence of</w:t>
      </w:r>
      <w:r w:rsidR="00D31106" w:rsidRPr="00DF7539">
        <w:rPr>
          <w:rFonts w:ascii="Century" w:hAnsi="Century"/>
        </w:rPr>
        <w:t xml:space="preserve"> a high aversity to</w:t>
      </w:r>
      <w:r w:rsidR="00EB03BD" w:rsidRPr="00DF7539">
        <w:rPr>
          <w:rFonts w:ascii="Century" w:hAnsi="Century"/>
        </w:rPr>
        <w:t xml:space="preserve"> </w:t>
      </w:r>
      <w:r w:rsidR="00EB03BD" w:rsidRPr="00DF7539">
        <w:rPr>
          <w:rFonts w:ascii="Century" w:hAnsi="Century"/>
          <w:i/>
          <w:iCs/>
        </w:rPr>
        <w:t>legal risk</w:t>
      </w:r>
      <w:r w:rsidR="00EB03BD" w:rsidRPr="00DF7539">
        <w:rPr>
          <w:rFonts w:ascii="Century" w:hAnsi="Century"/>
        </w:rPr>
        <w:t xml:space="preserve"> </w:t>
      </w:r>
      <w:r w:rsidR="001F437A" w:rsidRPr="00DF7539">
        <w:rPr>
          <w:rFonts w:ascii="Century" w:hAnsi="Century"/>
        </w:rPr>
        <w:t xml:space="preserve">can </w:t>
      </w:r>
      <w:r w:rsidR="00590E61" w:rsidRPr="00DF7539">
        <w:rPr>
          <w:rFonts w:ascii="Century" w:hAnsi="Century"/>
        </w:rPr>
        <w:t>help</w:t>
      </w:r>
      <w:r w:rsidR="00A65F0F" w:rsidRPr="00DF7539">
        <w:rPr>
          <w:rFonts w:ascii="Century" w:hAnsi="Century"/>
        </w:rPr>
        <w:t xml:space="preserve"> us</w:t>
      </w:r>
      <w:r w:rsidR="008E12BE" w:rsidRPr="00DF7539">
        <w:rPr>
          <w:rFonts w:ascii="Century" w:hAnsi="Century"/>
        </w:rPr>
        <w:t xml:space="preserve"> </w:t>
      </w:r>
      <w:r w:rsidR="009E66B9" w:rsidRPr="00DF7539">
        <w:rPr>
          <w:rFonts w:ascii="Century" w:hAnsi="Century"/>
        </w:rPr>
        <w:t>account for</w:t>
      </w:r>
      <w:r w:rsidR="008E12BE" w:rsidRPr="00DF7539">
        <w:rPr>
          <w:rFonts w:ascii="Century" w:hAnsi="Century"/>
        </w:rPr>
        <w:t xml:space="preserve"> clear evidence of</w:t>
      </w:r>
      <w:r w:rsidR="00D31106" w:rsidRPr="00DF7539">
        <w:rPr>
          <w:rFonts w:ascii="Century" w:hAnsi="Century"/>
        </w:rPr>
        <w:t xml:space="preserve"> aversity to</w:t>
      </w:r>
      <w:r w:rsidR="008E12BE" w:rsidRPr="00DF7539">
        <w:rPr>
          <w:rFonts w:ascii="Century" w:hAnsi="Century"/>
        </w:rPr>
        <w:t xml:space="preserve"> </w:t>
      </w:r>
      <w:r w:rsidR="008E12BE" w:rsidRPr="00DF7539">
        <w:rPr>
          <w:rFonts w:ascii="Century" w:hAnsi="Century"/>
          <w:i/>
          <w:iCs/>
        </w:rPr>
        <w:lastRenderedPageBreak/>
        <w:t>political risk</w:t>
      </w:r>
      <w:r w:rsidR="008E12BE" w:rsidRPr="00DF7539">
        <w:rPr>
          <w:rFonts w:ascii="Century" w:hAnsi="Century"/>
        </w:rPr>
        <w:t xml:space="preserve"> concerning the </w:t>
      </w:r>
      <w:r w:rsidR="00EB03BD" w:rsidRPr="00DF7539">
        <w:rPr>
          <w:rFonts w:ascii="Century" w:hAnsi="Century"/>
        </w:rPr>
        <w:t>“</w:t>
      </w:r>
      <w:r w:rsidR="008E12BE" w:rsidRPr="00DF7539">
        <w:rPr>
          <w:rFonts w:ascii="Century" w:hAnsi="Century"/>
        </w:rPr>
        <w:t>initiation of new laws that restrict property rights”</w:t>
      </w:r>
      <w:r w:rsidR="008E12BE" w:rsidRPr="00142A36">
        <w:rPr>
          <w:rStyle w:val="FootnoteReference"/>
          <w:rFonts w:ascii="Century" w:hAnsi="Century" w:cs="Times New Roman"/>
        </w:rPr>
        <w:footnoteReference w:id="42"/>
      </w:r>
      <w:r w:rsidR="008E12BE" w:rsidRPr="00DF7539">
        <w:rPr>
          <w:rFonts w:ascii="Century" w:hAnsi="Century"/>
        </w:rPr>
        <w:t xml:space="preserve"> </w:t>
      </w:r>
      <w:r w:rsidR="004A4081" w:rsidRPr="00DF7539">
        <w:rPr>
          <w:rFonts w:ascii="Century" w:hAnsi="Century"/>
        </w:rPr>
        <w:t>notwithstanding</w:t>
      </w:r>
      <w:r w:rsidR="008E12BE" w:rsidRPr="00DF7539">
        <w:rPr>
          <w:rFonts w:ascii="Century" w:hAnsi="Century"/>
        </w:rPr>
        <w:t xml:space="preserve"> extensive latitude offered</w:t>
      </w:r>
      <w:r w:rsidR="004A4081" w:rsidRPr="00DF7539">
        <w:rPr>
          <w:rFonts w:ascii="Century" w:hAnsi="Century"/>
        </w:rPr>
        <w:t xml:space="preserve"> to the Oireachtas</w:t>
      </w:r>
      <w:r w:rsidR="008E12BE" w:rsidRPr="00DF7539">
        <w:rPr>
          <w:rFonts w:ascii="Century" w:hAnsi="Century"/>
        </w:rPr>
        <w:t xml:space="preserve"> in</w:t>
      </w:r>
      <w:r w:rsidR="004A4081" w:rsidRPr="00DF7539">
        <w:rPr>
          <w:rFonts w:ascii="Century" w:hAnsi="Century"/>
        </w:rPr>
        <w:t xml:space="preserve"> the </w:t>
      </w:r>
      <w:r w:rsidR="001302C5">
        <w:rPr>
          <w:rFonts w:ascii="Century" w:hAnsi="Century"/>
        </w:rPr>
        <w:t>judicial doctrine</w:t>
      </w:r>
      <w:r w:rsidR="004A4081" w:rsidRPr="00DF7539">
        <w:rPr>
          <w:rFonts w:ascii="Century" w:hAnsi="Century"/>
        </w:rPr>
        <w:t>.</w:t>
      </w:r>
    </w:p>
    <w:p w14:paraId="159310C9" w14:textId="77777777" w:rsidR="007D2299" w:rsidRPr="00142A36" w:rsidRDefault="007D2299" w:rsidP="00FB4DF1">
      <w:pPr>
        <w:spacing w:line="360" w:lineRule="auto"/>
        <w:rPr>
          <w:rFonts w:ascii="Century" w:hAnsi="Century"/>
        </w:rPr>
      </w:pPr>
    </w:p>
    <w:p w14:paraId="2D4FFD40" w14:textId="663B41C9" w:rsidR="00976700" w:rsidRPr="00976700" w:rsidRDefault="009E66B9" w:rsidP="000E5416">
      <w:pPr>
        <w:pStyle w:val="ListParagraph"/>
        <w:numPr>
          <w:ilvl w:val="0"/>
          <w:numId w:val="5"/>
        </w:numPr>
        <w:spacing w:line="360" w:lineRule="auto"/>
        <w:jc w:val="both"/>
        <w:rPr>
          <w:rFonts w:ascii="Century" w:hAnsi="Century" w:cs="Times New Roman"/>
        </w:rPr>
      </w:pPr>
      <w:r w:rsidRPr="00976700">
        <w:rPr>
          <w:rFonts w:ascii="Century" w:hAnsi="Century"/>
        </w:rPr>
        <w:t>Another plausible</w:t>
      </w:r>
      <w:r w:rsidR="00F83ACE" w:rsidRPr="00976700">
        <w:rPr>
          <w:rFonts w:ascii="Century" w:hAnsi="Century"/>
        </w:rPr>
        <w:t xml:space="preserve"> </w:t>
      </w:r>
      <w:r w:rsidRPr="00976700">
        <w:rPr>
          <w:rFonts w:ascii="Century" w:hAnsi="Century"/>
        </w:rPr>
        <w:t xml:space="preserve">account of how legal advice relates to the Government’s deeply entrenched and misperceived understanding of </w:t>
      </w:r>
      <w:r w:rsidR="009F3E4D">
        <w:rPr>
          <w:rFonts w:ascii="Century" w:hAnsi="Century"/>
        </w:rPr>
        <w:t>constitutional doctrine</w:t>
      </w:r>
      <w:r w:rsidR="00A65F0F" w:rsidRPr="00976700">
        <w:rPr>
          <w:rFonts w:ascii="Century" w:hAnsi="Century"/>
        </w:rPr>
        <w:t>,</w:t>
      </w:r>
      <w:r w:rsidRPr="00976700">
        <w:rPr>
          <w:rFonts w:ascii="Century" w:hAnsi="Century"/>
        </w:rPr>
        <w:t xml:space="preserve"> begins from the premise that </w:t>
      </w:r>
      <w:r w:rsidR="00F83ACE" w:rsidRPr="00976700">
        <w:rPr>
          <w:rFonts w:ascii="Century" w:hAnsi="Century"/>
        </w:rPr>
        <w:t xml:space="preserve">Attorney General’s advice </w:t>
      </w:r>
      <w:r w:rsidR="00FD0A20" w:rsidRPr="00976700">
        <w:rPr>
          <w:rFonts w:ascii="Century" w:hAnsi="Century"/>
        </w:rPr>
        <w:t>is</w:t>
      </w:r>
      <w:r w:rsidR="00F83ACE" w:rsidRPr="00976700">
        <w:rPr>
          <w:rFonts w:ascii="Century" w:hAnsi="Century"/>
        </w:rPr>
        <w:t xml:space="preserve"> </w:t>
      </w:r>
      <w:r w:rsidR="00976700" w:rsidRPr="00976700">
        <w:rPr>
          <w:rFonts w:ascii="Century" w:hAnsi="Century"/>
        </w:rPr>
        <w:t xml:space="preserve">not actually excessively risk averse or conservative, and the real problem is that it is being presented as such by members of the Government in the Oireachtas and in public statements. </w:t>
      </w:r>
    </w:p>
    <w:p w14:paraId="4EB437CF" w14:textId="77777777" w:rsidR="001A2A21" w:rsidRPr="001A2A21" w:rsidRDefault="001A2A21" w:rsidP="001A2A21">
      <w:pPr>
        <w:pStyle w:val="ListParagraph"/>
        <w:rPr>
          <w:rFonts w:ascii="Century" w:hAnsi="Century"/>
        </w:rPr>
      </w:pPr>
    </w:p>
    <w:p w14:paraId="16588FA0" w14:textId="2EB6BC08" w:rsidR="00853773" w:rsidRPr="00976700" w:rsidRDefault="00976700" w:rsidP="00976700">
      <w:pPr>
        <w:pStyle w:val="ListParagraph"/>
        <w:numPr>
          <w:ilvl w:val="0"/>
          <w:numId w:val="5"/>
        </w:numPr>
        <w:spacing w:line="360" w:lineRule="auto"/>
        <w:jc w:val="both"/>
        <w:rPr>
          <w:rFonts w:ascii="Century" w:hAnsi="Century"/>
        </w:rPr>
      </w:pPr>
      <w:r>
        <w:rPr>
          <w:rFonts w:ascii="Century" w:hAnsi="Century"/>
        </w:rPr>
        <w:t>In other words, w</w:t>
      </w:r>
      <w:r w:rsidRPr="00976700">
        <w:rPr>
          <w:rFonts w:ascii="Century" w:hAnsi="Century"/>
        </w:rPr>
        <w:t xml:space="preserve">hat we might be witnessing is a situation where valid legal risks identified by the Attorney General are exaggerated, inflated, and find public expression in a more categorical type of claim that the Government has been advised that a measure </w:t>
      </w:r>
      <w:r w:rsidRPr="00976700">
        <w:rPr>
          <w:rFonts w:ascii="Century" w:hAnsi="Century"/>
          <w:i/>
          <w:iCs/>
        </w:rPr>
        <w:t xml:space="preserve">could not </w:t>
      </w:r>
      <w:r w:rsidRPr="00976700">
        <w:rPr>
          <w:rFonts w:ascii="Century" w:hAnsi="Century"/>
        </w:rPr>
        <w:t xml:space="preserve">be considered constitutional. That is, the </w:t>
      </w:r>
      <w:r w:rsidRPr="00976700">
        <w:rPr>
          <w:rFonts w:ascii="Century" w:hAnsi="Century" w:cs="Times New Roman"/>
        </w:rPr>
        <w:t>Government might tactically convey the impression a measure contained in a bill has been</w:t>
      </w:r>
      <w:r w:rsidR="008C784F">
        <w:rPr>
          <w:rFonts w:ascii="Century" w:hAnsi="Century" w:cs="Times New Roman"/>
        </w:rPr>
        <w:t xml:space="preserve"> emphatically</w:t>
      </w:r>
      <w:r w:rsidRPr="00976700">
        <w:rPr>
          <w:rFonts w:ascii="Century" w:hAnsi="Century" w:cs="Times New Roman"/>
        </w:rPr>
        <w:t xml:space="preserve"> </w:t>
      </w:r>
      <w:r w:rsidR="008C784F">
        <w:rPr>
          <w:rFonts w:ascii="Century" w:hAnsi="Century" w:cs="Times New Roman"/>
        </w:rPr>
        <w:t>dubbed</w:t>
      </w:r>
      <w:r w:rsidRPr="00976700">
        <w:rPr>
          <w:rFonts w:ascii="Century" w:hAnsi="Century" w:cs="Times New Roman"/>
        </w:rPr>
        <w:t xml:space="preserve"> unconstitutional</w:t>
      </w:r>
      <w:r w:rsidR="008C784F">
        <w:rPr>
          <w:rFonts w:ascii="Century" w:hAnsi="Century" w:cs="Times New Roman"/>
        </w:rPr>
        <w:t xml:space="preserve"> by the Attorney General</w:t>
      </w:r>
      <w:r w:rsidRPr="00976700">
        <w:rPr>
          <w:rFonts w:ascii="Century" w:hAnsi="Century" w:cs="Times New Roman"/>
        </w:rPr>
        <w:t xml:space="preserve">, </w:t>
      </w:r>
      <w:r w:rsidR="005D439B" w:rsidRPr="00976700">
        <w:rPr>
          <w:rFonts w:ascii="Century" w:hAnsi="Century" w:cs="Times New Roman"/>
        </w:rPr>
        <w:t>to</w:t>
      </w:r>
      <w:r w:rsidRPr="00976700">
        <w:rPr>
          <w:rFonts w:ascii="Century" w:hAnsi="Century" w:cs="Times New Roman"/>
        </w:rPr>
        <w:t xml:space="preserve"> side-step pressure to take political action it simply does not want to take for policy reasons. </w:t>
      </w:r>
    </w:p>
    <w:p w14:paraId="2F2F8BF0" w14:textId="77777777" w:rsidR="00853773" w:rsidRPr="00142A36" w:rsidRDefault="00853773" w:rsidP="00FB4DF1">
      <w:pPr>
        <w:pStyle w:val="ListParagraph"/>
        <w:spacing w:line="360" w:lineRule="auto"/>
        <w:rPr>
          <w:rFonts w:ascii="Century" w:hAnsi="Century"/>
        </w:rPr>
      </w:pPr>
    </w:p>
    <w:p w14:paraId="3F16D479" w14:textId="45C69DF7" w:rsidR="00853773" w:rsidRPr="00142A36" w:rsidRDefault="00E6141C" w:rsidP="00FB4DF1">
      <w:pPr>
        <w:pStyle w:val="ListParagraph"/>
        <w:numPr>
          <w:ilvl w:val="0"/>
          <w:numId w:val="5"/>
        </w:numPr>
        <w:spacing w:line="360" w:lineRule="auto"/>
        <w:jc w:val="both"/>
        <w:rPr>
          <w:rFonts w:ascii="Century" w:hAnsi="Century" w:cs="Times New Roman"/>
        </w:rPr>
      </w:pPr>
      <w:r w:rsidRPr="00142A36">
        <w:rPr>
          <w:rFonts w:ascii="Century" w:hAnsi="Century"/>
        </w:rPr>
        <w:t>There is</w:t>
      </w:r>
      <w:r w:rsidR="00D01513">
        <w:rPr>
          <w:rFonts w:ascii="Century" w:hAnsi="Century"/>
        </w:rPr>
        <w:t xml:space="preserve"> </w:t>
      </w:r>
      <w:r w:rsidRPr="00142A36">
        <w:rPr>
          <w:rFonts w:ascii="Century" w:hAnsi="Century"/>
        </w:rPr>
        <w:t>a</w:t>
      </w:r>
      <w:r w:rsidR="00993B17" w:rsidRPr="00142A36">
        <w:rPr>
          <w:rFonts w:ascii="Century" w:hAnsi="Century"/>
        </w:rPr>
        <w:t xml:space="preserve"> very</w:t>
      </w:r>
      <w:r w:rsidRPr="00142A36">
        <w:rPr>
          <w:rFonts w:ascii="Century" w:hAnsi="Century"/>
        </w:rPr>
        <w:t xml:space="preserve"> serious difference between</w:t>
      </w:r>
      <w:r w:rsidR="00D01513">
        <w:rPr>
          <w:rFonts w:ascii="Century" w:hAnsi="Century"/>
        </w:rPr>
        <w:t xml:space="preserve"> advice</w:t>
      </w:r>
      <w:r w:rsidR="00993B17" w:rsidRPr="00142A36">
        <w:rPr>
          <w:rFonts w:ascii="Century" w:hAnsi="Century"/>
        </w:rPr>
        <w:t xml:space="preserve"> identifying</w:t>
      </w:r>
      <w:r w:rsidR="00744E20">
        <w:rPr>
          <w:rFonts w:ascii="Century" w:hAnsi="Century"/>
        </w:rPr>
        <w:t xml:space="preserve"> the presence of</w:t>
      </w:r>
      <w:r w:rsidRPr="00142A36">
        <w:rPr>
          <w:rFonts w:ascii="Century" w:hAnsi="Century"/>
        </w:rPr>
        <w:t xml:space="preserve"> </w:t>
      </w:r>
      <w:r w:rsidR="004A4081">
        <w:rPr>
          <w:rFonts w:ascii="Century" w:hAnsi="Century"/>
        </w:rPr>
        <w:t xml:space="preserve">relevant </w:t>
      </w:r>
      <w:r w:rsidR="00993B17" w:rsidRPr="00142A36">
        <w:rPr>
          <w:rFonts w:ascii="Century" w:hAnsi="Century"/>
        </w:rPr>
        <w:t>legal</w:t>
      </w:r>
      <w:r w:rsidRPr="00142A36">
        <w:rPr>
          <w:rFonts w:ascii="Century" w:hAnsi="Century"/>
        </w:rPr>
        <w:t xml:space="preserve"> risk</w:t>
      </w:r>
      <w:r w:rsidR="004A4081">
        <w:rPr>
          <w:rFonts w:ascii="Century" w:hAnsi="Century"/>
        </w:rPr>
        <w:t>s</w:t>
      </w:r>
      <w:r w:rsidR="00D01513">
        <w:rPr>
          <w:rFonts w:ascii="Century" w:hAnsi="Century"/>
        </w:rPr>
        <w:t>,</w:t>
      </w:r>
      <w:r w:rsidR="008341FE">
        <w:rPr>
          <w:rFonts w:ascii="Century" w:hAnsi="Century"/>
        </w:rPr>
        <w:t xml:space="preserve"> and</w:t>
      </w:r>
      <w:r w:rsidR="00D01513">
        <w:rPr>
          <w:rFonts w:ascii="Century" w:hAnsi="Century"/>
        </w:rPr>
        <w:t xml:space="preserve"> </w:t>
      </w:r>
      <w:r w:rsidR="00744E20">
        <w:rPr>
          <w:rFonts w:ascii="Century" w:hAnsi="Century"/>
        </w:rPr>
        <w:t>advice</w:t>
      </w:r>
      <w:r w:rsidR="00D01513">
        <w:rPr>
          <w:rFonts w:ascii="Century" w:hAnsi="Century"/>
        </w:rPr>
        <w:t xml:space="preserve"> which</w:t>
      </w:r>
      <w:r w:rsidR="00993B17" w:rsidRPr="00142A36">
        <w:rPr>
          <w:rFonts w:ascii="Century" w:hAnsi="Century"/>
        </w:rPr>
        <w:t xml:space="preserve"> offer</w:t>
      </w:r>
      <w:r w:rsidR="00D01513">
        <w:rPr>
          <w:rFonts w:ascii="Century" w:hAnsi="Century"/>
        </w:rPr>
        <w:t>s</w:t>
      </w:r>
      <w:r w:rsidRPr="00142A36">
        <w:rPr>
          <w:rFonts w:ascii="Century" w:hAnsi="Century"/>
        </w:rPr>
        <w:t xml:space="preserve"> a categorical statement about unconstitutionality. </w:t>
      </w:r>
      <w:r w:rsidR="00993B17" w:rsidRPr="00142A36">
        <w:rPr>
          <w:rFonts w:ascii="Century" w:hAnsi="Century"/>
        </w:rPr>
        <w:t xml:space="preserve">Virtually all consequential legislation </w:t>
      </w:r>
      <w:r w:rsidR="006B5AD5">
        <w:rPr>
          <w:rFonts w:ascii="Century" w:hAnsi="Century"/>
        </w:rPr>
        <w:t>is likely to</w:t>
      </w:r>
      <w:r w:rsidR="00993B17" w:rsidRPr="00142A36">
        <w:rPr>
          <w:rFonts w:ascii="Century" w:hAnsi="Century"/>
        </w:rPr>
        <w:t xml:space="preserve"> raise </w:t>
      </w:r>
      <w:r w:rsidR="00993B17" w:rsidRPr="00744E20">
        <w:rPr>
          <w:rFonts w:ascii="Century" w:hAnsi="Century"/>
          <w:i/>
          <w:iCs/>
        </w:rPr>
        <w:t>some</w:t>
      </w:r>
      <w:r w:rsidR="00993B17" w:rsidRPr="00142A36">
        <w:rPr>
          <w:rFonts w:ascii="Century" w:hAnsi="Century"/>
        </w:rPr>
        <w:t xml:space="preserve"> identifiable legal</w:t>
      </w:r>
      <w:r w:rsidR="004854F1">
        <w:rPr>
          <w:rFonts w:ascii="Century" w:hAnsi="Century"/>
        </w:rPr>
        <w:t xml:space="preserve"> or constitutional</w:t>
      </w:r>
      <w:r w:rsidR="00993B17" w:rsidRPr="00142A36">
        <w:rPr>
          <w:rFonts w:ascii="Century" w:hAnsi="Century"/>
        </w:rPr>
        <w:t xml:space="preserve"> risk</w:t>
      </w:r>
      <w:r w:rsidR="00744E20">
        <w:rPr>
          <w:rFonts w:ascii="Century" w:hAnsi="Century"/>
        </w:rPr>
        <w:t>.</w:t>
      </w:r>
      <w:r w:rsidR="008341FE">
        <w:rPr>
          <w:rFonts w:ascii="Century" w:hAnsi="Century"/>
        </w:rPr>
        <w:t xml:space="preserve"> </w:t>
      </w:r>
      <w:r w:rsidR="00744E20">
        <w:rPr>
          <w:rFonts w:ascii="Century" w:hAnsi="Century"/>
        </w:rPr>
        <w:t>The</w:t>
      </w:r>
      <w:r w:rsidR="00993B17" w:rsidRPr="00142A36">
        <w:rPr>
          <w:rFonts w:ascii="Century" w:hAnsi="Century"/>
        </w:rPr>
        <w:t xml:space="preserve"> more important question </w:t>
      </w:r>
      <w:r w:rsidR="004854F1">
        <w:rPr>
          <w:rFonts w:ascii="Century" w:hAnsi="Century"/>
        </w:rPr>
        <w:t>is</w:t>
      </w:r>
      <w:r w:rsidR="00993B17" w:rsidRPr="00142A36">
        <w:rPr>
          <w:rFonts w:ascii="Century" w:hAnsi="Century"/>
        </w:rPr>
        <w:t xml:space="preserve"> whether the</w:t>
      </w:r>
      <w:r w:rsidR="008341FE">
        <w:rPr>
          <w:rFonts w:ascii="Century" w:hAnsi="Century"/>
        </w:rPr>
        <w:t xml:space="preserve"> relevant</w:t>
      </w:r>
      <w:r w:rsidR="001D0D25">
        <w:rPr>
          <w:rFonts w:ascii="Century" w:hAnsi="Century"/>
        </w:rPr>
        <w:t xml:space="preserve"> legal</w:t>
      </w:r>
      <w:r w:rsidR="00993B17" w:rsidRPr="00142A36">
        <w:rPr>
          <w:rFonts w:ascii="Century" w:hAnsi="Century"/>
        </w:rPr>
        <w:t xml:space="preserve"> risk </w:t>
      </w:r>
      <w:r w:rsidR="008C784F">
        <w:rPr>
          <w:rFonts w:ascii="Century" w:hAnsi="Century"/>
        </w:rPr>
        <w:t>identified is</w:t>
      </w:r>
      <w:r w:rsidR="00993B17" w:rsidRPr="00142A36">
        <w:rPr>
          <w:rFonts w:ascii="Century" w:hAnsi="Century"/>
        </w:rPr>
        <w:t xml:space="preserve"> that legislation will</w:t>
      </w:r>
      <w:r w:rsidR="008341FE">
        <w:rPr>
          <w:rFonts w:ascii="Century" w:hAnsi="Century"/>
        </w:rPr>
        <w:t xml:space="preserve"> </w:t>
      </w:r>
      <w:r w:rsidR="00993B17" w:rsidRPr="00142A36">
        <w:rPr>
          <w:rFonts w:ascii="Century" w:hAnsi="Century"/>
        </w:rPr>
        <w:t>fail</w:t>
      </w:r>
      <w:r w:rsidR="00601FEB">
        <w:rPr>
          <w:rFonts w:ascii="Century" w:hAnsi="Century"/>
        </w:rPr>
        <w:t>, on any reasonable view,</w:t>
      </w:r>
      <w:r w:rsidR="00993B17" w:rsidRPr="00142A36">
        <w:rPr>
          <w:rFonts w:ascii="Century" w:hAnsi="Century"/>
        </w:rPr>
        <w:t xml:space="preserve"> to </w:t>
      </w:r>
      <w:r w:rsidR="00601FEB">
        <w:rPr>
          <w:rFonts w:ascii="Century" w:hAnsi="Century"/>
        </w:rPr>
        <w:t>satisfy</w:t>
      </w:r>
      <w:r w:rsidR="00993B17" w:rsidRPr="00142A36">
        <w:rPr>
          <w:rFonts w:ascii="Century" w:hAnsi="Century"/>
        </w:rPr>
        <w:t xml:space="preserve"> the deferential</w:t>
      </w:r>
      <w:r w:rsidR="00601FEB">
        <w:rPr>
          <w:rFonts w:ascii="Century" w:hAnsi="Century"/>
        </w:rPr>
        <w:t xml:space="preserve"> standards of review</w:t>
      </w:r>
      <w:r w:rsidR="00993B17" w:rsidRPr="00142A36">
        <w:rPr>
          <w:rFonts w:ascii="Century" w:hAnsi="Century"/>
        </w:rPr>
        <w:t xml:space="preserve"> outline</w:t>
      </w:r>
      <w:r w:rsidR="001D0D25">
        <w:rPr>
          <w:rFonts w:ascii="Century" w:hAnsi="Century"/>
        </w:rPr>
        <w:t>d</w:t>
      </w:r>
      <w:r w:rsidR="00993B17" w:rsidRPr="00142A36">
        <w:rPr>
          <w:rFonts w:ascii="Century" w:hAnsi="Century"/>
        </w:rPr>
        <w:t xml:space="preserve"> by the Court</w:t>
      </w:r>
      <w:r w:rsidR="001D0D25">
        <w:rPr>
          <w:rFonts w:ascii="Century" w:hAnsi="Century"/>
        </w:rPr>
        <w:t xml:space="preserve"> in its case-law</w:t>
      </w:r>
      <w:r w:rsidR="00744E20">
        <w:rPr>
          <w:rFonts w:ascii="Century" w:hAnsi="Century"/>
        </w:rPr>
        <w:t xml:space="preserve"> and be found unconstitutional</w:t>
      </w:r>
      <w:r w:rsidR="00993B17" w:rsidRPr="00142A36">
        <w:rPr>
          <w:rFonts w:ascii="Century" w:hAnsi="Century"/>
        </w:rPr>
        <w:t xml:space="preserve">. </w:t>
      </w:r>
      <w:r w:rsidR="008341FE">
        <w:rPr>
          <w:rFonts w:ascii="Century" w:hAnsi="Century" w:cs="Times New Roman"/>
        </w:rPr>
        <w:t>Thus,</w:t>
      </w:r>
      <w:r w:rsidR="001D0D25">
        <w:rPr>
          <w:rFonts w:ascii="Century" w:hAnsi="Century" w:cs="Times New Roman"/>
        </w:rPr>
        <w:t xml:space="preserve"> what</w:t>
      </w:r>
      <w:r w:rsidR="00853773" w:rsidRPr="00142A36">
        <w:rPr>
          <w:rFonts w:ascii="Century" w:hAnsi="Century" w:cs="Times New Roman"/>
        </w:rPr>
        <w:t xml:space="preserve"> might </w:t>
      </w:r>
      <w:r w:rsidR="001D0D25">
        <w:rPr>
          <w:rFonts w:ascii="Century" w:hAnsi="Century" w:cs="Times New Roman"/>
        </w:rPr>
        <w:t>at first impression look</w:t>
      </w:r>
      <w:r w:rsidR="00853773" w:rsidRPr="00142A36">
        <w:rPr>
          <w:rFonts w:ascii="Century" w:hAnsi="Century" w:cs="Times New Roman"/>
        </w:rPr>
        <w:t xml:space="preserve"> like</w:t>
      </w:r>
      <w:r w:rsidR="0028161A">
        <w:rPr>
          <w:rFonts w:ascii="Century" w:hAnsi="Century" w:cs="Times New Roman"/>
        </w:rPr>
        <w:t xml:space="preserve"> Government</w:t>
      </w:r>
      <w:r w:rsidR="00853773" w:rsidRPr="00142A36">
        <w:rPr>
          <w:rFonts w:ascii="Century" w:hAnsi="Century" w:cs="Times New Roman"/>
        </w:rPr>
        <w:t xml:space="preserve"> deference to </w:t>
      </w:r>
      <w:r w:rsidR="008341FE">
        <w:rPr>
          <w:rFonts w:ascii="Century" w:hAnsi="Century" w:cs="Times New Roman"/>
        </w:rPr>
        <w:t xml:space="preserve">conservative </w:t>
      </w:r>
      <w:r w:rsidR="00853773" w:rsidRPr="00142A36">
        <w:rPr>
          <w:rFonts w:ascii="Century" w:hAnsi="Century" w:cs="Times New Roman"/>
        </w:rPr>
        <w:t>legal advice</w:t>
      </w:r>
      <w:r w:rsidR="0028161A">
        <w:rPr>
          <w:rFonts w:ascii="Century" w:hAnsi="Century" w:cs="Times New Roman"/>
        </w:rPr>
        <w:t>,</w:t>
      </w:r>
      <w:r w:rsidR="00853773" w:rsidRPr="00142A36">
        <w:rPr>
          <w:rFonts w:ascii="Century" w:hAnsi="Century" w:cs="Times New Roman"/>
        </w:rPr>
        <w:t xml:space="preserve"> may</w:t>
      </w:r>
      <w:r w:rsidR="00744E20">
        <w:rPr>
          <w:rFonts w:ascii="Century" w:hAnsi="Century" w:cs="Times New Roman"/>
        </w:rPr>
        <w:t xml:space="preserve"> in fact</w:t>
      </w:r>
      <w:r w:rsidR="00853773" w:rsidRPr="00142A36">
        <w:rPr>
          <w:rFonts w:ascii="Century" w:hAnsi="Century" w:cs="Times New Roman"/>
        </w:rPr>
        <w:t xml:space="preserve"> </w:t>
      </w:r>
      <w:r w:rsidR="00EB3A7F">
        <w:rPr>
          <w:rFonts w:ascii="Century" w:hAnsi="Century" w:cs="Times New Roman"/>
        </w:rPr>
        <w:t>involve</w:t>
      </w:r>
      <w:r w:rsidR="00853773" w:rsidRPr="00142A36">
        <w:rPr>
          <w:rFonts w:ascii="Century" w:hAnsi="Century" w:cs="Times New Roman"/>
        </w:rPr>
        <w:t xml:space="preserve"> </w:t>
      </w:r>
      <w:r w:rsidR="00EB3A7F">
        <w:rPr>
          <w:rFonts w:ascii="Century" w:hAnsi="Century" w:cs="Times New Roman"/>
        </w:rPr>
        <w:t xml:space="preserve">a </w:t>
      </w:r>
      <w:r w:rsidR="00853773" w:rsidRPr="00142A36">
        <w:rPr>
          <w:rFonts w:ascii="Century" w:hAnsi="Century" w:cs="Times New Roman"/>
        </w:rPr>
        <w:t>strategic</w:t>
      </w:r>
      <w:r w:rsidR="00EB3A7F">
        <w:rPr>
          <w:rFonts w:ascii="Century" w:hAnsi="Century" w:cs="Times New Roman"/>
        </w:rPr>
        <w:t xml:space="preserve"> and misleading</w:t>
      </w:r>
      <w:r w:rsidR="00853773" w:rsidRPr="00142A36">
        <w:rPr>
          <w:rFonts w:ascii="Century" w:hAnsi="Century" w:cs="Times New Roman"/>
        </w:rPr>
        <w:t xml:space="preserve"> use of confidential legal advice</w:t>
      </w:r>
      <w:r w:rsidR="00EB3A7F">
        <w:rPr>
          <w:rFonts w:ascii="Century" w:hAnsi="Century" w:cs="Times New Roman"/>
        </w:rPr>
        <w:t xml:space="preserve"> to</w:t>
      </w:r>
      <w:r w:rsidR="00853773" w:rsidRPr="00142A36">
        <w:rPr>
          <w:rFonts w:ascii="Century" w:hAnsi="Century" w:cs="Times New Roman"/>
        </w:rPr>
        <w:t xml:space="preserve"> shore up </w:t>
      </w:r>
      <w:r w:rsidR="00EB3A7F">
        <w:rPr>
          <w:rFonts w:ascii="Century" w:hAnsi="Century" w:cs="Times New Roman"/>
        </w:rPr>
        <w:t>a controversial political</w:t>
      </w:r>
      <w:r w:rsidR="00853773" w:rsidRPr="00142A36">
        <w:rPr>
          <w:rFonts w:ascii="Century" w:hAnsi="Century" w:cs="Times New Roman"/>
        </w:rPr>
        <w:t xml:space="preserve"> position</w:t>
      </w:r>
      <w:r w:rsidR="00EB3A7F">
        <w:rPr>
          <w:rFonts w:ascii="Century" w:hAnsi="Century" w:cs="Times New Roman"/>
        </w:rPr>
        <w:t xml:space="preserve"> or state of inaction</w:t>
      </w:r>
      <w:r w:rsidR="00853773" w:rsidRPr="00142A36">
        <w:rPr>
          <w:rFonts w:ascii="Century" w:hAnsi="Century" w:cs="Times New Roman"/>
        </w:rPr>
        <w:t>.</w:t>
      </w:r>
    </w:p>
    <w:p w14:paraId="4E39F179" w14:textId="77777777" w:rsidR="00853773" w:rsidRPr="00853773" w:rsidRDefault="00853773" w:rsidP="00FB4DF1">
      <w:pPr>
        <w:pStyle w:val="ListParagraph"/>
        <w:spacing w:line="360" w:lineRule="auto"/>
        <w:rPr>
          <w:rFonts w:ascii="Century" w:hAnsi="Century" w:cs="Times New Roman"/>
        </w:rPr>
      </w:pPr>
    </w:p>
    <w:p w14:paraId="5A42C2D9" w14:textId="3022F92A" w:rsidR="00853773" w:rsidRDefault="00EB3A7F" w:rsidP="00FB4DF1">
      <w:pPr>
        <w:pStyle w:val="ListParagraph"/>
        <w:numPr>
          <w:ilvl w:val="0"/>
          <w:numId w:val="5"/>
        </w:numPr>
        <w:spacing w:line="360" w:lineRule="auto"/>
        <w:jc w:val="both"/>
        <w:rPr>
          <w:rFonts w:ascii="Century" w:hAnsi="Century" w:cs="Times New Roman"/>
        </w:rPr>
      </w:pPr>
      <w:r>
        <w:rPr>
          <w:rFonts w:ascii="Century" w:hAnsi="Century" w:cs="Times New Roman"/>
        </w:rPr>
        <w:t>In the absence of any transparency over the content of Attorney General’s advice, it is hard to say which account is more plausible. Both are undesirable in their own way</w:t>
      </w:r>
      <w:r w:rsidR="00A65F0F">
        <w:rPr>
          <w:rFonts w:ascii="Century" w:hAnsi="Century" w:cs="Times New Roman"/>
        </w:rPr>
        <w:t>.</w:t>
      </w:r>
      <w:r>
        <w:rPr>
          <w:rFonts w:ascii="Century" w:hAnsi="Century" w:cs="Times New Roman"/>
        </w:rPr>
        <w:t xml:space="preserve"> </w:t>
      </w:r>
      <w:r w:rsidR="00A65F0F">
        <w:rPr>
          <w:rFonts w:ascii="Century" w:hAnsi="Century" w:cs="Times New Roman"/>
        </w:rPr>
        <w:t>B</w:t>
      </w:r>
      <w:r>
        <w:rPr>
          <w:rFonts w:ascii="Century" w:hAnsi="Century" w:cs="Times New Roman"/>
        </w:rPr>
        <w:t>ut the latter account</w:t>
      </w:r>
      <w:r w:rsidR="00A65F0F">
        <w:rPr>
          <w:rFonts w:ascii="Century" w:hAnsi="Century" w:cs="Times New Roman"/>
        </w:rPr>
        <w:t xml:space="preserve"> outlined</w:t>
      </w:r>
      <w:r>
        <w:rPr>
          <w:rFonts w:ascii="Century" w:hAnsi="Century" w:cs="Times New Roman"/>
        </w:rPr>
        <w:t xml:space="preserve"> – of strategic</w:t>
      </w:r>
      <w:r w:rsidR="00605A5F">
        <w:rPr>
          <w:rFonts w:ascii="Century" w:hAnsi="Century" w:cs="Times New Roman"/>
        </w:rPr>
        <w:t xml:space="preserve"> Government</w:t>
      </w:r>
      <w:r>
        <w:rPr>
          <w:rFonts w:ascii="Century" w:hAnsi="Century" w:cs="Times New Roman"/>
        </w:rPr>
        <w:t xml:space="preserve"> presentation of equivocal</w:t>
      </w:r>
      <w:r w:rsidR="00605A5F">
        <w:rPr>
          <w:rFonts w:ascii="Century" w:hAnsi="Century" w:cs="Times New Roman"/>
        </w:rPr>
        <w:t xml:space="preserve"> legal</w:t>
      </w:r>
      <w:r>
        <w:rPr>
          <w:rFonts w:ascii="Century" w:hAnsi="Century" w:cs="Times New Roman"/>
        </w:rPr>
        <w:t xml:space="preserve"> advice as unequivocal – would be </w:t>
      </w:r>
      <w:r w:rsidR="001B4A38">
        <w:rPr>
          <w:rFonts w:ascii="Century" w:hAnsi="Century" w:cs="Times New Roman"/>
        </w:rPr>
        <w:t>worse</w:t>
      </w:r>
      <w:r w:rsidR="00A65F0F">
        <w:rPr>
          <w:rFonts w:ascii="Century" w:hAnsi="Century" w:cs="Times New Roman"/>
        </w:rPr>
        <w:t xml:space="preserve"> and more problematic</w:t>
      </w:r>
      <w:r w:rsidR="00605A5F">
        <w:rPr>
          <w:rFonts w:ascii="Century" w:hAnsi="Century" w:cs="Times New Roman"/>
        </w:rPr>
        <w:t>.</w:t>
      </w:r>
    </w:p>
    <w:p w14:paraId="61E8EC26" w14:textId="43E82EAC" w:rsidR="002F6573" w:rsidRDefault="002F6573" w:rsidP="00FB4DF1">
      <w:pPr>
        <w:spacing w:line="360" w:lineRule="auto"/>
        <w:rPr>
          <w:rFonts w:ascii="Century" w:hAnsi="Century"/>
        </w:rPr>
      </w:pPr>
    </w:p>
    <w:p w14:paraId="2B1B7DA4" w14:textId="724B7853" w:rsidR="002F6573" w:rsidRPr="00935AA5" w:rsidRDefault="002F6573" w:rsidP="00FB4DF1">
      <w:pPr>
        <w:pStyle w:val="ListParagraph"/>
        <w:numPr>
          <w:ilvl w:val="0"/>
          <w:numId w:val="9"/>
        </w:numPr>
        <w:spacing w:line="360" w:lineRule="auto"/>
        <w:rPr>
          <w:rFonts w:ascii="Century" w:hAnsi="Century" w:cs="Times New Roman"/>
          <w:b/>
          <w:bCs/>
        </w:rPr>
      </w:pPr>
      <w:r w:rsidRPr="00D87F5D">
        <w:rPr>
          <w:rFonts w:ascii="Century" w:hAnsi="Century" w:cs="Times New Roman"/>
          <w:b/>
          <w:bCs/>
        </w:rPr>
        <w:t xml:space="preserve">Implications for Reform </w:t>
      </w:r>
      <w:r w:rsidR="00935AA5">
        <w:rPr>
          <w:rFonts w:ascii="Century" w:hAnsi="Century" w:cs="Times New Roman"/>
          <w:b/>
          <w:bCs/>
        </w:rPr>
        <w:t>Discussions</w:t>
      </w:r>
    </w:p>
    <w:p w14:paraId="17A4296E" w14:textId="4BB6410F" w:rsidR="00BF2F64" w:rsidRDefault="002F6573" w:rsidP="00FB4DF1">
      <w:pPr>
        <w:pStyle w:val="ListParagraph"/>
        <w:numPr>
          <w:ilvl w:val="0"/>
          <w:numId w:val="5"/>
        </w:numPr>
        <w:spacing w:line="360" w:lineRule="auto"/>
        <w:jc w:val="both"/>
        <w:rPr>
          <w:rFonts w:ascii="Century" w:hAnsi="Century" w:cs="Times New Roman"/>
        </w:rPr>
      </w:pPr>
      <w:r>
        <w:rPr>
          <w:rFonts w:ascii="Century" w:hAnsi="Century" w:cs="Times New Roman"/>
        </w:rPr>
        <w:t xml:space="preserve">What relevance does </w:t>
      </w:r>
      <w:r w:rsidR="00404485">
        <w:rPr>
          <w:rFonts w:ascii="Century" w:hAnsi="Century" w:cs="Times New Roman"/>
        </w:rPr>
        <w:t xml:space="preserve">this </w:t>
      </w:r>
      <w:r>
        <w:rPr>
          <w:rFonts w:ascii="Century" w:hAnsi="Century" w:cs="Times New Roman"/>
        </w:rPr>
        <w:t xml:space="preserve">have for current </w:t>
      </w:r>
      <w:r w:rsidR="005117B4">
        <w:rPr>
          <w:rFonts w:ascii="Century" w:hAnsi="Century" w:cs="Times New Roman"/>
        </w:rPr>
        <w:t>debates</w:t>
      </w:r>
      <w:r>
        <w:rPr>
          <w:rFonts w:ascii="Century" w:hAnsi="Century" w:cs="Times New Roman"/>
        </w:rPr>
        <w:t xml:space="preserve"> </w:t>
      </w:r>
      <w:r w:rsidR="005117B4">
        <w:rPr>
          <w:rFonts w:ascii="Century" w:hAnsi="Century" w:cs="Times New Roman"/>
        </w:rPr>
        <w:t>over potential</w:t>
      </w:r>
      <w:r>
        <w:rPr>
          <w:rFonts w:ascii="Century" w:hAnsi="Century" w:cs="Times New Roman"/>
        </w:rPr>
        <w:t xml:space="preserve"> constitutional reform? I suggest several points are worth considering.</w:t>
      </w:r>
    </w:p>
    <w:p w14:paraId="0979BABC" w14:textId="77777777" w:rsidR="00BF2F64" w:rsidRPr="00BF2F64" w:rsidRDefault="00BF2F64" w:rsidP="00FB4DF1">
      <w:pPr>
        <w:pStyle w:val="ListParagraph"/>
        <w:spacing w:line="360" w:lineRule="auto"/>
        <w:jc w:val="both"/>
        <w:rPr>
          <w:rFonts w:ascii="Century" w:hAnsi="Century" w:cs="Times New Roman"/>
        </w:rPr>
      </w:pPr>
    </w:p>
    <w:p w14:paraId="191D836C" w14:textId="36916220" w:rsidR="002F6573" w:rsidRPr="00581763" w:rsidRDefault="00404485" w:rsidP="00FB4DF1">
      <w:pPr>
        <w:pStyle w:val="ListParagraph"/>
        <w:numPr>
          <w:ilvl w:val="0"/>
          <w:numId w:val="5"/>
        </w:numPr>
        <w:spacing w:line="360" w:lineRule="auto"/>
        <w:jc w:val="both"/>
        <w:rPr>
          <w:rFonts w:ascii="Century" w:hAnsi="Century" w:cs="Times New Roman"/>
        </w:rPr>
      </w:pPr>
      <w:r w:rsidRPr="00581763">
        <w:rPr>
          <w:rFonts w:ascii="Century" w:hAnsi="Century" w:cs="Times New Roman"/>
        </w:rPr>
        <w:t>My main suggestion is that</w:t>
      </w:r>
      <w:r w:rsidR="00BB5DFB" w:rsidRPr="00581763">
        <w:rPr>
          <w:rFonts w:ascii="Century" w:hAnsi="Century" w:cs="Times New Roman"/>
        </w:rPr>
        <w:t xml:space="preserve"> </w:t>
      </w:r>
      <w:r w:rsidRPr="00581763">
        <w:rPr>
          <w:rFonts w:ascii="Century" w:hAnsi="Century" w:cs="Times New Roman"/>
        </w:rPr>
        <w:t>our</w:t>
      </w:r>
      <w:r w:rsidR="002F6573" w:rsidRPr="00581763">
        <w:rPr>
          <w:rFonts w:ascii="Century" w:hAnsi="Century" w:cs="Times New Roman"/>
        </w:rPr>
        <w:t xml:space="preserve"> Constitution</w:t>
      </w:r>
      <w:r w:rsidRPr="00581763">
        <w:rPr>
          <w:rFonts w:ascii="Century" w:hAnsi="Century" w:cs="Times New Roman"/>
        </w:rPr>
        <w:t xml:space="preserve"> </w:t>
      </w:r>
      <w:r w:rsidR="002F6573" w:rsidRPr="00581763">
        <w:rPr>
          <w:rFonts w:ascii="Century" w:hAnsi="Century" w:cs="Times New Roman"/>
        </w:rPr>
        <w:t xml:space="preserve">– </w:t>
      </w:r>
      <w:r w:rsidR="00BB5DFB" w:rsidRPr="00581763">
        <w:rPr>
          <w:rFonts w:ascii="Century" w:hAnsi="Century" w:cs="Times New Roman"/>
        </w:rPr>
        <w:t xml:space="preserve">the text of </w:t>
      </w:r>
      <w:r w:rsidR="002F6573" w:rsidRPr="00581763">
        <w:rPr>
          <w:rFonts w:ascii="Century" w:hAnsi="Century" w:cs="Times New Roman"/>
        </w:rPr>
        <w:t>Articles 4</w:t>
      </w:r>
      <w:r w:rsidR="008212E0" w:rsidRPr="00581763">
        <w:rPr>
          <w:rFonts w:ascii="Century" w:hAnsi="Century" w:cs="Times New Roman"/>
        </w:rPr>
        <w:t>0</w:t>
      </w:r>
      <w:r w:rsidR="002F6573" w:rsidRPr="00581763">
        <w:rPr>
          <w:rFonts w:ascii="Century" w:hAnsi="Century" w:cs="Times New Roman"/>
        </w:rPr>
        <w:t xml:space="preserve"> and 4</w:t>
      </w:r>
      <w:r w:rsidR="008212E0" w:rsidRPr="00581763">
        <w:rPr>
          <w:rFonts w:ascii="Century" w:hAnsi="Century" w:cs="Times New Roman"/>
        </w:rPr>
        <w:t>3</w:t>
      </w:r>
      <w:r w:rsidR="002F6573" w:rsidRPr="00581763">
        <w:rPr>
          <w:rFonts w:ascii="Century" w:hAnsi="Century" w:cs="Times New Roman"/>
        </w:rPr>
        <w:t xml:space="preserve"> and how they have been consistently interpreted by the Superior Courts – do not inhibit the Oireachtas and Government in taking whatever steps</w:t>
      </w:r>
      <w:r w:rsidR="002F2200" w:rsidRPr="00581763">
        <w:rPr>
          <w:rFonts w:ascii="Century" w:hAnsi="Century" w:cs="Times New Roman"/>
        </w:rPr>
        <w:t xml:space="preserve"> are</w:t>
      </w:r>
      <w:r w:rsidR="002F6573" w:rsidRPr="00581763">
        <w:rPr>
          <w:rFonts w:ascii="Century" w:hAnsi="Century" w:cs="Times New Roman"/>
        </w:rPr>
        <w:t xml:space="preserve"> required to delimit</w:t>
      </w:r>
      <w:r w:rsidR="002F2200" w:rsidRPr="00581763">
        <w:rPr>
          <w:rFonts w:ascii="Century" w:hAnsi="Century" w:cs="Times New Roman"/>
        </w:rPr>
        <w:t xml:space="preserve"> the exercise of</w:t>
      </w:r>
      <w:r w:rsidR="002F6573" w:rsidRPr="00581763">
        <w:rPr>
          <w:rFonts w:ascii="Century" w:hAnsi="Century" w:cs="Times New Roman"/>
        </w:rPr>
        <w:t xml:space="preserve"> property rights to ensure they are compliant with the common good. </w:t>
      </w:r>
      <w:r w:rsidR="0010005F" w:rsidRPr="00581763">
        <w:rPr>
          <w:rFonts w:ascii="Century" w:hAnsi="Century" w:cs="Times New Roman"/>
        </w:rPr>
        <w:t>I</w:t>
      </w:r>
      <w:r w:rsidR="00935AA5" w:rsidRPr="00581763">
        <w:rPr>
          <w:rFonts w:ascii="Century" w:hAnsi="Century" w:cs="Times New Roman"/>
        </w:rPr>
        <w:t xml:space="preserve"> fully</w:t>
      </w:r>
      <w:r w:rsidR="0010005F" w:rsidRPr="00581763">
        <w:rPr>
          <w:rFonts w:ascii="Century" w:hAnsi="Century" w:cs="Times New Roman"/>
        </w:rPr>
        <w:t xml:space="preserve"> agree with Professor Walsh in her written submissions to th</w:t>
      </w:r>
      <w:r w:rsidRPr="00581763">
        <w:rPr>
          <w:rFonts w:ascii="Century" w:hAnsi="Century" w:cs="Times New Roman"/>
        </w:rPr>
        <w:t>is</w:t>
      </w:r>
      <w:r w:rsidR="0010005F" w:rsidRPr="00581763">
        <w:rPr>
          <w:rFonts w:ascii="Century" w:hAnsi="Century" w:cs="Times New Roman"/>
        </w:rPr>
        <w:t xml:space="preserve"> commission that</w:t>
      </w:r>
      <w:r w:rsidR="00581763" w:rsidRPr="00581763">
        <w:rPr>
          <w:rFonts w:ascii="Century" w:hAnsi="Century" w:cs="Times New Roman"/>
        </w:rPr>
        <w:t>:</w:t>
      </w:r>
    </w:p>
    <w:p w14:paraId="42A228F3" w14:textId="25A66EBD" w:rsidR="00581763" w:rsidRPr="00581763" w:rsidRDefault="00581763" w:rsidP="00581763">
      <w:pPr>
        <w:spacing w:line="360" w:lineRule="auto"/>
        <w:jc w:val="both"/>
        <w:rPr>
          <w:rFonts w:ascii="Century" w:hAnsi="Century"/>
        </w:rPr>
      </w:pPr>
    </w:p>
    <w:p w14:paraId="14E72C8A" w14:textId="33E57817" w:rsidR="00581763" w:rsidRPr="00581763" w:rsidRDefault="00581763" w:rsidP="00581763">
      <w:pPr>
        <w:spacing w:line="360" w:lineRule="auto"/>
        <w:ind w:left="1440"/>
        <w:jc w:val="both"/>
        <w:rPr>
          <w:rFonts w:ascii="Century" w:hAnsi="Century"/>
          <w:lang w:val="en-IE"/>
        </w:rPr>
      </w:pPr>
      <w:r w:rsidRPr="00581763">
        <w:rPr>
          <w:rFonts w:ascii="Century" w:hAnsi="Century"/>
          <w:lang w:val="en-IE"/>
        </w:rPr>
        <w:t>On balance, given the nature of the protection for property rights enshrined in the Constitution…there is ample scope within the current constitutional framework to introduce measures that restrict the exercise of property rights to respond to the housing crisis.</w:t>
      </w:r>
      <w:r>
        <w:rPr>
          <w:rStyle w:val="FootnoteReference"/>
          <w:rFonts w:ascii="Century" w:hAnsi="Century"/>
          <w:lang w:val="en-IE"/>
        </w:rPr>
        <w:footnoteReference w:id="43"/>
      </w:r>
      <w:r w:rsidRPr="00581763">
        <w:rPr>
          <w:rFonts w:ascii="Century" w:hAnsi="Century"/>
          <w:lang w:val="en-IE"/>
        </w:rPr>
        <w:t xml:space="preserve"> </w:t>
      </w:r>
    </w:p>
    <w:p w14:paraId="567CA8CC" w14:textId="77777777" w:rsidR="002F2200" w:rsidRPr="00581763" w:rsidRDefault="002F2200" w:rsidP="00581763">
      <w:pPr>
        <w:spacing w:line="360" w:lineRule="auto"/>
        <w:jc w:val="both"/>
        <w:rPr>
          <w:rFonts w:ascii="Century" w:hAnsi="Century"/>
        </w:rPr>
      </w:pPr>
    </w:p>
    <w:p w14:paraId="201D46C8" w14:textId="280117A8" w:rsidR="00B91F0A" w:rsidRPr="00581763" w:rsidRDefault="00404485" w:rsidP="00FB4DF1">
      <w:pPr>
        <w:pStyle w:val="ListParagraph"/>
        <w:numPr>
          <w:ilvl w:val="0"/>
          <w:numId w:val="5"/>
        </w:numPr>
        <w:spacing w:line="360" w:lineRule="auto"/>
        <w:jc w:val="both"/>
        <w:rPr>
          <w:rFonts w:ascii="Century" w:hAnsi="Century" w:cs="Times New Roman"/>
        </w:rPr>
      </w:pPr>
      <w:r w:rsidRPr="00581763">
        <w:rPr>
          <w:rFonts w:ascii="Century" w:hAnsi="Century" w:cs="Times New Roman"/>
        </w:rPr>
        <w:t>I</w:t>
      </w:r>
      <w:r w:rsidR="00D4247C">
        <w:rPr>
          <w:rFonts w:ascii="Century" w:hAnsi="Century" w:cs="Times New Roman"/>
        </w:rPr>
        <w:t xml:space="preserve"> argue it</w:t>
      </w:r>
      <w:r w:rsidRPr="00581763">
        <w:rPr>
          <w:rFonts w:ascii="Century" w:hAnsi="Century" w:cs="Times New Roman"/>
        </w:rPr>
        <w:t xml:space="preserve"> follows from this</w:t>
      </w:r>
      <w:r w:rsidR="00935AA5" w:rsidRPr="00581763">
        <w:rPr>
          <w:rFonts w:ascii="Century" w:hAnsi="Century" w:cs="Times New Roman"/>
        </w:rPr>
        <w:t xml:space="preserve"> fact</w:t>
      </w:r>
      <w:r w:rsidRPr="00581763">
        <w:rPr>
          <w:rFonts w:ascii="Century" w:hAnsi="Century" w:cs="Times New Roman"/>
        </w:rPr>
        <w:t xml:space="preserve"> that</w:t>
      </w:r>
      <w:r w:rsidR="002F2200" w:rsidRPr="00581763">
        <w:rPr>
          <w:rFonts w:ascii="Century" w:hAnsi="Century" w:cs="Times New Roman"/>
        </w:rPr>
        <w:t xml:space="preserve"> </w:t>
      </w:r>
      <w:r w:rsidRPr="00581763">
        <w:rPr>
          <w:rFonts w:ascii="Century" w:hAnsi="Century" w:cs="Times New Roman"/>
        </w:rPr>
        <w:t xml:space="preserve">a </w:t>
      </w:r>
      <w:r w:rsidR="002F2200" w:rsidRPr="00581763">
        <w:rPr>
          <w:rFonts w:ascii="Century" w:hAnsi="Century" w:cs="Times New Roman"/>
        </w:rPr>
        <w:t>referendum is not required</w:t>
      </w:r>
      <w:r w:rsidR="00C52856">
        <w:rPr>
          <w:rFonts w:ascii="Century" w:hAnsi="Century" w:cs="Times New Roman"/>
        </w:rPr>
        <w:t>,</w:t>
      </w:r>
      <w:r w:rsidR="002F2200" w:rsidRPr="00581763">
        <w:rPr>
          <w:rFonts w:ascii="Century" w:hAnsi="Century" w:cs="Times New Roman"/>
        </w:rPr>
        <w:t xml:space="preserve"> if </w:t>
      </w:r>
      <w:r w:rsidR="008313CF" w:rsidRPr="00581763">
        <w:rPr>
          <w:rFonts w:ascii="Century" w:hAnsi="Century" w:cs="Times New Roman"/>
        </w:rPr>
        <w:t>the</w:t>
      </w:r>
      <w:r w:rsidR="002F2200" w:rsidRPr="00581763">
        <w:rPr>
          <w:rFonts w:ascii="Century" w:hAnsi="Century" w:cs="Times New Roman"/>
        </w:rPr>
        <w:t xml:space="preserve"> purpose and intent </w:t>
      </w:r>
      <w:r w:rsidR="008313CF" w:rsidRPr="00581763">
        <w:rPr>
          <w:rFonts w:ascii="Century" w:hAnsi="Century" w:cs="Times New Roman"/>
        </w:rPr>
        <w:t>of a</w:t>
      </w:r>
      <w:r w:rsidR="00935AA5" w:rsidRPr="00581763">
        <w:rPr>
          <w:rFonts w:ascii="Century" w:hAnsi="Century" w:cs="Times New Roman"/>
        </w:rPr>
        <w:t xml:space="preserve"> proposed</w:t>
      </w:r>
      <w:r w:rsidR="008313CF" w:rsidRPr="00581763">
        <w:rPr>
          <w:rFonts w:ascii="Century" w:hAnsi="Century" w:cs="Times New Roman"/>
        </w:rPr>
        <w:t xml:space="preserve"> amendment </w:t>
      </w:r>
      <w:r w:rsidR="00935AA5" w:rsidRPr="00581763">
        <w:rPr>
          <w:rFonts w:ascii="Century" w:hAnsi="Century" w:cs="Times New Roman"/>
        </w:rPr>
        <w:t>would be</w:t>
      </w:r>
      <w:r w:rsidR="002F2200" w:rsidRPr="00581763">
        <w:rPr>
          <w:rFonts w:ascii="Century" w:hAnsi="Century" w:cs="Times New Roman"/>
        </w:rPr>
        <w:t xml:space="preserve"> merely to make </w:t>
      </w:r>
      <w:r w:rsidR="00B91F0A" w:rsidRPr="00581763">
        <w:rPr>
          <w:rFonts w:ascii="Century" w:hAnsi="Century" w:cs="Times New Roman"/>
        </w:rPr>
        <w:t>more</w:t>
      </w:r>
      <w:r w:rsidR="002F2200" w:rsidRPr="00581763">
        <w:rPr>
          <w:rFonts w:ascii="Century" w:hAnsi="Century" w:cs="Times New Roman"/>
        </w:rPr>
        <w:t xml:space="preserve"> explicit that the Oireachtas can act</w:t>
      </w:r>
      <w:r w:rsidR="00B91F0A" w:rsidRPr="00581763">
        <w:rPr>
          <w:rFonts w:ascii="Century" w:hAnsi="Century" w:cs="Times New Roman"/>
        </w:rPr>
        <w:t xml:space="preserve"> wherever necessary</w:t>
      </w:r>
      <w:r w:rsidR="002F2200" w:rsidRPr="00581763">
        <w:rPr>
          <w:rFonts w:ascii="Century" w:hAnsi="Century" w:cs="Times New Roman"/>
        </w:rPr>
        <w:t xml:space="preserve"> to regulate private property rights in the interests of the common good. </w:t>
      </w:r>
      <w:r w:rsidR="00B91F0A" w:rsidRPr="00581763">
        <w:rPr>
          <w:rFonts w:ascii="Century" w:hAnsi="Century" w:cs="Times New Roman"/>
        </w:rPr>
        <w:t xml:space="preserve">Given the current state of constitutional law </w:t>
      </w:r>
      <w:r w:rsidR="008313CF" w:rsidRPr="00581763">
        <w:rPr>
          <w:rFonts w:ascii="Century" w:hAnsi="Century" w:cs="Times New Roman"/>
        </w:rPr>
        <w:t>such an amendment would be</w:t>
      </w:r>
      <w:r w:rsidR="00B91F0A" w:rsidRPr="00581763">
        <w:rPr>
          <w:rFonts w:ascii="Century" w:hAnsi="Century" w:cs="Times New Roman"/>
        </w:rPr>
        <w:t xml:space="preserve">, </w:t>
      </w:r>
      <w:r w:rsidR="008313CF" w:rsidRPr="00581763">
        <w:rPr>
          <w:rFonts w:ascii="Century" w:hAnsi="Century" w:cs="Times New Roman"/>
        </w:rPr>
        <w:t>from a</w:t>
      </w:r>
      <w:r w:rsidR="00B91F0A" w:rsidRPr="00581763">
        <w:rPr>
          <w:rFonts w:ascii="Century" w:hAnsi="Century" w:cs="Times New Roman"/>
        </w:rPr>
        <w:t xml:space="preserve"> legal perspective,</w:t>
      </w:r>
      <w:r w:rsidR="002F2200" w:rsidRPr="00581763">
        <w:rPr>
          <w:rFonts w:ascii="Century" w:hAnsi="Century" w:cs="Times New Roman"/>
        </w:rPr>
        <w:t xml:space="preserve"> redundant</w:t>
      </w:r>
      <w:r w:rsidR="00B91F0A" w:rsidRPr="00581763">
        <w:rPr>
          <w:rFonts w:ascii="Century" w:hAnsi="Century" w:cs="Times New Roman"/>
        </w:rPr>
        <w:t>.</w:t>
      </w:r>
    </w:p>
    <w:p w14:paraId="68510BA1" w14:textId="77777777" w:rsidR="00D87F5D" w:rsidRPr="00F4207A" w:rsidRDefault="00D87F5D" w:rsidP="00FB4DF1">
      <w:pPr>
        <w:spacing w:line="360" w:lineRule="auto"/>
        <w:jc w:val="both"/>
        <w:rPr>
          <w:rFonts w:ascii="Century" w:hAnsi="Century"/>
        </w:rPr>
      </w:pPr>
    </w:p>
    <w:p w14:paraId="318713D7" w14:textId="6EBD4972" w:rsidR="002F2200" w:rsidRDefault="008313CF" w:rsidP="00FB4DF1">
      <w:pPr>
        <w:pStyle w:val="ListParagraph"/>
        <w:numPr>
          <w:ilvl w:val="0"/>
          <w:numId w:val="5"/>
        </w:numPr>
        <w:spacing w:line="360" w:lineRule="auto"/>
        <w:jc w:val="both"/>
        <w:rPr>
          <w:rFonts w:ascii="Century" w:hAnsi="Century" w:cs="Times New Roman"/>
        </w:rPr>
      </w:pPr>
      <w:r>
        <w:rPr>
          <w:rFonts w:ascii="Century" w:hAnsi="Century" w:cs="Times New Roman"/>
        </w:rPr>
        <w:lastRenderedPageBreak/>
        <w:t xml:space="preserve">Some </w:t>
      </w:r>
      <w:r w:rsidR="002F2200">
        <w:rPr>
          <w:rFonts w:ascii="Century" w:hAnsi="Century" w:cs="Times New Roman"/>
        </w:rPr>
        <w:t xml:space="preserve">might </w:t>
      </w:r>
      <w:r>
        <w:rPr>
          <w:rFonts w:ascii="Century" w:hAnsi="Century" w:cs="Times New Roman"/>
        </w:rPr>
        <w:t>argue</w:t>
      </w:r>
      <w:r w:rsidR="002F2200">
        <w:rPr>
          <w:rFonts w:ascii="Century" w:hAnsi="Century" w:cs="Times New Roman"/>
        </w:rPr>
        <w:t xml:space="preserve"> the </w:t>
      </w:r>
      <w:r w:rsidR="002F2200" w:rsidRPr="00935AA5">
        <w:rPr>
          <w:rFonts w:ascii="Century" w:hAnsi="Century" w:cs="Times New Roman"/>
        </w:rPr>
        <w:t>entrenched political belief</w:t>
      </w:r>
      <w:r w:rsidR="002F2200">
        <w:rPr>
          <w:rFonts w:ascii="Century" w:hAnsi="Century" w:cs="Times New Roman"/>
        </w:rPr>
        <w:t xml:space="preserve"> of successive Government’s </w:t>
      </w:r>
      <w:r w:rsidR="00CC5970">
        <w:rPr>
          <w:rFonts w:ascii="Century" w:hAnsi="Century" w:cs="Times New Roman"/>
        </w:rPr>
        <w:t xml:space="preserve">that </w:t>
      </w:r>
      <w:r w:rsidR="002F2200">
        <w:rPr>
          <w:rFonts w:ascii="Century" w:hAnsi="Century" w:cs="Times New Roman"/>
        </w:rPr>
        <w:t>Articles 4</w:t>
      </w:r>
      <w:r w:rsidR="00AB740B">
        <w:rPr>
          <w:rFonts w:ascii="Century" w:hAnsi="Century" w:cs="Times New Roman"/>
        </w:rPr>
        <w:t>0.3</w:t>
      </w:r>
      <w:r w:rsidR="002F2200">
        <w:rPr>
          <w:rFonts w:ascii="Century" w:hAnsi="Century" w:cs="Times New Roman"/>
        </w:rPr>
        <w:t xml:space="preserve"> and 4</w:t>
      </w:r>
      <w:r w:rsidR="00AB740B">
        <w:rPr>
          <w:rFonts w:ascii="Century" w:hAnsi="Century" w:cs="Times New Roman"/>
        </w:rPr>
        <w:t>3</w:t>
      </w:r>
      <w:r w:rsidR="002F2200">
        <w:rPr>
          <w:rFonts w:ascii="Century" w:hAnsi="Century" w:cs="Times New Roman"/>
        </w:rPr>
        <w:t xml:space="preserve"> impose a serious and insurmountable obstacle to robust</w:t>
      </w:r>
      <w:r w:rsidR="0079461E">
        <w:rPr>
          <w:rFonts w:ascii="Century" w:hAnsi="Century" w:cs="Times New Roman"/>
        </w:rPr>
        <w:t xml:space="preserve"> legislative</w:t>
      </w:r>
      <w:r w:rsidR="002F2200">
        <w:rPr>
          <w:rFonts w:ascii="Century" w:hAnsi="Century" w:cs="Times New Roman"/>
        </w:rPr>
        <w:t xml:space="preserve"> action</w:t>
      </w:r>
      <w:r w:rsidR="00CC5970">
        <w:rPr>
          <w:rFonts w:ascii="Century" w:hAnsi="Century" w:cs="Times New Roman"/>
        </w:rPr>
        <w:t>,</w:t>
      </w:r>
      <w:r w:rsidR="00935AA5">
        <w:rPr>
          <w:rFonts w:ascii="Century" w:hAnsi="Century" w:cs="Times New Roman"/>
        </w:rPr>
        <w:t xml:space="preserve"> </w:t>
      </w:r>
      <w:r w:rsidR="00935AA5" w:rsidRPr="00935AA5">
        <w:rPr>
          <w:rFonts w:ascii="Century" w:hAnsi="Century" w:cs="Times New Roman"/>
          <w:i/>
          <w:iCs/>
        </w:rPr>
        <w:t>by</w:t>
      </w:r>
      <w:r w:rsidR="00DF204E" w:rsidRPr="00935AA5">
        <w:rPr>
          <w:rFonts w:ascii="Century" w:hAnsi="Century" w:cs="Times New Roman"/>
          <w:i/>
          <w:iCs/>
        </w:rPr>
        <w:t xml:space="preserve"> </w:t>
      </w:r>
      <w:r w:rsidRPr="00935AA5">
        <w:rPr>
          <w:rFonts w:ascii="Century" w:hAnsi="Century" w:cs="Times New Roman"/>
          <w:i/>
          <w:iCs/>
        </w:rPr>
        <w:t xml:space="preserve">itself </w:t>
      </w:r>
      <w:r w:rsidR="00CC5970" w:rsidRPr="00935AA5">
        <w:rPr>
          <w:rFonts w:ascii="Century" w:hAnsi="Century" w:cs="Times New Roman"/>
          <w:i/>
          <w:iCs/>
        </w:rPr>
        <w:t>justifies</w:t>
      </w:r>
      <w:r w:rsidR="00CC5970">
        <w:rPr>
          <w:rFonts w:ascii="Century" w:hAnsi="Century" w:cs="Times New Roman"/>
        </w:rPr>
        <w:t xml:space="preserve"> holding a</w:t>
      </w:r>
      <w:r w:rsidR="00B91F0A">
        <w:rPr>
          <w:rFonts w:ascii="Century" w:hAnsi="Century" w:cs="Times New Roman"/>
        </w:rPr>
        <w:t xml:space="preserve"> referendu</w:t>
      </w:r>
      <w:r w:rsidR="00CC5970">
        <w:rPr>
          <w:rFonts w:ascii="Century" w:hAnsi="Century" w:cs="Times New Roman"/>
        </w:rPr>
        <w:t>m</w:t>
      </w:r>
      <w:r w:rsidR="00B91F0A">
        <w:rPr>
          <w:rFonts w:ascii="Century" w:hAnsi="Century" w:cs="Times New Roman"/>
        </w:rPr>
        <w:t xml:space="preserve">. Simply put, </w:t>
      </w:r>
      <w:r w:rsidR="00D63040">
        <w:rPr>
          <w:rFonts w:ascii="Century" w:hAnsi="Century" w:cs="Times New Roman"/>
        </w:rPr>
        <w:t xml:space="preserve">the argument is that </w:t>
      </w:r>
      <w:proofErr w:type="gramStart"/>
      <w:r w:rsidR="00D63040">
        <w:rPr>
          <w:rFonts w:ascii="Century" w:hAnsi="Century" w:cs="Times New Roman"/>
        </w:rPr>
        <w:t>whether</w:t>
      </w:r>
      <w:r w:rsidR="009718B5">
        <w:rPr>
          <w:rFonts w:ascii="Century" w:hAnsi="Century" w:cs="Times New Roman"/>
        </w:rPr>
        <w:t xml:space="preserve"> or not</w:t>
      </w:r>
      <w:proofErr w:type="gramEnd"/>
      <w:r w:rsidR="00D63040">
        <w:rPr>
          <w:rFonts w:ascii="Century" w:hAnsi="Century" w:cs="Times New Roman"/>
        </w:rPr>
        <w:t xml:space="preserve"> </w:t>
      </w:r>
      <w:r w:rsidR="00B91F0A">
        <w:rPr>
          <w:rFonts w:ascii="Century" w:hAnsi="Century" w:cs="Times New Roman"/>
        </w:rPr>
        <w:t>the Government’s position</w:t>
      </w:r>
      <w:r w:rsidR="0079461E">
        <w:rPr>
          <w:rFonts w:ascii="Century" w:hAnsi="Century" w:cs="Times New Roman"/>
        </w:rPr>
        <w:t xml:space="preserve"> </w:t>
      </w:r>
      <w:r w:rsidR="009718B5">
        <w:rPr>
          <w:rFonts w:ascii="Century" w:hAnsi="Century" w:cs="Times New Roman"/>
        </w:rPr>
        <w:t>on</w:t>
      </w:r>
      <w:r w:rsidR="0079461E">
        <w:rPr>
          <w:rFonts w:ascii="Century" w:hAnsi="Century" w:cs="Times New Roman"/>
        </w:rPr>
        <w:t xml:space="preserve"> the constitutional limits on the Oireachtas’ power to regulate property rights</w:t>
      </w:r>
      <w:r w:rsidR="00B91F0A">
        <w:rPr>
          <w:rFonts w:ascii="Century" w:hAnsi="Century" w:cs="Times New Roman"/>
        </w:rPr>
        <w:t xml:space="preserve"> is </w:t>
      </w:r>
      <w:r w:rsidR="002F2200">
        <w:rPr>
          <w:rFonts w:ascii="Century" w:hAnsi="Century" w:cs="Times New Roman"/>
        </w:rPr>
        <w:t>misconceived</w:t>
      </w:r>
      <w:r w:rsidR="00B91F0A">
        <w:rPr>
          <w:rFonts w:ascii="Century" w:hAnsi="Century" w:cs="Times New Roman"/>
        </w:rPr>
        <w:t>, a referendum would be</w:t>
      </w:r>
      <w:r w:rsidR="002F2200">
        <w:rPr>
          <w:rFonts w:ascii="Century" w:hAnsi="Century" w:cs="Times New Roman"/>
        </w:rPr>
        <w:t xml:space="preserve"> justif</w:t>
      </w:r>
      <w:r w:rsidR="00B91F0A">
        <w:rPr>
          <w:rFonts w:ascii="Century" w:hAnsi="Century" w:cs="Times New Roman"/>
        </w:rPr>
        <w:t>ied</w:t>
      </w:r>
      <w:r w:rsidR="002F2200">
        <w:rPr>
          <w:rFonts w:ascii="Century" w:hAnsi="Century" w:cs="Times New Roman"/>
        </w:rPr>
        <w:t xml:space="preserve"> </w:t>
      </w:r>
      <w:r w:rsidR="00B91F0A">
        <w:rPr>
          <w:rFonts w:ascii="Century" w:hAnsi="Century" w:cs="Times New Roman"/>
        </w:rPr>
        <w:t xml:space="preserve">if it </w:t>
      </w:r>
      <w:r w:rsidR="00902A1A">
        <w:rPr>
          <w:rFonts w:ascii="Century" w:hAnsi="Century" w:cs="Times New Roman"/>
        </w:rPr>
        <w:t>can</w:t>
      </w:r>
      <w:r w:rsidR="00B91F0A">
        <w:rPr>
          <w:rFonts w:ascii="Century" w:hAnsi="Century" w:cs="Times New Roman"/>
        </w:rPr>
        <w:t xml:space="preserve"> make </w:t>
      </w:r>
      <w:r w:rsidR="002F2200">
        <w:rPr>
          <w:rFonts w:ascii="Century" w:hAnsi="Century" w:cs="Times New Roman"/>
        </w:rPr>
        <w:t>clear</w:t>
      </w:r>
      <w:r w:rsidR="009718B5">
        <w:rPr>
          <w:rFonts w:ascii="Century" w:hAnsi="Century" w:cs="Times New Roman"/>
        </w:rPr>
        <w:t>,</w:t>
      </w:r>
      <w:r w:rsidR="002F2200">
        <w:rPr>
          <w:rFonts w:ascii="Century" w:hAnsi="Century" w:cs="Times New Roman"/>
        </w:rPr>
        <w:t xml:space="preserve"> beyond</w:t>
      </w:r>
      <w:r w:rsidR="00B91F0A">
        <w:rPr>
          <w:rFonts w:ascii="Century" w:hAnsi="Century" w:cs="Times New Roman"/>
        </w:rPr>
        <w:t xml:space="preserve"> any</w:t>
      </w:r>
      <w:r w:rsidR="002F2200">
        <w:rPr>
          <w:rFonts w:ascii="Century" w:hAnsi="Century" w:cs="Times New Roman"/>
        </w:rPr>
        <w:t xml:space="preserve"> doubt</w:t>
      </w:r>
      <w:r w:rsidR="009718B5">
        <w:rPr>
          <w:rFonts w:ascii="Century" w:hAnsi="Century" w:cs="Times New Roman"/>
        </w:rPr>
        <w:t>,</w:t>
      </w:r>
      <w:r w:rsidR="00DF204E">
        <w:rPr>
          <w:rFonts w:ascii="Century" w:hAnsi="Century" w:cs="Times New Roman"/>
        </w:rPr>
        <w:t xml:space="preserve"> </w:t>
      </w:r>
      <w:r w:rsidR="002F2200">
        <w:rPr>
          <w:rFonts w:ascii="Century" w:hAnsi="Century" w:cs="Times New Roman"/>
        </w:rPr>
        <w:t>that the Oireachtas has</w:t>
      </w:r>
      <w:r w:rsidR="00902A1A">
        <w:rPr>
          <w:rFonts w:ascii="Century" w:hAnsi="Century" w:cs="Times New Roman"/>
        </w:rPr>
        <w:t xml:space="preserve"> ample</w:t>
      </w:r>
      <w:r w:rsidR="002F2200">
        <w:rPr>
          <w:rFonts w:ascii="Century" w:hAnsi="Century" w:cs="Times New Roman"/>
        </w:rPr>
        <w:t xml:space="preserve"> authority to act</w:t>
      </w:r>
      <w:r w:rsidR="00B91F0A">
        <w:rPr>
          <w:rFonts w:ascii="Century" w:hAnsi="Century" w:cs="Times New Roman"/>
        </w:rPr>
        <w:t xml:space="preserve"> </w:t>
      </w:r>
      <w:r w:rsidR="0079461E">
        <w:rPr>
          <w:rFonts w:ascii="Century" w:hAnsi="Century" w:cs="Times New Roman"/>
        </w:rPr>
        <w:t>in this domain</w:t>
      </w:r>
      <w:r w:rsidR="002F2200">
        <w:rPr>
          <w:rFonts w:ascii="Century" w:hAnsi="Century" w:cs="Times New Roman"/>
        </w:rPr>
        <w:t xml:space="preserve">. </w:t>
      </w:r>
    </w:p>
    <w:p w14:paraId="7DA29946" w14:textId="77777777" w:rsidR="00B91F0A" w:rsidRPr="00B91F0A" w:rsidRDefault="00B91F0A" w:rsidP="00FB4DF1">
      <w:pPr>
        <w:pStyle w:val="ListParagraph"/>
        <w:spacing w:line="360" w:lineRule="auto"/>
        <w:rPr>
          <w:rFonts w:ascii="Century" w:hAnsi="Century" w:cs="Times New Roman"/>
        </w:rPr>
      </w:pPr>
    </w:p>
    <w:p w14:paraId="193E146F" w14:textId="6F221A15" w:rsidR="00B91F0A" w:rsidRDefault="00B91F0A" w:rsidP="00FB4DF1">
      <w:pPr>
        <w:pStyle w:val="ListParagraph"/>
        <w:numPr>
          <w:ilvl w:val="0"/>
          <w:numId w:val="5"/>
        </w:numPr>
        <w:spacing w:line="360" w:lineRule="auto"/>
        <w:jc w:val="both"/>
        <w:rPr>
          <w:rFonts w:ascii="Century" w:hAnsi="Century" w:cs="Times New Roman"/>
        </w:rPr>
      </w:pPr>
      <w:r>
        <w:rPr>
          <w:rFonts w:ascii="Century" w:hAnsi="Century" w:cs="Times New Roman"/>
        </w:rPr>
        <w:t xml:space="preserve">I </w:t>
      </w:r>
      <w:r w:rsidR="00D573CF">
        <w:rPr>
          <w:rFonts w:ascii="Century" w:hAnsi="Century" w:cs="Times New Roman"/>
        </w:rPr>
        <w:t>appreciate</w:t>
      </w:r>
      <w:r>
        <w:rPr>
          <w:rFonts w:ascii="Century" w:hAnsi="Century" w:cs="Times New Roman"/>
        </w:rPr>
        <w:t xml:space="preserve"> the</w:t>
      </w:r>
      <w:r w:rsidR="00D573CF">
        <w:rPr>
          <w:rFonts w:ascii="Century" w:hAnsi="Century" w:cs="Times New Roman"/>
        </w:rPr>
        <w:t xml:space="preserve"> sentiment</w:t>
      </w:r>
      <w:r>
        <w:rPr>
          <w:rFonts w:ascii="Century" w:hAnsi="Century" w:cs="Times New Roman"/>
        </w:rPr>
        <w:t xml:space="preserve"> </w:t>
      </w:r>
      <w:r w:rsidR="00D573CF">
        <w:rPr>
          <w:rFonts w:ascii="Century" w:hAnsi="Century" w:cs="Times New Roman"/>
        </w:rPr>
        <w:t>motivating</w:t>
      </w:r>
      <w:r>
        <w:rPr>
          <w:rFonts w:ascii="Century" w:hAnsi="Century" w:cs="Times New Roman"/>
        </w:rPr>
        <w:t xml:space="preserve"> this kind of argument. It is</w:t>
      </w:r>
      <w:r w:rsidR="00D573CF">
        <w:rPr>
          <w:rFonts w:ascii="Century" w:hAnsi="Century" w:cs="Times New Roman"/>
        </w:rPr>
        <w:t xml:space="preserve"> </w:t>
      </w:r>
      <w:r>
        <w:rPr>
          <w:rFonts w:ascii="Century" w:hAnsi="Century" w:cs="Times New Roman"/>
        </w:rPr>
        <w:t>frustrating to see Government</w:t>
      </w:r>
      <w:r w:rsidR="00DF204E">
        <w:rPr>
          <w:rFonts w:ascii="Century" w:hAnsi="Century" w:cs="Times New Roman"/>
        </w:rPr>
        <w:t>s</w:t>
      </w:r>
      <w:r w:rsidR="00C56527">
        <w:rPr>
          <w:rFonts w:ascii="Century" w:hAnsi="Century" w:cs="Times New Roman"/>
        </w:rPr>
        <w:t xml:space="preserve"> over the last </w:t>
      </w:r>
      <w:r w:rsidR="00902A1A">
        <w:rPr>
          <w:rFonts w:ascii="Century" w:hAnsi="Century" w:cs="Times New Roman"/>
        </w:rPr>
        <w:t>decade</w:t>
      </w:r>
      <w:r>
        <w:rPr>
          <w:rFonts w:ascii="Century" w:hAnsi="Century" w:cs="Times New Roman"/>
        </w:rPr>
        <w:t xml:space="preserve"> </w:t>
      </w:r>
      <w:r w:rsidR="00D573CF">
        <w:rPr>
          <w:rFonts w:ascii="Century" w:hAnsi="Century" w:cs="Times New Roman"/>
        </w:rPr>
        <w:t>deploy</w:t>
      </w:r>
      <w:r>
        <w:rPr>
          <w:rFonts w:ascii="Century" w:hAnsi="Century" w:cs="Times New Roman"/>
        </w:rPr>
        <w:t xml:space="preserve"> </w:t>
      </w:r>
      <w:r w:rsidR="00D573CF">
        <w:rPr>
          <w:rFonts w:ascii="Century" w:hAnsi="Century" w:cs="Times New Roman"/>
        </w:rPr>
        <w:t>legal</w:t>
      </w:r>
      <w:r>
        <w:rPr>
          <w:rFonts w:ascii="Century" w:hAnsi="Century" w:cs="Times New Roman"/>
        </w:rPr>
        <w:t xml:space="preserve"> advice </w:t>
      </w:r>
      <w:r w:rsidR="00D573CF">
        <w:rPr>
          <w:rFonts w:ascii="Century" w:hAnsi="Century" w:cs="Times New Roman"/>
        </w:rPr>
        <w:t>which is</w:t>
      </w:r>
      <w:r>
        <w:rPr>
          <w:rFonts w:ascii="Century" w:hAnsi="Century" w:cs="Times New Roman"/>
        </w:rPr>
        <w:t xml:space="preserve"> clearly</w:t>
      </w:r>
      <w:r w:rsidR="00980BCF">
        <w:rPr>
          <w:rFonts w:ascii="Century" w:hAnsi="Century" w:cs="Times New Roman"/>
        </w:rPr>
        <w:t xml:space="preserve"> -</w:t>
      </w:r>
      <w:r w:rsidR="00D573CF">
        <w:rPr>
          <w:rFonts w:ascii="Century" w:hAnsi="Century" w:cs="Times New Roman"/>
        </w:rPr>
        <w:t xml:space="preserve"> whether in substance or in its presentation</w:t>
      </w:r>
      <w:r w:rsidR="00980BCF">
        <w:rPr>
          <w:rFonts w:ascii="Century" w:hAnsi="Century" w:cs="Times New Roman"/>
        </w:rPr>
        <w:t xml:space="preserve"> -</w:t>
      </w:r>
      <w:r w:rsidR="005361CC">
        <w:rPr>
          <w:rFonts w:ascii="Century" w:hAnsi="Century" w:cs="Times New Roman"/>
        </w:rPr>
        <w:t xml:space="preserve"> seriously </w:t>
      </w:r>
      <w:r w:rsidR="00D573CF">
        <w:rPr>
          <w:rFonts w:ascii="Century" w:hAnsi="Century" w:cs="Times New Roman"/>
        </w:rPr>
        <w:t>out of step with the Superior Court’s treatment of Article 4</w:t>
      </w:r>
      <w:r w:rsidR="00E74EC4">
        <w:rPr>
          <w:rFonts w:ascii="Century" w:hAnsi="Century" w:cs="Times New Roman"/>
        </w:rPr>
        <w:t>0.3</w:t>
      </w:r>
      <w:r w:rsidR="00D573CF">
        <w:rPr>
          <w:rFonts w:ascii="Century" w:hAnsi="Century" w:cs="Times New Roman"/>
        </w:rPr>
        <w:t xml:space="preserve"> and 4</w:t>
      </w:r>
      <w:r w:rsidR="00E74EC4">
        <w:rPr>
          <w:rFonts w:ascii="Century" w:hAnsi="Century" w:cs="Times New Roman"/>
        </w:rPr>
        <w:t>3</w:t>
      </w:r>
      <w:r w:rsidR="0003706D">
        <w:rPr>
          <w:rFonts w:ascii="Century" w:hAnsi="Century" w:cs="Times New Roman"/>
        </w:rPr>
        <w:t>.</w:t>
      </w:r>
      <w:r>
        <w:rPr>
          <w:rFonts w:ascii="Century" w:hAnsi="Century" w:cs="Times New Roman"/>
        </w:rPr>
        <w:t xml:space="preserve"> </w:t>
      </w:r>
      <w:r w:rsidR="005361CC">
        <w:rPr>
          <w:rFonts w:ascii="Century" w:hAnsi="Century" w:cs="Times New Roman"/>
        </w:rPr>
        <w:t>It is particularly frustrating when this entrenched misperception is used to block action and justify inaction on Ireland’s</w:t>
      </w:r>
      <w:r w:rsidR="00C56527">
        <w:rPr>
          <w:rFonts w:ascii="Century" w:hAnsi="Century" w:cs="Times New Roman"/>
        </w:rPr>
        <w:t xml:space="preserve"> serious</w:t>
      </w:r>
      <w:r w:rsidR="005361CC">
        <w:rPr>
          <w:rFonts w:ascii="Century" w:hAnsi="Century" w:cs="Times New Roman"/>
        </w:rPr>
        <w:t xml:space="preserve"> housing difficulties. </w:t>
      </w:r>
    </w:p>
    <w:p w14:paraId="40D5D587" w14:textId="77777777" w:rsidR="00D87F5D" w:rsidRPr="003537C2" w:rsidRDefault="00D87F5D" w:rsidP="00FB4DF1">
      <w:pPr>
        <w:spacing w:line="360" w:lineRule="auto"/>
        <w:rPr>
          <w:rFonts w:ascii="Century" w:hAnsi="Century"/>
        </w:rPr>
      </w:pPr>
    </w:p>
    <w:p w14:paraId="1E734B45" w14:textId="5944D461" w:rsidR="00902A1A" w:rsidRDefault="00D573CF" w:rsidP="00F94823">
      <w:pPr>
        <w:pStyle w:val="ListParagraph"/>
        <w:numPr>
          <w:ilvl w:val="0"/>
          <w:numId w:val="5"/>
        </w:numPr>
        <w:spacing w:line="360" w:lineRule="auto"/>
        <w:jc w:val="both"/>
        <w:rPr>
          <w:rFonts w:ascii="Century" w:hAnsi="Century" w:cs="Times New Roman"/>
        </w:rPr>
      </w:pPr>
      <w:r w:rsidRPr="00935AA5">
        <w:rPr>
          <w:rFonts w:ascii="Century" w:hAnsi="Century" w:cs="Times New Roman"/>
        </w:rPr>
        <w:t xml:space="preserve">However, </w:t>
      </w:r>
      <w:r w:rsidR="00902A1A" w:rsidRPr="00935AA5">
        <w:rPr>
          <w:rFonts w:ascii="Century" w:hAnsi="Century" w:cs="Times New Roman"/>
        </w:rPr>
        <w:t>my</w:t>
      </w:r>
      <w:r w:rsidR="005361CC" w:rsidRPr="00935AA5">
        <w:rPr>
          <w:rFonts w:ascii="Century" w:hAnsi="Century" w:cs="Times New Roman"/>
        </w:rPr>
        <w:t xml:space="preserve"> considered opinion </w:t>
      </w:r>
      <w:r w:rsidR="00902A1A" w:rsidRPr="00935AA5">
        <w:rPr>
          <w:rFonts w:ascii="Century" w:hAnsi="Century" w:cs="Times New Roman"/>
        </w:rPr>
        <w:t>is that</w:t>
      </w:r>
      <w:r w:rsidRPr="00935AA5">
        <w:rPr>
          <w:rFonts w:ascii="Century" w:hAnsi="Century" w:cs="Times New Roman"/>
        </w:rPr>
        <w:t xml:space="preserve"> it </w:t>
      </w:r>
      <w:r w:rsidR="00902A1A" w:rsidRPr="00935AA5">
        <w:rPr>
          <w:rFonts w:ascii="Century" w:hAnsi="Century" w:cs="Times New Roman"/>
        </w:rPr>
        <w:t>would</w:t>
      </w:r>
      <w:r w:rsidR="00FA5302">
        <w:rPr>
          <w:rFonts w:ascii="Century" w:hAnsi="Century" w:cs="Times New Roman"/>
        </w:rPr>
        <w:t xml:space="preserve"> nonetheless</w:t>
      </w:r>
      <w:r w:rsidR="00902A1A" w:rsidRPr="00935AA5">
        <w:rPr>
          <w:rFonts w:ascii="Century" w:hAnsi="Century" w:cs="Times New Roman"/>
        </w:rPr>
        <w:t xml:space="preserve"> be</w:t>
      </w:r>
      <w:r w:rsidRPr="00935AA5">
        <w:rPr>
          <w:rFonts w:ascii="Century" w:hAnsi="Century" w:cs="Times New Roman"/>
        </w:rPr>
        <w:t xml:space="preserve"> constitutionally irresponsible to pursue a referendum to amend </w:t>
      </w:r>
      <w:r w:rsidR="005D3931" w:rsidRPr="00935AA5">
        <w:rPr>
          <w:rFonts w:ascii="Century" w:hAnsi="Century" w:cs="Times New Roman"/>
        </w:rPr>
        <w:t>Article</w:t>
      </w:r>
      <w:r w:rsidR="00902A1A" w:rsidRPr="00935AA5">
        <w:rPr>
          <w:rFonts w:ascii="Century" w:hAnsi="Century" w:cs="Times New Roman"/>
        </w:rPr>
        <w:t>s 40 and</w:t>
      </w:r>
      <w:r w:rsidR="005D3931" w:rsidRPr="00935AA5">
        <w:rPr>
          <w:rFonts w:ascii="Century" w:hAnsi="Century" w:cs="Times New Roman"/>
        </w:rPr>
        <w:t xml:space="preserve"> 43</w:t>
      </w:r>
      <w:r w:rsidRPr="00935AA5">
        <w:rPr>
          <w:rFonts w:ascii="Century" w:hAnsi="Century" w:cs="Times New Roman"/>
        </w:rPr>
        <w:t xml:space="preserve"> based on</w:t>
      </w:r>
      <w:r w:rsidR="005361CC" w:rsidRPr="00935AA5">
        <w:rPr>
          <w:rFonts w:ascii="Century" w:hAnsi="Century" w:cs="Times New Roman"/>
        </w:rPr>
        <w:t xml:space="preserve"> nothing more than</w:t>
      </w:r>
      <w:r w:rsidRPr="00935AA5">
        <w:rPr>
          <w:rFonts w:ascii="Century" w:hAnsi="Century" w:cs="Times New Roman"/>
        </w:rPr>
        <w:t xml:space="preserve"> an ultimately </w:t>
      </w:r>
      <w:r w:rsidRPr="00935AA5">
        <w:rPr>
          <w:rFonts w:ascii="Century" w:hAnsi="Century" w:cs="Times New Roman"/>
          <w:i/>
          <w:iCs/>
        </w:rPr>
        <w:t>mistaken</w:t>
      </w:r>
      <w:r w:rsidRPr="00935AA5">
        <w:rPr>
          <w:rFonts w:ascii="Century" w:hAnsi="Century" w:cs="Times New Roman"/>
        </w:rPr>
        <w:t xml:space="preserve"> political perception of </w:t>
      </w:r>
      <w:r w:rsidR="005361CC" w:rsidRPr="00935AA5">
        <w:rPr>
          <w:rFonts w:ascii="Century" w:hAnsi="Century" w:cs="Times New Roman"/>
        </w:rPr>
        <w:t xml:space="preserve">how </w:t>
      </w:r>
      <w:r w:rsidR="00902A1A" w:rsidRPr="00935AA5">
        <w:rPr>
          <w:rFonts w:ascii="Century" w:hAnsi="Century" w:cs="Times New Roman"/>
        </w:rPr>
        <w:t>they are</w:t>
      </w:r>
      <w:r w:rsidRPr="00935AA5">
        <w:rPr>
          <w:rFonts w:ascii="Century" w:hAnsi="Century" w:cs="Times New Roman"/>
        </w:rPr>
        <w:t xml:space="preserve"> </w:t>
      </w:r>
      <w:r w:rsidR="00902A1A" w:rsidRPr="00935AA5">
        <w:rPr>
          <w:rFonts w:ascii="Century" w:hAnsi="Century" w:cs="Times New Roman"/>
        </w:rPr>
        <w:t>hamstringing</w:t>
      </w:r>
      <w:r w:rsidRPr="00935AA5">
        <w:rPr>
          <w:rFonts w:ascii="Century" w:hAnsi="Century" w:cs="Times New Roman"/>
        </w:rPr>
        <w:t xml:space="preserve"> the ability of the Oireachtas to </w:t>
      </w:r>
      <w:r w:rsidR="00902A1A" w:rsidRPr="00935AA5">
        <w:rPr>
          <w:rFonts w:ascii="Century" w:hAnsi="Century" w:cs="Times New Roman"/>
        </w:rPr>
        <w:t>legislate</w:t>
      </w:r>
      <w:r w:rsidRPr="00935AA5">
        <w:rPr>
          <w:rFonts w:ascii="Century" w:hAnsi="Century" w:cs="Times New Roman"/>
        </w:rPr>
        <w:t xml:space="preserve">. </w:t>
      </w:r>
      <w:r w:rsidR="00935AA5">
        <w:rPr>
          <w:rFonts w:ascii="Century" w:hAnsi="Century" w:cs="Times New Roman"/>
        </w:rPr>
        <w:t xml:space="preserve">Amending our fundamental law based on an erroneous understanding of </w:t>
      </w:r>
      <w:r w:rsidR="001A2A21">
        <w:rPr>
          <w:rFonts w:ascii="Century" w:hAnsi="Century" w:cs="Times New Roman"/>
        </w:rPr>
        <w:t>existing</w:t>
      </w:r>
      <w:r w:rsidR="00935AA5">
        <w:rPr>
          <w:rFonts w:ascii="Century" w:hAnsi="Century" w:cs="Times New Roman"/>
        </w:rPr>
        <w:t xml:space="preserve"> constitutional limitations on the Oireachtas </w:t>
      </w:r>
      <w:r w:rsidR="001A2A21">
        <w:rPr>
          <w:rFonts w:ascii="Century" w:hAnsi="Century" w:cs="Times New Roman"/>
        </w:rPr>
        <w:t xml:space="preserve">is no way for a mature constitutional democracy to </w:t>
      </w:r>
      <w:r w:rsidR="001A1CA8">
        <w:rPr>
          <w:rFonts w:ascii="Century" w:hAnsi="Century" w:cs="Times New Roman"/>
        </w:rPr>
        <w:t>resolve its political problems</w:t>
      </w:r>
      <w:r w:rsidR="001A2A21">
        <w:rPr>
          <w:rFonts w:ascii="Century" w:hAnsi="Century" w:cs="Times New Roman"/>
        </w:rPr>
        <w:t xml:space="preserve">. </w:t>
      </w:r>
    </w:p>
    <w:p w14:paraId="58D058C3" w14:textId="77777777" w:rsidR="00935AA5" w:rsidRPr="00935AA5" w:rsidRDefault="00935AA5" w:rsidP="00935AA5">
      <w:pPr>
        <w:spacing w:line="360" w:lineRule="auto"/>
        <w:jc w:val="both"/>
        <w:rPr>
          <w:rFonts w:ascii="Century" w:hAnsi="Century"/>
        </w:rPr>
      </w:pPr>
    </w:p>
    <w:p w14:paraId="44DD1996" w14:textId="75B44559" w:rsidR="00902A1A" w:rsidRPr="00902A1A" w:rsidRDefault="007345A2" w:rsidP="00902A1A">
      <w:pPr>
        <w:pStyle w:val="ListParagraph"/>
        <w:numPr>
          <w:ilvl w:val="0"/>
          <w:numId w:val="5"/>
        </w:numPr>
        <w:spacing w:line="360" w:lineRule="auto"/>
        <w:jc w:val="both"/>
        <w:rPr>
          <w:rFonts w:ascii="Century" w:hAnsi="Century" w:cs="Times New Roman"/>
        </w:rPr>
      </w:pPr>
      <w:r>
        <w:rPr>
          <w:rFonts w:ascii="Century" w:hAnsi="Century" w:cs="Times New Roman"/>
        </w:rPr>
        <w:t>Instead,</w:t>
      </w:r>
      <w:r w:rsidR="00902A1A" w:rsidRPr="00902A1A">
        <w:rPr>
          <w:rFonts w:ascii="Century" w:hAnsi="Century" w:cs="Times New Roman"/>
        </w:rPr>
        <w:t xml:space="preserve"> the Government and Oireachtas should first seek to test the bounds of their existing constitutional authority to regulate property rights. Should the Superior Courts invalidate legislative measures brought to address the housing crisis under the Oireachtas existing constitutional authority – whether via an </w:t>
      </w:r>
      <w:proofErr w:type="gramStart"/>
      <w:r w:rsidR="00902A1A" w:rsidRPr="00902A1A">
        <w:rPr>
          <w:rFonts w:ascii="Century" w:hAnsi="Century" w:cs="Times New Roman"/>
        </w:rPr>
        <w:t>Article</w:t>
      </w:r>
      <w:proofErr w:type="gramEnd"/>
      <w:r w:rsidR="00902A1A" w:rsidRPr="00902A1A">
        <w:rPr>
          <w:rFonts w:ascii="Century" w:hAnsi="Century" w:cs="Times New Roman"/>
        </w:rPr>
        <w:t xml:space="preserve"> 26 reference or in the course of ordinary litigation – then at that point it would be a more appropriate and proportionate response to consider a referendum that would better empower the Oireachtas to regulate property rights.  </w:t>
      </w:r>
    </w:p>
    <w:p w14:paraId="7874E2ED" w14:textId="77777777" w:rsidR="005361CC" w:rsidRPr="00902A1A" w:rsidRDefault="005361CC" w:rsidP="00902A1A">
      <w:pPr>
        <w:spacing w:line="360" w:lineRule="auto"/>
        <w:rPr>
          <w:rFonts w:ascii="Century" w:hAnsi="Century"/>
        </w:rPr>
      </w:pPr>
    </w:p>
    <w:p w14:paraId="6AA74669" w14:textId="01339125" w:rsidR="002F6573" w:rsidRDefault="005D7CC3" w:rsidP="00FB4DF1">
      <w:pPr>
        <w:pStyle w:val="ListParagraph"/>
        <w:numPr>
          <w:ilvl w:val="0"/>
          <w:numId w:val="5"/>
        </w:numPr>
        <w:spacing w:line="360" w:lineRule="auto"/>
        <w:jc w:val="both"/>
        <w:rPr>
          <w:rFonts w:ascii="Century" w:hAnsi="Century" w:cs="Times New Roman"/>
        </w:rPr>
      </w:pPr>
      <w:r>
        <w:rPr>
          <w:rFonts w:ascii="Century" w:hAnsi="Century" w:cs="Times New Roman"/>
        </w:rPr>
        <w:t xml:space="preserve"> But to </w:t>
      </w:r>
      <w:r w:rsidR="005361CC" w:rsidRPr="00251A13">
        <w:rPr>
          <w:rFonts w:ascii="Century" w:hAnsi="Century" w:cs="Times New Roman"/>
        </w:rPr>
        <w:t>pursue amendment</w:t>
      </w:r>
      <w:r>
        <w:rPr>
          <w:rFonts w:ascii="Century" w:hAnsi="Century" w:cs="Times New Roman"/>
        </w:rPr>
        <w:t xml:space="preserve"> now,</w:t>
      </w:r>
      <w:r w:rsidR="005361CC" w:rsidRPr="00251A13">
        <w:rPr>
          <w:rFonts w:ascii="Century" w:hAnsi="Century" w:cs="Times New Roman"/>
        </w:rPr>
        <w:t xml:space="preserve"> </w:t>
      </w:r>
      <w:r w:rsidR="00251A13">
        <w:rPr>
          <w:rFonts w:ascii="Century" w:hAnsi="Century" w:cs="Times New Roman"/>
        </w:rPr>
        <w:t>in circumstances where</w:t>
      </w:r>
      <w:r w:rsidR="005361CC" w:rsidRPr="00251A13">
        <w:rPr>
          <w:rFonts w:ascii="Century" w:hAnsi="Century" w:cs="Times New Roman"/>
        </w:rPr>
        <w:t xml:space="preserve"> (</w:t>
      </w:r>
      <w:proofErr w:type="spellStart"/>
      <w:r w:rsidR="005361CC" w:rsidRPr="00251A13">
        <w:rPr>
          <w:rFonts w:ascii="Century" w:hAnsi="Century" w:cs="Times New Roman"/>
        </w:rPr>
        <w:t>i</w:t>
      </w:r>
      <w:proofErr w:type="spellEnd"/>
      <w:r w:rsidR="005361CC" w:rsidRPr="00251A13">
        <w:rPr>
          <w:rFonts w:ascii="Century" w:hAnsi="Century" w:cs="Times New Roman"/>
        </w:rPr>
        <w:t>)</w:t>
      </w:r>
      <w:r w:rsidR="00251A13" w:rsidRPr="00251A13">
        <w:rPr>
          <w:rFonts w:ascii="Century" w:hAnsi="Century" w:cs="Times New Roman"/>
        </w:rPr>
        <w:t xml:space="preserve"> </w:t>
      </w:r>
      <w:r w:rsidR="00251A13">
        <w:rPr>
          <w:rFonts w:ascii="Century" w:hAnsi="Century" w:cs="Times New Roman"/>
        </w:rPr>
        <w:t>the Superior Courts have been very consistent in their attitude of deference to the Oireachtas</w:t>
      </w:r>
      <w:r>
        <w:rPr>
          <w:rFonts w:ascii="Century" w:hAnsi="Century" w:cs="Times New Roman"/>
        </w:rPr>
        <w:t xml:space="preserve"> and</w:t>
      </w:r>
      <w:r w:rsidR="00251A13">
        <w:rPr>
          <w:rFonts w:ascii="Century" w:hAnsi="Century" w:cs="Times New Roman"/>
        </w:rPr>
        <w:t xml:space="preserve"> (ii)</w:t>
      </w:r>
      <w:r>
        <w:rPr>
          <w:rFonts w:ascii="Century" w:hAnsi="Century" w:cs="Times New Roman"/>
        </w:rPr>
        <w:t xml:space="preserve"> where</w:t>
      </w:r>
      <w:r w:rsidR="005361CC" w:rsidRPr="00251A13">
        <w:rPr>
          <w:rFonts w:ascii="Century" w:hAnsi="Century" w:cs="Times New Roman"/>
        </w:rPr>
        <w:t xml:space="preserve"> no one</w:t>
      </w:r>
      <w:r w:rsidR="00251A13">
        <w:rPr>
          <w:rFonts w:ascii="Century" w:hAnsi="Century" w:cs="Times New Roman"/>
        </w:rPr>
        <w:t xml:space="preserve"> outside Cabinet</w:t>
      </w:r>
      <w:r w:rsidR="005361CC" w:rsidRPr="00251A13">
        <w:rPr>
          <w:rFonts w:ascii="Century" w:hAnsi="Century" w:cs="Times New Roman"/>
        </w:rPr>
        <w:t xml:space="preserve"> knows the</w:t>
      </w:r>
      <w:r w:rsidR="00251A13" w:rsidRPr="00251A13">
        <w:rPr>
          <w:rFonts w:ascii="Century" w:hAnsi="Century" w:cs="Times New Roman"/>
        </w:rPr>
        <w:t xml:space="preserve"> precise</w:t>
      </w:r>
      <w:r w:rsidR="005361CC" w:rsidRPr="00251A13">
        <w:rPr>
          <w:rFonts w:ascii="Century" w:hAnsi="Century" w:cs="Times New Roman"/>
        </w:rPr>
        <w:t xml:space="preserve"> reason</w:t>
      </w:r>
      <w:r w:rsidR="00251A13" w:rsidRPr="00251A13">
        <w:rPr>
          <w:rFonts w:ascii="Century" w:hAnsi="Century" w:cs="Times New Roman"/>
        </w:rPr>
        <w:t>s</w:t>
      </w:r>
      <w:r w:rsidR="005361CC" w:rsidRPr="00251A13">
        <w:rPr>
          <w:rFonts w:ascii="Century" w:hAnsi="Century" w:cs="Times New Roman"/>
        </w:rPr>
        <w:t xml:space="preserve"> </w:t>
      </w:r>
      <w:r w:rsidR="00C73D23">
        <w:rPr>
          <w:rFonts w:ascii="Century" w:hAnsi="Century" w:cs="Times New Roman"/>
        </w:rPr>
        <w:t xml:space="preserve">why </w:t>
      </w:r>
      <w:r w:rsidR="005361CC" w:rsidRPr="00251A13">
        <w:rPr>
          <w:rFonts w:ascii="Century" w:hAnsi="Century" w:cs="Times New Roman"/>
        </w:rPr>
        <w:t xml:space="preserve">the </w:t>
      </w:r>
      <w:r w:rsidR="00251A13" w:rsidRPr="00251A13">
        <w:rPr>
          <w:rFonts w:ascii="Century" w:hAnsi="Century" w:cs="Times New Roman"/>
        </w:rPr>
        <w:t xml:space="preserve">Oireachtas is </w:t>
      </w:r>
      <w:r>
        <w:rPr>
          <w:rFonts w:ascii="Century" w:hAnsi="Century" w:cs="Times New Roman"/>
        </w:rPr>
        <w:t>ostensibly</w:t>
      </w:r>
      <w:r w:rsidR="00251A13">
        <w:rPr>
          <w:rFonts w:ascii="Century" w:hAnsi="Century" w:cs="Times New Roman"/>
        </w:rPr>
        <w:t xml:space="preserve"> </w:t>
      </w:r>
      <w:r w:rsidR="00251A13" w:rsidRPr="00251A13">
        <w:rPr>
          <w:rFonts w:ascii="Century" w:hAnsi="Century" w:cs="Times New Roman"/>
        </w:rPr>
        <w:t>constitutionally hamstrung</w:t>
      </w:r>
      <w:r>
        <w:rPr>
          <w:rFonts w:ascii="Century" w:hAnsi="Century" w:cs="Times New Roman"/>
        </w:rPr>
        <w:t>,</w:t>
      </w:r>
      <w:r w:rsidR="00251A13" w:rsidRPr="00251A13">
        <w:rPr>
          <w:rFonts w:ascii="Century" w:hAnsi="Century" w:cs="Times New Roman"/>
        </w:rPr>
        <w:t xml:space="preserve"> </w:t>
      </w:r>
      <w:r w:rsidR="00251A13">
        <w:rPr>
          <w:rFonts w:ascii="Century" w:hAnsi="Century" w:cs="Times New Roman"/>
        </w:rPr>
        <w:t xml:space="preserve">seems </w:t>
      </w:r>
      <w:r>
        <w:rPr>
          <w:rFonts w:ascii="Century" w:hAnsi="Century" w:cs="Times New Roman"/>
        </w:rPr>
        <w:t xml:space="preserve">to me </w:t>
      </w:r>
      <w:r w:rsidR="00251A13">
        <w:rPr>
          <w:rFonts w:ascii="Century" w:hAnsi="Century" w:cs="Times New Roman"/>
        </w:rPr>
        <w:t>a</w:t>
      </w:r>
      <w:r>
        <w:rPr>
          <w:rFonts w:ascii="Century" w:hAnsi="Century" w:cs="Times New Roman"/>
        </w:rPr>
        <w:t xml:space="preserve"> regretful</w:t>
      </w:r>
      <w:r w:rsidR="00251A13">
        <w:rPr>
          <w:rFonts w:ascii="Century" w:hAnsi="Century" w:cs="Times New Roman"/>
        </w:rPr>
        <w:t xml:space="preserve"> waste </w:t>
      </w:r>
      <w:r>
        <w:rPr>
          <w:rFonts w:ascii="Century" w:hAnsi="Century" w:cs="Times New Roman"/>
        </w:rPr>
        <w:t>of political energy.</w:t>
      </w:r>
    </w:p>
    <w:p w14:paraId="4FCA6C46" w14:textId="77777777" w:rsidR="005D7CC3" w:rsidRPr="005D7CC3" w:rsidRDefault="005D7CC3" w:rsidP="00FB4DF1">
      <w:pPr>
        <w:pStyle w:val="ListParagraph"/>
        <w:spacing w:line="360" w:lineRule="auto"/>
        <w:rPr>
          <w:rFonts w:ascii="Century" w:hAnsi="Century" w:cs="Times New Roman"/>
        </w:rPr>
      </w:pPr>
    </w:p>
    <w:p w14:paraId="65B797B6" w14:textId="0D8FF331" w:rsidR="004B09CE" w:rsidRDefault="005D7CC3" w:rsidP="00902A1A">
      <w:pPr>
        <w:pStyle w:val="ListParagraph"/>
        <w:numPr>
          <w:ilvl w:val="0"/>
          <w:numId w:val="5"/>
        </w:numPr>
        <w:spacing w:line="360" w:lineRule="auto"/>
        <w:jc w:val="both"/>
        <w:rPr>
          <w:rFonts w:ascii="Century" w:hAnsi="Century" w:cs="Times New Roman"/>
        </w:rPr>
      </w:pPr>
      <w:r>
        <w:rPr>
          <w:rFonts w:ascii="Century" w:hAnsi="Century" w:cs="Times New Roman"/>
        </w:rPr>
        <w:t xml:space="preserve"> I suggest the most appropriate course of action</w:t>
      </w:r>
      <w:r w:rsidR="00902A1A">
        <w:rPr>
          <w:rFonts w:ascii="Century" w:hAnsi="Century" w:cs="Times New Roman"/>
        </w:rPr>
        <w:t>, that could be undertaken immediately,</w:t>
      </w:r>
      <w:r>
        <w:rPr>
          <w:rFonts w:ascii="Century" w:hAnsi="Century" w:cs="Times New Roman"/>
        </w:rPr>
        <w:t xml:space="preserve"> would be to disclose what constitutional </w:t>
      </w:r>
      <w:r w:rsidR="00CC5970">
        <w:rPr>
          <w:rFonts w:ascii="Century" w:hAnsi="Century" w:cs="Times New Roman"/>
        </w:rPr>
        <w:t>problems</w:t>
      </w:r>
      <w:r>
        <w:rPr>
          <w:rFonts w:ascii="Century" w:hAnsi="Century" w:cs="Times New Roman"/>
        </w:rPr>
        <w:t xml:space="preserve"> the Attorney General’s Office and Government are concerned about</w:t>
      </w:r>
      <w:r w:rsidR="00902A1A">
        <w:rPr>
          <w:rFonts w:ascii="Century" w:hAnsi="Century" w:cs="Times New Roman"/>
        </w:rPr>
        <w:t xml:space="preserve"> </w:t>
      </w:r>
      <w:r w:rsidR="00902A1A" w:rsidRPr="00902A1A">
        <w:rPr>
          <w:rFonts w:ascii="Century" w:hAnsi="Century" w:cs="Times New Roman"/>
        </w:rPr>
        <w:t>– whether in full or pr</w:t>
      </w:r>
      <w:r w:rsidR="00253906">
        <w:rPr>
          <w:rFonts w:ascii="Century" w:hAnsi="Century" w:cs="Times New Roman"/>
        </w:rPr>
        <w:t>é</w:t>
      </w:r>
      <w:r w:rsidR="00902A1A" w:rsidRPr="00902A1A">
        <w:rPr>
          <w:rFonts w:ascii="Century" w:hAnsi="Century" w:cs="Times New Roman"/>
        </w:rPr>
        <w:t xml:space="preserve">cis form – </w:t>
      </w:r>
      <w:r w:rsidR="00FA5B91" w:rsidRPr="00902A1A">
        <w:rPr>
          <w:rFonts w:ascii="Century" w:hAnsi="Century" w:cs="Times New Roman"/>
        </w:rPr>
        <w:t>to</w:t>
      </w:r>
      <w:r w:rsidR="00902A1A" w:rsidRPr="00902A1A">
        <w:rPr>
          <w:rFonts w:ascii="Century" w:hAnsi="Century" w:cs="Times New Roman"/>
        </w:rPr>
        <w:t xml:space="preserve"> bring a measure of transparency to bear upon the ostensible difficulties blocking the </w:t>
      </w:r>
      <w:r w:rsidR="00253906">
        <w:rPr>
          <w:rFonts w:ascii="Century" w:hAnsi="Century" w:cs="Times New Roman"/>
        </w:rPr>
        <w:t>Oireachtas</w:t>
      </w:r>
      <w:r w:rsidR="00902A1A" w:rsidRPr="00902A1A">
        <w:rPr>
          <w:rFonts w:ascii="Century" w:hAnsi="Century" w:cs="Times New Roman"/>
        </w:rPr>
        <w:t xml:space="preserve"> taking robust legislative action. </w:t>
      </w:r>
      <w:r w:rsidRPr="00902A1A">
        <w:rPr>
          <w:rFonts w:ascii="Century" w:hAnsi="Century" w:cs="Times New Roman"/>
        </w:rPr>
        <w:t xml:space="preserve">Then, </w:t>
      </w:r>
      <w:r w:rsidR="00902A1A">
        <w:rPr>
          <w:rFonts w:ascii="Century" w:hAnsi="Century" w:cs="Times New Roman"/>
        </w:rPr>
        <w:t xml:space="preserve">the Government </w:t>
      </w:r>
      <w:r w:rsidR="00253906">
        <w:rPr>
          <w:rFonts w:ascii="Century" w:hAnsi="Century" w:cs="Times New Roman"/>
        </w:rPr>
        <w:t>could</w:t>
      </w:r>
      <w:r w:rsidRPr="00902A1A">
        <w:rPr>
          <w:rFonts w:ascii="Century" w:hAnsi="Century" w:cs="Times New Roman"/>
        </w:rPr>
        <w:t xml:space="preserve"> consult widely with </w:t>
      </w:r>
      <w:r w:rsidR="00902A1A">
        <w:rPr>
          <w:rFonts w:ascii="Century" w:hAnsi="Century" w:cs="Times New Roman"/>
        </w:rPr>
        <w:t xml:space="preserve">relevant </w:t>
      </w:r>
      <w:r w:rsidRPr="00902A1A">
        <w:rPr>
          <w:rFonts w:ascii="Century" w:hAnsi="Century" w:cs="Times New Roman"/>
        </w:rPr>
        <w:t xml:space="preserve">constitutional experts to see what solutions could be found to address these concerns. </w:t>
      </w:r>
    </w:p>
    <w:p w14:paraId="4F440898" w14:textId="77777777" w:rsidR="004B09CE" w:rsidRPr="004B09CE" w:rsidRDefault="004B09CE" w:rsidP="004B09CE">
      <w:pPr>
        <w:pStyle w:val="ListParagraph"/>
        <w:rPr>
          <w:rFonts w:ascii="Century" w:hAnsi="Century" w:cs="Times New Roman"/>
        </w:rPr>
      </w:pPr>
    </w:p>
    <w:p w14:paraId="5E0DBAF7" w14:textId="721A4E3B" w:rsidR="005D7CC3" w:rsidRPr="00902A1A" w:rsidRDefault="005D7CC3" w:rsidP="00902A1A">
      <w:pPr>
        <w:pStyle w:val="ListParagraph"/>
        <w:numPr>
          <w:ilvl w:val="0"/>
          <w:numId w:val="5"/>
        </w:numPr>
        <w:spacing w:line="360" w:lineRule="auto"/>
        <w:jc w:val="both"/>
        <w:rPr>
          <w:rFonts w:ascii="Century" w:hAnsi="Century" w:cs="Times New Roman"/>
        </w:rPr>
      </w:pPr>
      <w:r w:rsidRPr="00902A1A">
        <w:rPr>
          <w:rFonts w:ascii="Century" w:hAnsi="Century" w:cs="Times New Roman"/>
        </w:rPr>
        <w:t xml:space="preserve">Following this, </w:t>
      </w:r>
      <w:r w:rsidR="00902A1A">
        <w:rPr>
          <w:rFonts w:ascii="Century" w:hAnsi="Century" w:cs="Times New Roman"/>
        </w:rPr>
        <w:t xml:space="preserve">the Government </w:t>
      </w:r>
      <w:r w:rsidR="00A113C0">
        <w:rPr>
          <w:rFonts w:ascii="Century" w:hAnsi="Century" w:cs="Times New Roman"/>
        </w:rPr>
        <w:t>could</w:t>
      </w:r>
      <w:r w:rsidRPr="00902A1A">
        <w:rPr>
          <w:rFonts w:ascii="Century" w:hAnsi="Century" w:cs="Times New Roman"/>
        </w:rPr>
        <w:t xml:space="preserve"> bring forward whatever legislative measures </w:t>
      </w:r>
      <w:r w:rsidR="00902A1A">
        <w:rPr>
          <w:rFonts w:ascii="Century" w:hAnsi="Century" w:cs="Times New Roman"/>
        </w:rPr>
        <w:t>it</w:t>
      </w:r>
      <w:r w:rsidRPr="00902A1A">
        <w:rPr>
          <w:rFonts w:ascii="Century" w:hAnsi="Century" w:cs="Times New Roman"/>
        </w:rPr>
        <w:t xml:space="preserve"> thinks appropriate to address Ireland’s current housing issues</w:t>
      </w:r>
      <w:r w:rsidR="00D87F5D" w:rsidRPr="00902A1A">
        <w:rPr>
          <w:rFonts w:ascii="Century" w:hAnsi="Century" w:cs="Times New Roman"/>
        </w:rPr>
        <w:t xml:space="preserve"> </w:t>
      </w:r>
      <w:r w:rsidR="004B09CE">
        <w:rPr>
          <w:rFonts w:ascii="Century" w:hAnsi="Century" w:cs="Times New Roman"/>
        </w:rPr>
        <w:t xml:space="preserve">and </w:t>
      </w:r>
      <w:r w:rsidR="00D87F5D" w:rsidRPr="00902A1A">
        <w:rPr>
          <w:rFonts w:ascii="Century" w:hAnsi="Century" w:cs="Times New Roman"/>
        </w:rPr>
        <w:t>to test the bounds of the Oireachtas’</w:t>
      </w:r>
      <w:r w:rsidR="0096295A" w:rsidRPr="00902A1A">
        <w:rPr>
          <w:rFonts w:ascii="Century" w:hAnsi="Century" w:cs="Times New Roman"/>
        </w:rPr>
        <w:t xml:space="preserve"> existing</w:t>
      </w:r>
      <w:r w:rsidR="00D87F5D" w:rsidRPr="00902A1A">
        <w:rPr>
          <w:rFonts w:ascii="Century" w:hAnsi="Century" w:cs="Times New Roman"/>
        </w:rPr>
        <w:t xml:space="preserve"> constitutional authority. </w:t>
      </w:r>
    </w:p>
    <w:p w14:paraId="1E42A697" w14:textId="7DFDADCB" w:rsidR="00142A36" w:rsidRDefault="00142A36" w:rsidP="00FB4DF1">
      <w:pPr>
        <w:spacing w:line="360" w:lineRule="auto"/>
        <w:jc w:val="both"/>
        <w:rPr>
          <w:rFonts w:ascii="Century" w:hAnsi="Century"/>
        </w:rPr>
      </w:pPr>
    </w:p>
    <w:p w14:paraId="080134C5" w14:textId="79857D96" w:rsidR="00142A36" w:rsidRDefault="00142A36" w:rsidP="00FB4DF1">
      <w:pPr>
        <w:spacing w:line="360" w:lineRule="auto"/>
        <w:jc w:val="right"/>
        <w:rPr>
          <w:rFonts w:ascii="Century" w:hAnsi="Century"/>
        </w:rPr>
      </w:pPr>
      <w:r>
        <w:rPr>
          <w:rFonts w:ascii="Century" w:hAnsi="Century"/>
        </w:rPr>
        <w:t>Conor Casey</w:t>
      </w:r>
    </w:p>
    <w:p w14:paraId="09B4159D" w14:textId="1D529034" w:rsidR="00142A36" w:rsidRPr="00142A36" w:rsidRDefault="00FC2A56" w:rsidP="00142A36">
      <w:pPr>
        <w:spacing w:line="480" w:lineRule="auto"/>
        <w:jc w:val="right"/>
        <w:rPr>
          <w:rFonts w:ascii="Century" w:hAnsi="Century"/>
        </w:rPr>
      </w:pPr>
      <w:r>
        <w:rPr>
          <w:rFonts w:ascii="Century" w:hAnsi="Century"/>
        </w:rPr>
        <w:t>25</w:t>
      </w:r>
      <w:r w:rsidRPr="00FC2A56">
        <w:rPr>
          <w:rFonts w:ascii="Century" w:hAnsi="Century"/>
          <w:vertAlign w:val="superscript"/>
        </w:rPr>
        <w:t>th</w:t>
      </w:r>
      <w:r>
        <w:rPr>
          <w:rFonts w:ascii="Century" w:hAnsi="Century"/>
        </w:rPr>
        <w:t xml:space="preserve"> </w:t>
      </w:r>
      <w:r w:rsidR="00142A36">
        <w:rPr>
          <w:rFonts w:ascii="Century" w:hAnsi="Century"/>
        </w:rPr>
        <w:t>April 2022</w:t>
      </w:r>
    </w:p>
    <w:sectPr w:rsidR="00142A36" w:rsidRPr="00142A3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06EA" w14:textId="77777777" w:rsidR="00285409" w:rsidRDefault="00285409" w:rsidP="004632A0">
      <w:r>
        <w:separator/>
      </w:r>
    </w:p>
  </w:endnote>
  <w:endnote w:type="continuationSeparator" w:id="0">
    <w:p w14:paraId="38B0A5D7" w14:textId="77777777" w:rsidR="00285409" w:rsidRDefault="00285409" w:rsidP="0046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ñ’&amp;»˛">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5537786"/>
      <w:docPartObj>
        <w:docPartGallery w:val="Page Numbers (Bottom of Page)"/>
        <w:docPartUnique/>
      </w:docPartObj>
    </w:sdtPr>
    <w:sdtEndPr>
      <w:rPr>
        <w:rStyle w:val="PageNumber"/>
      </w:rPr>
    </w:sdtEndPr>
    <w:sdtContent>
      <w:p w14:paraId="74596D81" w14:textId="74135FD1" w:rsidR="00405AA5" w:rsidRDefault="00405AA5" w:rsidP="007E25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B65DB6" w14:textId="77777777" w:rsidR="00405AA5" w:rsidRDefault="00405AA5" w:rsidP="00405A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4578858"/>
      <w:docPartObj>
        <w:docPartGallery w:val="Page Numbers (Bottom of Page)"/>
        <w:docPartUnique/>
      </w:docPartObj>
    </w:sdtPr>
    <w:sdtEndPr>
      <w:rPr>
        <w:rStyle w:val="PageNumber"/>
      </w:rPr>
    </w:sdtEndPr>
    <w:sdtContent>
      <w:p w14:paraId="24EE2B93" w14:textId="21783C91" w:rsidR="00405AA5" w:rsidRDefault="00405AA5" w:rsidP="007E25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6682925F" w14:textId="77777777" w:rsidR="00405AA5" w:rsidRDefault="00405AA5" w:rsidP="00405A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4B7D" w14:textId="77777777" w:rsidR="00285409" w:rsidRDefault="00285409" w:rsidP="004632A0">
      <w:r>
        <w:separator/>
      </w:r>
    </w:p>
  </w:footnote>
  <w:footnote w:type="continuationSeparator" w:id="0">
    <w:p w14:paraId="19D29343" w14:textId="77777777" w:rsidR="00285409" w:rsidRDefault="00285409" w:rsidP="004632A0">
      <w:r>
        <w:continuationSeparator/>
      </w:r>
    </w:p>
  </w:footnote>
  <w:footnote w:id="1">
    <w:p w14:paraId="46EB1C8A" w14:textId="779EBCA2" w:rsidR="004632A0" w:rsidRPr="00511A72" w:rsidRDefault="004632A0"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Terms of Reference</w:t>
      </w:r>
      <w:r w:rsidR="001A065A" w:rsidRPr="00511A72">
        <w:rPr>
          <w:rFonts w:ascii="Century" w:hAnsi="Century" w:cs="Times New Roman"/>
          <w:sz w:val="18"/>
          <w:szCs w:val="18"/>
        </w:rPr>
        <w:t xml:space="preserve"> of Housing Commission (12 January 2022), </w:t>
      </w:r>
      <w:hyperlink r:id="rId1" w:history="1">
        <w:r w:rsidR="001A065A" w:rsidRPr="00511A72">
          <w:rPr>
            <w:rStyle w:val="Hyperlink"/>
            <w:rFonts w:ascii="Century" w:hAnsi="Century" w:cs="Times New Roman"/>
            <w:sz w:val="18"/>
            <w:szCs w:val="18"/>
          </w:rPr>
          <w:t>https://www.gov.ie/en/publication/e9d71-terms-of-reference-for-the-housing-commission/</w:t>
        </w:r>
      </w:hyperlink>
      <w:r w:rsidR="001A065A" w:rsidRPr="00511A72">
        <w:rPr>
          <w:rFonts w:ascii="Century" w:hAnsi="Century" w:cs="Times New Roman"/>
          <w:sz w:val="18"/>
          <w:szCs w:val="18"/>
        </w:rPr>
        <w:t xml:space="preserve">. </w:t>
      </w:r>
    </w:p>
  </w:footnote>
  <w:footnote w:id="2">
    <w:p w14:paraId="21753EF0" w14:textId="5822BB58" w:rsidR="00E50682" w:rsidRPr="00511A72" w:rsidRDefault="00E50682"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w:t>
      </w:r>
      <w:r w:rsidR="00A168D2" w:rsidRPr="00511A72">
        <w:rPr>
          <w:rFonts w:ascii="Century" w:hAnsi="Century" w:cs="Times New Roman"/>
          <w:sz w:val="18"/>
          <w:szCs w:val="18"/>
        </w:rPr>
        <w:t>Article 15.2.1.</w:t>
      </w:r>
    </w:p>
  </w:footnote>
  <w:footnote w:id="3">
    <w:p w14:paraId="396D4577" w14:textId="09DA54DF" w:rsidR="00E50682" w:rsidRPr="00511A72" w:rsidRDefault="00E50682"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w:t>
      </w:r>
      <w:r w:rsidR="00A168D2" w:rsidRPr="00511A72">
        <w:rPr>
          <w:rFonts w:ascii="Century" w:hAnsi="Century" w:cs="Times New Roman"/>
          <w:sz w:val="18"/>
          <w:szCs w:val="18"/>
        </w:rPr>
        <w:t>Article 28.2.</w:t>
      </w:r>
    </w:p>
  </w:footnote>
  <w:footnote w:id="4">
    <w:p w14:paraId="1069A5DF" w14:textId="7E407538" w:rsidR="00E50682" w:rsidRPr="00511A72" w:rsidRDefault="00E50682"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w:t>
      </w:r>
      <w:r w:rsidR="00A168D2" w:rsidRPr="00511A72">
        <w:rPr>
          <w:rFonts w:ascii="Century" w:hAnsi="Century" w:cs="Times New Roman"/>
          <w:sz w:val="18"/>
          <w:szCs w:val="18"/>
        </w:rPr>
        <w:t>Article 28.4.4.</w:t>
      </w:r>
    </w:p>
  </w:footnote>
  <w:footnote w:id="5">
    <w:p w14:paraId="1FE8450D" w14:textId="1CC2A720" w:rsidR="00E50682" w:rsidRPr="00511A72" w:rsidRDefault="00E50682" w:rsidP="00511A72">
      <w:pPr>
        <w:autoSpaceDE w:val="0"/>
        <w:autoSpaceDN w:val="0"/>
        <w:adjustRightInd w:val="0"/>
        <w:jc w:val="both"/>
        <w:rPr>
          <w:rFonts w:ascii="Century" w:hAnsi="Century" w:cs="ñ’&amp;»˛"/>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t>
      </w:r>
      <w:r w:rsidR="00A168D2" w:rsidRPr="00511A72">
        <w:rPr>
          <w:rFonts w:ascii="Century" w:hAnsi="Century"/>
          <w:sz w:val="18"/>
          <w:szCs w:val="18"/>
        </w:rPr>
        <w:t xml:space="preserve">Conor Casey &amp; David Kenny, </w:t>
      </w:r>
      <w:r w:rsidR="00A8350B">
        <w:rPr>
          <w:rFonts w:ascii="Century" w:hAnsi="Century"/>
          <w:sz w:val="18"/>
          <w:szCs w:val="18"/>
        </w:rPr>
        <w:t>‘</w:t>
      </w:r>
      <w:r w:rsidR="00A168D2" w:rsidRPr="00511A72">
        <w:rPr>
          <w:rFonts w:ascii="Century" w:hAnsi="Century"/>
          <w:sz w:val="18"/>
          <w:szCs w:val="18"/>
        </w:rPr>
        <w:t>The Resilience of Executive Dominance in Westminster Systems: Ireland 2016–2019</w:t>
      </w:r>
      <w:r w:rsidR="00A8350B">
        <w:rPr>
          <w:rFonts w:ascii="Century" w:hAnsi="Century"/>
          <w:sz w:val="18"/>
          <w:szCs w:val="18"/>
        </w:rPr>
        <w:t>’</w:t>
      </w:r>
      <w:r w:rsidR="00A168D2" w:rsidRPr="00511A72">
        <w:rPr>
          <w:rFonts w:ascii="Century" w:hAnsi="Century"/>
          <w:sz w:val="18"/>
          <w:szCs w:val="18"/>
        </w:rPr>
        <w:t xml:space="preserve"> (2020) Public Law 356, 359-362.</w:t>
      </w:r>
    </w:p>
  </w:footnote>
  <w:footnote w:id="6">
    <w:p w14:paraId="14DFD823" w14:textId="042DEDFB" w:rsidR="00A168D2" w:rsidRPr="00511A72" w:rsidRDefault="00A168D2"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t>
      </w:r>
      <w:r w:rsidR="007D2E9A" w:rsidRPr="00511A72">
        <w:rPr>
          <w:rFonts w:ascii="Century" w:hAnsi="Century"/>
          <w:i/>
          <w:iCs/>
          <w:sz w:val="18"/>
          <w:szCs w:val="18"/>
        </w:rPr>
        <w:t xml:space="preserve">Pringle v. Ireland </w:t>
      </w:r>
      <w:r w:rsidR="007D2E9A" w:rsidRPr="00511A72">
        <w:rPr>
          <w:rFonts w:ascii="Century" w:hAnsi="Century"/>
          <w:sz w:val="18"/>
          <w:szCs w:val="18"/>
        </w:rPr>
        <w:t>[2012] IESC 47.</w:t>
      </w:r>
    </w:p>
  </w:footnote>
  <w:footnote w:id="7">
    <w:p w14:paraId="79641DC2" w14:textId="77777777" w:rsidR="00ED5248" w:rsidRPr="00511A72" w:rsidRDefault="00F21444" w:rsidP="00511A72">
      <w:pPr>
        <w:pStyle w:val="IndentQuote"/>
        <w:spacing w:line="240" w:lineRule="auto"/>
        <w:ind w:left="0"/>
        <w:rPr>
          <w:rFonts w:ascii="Century" w:eastAsia="Arial" w:hAnsi="Century" w:cs="Arial"/>
          <w:sz w:val="18"/>
          <w:szCs w:val="18"/>
          <w:lang w:val="en-GB"/>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w:t>
      </w:r>
      <w:r w:rsidR="00ED5248" w:rsidRPr="00511A72">
        <w:rPr>
          <w:rFonts w:ascii="Century" w:hAnsi="Century" w:cs="Arial"/>
          <w:sz w:val="18"/>
          <w:szCs w:val="18"/>
          <w:lang w:val="en-GB"/>
        </w:rPr>
        <w:t>1° The State guarantees in its laws to respect, and, as far as practicable, by its laws to defend and vindicate the personal rights of the citizen.</w:t>
      </w:r>
    </w:p>
    <w:p w14:paraId="5E44EB04" w14:textId="61269F1F" w:rsidR="00F21444" w:rsidRPr="00511A72" w:rsidRDefault="00ED5248" w:rsidP="00511A72">
      <w:pPr>
        <w:pStyle w:val="IndentQuote"/>
        <w:spacing w:line="240" w:lineRule="auto"/>
        <w:ind w:left="0"/>
        <w:rPr>
          <w:rFonts w:ascii="Century" w:hAnsi="Century" w:cs="Arial"/>
          <w:sz w:val="18"/>
          <w:szCs w:val="18"/>
          <w:lang w:val="en-GB"/>
        </w:rPr>
      </w:pPr>
      <w:r w:rsidRPr="00511A72">
        <w:rPr>
          <w:rFonts w:ascii="Century" w:hAnsi="Century" w:cs="Arial"/>
          <w:sz w:val="18"/>
          <w:szCs w:val="18"/>
          <w:lang w:val="en-GB"/>
        </w:rPr>
        <w:t>2° The State shall</w:t>
      </w:r>
      <w:proofErr w:type="gramStart"/>
      <w:r w:rsidRPr="00511A72">
        <w:rPr>
          <w:rFonts w:ascii="Century" w:hAnsi="Century" w:cs="Arial"/>
          <w:sz w:val="18"/>
          <w:szCs w:val="18"/>
          <w:lang w:val="en-GB"/>
        </w:rPr>
        <w:t>, in particular, by</w:t>
      </w:r>
      <w:proofErr w:type="gramEnd"/>
      <w:r w:rsidRPr="00511A72">
        <w:rPr>
          <w:rFonts w:ascii="Century" w:hAnsi="Century" w:cs="Arial"/>
          <w:sz w:val="18"/>
          <w:szCs w:val="18"/>
          <w:lang w:val="en-GB"/>
        </w:rPr>
        <w:t xml:space="preserve"> its laws protect as best it may from unjust attack and, in the case of injustice done, vindicate the life, person, good name, and property rights of every citizen. </w:t>
      </w:r>
    </w:p>
  </w:footnote>
  <w:footnote w:id="8">
    <w:p w14:paraId="2B8C6E4D" w14:textId="77777777" w:rsidR="00ED5248" w:rsidRPr="00511A72" w:rsidRDefault="00F21444" w:rsidP="00511A72">
      <w:pPr>
        <w:pStyle w:val="IndentQuote"/>
        <w:spacing w:line="240" w:lineRule="auto"/>
        <w:ind w:left="720" w:hanging="720"/>
        <w:rPr>
          <w:rFonts w:ascii="Century" w:eastAsia="Arial" w:hAnsi="Century" w:cs="Arial"/>
          <w:sz w:val="18"/>
          <w:szCs w:val="18"/>
          <w:lang w:val="en-GB"/>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w:t>
      </w:r>
      <w:r w:rsidR="00ED5248" w:rsidRPr="00511A72">
        <w:rPr>
          <w:rFonts w:ascii="Century" w:hAnsi="Century" w:cs="Arial"/>
          <w:sz w:val="18"/>
          <w:szCs w:val="18"/>
          <w:lang w:val="en-GB"/>
        </w:rPr>
        <w:t xml:space="preserve">1 </w:t>
      </w:r>
      <w:r w:rsidR="00ED5248" w:rsidRPr="00511A72">
        <w:rPr>
          <w:rFonts w:ascii="Century" w:hAnsi="Century" w:cs="Arial"/>
          <w:sz w:val="18"/>
          <w:szCs w:val="18"/>
          <w:lang w:val="en-GB"/>
        </w:rPr>
        <w:tab/>
        <w:t xml:space="preserve">1° The State acknowledges that man, in virtue of his rational being, has the natural right, antecedent to positive law, to the private ownership of external goods. </w:t>
      </w:r>
    </w:p>
    <w:p w14:paraId="45704AD3" w14:textId="77777777" w:rsidR="00ED5248" w:rsidRPr="00511A72" w:rsidRDefault="00ED5248" w:rsidP="00511A72">
      <w:pPr>
        <w:pStyle w:val="IndentQuote"/>
        <w:spacing w:line="240" w:lineRule="auto"/>
        <w:ind w:left="720"/>
        <w:rPr>
          <w:rFonts w:ascii="Century" w:eastAsia="Arial" w:hAnsi="Century" w:cs="Arial"/>
          <w:sz w:val="18"/>
          <w:szCs w:val="18"/>
          <w:lang w:val="en-GB"/>
        </w:rPr>
      </w:pPr>
      <w:r w:rsidRPr="00511A72">
        <w:rPr>
          <w:rFonts w:ascii="Century" w:hAnsi="Century" w:cs="Arial"/>
          <w:sz w:val="18"/>
          <w:szCs w:val="18"/>
          <w:lang w:val="en-GB"/>
        </w:rPr>
        <w:t xml:space="preserve">2° The State accordingly guarantees to pass no law attempting to abolish the right of private ownership or the general right to transfer, bequeath, and inherit property. </w:t>
      </w:r>
    </w:p>
    <w:p w14:paraId="7FF36C19" w14:textId="77777777" w:rsidR="00ED5248" w:rsidRPr="00511A72" w:rsidRDefault="00ED5248" w:rsidP="00511A72">
      <w:pPr>
        <w:pStyle w:val="IndentQuote"/>
        <w:spacing w:line="240" w:lineRule="auto"/>
        <w:ind w:left="720" w:hanging="720"/>
        <w:rPr>
          <w:rFonts w:ascii="Century" w:eastAsia="Arial" w:hAnsi="Century" w:cs="Arial"/>
          <w:sz w:val="18"/>
          <w:szCs w:val="18"/>
          <w:lang w:val="en-GB"/>
        </w:rPr>
      </w:pPr>
      <w:r w:rsidRPr="00511A72">
        <w:rPr>
          <w:rFonts w:ascii="Century" w:hAnsi="Century" w:cs="Arial"/>
          <w:sz w:val="18"/>
          <w:szCs w:val="18"/>
          <w:lang w:val="en-GB"/>
        </w:rPr>
        <w:t xml:space="preserve">2 </w:t>
      </w:r>
      <w:r w:rsidRPr="00511A72">
        <w:rPr>
          <w:rFonts w:ascii="Century" w:hAnsi="Century" w:cs="Arial"/>
          <w:sz w:val="18"/>
          <w:szCs w:val="18"/>
          <w:lang w:val="en-GB"/>
        </w:rPr>
        <w:tab/>
        <w:t xml:space="preserve">1° The State recognises, however, that the exercise of the rights mentioned in the foregoing provisions of this Article ought, in civil society, to be regulated by the principles of social justice. </w:t>
      </w:r>
    </w:p>
    <w:p w14:paraId="25B25038" w14:textId="1A84BBF6" w:rsidR="00F21444" w:rsidRPr="00511A72" w:rsidRDefault="00ED5248" w:rsidP="00511A72">
      <w:pPr>
        <w:pStyle w:val="IndentQuote"/>
        <w:spacing w:line="240" w:lineRule="auto"/>
        <w:ind w:left="720"/>
        <w:rPr>
          <w:rFonts w:ascii="Century" w:hAnsi="Century" w:cs="Arial"/>
          <w:sz w:val="18"/>
          <w:szCs w:val="18"/>
          <w:lang w:val="en-GB"/>
        </w:rPr>
      </w:pPr>
      <w:r w:rsidRPr="00511A72">
        <w:rPr>
          <w:rFonts w:ascii="Century" w:hAnsi="Century" w:cs="Arial"/>
          <w:sz w:val="18"/>
          <w:szCs w:val="18"/>
          <w:lang w:val="en-GB"/>
        </w:rPr>
        <w:t>2° The State, accordingly, may as occasion requires delimit by law the exercise of the said rights with a view to reconciling their exercise with the exigencies of the common good.</w:t>
      </w:r>
    </w:p>
  </w:footnote>
  <w:footnote w:id="9">
    <w:p w14:paraId="409C8984" w14:textId="59BB0C8E" w:rsidR="007D2E9A" w:rsidRPr="00511A72" w:rsidRDefault="007D2E9A"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See Hilary Hogan, ‘The Decline of Article 26: Reforming Abstract Constitutional Review in Ireland’ (Forthcoming 2022) 67 Irish Jurist. </w:t>
      </w:r>
    </w:p>
  </w:footnote>
  <w:footnote w:id="10">
    <w:p w14:paraId="7ABC12EA" w14:textId="3B1E22C8" w:rsidR="00E50682" w:rsidRPr="00511A72" w:rsidRDefault="00E50682"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Professor Doyle notes the “intellectual lineage of Article 43 unquestionably lies in the natural law tradition” Oran Doyle, </w:t>
      </w:r>
      <w:r w:rsidRPr="00511A72">
        <w:rPr>
          <w:rFonts w:ascii="Century" w:hAnsi="Century" w:cs="Times New Roman"/>
          <w:i/>
          <w:iCs/>
          <w:sz w:val="18"/>
          <w:szCs w:val="18"/>
        </w:rPr>
        <w:t xml:space="preserve">The Constitution of Ireland: A Contextual Analysis </w:t>
      </w:r>
      <w:r w:rsidRPr="00511A72">
        <w:rPr>
          <w:rFonts w:ascii="Century" w:hAnsi="Century" w:cs="Times New Roman"/>
          <w:sz w:val="18"/>
          <w:szCs w:val="18"/>
        </w:rPr>
        <w:t>(Hart 2018) 94.</w:t>
      </w:r>
    </w:p>
  </w:footnote>
  <w:footnote w:id="11">
    <w:p w14:paraId="205D6472" w14:textId="01B89C8E" w:rsidR="0030142F" w:rsidRPr="00511A72" w:rsidRDefault="0030142F"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w:t>
      </w:r>
      <w:r w:rsidR="007D2E9A" w:rsidRPr="00511A72">
        <w:rPr>
          <w:rFonts w:ascii="Century" w:hAnsi="Century" w:cs="Times New Roman"/>
          <w:sz w:val="18"/>
          <w:szCs w:val="18"/>
        </w:rPr>
        <w:t xml:space="preserve">Rachael Walsh, </w:t>
      </w:r>
      <w:r w:rsidR="007D2E9A" w:rsidRPr="00511A72">
        <w:rPr>
          <w:rFonts w:ascii="Century" w:hAnsi="Century" w:cs="Times New Roman"/>
          <w:i/>
          <w:iCs/>
          <w:sz w:val="18"/>
          <w:szCs w:val="18"/>
        </w:rPr>
        <w:t xml:space="preserve">Property Rights and Social Justice: Progressive Property in Action </w:t>
      </w:r>
      <w:r w:rsidR="007D2E9A" w:rsidRPr="00511A72">
        <w:rPr>
          <w:rFonts w:ascii="Century" w:hAnsi="Century" w:cs="Times New Roman"/>
          <w:sz w:val="18"/>
          <w:szCs w:val="18"/>
        </w:rPr>
        <w:t xml:space="preserve">(Cambridge University Press 2021) </w:t>
      </w:r>
      <w:r w:rsidRPr="00511A72">
        <w:rPr>
          <w:rFonts w:ascii="Century" w:hAnsi="Century" w:cs="Times New Roman"/>
          <w:sz w:val="18"/>
          <w:szCs w:val="18"/>
        </w:rPr>
        <w:t>60.</w:t>
      </w:r>
    </w:p>
  </w:footnote>
  <w:footnote w:id="12">
    <w:p w14:paraId="28096AC5" w14:textId="028B71DA" w:rsidR="001C5217" w:rsidRPr="00511A72" w:rsidRDefault="001C5217"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w:t>
      </w:r>
      <w:r w:rsidR="00511A72">
        <w:rPr>
          <w:rFonts w:ascii="Century" w:hAnsi="Century" w:cs="Times New Roman"/>
          <w:sz w:val="18"/>
          <w:szCs w:val="18"/>
        </w:rPr>
        <w:t xml:space="preserve">Pope </w:t>
      </w:r>
      <w:r w:rsidR="001D0B1D" w:rsidRPr="00511A72">
        <w:rPr>
          <w:rFonts w:ascii="Century" w:hAnsi="Century" w:cs="Times New Roman"/>
          <w:sz w:val="18"/>
          <w:szCs w:val="18"/>
        </w:rPr>
        <w:t xml:space="preserve">Leo XIII, </w:t>
      </w:r>
      <w:r w:rsidR="001D0B1D" w:rsidRPr="00511A72">
        <w:rPr>
          <w:rFonts w:ascii="Century" w:hAnsi="Century" w:cs="Times New Roman"/>
          <w:i/>
          <w:iCs/>
          <w:sz w:val="18"/>
          <w:szCs w:val="18"/>
        </w:rPr>
        <w:t xml:space="preserve">Rerum Novarum: On Capital and Labour </w:t>
      </w:r>
      <w:r w:rsidR="001D0B1D" w:rsidRPr="00511A72">
        <w:rPr>
          <w:rFonts w:ascii="Century" w:hAnsi="Century" w:cs="Times New Roman"/>
          <w:sz w:val="18"/>
          <w:szCs w:val="18"/>
        </w:rPr>
        <w:t>(May 15</w:t>
      </w:r>
      <w:r w:rsidR="00EE2EB6" w:rsidRPr="00511A72">
        <w:rPr>
          <w:rFonts w:ascii="Century" w:hAnsi="Century" w:cs="Times New Roman"/>
          <w:sz w:val="18"/>
          <w:szCs w:val="18"/>
        </w:rPr>
        <w:t>, 1891</w:t>
      </w:r>
      <w:r w:rsidR="001D0B1D" w:rsidRPr="00511A72">
        <w:rPr>
          <w:rFonts w:ascii="Century" w:hAnsi="Century" w:cs="Times New Roman"/>
          <w:sz w:val="18"/>
          <w:szCs w:val="18"/>
        </w:rPr>
        <w:t>).</w:t>
      </w:r>
    </w:p>
  </w:footnote>
  <w:footnote w:id="13">
    <w:p w14:paraId="1A8BD257" w14:textId="33BA7683" w:rsidR="001C5217" w:rsidRPr="00511A72" w:rsidRDefault="001C5217"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w:t>
      </w:r>
      <w:r w:rsidR="00511A72">
        <w:rPr>
          <w:rFonts w:ascii="Century" w:hAnsi="Century" w:cs="Times New Roman"/>
          <w:sz w:val="18"/>
          <w:szCs w:val="18"/>
        </w:rPr>
        <w:t xml:space="preserve">Pope </w:t>
      </w:r>
      <w:r w:rsidR="001D0B1D" w:rsidRPr="00511A72">
        <w:rPr>
          <w:rFonts w:ascii="Century" w:hAnsi="Century" w:cs="Times New Roman"/>
          <w:sz w:val="18"/>
          <w:szCs w:val="18"/>
        </w:rPr>
        <w:t xml:space="preserve">Pius XI, </w:t>
      </w:r>
      <w:proofErr w:type="spellStart"/>
      <w:r w:rsidR="001D0B1D" w:rsidRPr="00511A72">
        <w:rPr>
          <w:rFonts w:ascii="Century" w:hAnsi="Century" w:cs="Times New Roman"/>
          <w:i/>
          <w:iCs/>
          <w:sz w:val="18"/>
          <w:szCs w:val="18"/>
        </w:rPr>
        <w:t>Quadragesimo</w:t>
      </w:r>
      <w:proofErr w:type="spellEnd"/>
      <w:r w:rsidR="001D0B1D" w:rsidRPr="00511A72">
        <w:rPr>
          <w:rFonts w:ascii="Century" w:hAnsi="Century" w:cs="Times New Roman"/>
          <w:i/>
          <w:iCs/>
          <w:sz w:val="18"/>
          <w:szCs w:val="18"/>
        </w:rPr>
        <w:t xml:space="preserve"> Anno: On the Reconstruction of the Social Order </w:t>
      </w:r>
      <w:r w:rsidR="001D0B1D" w:rsidRPr="00511A72">
        <w:rPr>
          <w:rFonts w:ascii="Century" w:hAnsi="Century" w:cs="Times New Roman"/>
          <w:sz w:val="18"/>
          <w:szCs w:val="18"/>
        </w:rPr>
        <w:t>(May 15</w:t>
      </w:r>
      <w:r w:rsidR="00EE2EB6" w:rsidRPr="00511A72">
        <w:rPr>
          <w:rFonts w:ascii="Century" w:hAnsi="Century" w:cs="Times New Roman"/>
          <w:sz w:val="18"/>
          <w:szCs w:val="18"/>
        </w:rPr>
        <w:t>, 1931</w:t>
      </w:r>
      <w:r w:rsidR="001D0B1D" w:rsidRPr="00511A72">
        <w:rPr>
          <w:rFonts w:ascii="Century" w:hAnsi="Century" w:cs="Times New Roman"/>
          <w:sz w:val="18"/>
          <w:szCs w:val="18"/>
        </w:rPr>
        <w:t>).</w:t>
      </w:r>
    </w:p>
  </w:footnote>
  <w:footnote w:id="14">
    <w:p w14:paraId="5FFB15DB" w14:textId="7397C553" w:rsidR="0030142F" w:rsidRPr="00511A72" w:rsidRDefault="0030142F"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w:t>
      </w:r>
      <w:r w:rsidR="00025992" w:rsidRPr="00511A72">
        <w:rPr>
          <w:rFonts w:ascii="Century" w:hAnsi="Century" w:cs="Times New Roman"/>
          <w:sz w:val="18"/>
          <w:szCs w:val="18"/>
        </w:rPr>
        <w:t>Walsh (n</w:t>
      </w:r>
      <w:r w:rsidR="00967436" w:rsidRPr="00511A72">
        <w:rPr>
          <w:rFonts w:ascii="Century" w:hAnsi="Century" w:cs="Times New Roman"/>
          <w:sz w:val="18"/>
          <w:szCs w:val="18"/>
        </w:rPr>
        <w:t xml:space="preserve"> </w:t>
      </w:r>
      <w:r w:rsidR="00967436" w:rsidRPr="00511A72">
        <w:rPr>
          <w:rFonts w:ascii="Century" w:hAnsi="Century" w:cs="Times New Roman"/>
          <w:sz w:val="18"/>
          <w:szCs w:val="18"/>
        </w:rPr>
        <w:fldChar w:fldCharType="begin"/>
      </w:r>
      <w:r w:rsidR="00967436" w:rsidRPr="00511A72">
        <w:rPr>
          <w:rFonts w:ascii="Century" w:hAnsi="Century" w:cs="Times New Roman"/>
          <w:sz w:val="18"/>
          <w:szCs w:val="18"/>
        </w:rPr>
        <w:instrText xml:space="preserve"> NOTEREF _Ref101609462 \h  \* MERGEFORMAT </w:instrText>
      </w:r>
      <w:r w:rsidR="00967436" w:rsidRPr="00511A72">
        <w:rPr>
          <w:rFonts w:ascii="Century" w:hAnsi="Century" w:cs="Times New Roman"/>
          <w:sz w:val="18"/>
          <w:szCs w:val="18"/>
        </w:rPr>
      </w:r>
      <w:r w:rsidR="00967436" w:rsidRPr="00511A72">
        <w:rPr>
          <w:rFonts w:ascii="Century" w:hAnsi="Century" w:cs="Times New Roman"/>
          <w:sz w:val="18"/>
          <w:szCs w:val="18"/>
        </w:rPr>
        <w:fldChar w:fldCharType="separate"/>
      </w:r>
      <w:r w:rsidR="00583CBA">
        <w:rPr>
          <w:rFonts w:ascii="Century" w:hAnsi="Century" w:cs="Times New Roman"/>
          <w:sz w:val="18"/>
          <w:szCs w:val="18"/>
        </w:rPr>
        <w:t>11</w:t>
      </w:r>
      <w:r w:rsidR="00967436" w:rsidRPr="00511A72">
        <w:rPr>
          <w:rFonts w:ascii="Century" w:hAnsi="Century" w:cs="Times New Roman"/>
          <w:sz w:val="18"/>
          <w:szCs w:val="18"/>
        </w:rPr>
        <w:fldChar w:fldCharType="end"/>
      </w:r>
      <w:r w:rsidR="00025992" w:rsidRPr="00511A72">
        <w:rPr>
          <w:rFonts w:ascii="Century" w:hAnsi="Century" w:cs="Times New Roman"/>
          <w:sz w:val="18"/>
          <w:szCs w:val="18"/>
        </w:rPr>
        <w:t>)</w:t>
      </w:r>
      <w:r w:rsidRPr="00511A72">
        <w:rPr>
          <w:rFonts w:ascii="Century" w:hAnsi="Century" w:cs="Times New Roman"/>
          <w:sz w:val="18"/>
          <w:szCs w:val="18"/>
        </w:rPr>
        <w:t xml:space="preserve"> 61; Donal Coffey, </w:t>
      </w:r>
      <w:r w:rsidRPr="00511A72">
        <w:rPr>
          <w:rFonts w:ascii="Century" w:hAnsi="Century" w:cs="Times New Roman"/>
          <w:i/>
          <w:iCs/>
          <w:sz w:val="18"/>
          <w:szCs w:val="18"/>
        </w:rPr>
        <w:t xml:space="preserve">Drafting the 1937 Irish </w:t>
      </w:r>
      <w:proofErr w:type="spellStart"/>
      <w:r w:rsidRPr="00511A72">
        <w:rPr>
          <w:rFonts w:ascii="Century" w:hAnsi="Century" w:cs="Times New Roman"/>
          <w:i/>
          <w:iCs/>
          <w:sz w:val="18"/>
          <w:szCs w:val="18"/>
        </w:rPr>
        <w:t>Consttution</w:t>
      </w:r>
      <w:proofErr w:type="spellEnd"/>
      <w:r w:rsidRPr="00511A72">
        <w:rPr>
          <w:rFonts w:ascii="Century" w:hAnsi="Century" w:cs="Times New Roman"/>
          <w:i/>
          <w:iCs/>
          <w:sz w:val="18"/>
          <w:szCs w:val="18"/>
        </w:rPr>
        <w:t>: Transnational Influences in Interwar Europe</w:t>
      </w:r>
      <w:r w:rsidRPr="00511A72">
        <w:rPr>
          <w:rFonts w:ascii="Century" w:hAnsi="Century" w:cs="Times New Roman"/>
          <w:sz w:val="18"/>
          <w:szCs w:val="18"/>
        </w:rPr>
        <w:t xml:space="preserve"> (Palgrave </w:t>
      </w:r>
      <w:proofErr w:type="spellStart"/>
      <w:r w:rsidRPr="00511A72">
        <w:rPr>
          <w:rFonts w:ascii="Century" w:hAnsi="Century" w:cs="Times New Roman"/>
          <w:sz w:val="18"/>
          <w:szCs w:val="18"/>
        </w:rPr>
        <w:t>Macmillian</w:t>
      </w:r>
      <w:proofErr w:type="spellEnd"/>
      <w:r w:rsidRPr="00511A72">
        <w:rPr>
          <w:rFonts w:ascii="Century" w:hAnsi="Century" w:cs="Times New Roman"/>
          <w:sz w:val="18"/>
          <w:szCs w:val="18"/>
        </w:rPr>
        <w:t xml:space="preserve"> 2018) </w:t>
      </w:r>
      <w:r w:rsidR="004D7AB0" w:rsidRPr="00511A72">
        <w:rPr>
          <w:rFonts w:ascii="Century" w:hAnsi="Century" w:cs="Times New Roman"/>
          <w:sz w:val="18"/>
          <w:szCs w:val="18"/>
        </w:rPr>
        <w:t>23</w:t>
      </w:r>
      <w:r w:rsidR="008A3124" w:rsidRPr="00511A72">
        <w:rPr>
          <w:rFonts w:ascii="Century" w:hAnsi="Century" w:cs="Times New Roman"/>
          <w:sz w:val="18"/>
          <w:szCs w:val="18"/>
        </w:rPr>
        <w:t>6</w:t>
      </w:r>
      <w:r w:rsidR="004D7AB0" w:rsidRPr="00511A72">
        <w:rPr>
          <w:rFonts w:ascii="Century" w:hAnsi="Century" w:cs="Times New Roman"/>
          <w:sz w:val="18"/>
          <w:szCs w:val="18"/>
        </w:rPr>
        <w:t>-</w:t>
      </w:r>
      <w:r w:rsidR="008A3124" w:rsidRPr="00511A72">
        <w:rPr>
          <w:rFonts w:ascii="Century" w:hAnsi="Century" w:cs="Times New Roman"/>
          <w:sz w:val="18"/>
          <w:szCs w:val="18"/>
        </w:rPr>
        <w:t>241.</w:t>
      </w:r>
    </w:p>
  </w:footnote>
  <w:footnote w:id="15">
    <w:p w14:paraId="091D2485" w14:textId="28559944" w:rsidR="001C5217" w:rsidRPr="00511A72" w:rsidRDefault="001C5217"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Conor Casey </w:t>
      </w:r>
      <w:r w:rsidR="00025992" w:rsidRPr="00511A72">
        <w:rPr>
          <w:rFonts w:ascii="Century" w:hAnsi="Century" w:cs="Times New Roman"/>
          <w:sz w:val="18"/>
          <w:szCs w:val="18"/>
        </w:rPr>
        <w:t>&amp;</w:t>
      </w:r>
      <w:r w:rsidRPr="00511A72">
        <w:rPr>
          <w:rFonts w:ascii="Century" w:hAnsi="Century" w:cs="Times New Roman"/>
          <w:sz w:val="18"/>
          <w:szCs w:val="18"/>
        </w:rPr>
        <w:t xml:space="preserve"> Adrian Vermeule, </w:t>
      </w:r>
      <w:r w:rsidR="00025992" w:rsidRPr="00511A72">
        <w:rPr>
          <w:rFonts w:ascii="Century" w:hAnsi="Century" w:cs="Times New Roman"/>
          <w:sz w:val="18"/>
          <w:szCs w:val="18"/>
        </w:rPr>
        <w:t>Myths of Common Good Constitutionalism 45 (2022) Harvard Journal of Law &amp; Public Policy 103, 138-144.</w:t>
      </w:r>
    </w:p>
  </w:footnote>
  <w:footnote w:id="16">
    <w:p w14:paraId="63D19D40" w14:textId="51AA2EE4" w:rsidR="00E2251C" w:rsidRPr="00511A72" w:rsidRDefault="00E2251C"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Article 34.3.</w:t>
      </w:r>
    </w:p>
  </w:footnote>
  <w:footnote w:id="17">
    <w:p w14:paraId="0A69E3AB" w14:textId="00DE110D" w:rsidR="00E2251C" w:rsidRPr="00511A72" w:rsidRDefault="00E2251C"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Walsh (n </w:t>
      </w:r>
      <w:r w:rsidRPr="00511A72">
        <w:rPr>
          <w:rFonts w:ascii="Century" w:hAnsi="Century"/>
          <w:sz w:val="18"/>
          <w:szCs w:val="18"/>
        </w:rPr>
        <w:fldChar w:fldCharType="begin"/>
      </w:r>
      <w:r w:rsidRPr="00511A72">
        <w:rPr>
          <w:rFonts w:ascii="Century" w:hAnsi="Century"/>
          <w:sz w:val="18"/>
          <w:szCs w:val="18"/>
        </w:rPr>
        <w:instrText xml:space="preserve"> NOTEREF _Ref101609462 \h </w:instrText>
      </w:r>
      <w:r w:rsidR="00511A72" w:rsidRPr="00511A72">
        <w:rPr>
          <w:rFonts w:ascii="Century" w:hAnsi="Century"/>
          <w:sz w:val="18"/>
          <w:szCs w:val="18"/>
        </w:rPr>
        <w:instrText xml:space="preserve"> \* MERGEFORMAT </w:instrText>
      </w:r>
      <w:r w:rsidRPr="00511A72">
        <w:rPr>
          <w:rFonts w:ascii="Century" w:hAnsi="Century"/>
          <w:sz w:val="18"/>
          <w:szCs w:val="18"/>
        </w:rPr>
      </w:r>
      <w:r w:rsidRPr="00511A72">
        <w:rPr>
          <w:rFonts w:ascii="Century" w:hAnsi="Century"/>
          <w:sz w:val="18"/>
          <w:szCs w:val="18"/>
        </w:rPr>
        <w:fldChar w:fldCharType="separate"/>
      </w:r>
      <w:r w:rsidR="00583CBA">
        <w:rPr>
          <w:rFonts w:ascii="Century" w:hAnsi="Century"/>
          <w:sz w:val="18"/>
          <w:szCs w:val="18"/>
        </w:rPr>
        <w:t>11</w:t>
      </w:r>
      <w:r w:rsidRPr="00511A72">
        <w:rPr>
          <w:rFonts w:ascii="Century" w:hAnsi="Century"/>
          <w:sz w:val="18"/>
          <w:szCs w:val="18"/>
        </w:rPr>
        <w:fldChar w:fldCharType="end"/>
      </w:r>
      <w:r w:rsidRPr="00511A72">
        <w:rPr>
          <w:rFonts w:ascii="Century" w:hAnsi="Century"/>
          <w:sz w:val="18"/>
          <w:szCs w:val="18"/>
        </w:rPr>
        <w:t>) 14.</w:t>
      </w:r>
    </w:p>
  </w:footnote>
  <w:footnote w:id="18">
    <w:p w14:paraId="30878B11" w14:textId="7CDE2B61" w:rsidR="00894A3B" w:rsidRPr="00511A72" w:rsidRDefault="00894A3B" w:rsidP="00511A72">
      <w:pPr>
        <w:autoSpaceDE w:val="0"/>
        <w:autoSpaceDN w:val="0"/>
        <w:adjustRightInd w:val="0"/>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D</w:t>
      </w:r>
      <w:r w:rsidR="00B231E7" w:rsidRPr="00511A72">
        <w:rPr>
          <w:rFonts w:ascii="Century" w:hAnsi="Century"/>
          <w:sz w:val="18"/>
          <w:szCs w:val="18"/>
        </w:rPr>
        <w:t>avid</w:t>
      </w:r>
      <w:r w:rsidRPr="00511A72">
        <w:rPr>
          <w:rFonts w:ascii="Century" w:hAnsi="Century"/>
          <w:sz w:val="18"/>
          <w:szCs w:val="18"/>
        </w:rPr>
        <w:t xml:space="preserve"> Kenny, ‘Proportionality and the Inevitability of the Local: A Comparative Localist Analysis of Canada and Ireland’, 66</w:t>
      </w:r>
      <w:r w:rsidR="00583CBA">
        <w:rPr>
          <w:rFonts w:ascii="Century" w:hAnsi="Century"/>
          <w:sz w:val="18"/>
          <w:szCs w:val="18"/>
        </w:rPr>
        <w:t xml:space="preserve"> (2018)</w:t>
      </w:r>
      <w:r w:rsidRPr="00511A72">
        <w:rPr>
          <w:rFonts w:ascii="Century" w:hAnsi="Century"/>
          <w:sz w:val="18"/>
          <w:szCs w:val="18"/>
        </w:rPr>
        <w:t xml:space="preserve"> American Journal of Comparative Law 563-564</w:t>
      </w:r>
      <w:r w:rsidR="00803241" w:rsidRPr="00511A72">
        <w:rPr>
          <w:rFonts w:ascii="Century" w:hAnsi="Century"/>
          <w:sz w:val="18"/>
          <w:szCs w:val="18"/>
        </w:rPr>
        <w:t xml:space="preserve">; see Rachael Walsh, ‘The Constitution, Property Rights and Proportionality: A Reappraisal’ (2009) 31 </w:t>
      </w:r>
      <w:r w:rsidR="00583CBA">
        <w:rPr>
          <w:rFonts w:ascii="Century" w:hAnsi="Century"/>
          <w:iCs/>
          <w:sz w:val="18"/>
          <w:szCs w:val="18"/>
        </w:rPr>
        <w:t>Dublin University Law Journal</w:t>
      </w:r>
      <w:r w:rsidR="00803241" w:rsidRPr="00511A72">
        <w:rPr>
          <w:rFonts w:ascii="Century" w:hAnsi="Century"/>
          <w:i/>
          <w:sz w:val="18"/>
          <w:szCs w:val="18"/>
        </w:rPr>
        <w:t xml:space="preserve"> </w:t>
      </w:r>
      <w:r w:rsidR="00803241" w:rsidRPr="00511A72">
        <w:rPr>
          <w:rFonts w:ascii="Century" w:hAnsi="Century"/>
          <w:sz w:val="18"/>
          <w:szCs w:val="18"/>
        </w:rPr>
        <w:t>1.</w:t>
      </w:r>
    </w:p>
  </w:footnote>
  <w:footnote w:id="19">
    <w:p w14:paraId="45C9AA97" w14:textId="4070D502" w:rsidR="00600438" w:rsidRPr="00511A72" w:rsidRDefault="00600438" w:rsidP="00511A72">
      <w:pPr>
        <w:pStyle w:val="FootnoteText"/>
        <w:jc w:val="both"/>
        <w:rPr>
          <w:rFonts w:ascii="Century" w:hAnsi="Century" w:cs="Times New Roman"/>
          <w:sz w:val="18"/>
          <w:szCs w:val="18"/>
        </w:rPr>
      </w:pPr>
      <w:r w:rsidRPr="00511A72">
        <w:rPr>
          <w:rStyle w:val="FootnoteReference"/>
          <w:rFonts w:ascii="Century" w:hAnsi="Century" w:cs="Times New Roman"/>
          <w:sz w:val="18"/>
          <w:szCs w:val="18"/>
        </w:rPr>
        <w:footnoteRef/>
      </w:r>
      <w:r w:rsidRPr="00511A72">
        <w:rPr>
          <w:rFonts w:ascii="Century" w:hAnsi="Century" w:cs="Times New Roman"/>
          <w:sz w:val="18"/>
          <w:szCs w:val="18"/>
        </w:rPr>
        <w:t xml:space="preserve"> Rachael Walsh, </w:t>
      </w:r>
      <w:r w:rsidRPr="00511A72">
        <w:rPr>
          <w:rFonts w:ascii="Century" w:hAnsi="Century" w:cs="Times New Roman"/>
          <w:i/>
          <w:iCs/>
          <w:sz w:val="18"/>
          <w:szCs w:val="18"/>
        </w:rPr>
        <w:t xml:space="preserve">Property Rights and Social Justice: Progressive Property in Action </w:t>
      </w:r>
      <w:r w:rsidRPr="00511A72">
        <w:rPr>
          <w:rFonts w:ascii="Century" w:hAnsi="Century" w:cs="Times New Roman"/>
          <w:sz w:val="18"/>
          <w:szCs w:val="18"/>
        </w:rPr>
        <w:t>(Cambridge University Press 2021) 14.</w:t>
      </w:r>
    </w:p>
  </w:footnote>
  <w:footnote w:id="20">
    <w:p w14:paraId="5CC332E4" w14:textId="5E5A6CE8" w:rsidR="00172AE3" w:rsidRPr="00511A72" w:rsidRDefault="00172AE3"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t>
      </w:r>
      <w:r w:rsidR="00821EE3">
        <w:rPr>
          <w:rFonts w:ascii="Century" w:hAnsi="Century"/>
          <w:sz w:val="18"/>
          <w:szCs w:val="18"/>
        </w:rPr>
        <w:t>i</w:t>
      </w:r>
      <w:r w:rsidRPr="00511A72">
        <w:rPr>
          <w:rFonts w:ascii="Century" w:hAnsi="Century"/>
          <w:sz w:val="18"/>
          <w:szCs w:val="18"/>
        </w:rPr>
        <w:t xml:space="preserve">d. </w:t>
      </w:r>
    </w:p>
  </w:footnote>
  <w:footnote w:id="21">
    <w:p w14:paraId="6B52532F" w14:textId="0C715672" w:rsidR="00ED5248" w:rsidRPr="00511A72" w:rsidRDefault="00ED5248" w:rsidP="00511A72">
      <w:pPr>
        <w:jc w:val="both"/>
        <w:rPr>
          <w:rFonts w:ascii="Century" w:hAnsi="Century"/>
          <w:b/>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Rachael Walsh, ‘Constitutional Property Rights – Setting Parameters for Responses to the Housing Crisis: Written Submissions to Housing Commission’ (May 2022).</w:t>
      </w:r>
    </w:p>
  </w:footnote>
  <w:footnote w:id="22">
    <w:p w14:paraId="5D929916" w14:textId="1B02A6D1" w:rsidR="006D4043" w:rsidRPr="00511A72" w:rsidRDefault="006D4043"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t>
      </w:r>
      <w:r w:rsidRPr="00511A72">
        <w:rPr>
          <w:rFonts w:ascii="Century" w:hAnsi="Century"/>
          <w:i/>
          <w:iCs/>
          <w:sz w:val="18"/>
          <w:szCs w:val="18"/>
        </w:rPr>
        <w:t>Kelly: The Irish Constitution</w:t>
      </w:r>
      <w:r w:rsidRPr="00511A72">
        <w:rPr>
          <w:rFonts w:ascii="Century" w:hAnsi="Century"/>
          <w:sz w:val="18"/>
          <w:szCs w:val="18"/>
        </w:rPr>
        <w:t xml:space="preserve"> (Bloomsbury 2018)</w:t>
      </w:r>
      <w:r w:rsidR="00AF5CEC" w:rsidRPr="00511A72">
        <w:rPr>
          <w:rFonts w:ascii="Century" w:hAnsi="Century"/>
          <w:sz w:val="18"/>
          <w:szCs w:val="18"/>
        </w:rPr>
        <w:t>.</w:t>
      </w:r>
      <w:r w:rsidRPr="00511A72">
        <w:rPr>
          <w:rFonts w:ascii="Century" w:hAnsi="Century"/>
          <w:sz w:val="18"/>
          <w:szCs w:val="18"/>
        </w:rPr>
        <w:t xml:space="preserve"> Including Professors Rachael Walsh, David Kenny, Gerry </w:t>
      </w:r>
      <w:proofErr w:type="gramStart"/>
      <w:r w:rsidRPr="00511A72">
        <w:rPr>
          <w:rFonts w:ascii="Century" w:hAnsi="Century"/>
          <w:sz w:val="18"/>
          <w:szCs w:val="18"/>
        </w:rPr>
        <w:t>Whyte</w:t>
      </w:r>
      <w:proofErr w:type="gramEnd"/>
      <w:r w:rsidRPr="00511A72">
        <w:rPr>
          <w:rFonts w:ascii="Century" w:hAnsi="Century"/>
          <w:sz w:val="18"/>
          <w:szCs w:val="18"/>
        </w:rPr>
        <w:t xml:space="preserve"> and Judge Gerard Hogan.</w:t>
      </w:r>
    </w:p>
  </w:footnote>
  <w:footnote w:id="23">
    <w:p w14:paraId="49663678" w14:textId="3F205B8C" w:rsidR="00D207FF" w:rsidRPr="00511A72" w:rsidRDefault="00D207FF"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t>
      </w:r>
      <w:r w:rsidR="00AF5CEC" w:rsidRPr="00511A72">
        <w:rPr>
          <w:rFonts w:ascii="Century" w:hAnsi="Century"/>
          <w:sz w:val="18"/>
          <w:szCs w:val="18"/>
        </w:rPr>
        <w:t xml:space="preserve">id., </w:t>
      </w:r>
      <w:r w:rsidRPr="00511A72">
        <w:rPr>
          <w:rFonts w:ascii="Century" w:hAnsi="Century" w:cs="Times New Roman"/>
          <w:sz w:val="18"/>
          <w:szCs w:val="18"/>
        </w:rPr>
        <w:t>xvii.</w:t>
      </w:r>
    </w:p>
  </w:footnote>
  <w:footnote w:id="24">
    <w:p w14:paraId="0F5AF240" w14:textId="745EBD4F" w:rsidR="00193AF4" w:rsidRPr="00511A72" w:rsidRDefault="00193AF4" w:rsidP="00511A72">
      <w:pPr>
        <w:pStyle w:val="FootnoteText"/>
        <w:jc w:val="both"/>
        <w:rPr>
          <w:rFonts w:ascii="Century" w:hAnsi="Century"/>
          <w:color w:val="000000" w:themeColor="text1"/>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Hogan and Keyes note how the “manner in which constitutional property rights have been debated and discussed by those in Government over the past decade suggests that the Constitution and the courts prohibits radical State intervention in the housing market.”</w:t>
      </w:r>
      <w:r w:rsidR="003248DA" w:rsidRPr="00511A72">
        <w:rPr>
          <w:rFonts w:ascii="Century" w:hAnsi="Century"/>
          <w:sz w:val="18"/>
          <w:szCs w:val="18"/>
        </w:rPr>
        <w:t xml:space="preserve"> Hilary </w:t>
      </w:r>
      <w:r w:rsidR="003248DA" w:rsidRPr="00511A72">
        <w:rPr>
          <w:rFonts w:ascii="Century" w:hAnsi="Century"/>
          <w:color w:val="000000" w:themeColor="text1"/>
          <w:sz w:val="18"/>
          <w:szCs w:val="18"/>
        </w:rPr>
        <w:t xml:space="preserve">Hogan and Finn Keyes, The Housing </w:t>
      </w:r>
      <w:proofErr w:type="gramStart"/>
      <w:r w:rsidR="003248DA" w:rsidRPr="00511A72">
        <w:rPr>
          <w:rFonts w:ascii="Century" w:hAnsi="Century"/>
          <w:color w:val="000000" w:themeColor="text1"/>
          <w:sz w:val="18"/>
          <w:szCs w:val="18"/>
        </w:rPr>
        <w:t>Crisis</w:t>
      </w:r>
      <w:proofErr w:type="gramEnd"/>
      <w:r w:rsidR="003248DA" w:rsidRPr="00511A72">
        <w:rPr>
          <w:rFonts w:ascii="Century" w:hAnsi="Century"/>
          <w:color w:val="000000" w:themeColor="text1"/>
          <w:sz w:val="18"/>
          <w:szCs w:val="18"/>
        </w:rPr>
        <w:t xml:space="preserve"> and the Constitution (2021) 65 Irish Jurist </w:t>
      </w:r>
      <w:r w:rsidR="001428B2" w:rsidRPr="00511A72">
        <w:rPr>
          <w:rFonts w:ascii="Century" w:hAnsi="Century"/>
          <w:color w:val="000000" w:themeColor="text1"/>
          <w:sz w:val="18"/>
          <w:szCs w:val="18"/>
        </w:rPr>
        <w:t>87, 117.</w:t>
      </w:r>
    </w:p>
  </w:footnote>
  <w:footnote w:id="25">
    <w:p w14:paraId="3669E267" w14:textId="7953373D" w:rsidR="00250907" w:rsidRPr="00511A72" w:rsidRDefault="00250907" w:rsidP="00511A72">
      <w:pPr>
        <w:pStyle w:val="Heading1"/>
        <w:shd w:val="clear" w:color="auto" w:fill="FFFFFF"/>
        <w:spacing w:before="0" w:beforeAutospacing="0" w:after="75" w:afterAutospacing="0"/>
        <w:jc w:val="both"/>
        <w:rPr>
          <w:rFonts w:ascii="Century" w:hAnsi="Century"/>
          <w:b w:val="0"/>
          <w:bCs w:val="0"/>
          <w:color w:val="000000" w:themeColor="text1"/>
          <w:sz w:val="18"/>
          <w:szCs w:val="18"/>
        </w:rPr>
      </w:pPr>
      <w:r w:rsidRPr="00511A72">
        <w:rPr>
          <w:rStyle w:val="FootnoteReference"/>
          <w:rFonts w:ascii="Century" w:hAnsi="Century"/>
          <w:b w:val="0"/>
          <w:bCs w:val="0"/>
          <w:color w:val="000000" w:themeColor="text1"/>
          <w:sz w:val="18"/>
          <w:szCs w:val="18"/>
        </w:rPr>
        <w:footnoteRef/>
      </w:r>
      <w:r w:rsidRPr="00511A72">
        <w:rPr>
          <w:rFonts w:ascii="Century" w:hAnsi="Century"/>
          <w:b w:val="0"/>
          <w:bCs w:val="0"/>
          <w:color w:val="000000" w:themeColor="text1"/>
          <w:sz w:val="18"/>
          <w:szCs w:val="18"/>
        </w:rPr>
        <w:t xml:space="preserve"> </w:t>
      </w:r>
      <w:r w:rsidR="001428B2" w:rsidRPr="00511A72">
        <w:rPr>
          <w:rFonts w:ascii="Century" w:hAnsi="Century"/>
          <w:b w:val="0"/>
          <w:bCs w:val="0"/>
          <w:color w:val="000000" w:themeColor="text1"/>
          <w:sz w:val="18"/>
          <w:szCs w:val="18"/>
        </w:rPr>
        <w:t xml:space="preserve">See </w:t>
      </w:r>
      <w:r w:rsidR="00583CBA" w:rsidRPr="00511A72">
        <w:rPr>
          <w:rFonts w:ascii="Century" w:hAnsi="Century"/>
          <w:b w:val="0"/>
          <w:bCs w:val="0"/>
          <w:color w:val="000000" w:themeColor="text1"/>
          <w:sz w:val="18"/>
          <w:szCs w:val="18"/>
        </w:rPr>
        <w:t>e.g.,</w:t>
      </w:r>
      <w:r w:rsidR="001428B2" w:rsidRPr="00511A72">
        <w:rPr>
          <w:rFonts w:ascii="Century" w:hAnsi="Century"/>
          <w:b w:val="0"/>
          <w:bCs w:val="0"/>
          <w:color w:val="000000" w:themeColor="text1"/>
          <w:sz w:val="18"/>
          <w:szCs w:val="18"/>
        </w:rPr>
        <w:t xml:space="preserve"> </w:t>
      </w:r>
      <w:r w:rsidR="001428B2" w:rsidRPr="00511A72">
        <w:rPr>
          <w:rFonts w:ascii="Century" w:hAnsi="Century"/>
          <w:b w:val="0"/>
          <w:bCs w:val="0"/>
          <w:color w:val="000000" w:themeColor="text1"/>
          <w:sz w:val="18"/>
          <w:szCs w:val="18"/>
          <w:shd w:val="clear" w:color="auto" w:fill="FFFFFF"/>
        </w:rPr>
        <w:t>Fergus Finlay, "We must change the Constitution if we want to end homelessness scandal", </w:t>
      </w:r>
      <w:r w:rsidR="001428B2" w:rsidRPr="00511A72">
        <w:rPr>
          <w:rStyle w:val="Emphasis"/>
          <w:rFonts w:ascii="Century" w:hAnsi="Century"/>
          <w:b w:val="0"/>
          <w:bCs w:val="0"/>
          <w:color w:val="000000" w:themeColor="text1"/>
          <w:sz w:val="18"/>
          <w:szCs w:val="18"/>
          <w:bdr w:val="none" w:sz="0" w:space="0" w:color="auto" w:frame="1"/>
          <w:shd w:val="clear" w:color="auto" w:fill="FFFFFF"/>
        </w:rPr>
        <w:t xml:space="preserve">Irish Examiner </w:t>
      </w:r>
      <w:r w:rsidR="001428B2" w:rsidRPr="00511A72">
        <w:rPr>
          <w:rStyle w:val="Emphasis"/>
          <w:rFonts w:ascii="Century" w:hAnsi="Century"/>
          <w:b w:val="0"/>
          <w:bCs w:val="0"/>
          <w:i w:val="0"/>
          <w:iCs w:val="0"/>
          <w:color w:val="000000" w:themeColor="text1"/>
          <w:sz w:val="18"/>
          <w:szCs w:val="18"/>
          <w:bdr w:val="none" w:sz="0" w:space="0" w:color="auto" w:frame="1"/>
          <w:shd w:val="clear" w:color="auto" w:fill="FFFFFF"/>
        </w:rPr>
        <w:t>(</w:t>
      </w:r>
      <w:r w:rsidR="001428B2" w:rsidRPr="00511A72">
        <w:rPr>
          <w:rFonts w:ascii="Century" w:hAnsi="Century"/>
          <w:b w:val="0"/>
          <w:bCs w:val="0"/>
          <w:color w:val="000000" w:themeColor="text1"/>
          <w:sz w:val="18"/>
          <w:szCs w:val="18"/>
          <w:shd w:val="clear" w:color="auto" w:fill="FFFFFF"/>
        </w:rPr>
        <w:t>27 January 2020); Liam Cahill,</w:t>
      </w:r>
      <w:r w:rsidR="001428B2" w:rsidRPr="00511A72">
        <w:rPr>
          <w:rFonts w:ascii="Century" w:hAnsi="Century"/>
          <w:color w:val="000000" w:themeColor="text1"/>
          <w:sz w:val="18"/>
          <w:szCs w:val="18"/>
          <w:shd w:val="clear" w:color="auto" w:fill="FFFFFF"/>
        </w:rPr>
        <w:t xml:space="preserve"> ‘</w:t>
      </w:r>
      <w:r w:rsidR="001428B2" w:rsidRPr="00511A72">
        <w:rPr>
          <w:rFonts w:ascii="Century" w:hAnsi="Century"/>
          <w:b w:val="0"/>
          <w:bCs w:val="0"/>
          <w:color w:val="000000" w:themeColor="text1"/>
          <w:sz w:val="18"/>
          <w:szCs w:val="18"/>
        </w:rPr>
        <w:t>To tackle homelessness we must amend the Constitution’ Irish Times (18 August 2017).</w:t>
      </w:r>
    </w:p>
  </w:footnote>
  <w:footnote w:id="26">
    <w:p w14:paraId="12201E8D" w14:textId="77777777" w:rsidR="00DF7539" w:rsidRPr="00511A72" w:rsidRDefault="00DF7539" w:rsidP="00DF7539">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Article 28.4.3.</w:t>
      </w:r>
    </w:p>
  </w:footnote>
  <w:footnote w:id="27">
    <w:p w14:paraId="68BE3E0F" w14:textId="6D54AD4A" w:rsidR="004E322F" w:rsidRPr="00511A72" w:rsidRDefault="004E322F"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Conor Casey &amp; David Kenny, </w:t>
      </w:r>
      <w:r w:rsidR="00B231E7" w:rsidRPr="00511A72">
        <w:rPr>
          <w:rFonts w:ascii="Century" w:hAnsi="Century"/>
          <w:sz w:val="18"/>
          <w:szCs w:val="18"/>
        </w:rPr>
        <w:t xml:space="preserve">(n </w:t>
      </w:r>
      <w:r w:rsidR="00B231E7" w:rsidRPr="00511A72">
        <w:rPr>
          <w:rFonts w:ascii="Century" w:hAnsi="Century"/>
          <w:sz w:val="18"/>
          <w:szCs w:val="18"/>
        </w:rPr>
        <w:fldChar w:fldCharType="begin"/>
      </w:r>
      <w:r w:rsidR="00B231E7" w:rsidRPr="00511A72">
        <w:rPr>
          <w:rFonts w:ascii="Century" w:hAnsi="Century"/>
          <w:sz w:val="18"/>
          <w:szCs w:val="18"/>
        </w:rPr>
        <w:instrText xml:space="preserve"> NOTEREF _Ref101614001 \h </w:instrText>
      </w:r>
      <w:r w:rsidR="00511A72" w:rsidRPr="00511A72">
        <w:rPr>
          <w:rFonts w:ascii="Century" w:hAnsi="Century"/>
          <w:sz w:val="18"/>
          <w:szCs w:val="18"/>
        </w:rPr>
        <w:instrText xml:space="preserve"> \* MERGEFORMAT </w:instrText>
      </w:r>
      <w:r w:rsidR="00B231E7" w:rsidRPr="00511A72">
        <w:rPr>
          <w:rFonts w:ascii="Century" w:hAnsi="Century"/>
          <w:sz w:val="18"/>
          <w:szCs w:val="18"/>
        </w:rPr>
      </w:r>
      <w:r w:rsidR="00B231E7" w:rsidRPr="00511A72">
        <w:rPr>
          <w:rFonts w:ascii="Century" w:hAnsi="Century"/>
          <w:sz w:val="18"/>
          <w:szCs w:val="18"/>
        </w:rPr>
        <w:fldChar w:fldCharType="separate"/>
      </w:r>
      <w:r w:rsidR="00583CBA">
        <w:rPr>
          <w:rFonts w:ascii="Century" w:hAnsi="Century"/>
          <w:sz w:val="18"/>
          <w:szCs w:val="18"/>
        </w:rPr>
        <w:t>5</w:t>
      </w:r>
      <w:r w:rsidR="00B231E7" w:rsidRPr="00511A72">
        <w:rPr>
          <w:rFonts w:ascii="Century" w:hAnsi="Century"/>
          <w:sz w:val="18"/>
          <w:szCs w:val="18"/>
        </w:rPr>
        <w:fldChar w:fldCharType="end"/>
      </w:r>
      <w:r w:rsidR="00B231E7" w:rsidRPr="00511A72">
        <w:rPr>
          <w:rFonts w:ascii="Century" w:hAnsi="Century"/>
          <w:sz w:val="18"/>
          <w:szCs w:val="18"/>
        </w:rPr>
        <w:t xml:space="preserve">) </w:t>
      </w:r>
      <w:r w:rsidR="003D1E94" w:rsidRPr="00511A72">
        <w:rPr>
          <w:rFonts w:ascii="Century" w:hAnsi="Century"/>
          <w:sz w:val="18"/>
          <w:szCs w:val="18"/>
        </w:rPr>
        <w:t>369.</w:t>
      </w:r>
    </w:p>
  </w:footnote>
  <w:footnote w:id="28">
    <w:p w14:paraId="5BE5BDA8" w14:textId="58F786CE" w:rsidR="00EC1473" w:rsidRPr="00511A72" w:rsidRDefault="00EC1473" w:rsidP="00511A72">
      <w:pPr>
        <w:autoSpaceDE w:val="0"/>
        <w:autoSpaceDN w:val="0"/>
        <w:adjustRightInd w:val="0"/>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E</w:t>
      </w:r>
      <w:r w:rsidR="0008416D" w:rsidRPr="00511A72">
        <w:rPr>
          <w:rFonts w:ascii="Century" w:hAnsi="Century"/>
          <w:sz w:val="18"/>
          <w:szCs w:val="18"/>
        </w:rPr>
        <w:t>oin</w:t>
      </w:r>
      <w:r w:rsidRPr="00511A72">
        <w:rPr>
          <w:rFonts w:ascii="Century" w:hAnsi="Century"/>
          <w:sz w:val="18"/>
          <w:szCs w:val="18"/>
        </w:rPr>
        <w:t xml:space="preserve"> Carolan, ‘The Constitution, politics and public policy’, in D</w:t>
      </w:r>
      <w:r w:rsidR="00D60DB3">
        <w:rPr>
          <w:rFonts w:ascii="Century" w:hAnsi="Century"/>
          <w:sz w:val="18"/>
          <w:szCs w:val="18"/>
        </w:rPr>
        <w:t>avid</w:t>
      </w:r>
      <w:r w:rsidRPr="00511A72">
        <w:rPr>
          <w:rFonts w:ascii="Century" w:hAnsi="Century"/>
          <w:sz w:val="18"/>
          <w:szCs w:val="18"/>
        </w:rPr>
        <w:t xml:space="preserve"> Farrell and N</w:t>
      </w:r>
      <w:r w:rsidR="00D60DB3">
        <w:rPr>
          <w:rFonts w:ascii="Century" w:hAnsi="Century"/>
          <w:sz w:val="18"/>
          <w:szCs w:val="18"/>
        </w:rPr>
        <w:t>iamh</w:t>
      </w:r>
      <w:r w:rsidRPr="00511A72">
        <w:rPr>
          <w:rFonts w:ascii="Century" w:hAnsi="Century"/>
          <w:sz w:val="18"/>
          <w:szCs w:val="18"/>
        </w:rPr>
        <w:t xml:space="preserve"> Hardiman (eds.), </w:t>
      </w:r>
      <w:r w:rsidRPr="00D60DB3">
        <w:rPr>
          <w:rFonts w:ascii="Century" w:hAnsi="Century"/>
          <w:i/>
          <w:iCs/>
          <w:sz w:val="18"/>
          <w:szCs w:val="18"/>
        </w:rPr>
        <w:t>Oxford Handbook of Irish Politics</w:t>
      </w:r>
      <w:r w:rsidRPr="00511A72">
        <w:rPr>
          <w:rFonts w:ascii="Century" w:hAnsi="Century"/>
          <w:sz w:val="18"/>
          <w:szCs w:val="18"/>
        </w:rPr>
        <w:t xml:space="preserve"> (Oxford University Press 2020)</w:t>
      </w:r>
      <w:r w:rsidR="0008416D" w:rsidRPr="00511A72">
        <w:rPr>
          <w:rFonts w:ascii="Century" w:hAnsi="Century"/>
          <w:sz w:val="18"/>
          <w:szCs w:val="18"/>
        </w:rPr>
        <w:t xml:space="preserve"> 236.</w:t>
      </w:r>
    </w:p>
  </w:footnote>
  <w:footnote w:id="29">
    <w:p w14:paraId="12D8E7D4" w14:textId="23C288CF" w:rsidR="0008416D" w:rsidRPr="00511A72" w:rsidRDefault="0008416D"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t>
      </w:r>
      <w:r w:rsidR="0005349F" w:rsidRPr="00511A72">
        <w:rPr>
          <w:rFonts w:ascii="Century" w:hAnsi="Century"/>
          <w:sz w:val="18"/>
          <w:szCs w:val="18"/>
        </w:rPr>
        <w:t>i</w:t>
      </w:r>
      <w:r w:rsidRPr="00511A72">
        <w:rPr>
          <w:rFonts w:ascii="Century" w:hAnsi="Century"/>
          <w:sz w:val="18"/>
          <w:szCs w:val="18"/>
        </w:rPr>
        <w:t xml:space="preserve">d., </w:t>
      </w:r>
      <w:r w:rsidR="001A2A21" w:rsidRPr="00511A72">
        <w:rPr>
          <w:rFonts w:ascii="Century" w:hAnsi="Century"/>
          <w:sz w:val="18"/>
          <w:szCs w:val="18"/>
        </w:rPr>
        <w:t>239.</w:t>
      </w:r>
    </w:p>
  </w:footnote>
  <w:footnote w:id="30">
    <w:p w14:paraId="5E5937BD" w14:textId="0F764B63" w:rsidR="001A2A21" w:rsidRPr="00511A72" w:rsidRDefault="001A2A21"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t>
      </w:r>
      <w:r w:rsidR="004515A4" w:rsidRPr="00511A72">
        <w:rPr>
          <w:rFonts w:ascii="Century" w:hAnsi="Century"/>
          <w:sz w:val="18"/>
          <w:szCs w:val="18"/>
        </w:rPr>
        <w:t xml:space="preserve">See </w:t>
      </w:r>
      <w:r w:rsidR="0005349F" w:rsidRPr="00511A72">
        <w:rPr>
          <w:rFonts w:ascii="Century" w:hAnsi="Century"/>
          <w:sz w:val="18"/>
          <w:szCs w:val="18"/>
        </w:rPr>
        <w:t xml:space="preserve">Conor Casey &amp; David Kenny, ‘The Gate Keepers: Executive Lawyers and Executive Power in Comparative Perspective’ (Forthcoming 2022) International Journal of Constitutional Law. </w:t>
      </w:r>
    </w:p>
  </w:footnote>
  <w:footnote w:id="31">
    <w:p w14:paraId="7E72FE33" w14:textId="0C9EE9A5" w:rsidR="001A2A21" w:rsidRPr="00511A72" w:rsidRDefault="001A2A21" w:rsidP="00511A72">
      <w:pPr>
        <w:autoSpaceDE w:val="0"/>
        <w:autoSpaceDN w:val="0"/>
        <w:adjustRightInd w:val="0"/>
        <w:jc w:val="both"/>
        <w:rPr>
          <w:rFonts w:ascii="Century" w:eastAsiaTheme="minorHAnsi" w:hAnsi="Century"/>
          <w:sz w:val="18"/>
          <w:szCs w:val="18"/>
          <w:lang w:eastAsia="en-US"/>
        </w:rPr>
      </w:pPr>
      <w:r w:rsidRPr="00511A72">
        <w:rPr>
          <w:rStyle w:val="FootnoteReference"/>
          <w:rFonts w:ascii="Century" w:hAnsi="Century"/>
          <w:sz w:val="18"/>
          <w:szCs w:val="18"/>
        </w:rPr>
        <w:footnoteRef/>
      </w:r>
      <w:r w:rsidR="004515A4" w:rsidRPr="00511A72">
        <w:rPr>
          <w:rFonts w:ascii="Century" w:hAnsi="Century"/>
          <w:sz w:val="18"/>
          <w:szCs w:val="18"/>
        </w:rPr>
        <w:t xml:space="preserve"> Conor Casey &amp; David Kenny, ‘</w:t>
      </w:r>
      <w:r w:rsidR="004515A4" w:rsidRPr="00511A72">
        <w:rPr>
          <w:rFonts w:ascii="Century" w:eastAsiaTheme="minorHAnsi" w:hAnsi="Century"/>
          <w:sz w:val="18"/>
          <w:szCs w:val="18"/>
          <w:lang w:eastAsia="en-US"/>
        </w:rPr>
        <w:t>A One-Person Supreme Court? The Attorney General, Constitutional Advice to Government, and the Case for Transparency’ (2019) 42 Dublin University Law Journal 89,</w:t>
      </w:r>
      <w:r w:rsidRPr="00511A72">
        <w:rPr>
          <w:rFonts w:ascii="Century" w:hAnsi="Century"/>
          <w:sz w:val="18"/>
          <w:szCs w:val="18"/>
        </w:rPr>
        <w:t xml:space="preserve"> </w:t>
      </w:r>
      <w:r w:rsidR="004515A4" w:rsidRPr="00511A72">
        <w:rPr>
          <w:rFonts w:ascii="Century" w:hAnsi="Century"/>
          <w:sz w:val="18"/>
          <w:szCs w:val="18"/>
        </w:rPr>
        <w:t>96.</w:t>
      </w:r>
    </w:p>
  </w:footnote>
  <w:footnote w:id="32">
    <w:p w14:paraId="1D9F48C5" w14:textId="48BBC074" w:rsidR="00C21405" w:rsidRPr="00511A72" w:rsidRDefault="00C21405" w:rsidP="00511A72">
      <w:pPr>
        <w:autoSpaceDE w:val="0"/>
        <w:autoSpaceDN w:val="0"/>
        <w:adjustRightInd w:val="0"/>
        <w:jc w:val="both"/>
        <w:rPr>
          <w:rFonts w:ascii="Century" w:eastAsiaTheme="minorHAnsi" w:hAnsi="Century"/>
          <w:sz w:val="18"/>
          <w:szCs w:val="18"/>
          <w:lang w:eastAsia="en-US"/>
        </w:rPr>
      </w:pPr>
      <w:r w:rsidRPr="00511A72">
        <w:rPr>
          <w:rStyle w:val="FootnoteReference"/>
          <w:rFonts w:ascii="Century" w:hAnsi="Century"/>
          <w:sz w:val="18"/>
          <w:szCs w:val="18"/>
        </w:rPr>
        <w:footnoteRef/>
      </w:r>
      <w:r w:rsidRPr="00511A72">
        <w:rPr>
          <w:rFonts w:ascii="Century" w:hAnsi="Century"/>
          <w:sz w:val="18"/>
          <w:szCs w:val="18"/>
        </w:rPr>
        <w:t xml:space="preserve"> Conor Casey &amp; </w:t>
      </w:r>
      <w:r w:rsidR="00B231E7" w:rsidRPr="00511A72">
        <w:rPr>
          <w:rFonts w:ascii="Century" w:hAnsi="Century"/>
          <w:sz w:val="18"/>
          <w:szCs w:val="18"/>
        </w:rPr>
        <w:t>Eoin Daly</w:t>
      </w:r>
      <w:r w:rsidRPr="00511A72">
        <w:rPr>
          <w:rFonts w:ascii="Century" w:hAnsi="Century"/>
          <w:sz w:val="18"/>
          <w:szCs w:val="18"/>
        </w:rPr>
        <w:t>,</w:t>
      </w:r>
      <w:r w:rsidR="004515A4" w:rsidRPr="00511A72">
        <w:rPr>
          <w:rFonts w:ascii="Century" w:hAnsi="Century"/>
          <w:sz w:val="18"/>
          <w:szCs w:val="18"/>
        </w:rPr>
        <w:t xml:space="preserve"> ‘</w:t>
      </w:r>
      <w:r w:rsidR="004515A4" w:rsidRPr="00511A72">
        <w:rPr>
          <w:rFonts w:ascii="Century" w:eastAsiaTheme="minorHAnsi" w:hAnsi="Century"/>
          <w:sz w:val="18"/>
          <w:szCs w:val="18"/>
          <w:lang w:eastAsia="en-US"/>
        </w:rPr>
        <w:t>Political Constitutionalism under a Culture of Legalism: Case Studies from Ireland’ (2021) 17 European Constitutional Law Review 202,</w:t>
      </w:r>
      <w:r w:rsidR="00B231E7" w:rsidRPr="00511A72">
        <w:rPr>
          <w:rFonts w:ascii="Century" w:hAnsi="Century"/>
          <w:sz w:val="18"/>
          <w:szCs w:val="18"/>
        </w:rPr>
        <w:t xml:space="preserve"> 210.</w:t>
      </w:r>
      <w:r w:rsidRPr="00511A72">
        <w:rPr>
          <w:rFonts w:ascii="Century" w:hAnsi="Century"/>
          <w:sz w:val="18"/>
          <w:szCs w:val="18"/>
        </w:rPr>
        <w:t xml:space="preserve"> </w:t>
      </w:r>
    </w:p>
  </w:footnote>
  <w:footnote w:id="33">
    <w:p w14:paraId="25691DEF" w14:textId="74DC88D2" w:rsidR="00772CB0" w:rsidRPr="00511A72" w:rsidRDefault="00772CB0"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Casey &amp; Kenny (n </w:t>
      </w:r>
      <w:r w:rsidR="00B231E7" w:rsidRPr="00511A72">
        <w:rPr>
          <w:rFonts w:ascii="Century" w:hAnsi="Century"/>
          <w:sz w:val="18"/>
          <w:szCs w:val="18"/>
        </w:rPr>
        <w:fldChar w:fldCharType="begin"/>
      </w:r>
      <w:r w:rsidR="00B231E7" w:rsidRPr="00511A72">
        <w:rPr>
          <w:rFonts w:ascii="Century" w:hAnsi="Century"/>
          <w:sz w:val="18"/>
          <w:szCs w:val="18"/>
        </w:rPr>
        <w:instrText xml:space="preserve"> NOTEREF _Ref101614001 \h </w:instrText>
      </w:r>
      <w:r w:rsidR="00511A72" w:rsidRPr="00511A72">
        <w:rPr>
          <w:rFonts w:ascii="Century" w:hAnsi="Century"/>
          <w:sz w:val="18"/>
          <w:szCs w:val="18"/>
        </w:rPr>
        <w:instrText xml:space="preserve"> \* MERGEFORMAT </w:instrText>
      </w:r>
      <w:r w:rsidR="00B231E7" w:rsidRPr="00511A72">
        <w:rPr>
          <w:rFonts w:ascii="Century" w:hAnsi="Century"/>
          <w:sz w:val="18"/>
          <w:szCs w:val="18"/>
        </w:rPr>
      </w:r>
      <w:r w:rsidR="00B231E7" w:rsidRPr="00511A72">
        <w:rPr>
          <w:rFonts w:ascii="Century" w:hAnsi="Century"/>
          <w:sz w:val="18"/>
          <w:szCs w:val="18"/>
        </w:rPr>
        <w:fldChar w:fldCharType="separate"/>
      </w:r>
      <w:r w:rsidR="00583CBA">
        <w:rPr>
          <w:rFonts w:ascii="Century" w:hAnsi="Century"/>
          <w:sz w:val="18"/>
          <w:szCs w:val="18"/>
        </w:rPr>
        <w:t>5</w:t>
      </w:r>
      <w:r w:rsidR="00B231E7" w:rsidRPr="00511A72">
        <w:rPr>
          <w:rFonts w:ascii="Century" w:hAnsi="Century"/>
          <w:sz w:val="18"/>
          <w:szCs w:val="18"/>
        </w:rPr>
        <w:fldChar w:fldCharType="end"/>
      </w:r>
      <w:r w:rsidRPr="00511A72">
        <w:rPr>
          <w:rFonts w:ascii="Century" w:hAnsi="Century"/>
          <w:sz w:val="18"/>
          <w:szCs w:val="18"/>
        </w:rPr>
        <w:t xml:space="preserve">) </w:t>
      </w:r>
      <w:r w:rsidR="00B231E7" w:rsidRPr="00511A72">
        <w:rPr>
          <w:rFonts w:ascii="Century" w:hAnsi="Century"/>
          <w:sz w:val="18"/>
          <w:szCs w:val="18"/>
        </w:rPr>
        <w:t>3</w:t>
      </w:r>
      <w:r w:rsidRPr="00511A72">
        <w:rPr>
          <w:rFonts w:ascii="Century" w:hAnsi="Century"/>
          <w:sz w:val="18"/>
          <w:szCs w:val="18"/>
        </w:rPr>
        <w:t>69-371.</w:t>
      </w:r>
    </w:p>
  </w:footnote>
  <w:footnote w:id="34">
    <w:p w14:paraId="292850CB" w14:textId="6FB4FB63" w:rsidR="002C36CC" w:rsidRPr="00511A72" w:rsidRDefault="002C36CC" w:rsidP="00511A72">
      <w:pPr>
        <w:autoSpaceDE w:val="0"/>
        <w:autoSpaceDN w:val="0"/>
        <w:adjustRightInd w:val="0"/>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Kitty Holland, 'Kelly Says Constitution Blocked Attempts to Tackle Housing Crisis' The Irish Times (Dublin, 31 March 2016).</w:t>
      </w:r>
    </w:p>
  </w:footnote>
  <w:footnote w:id="35">
    <w:p w14:paraId="592B3D01" w14:textId="6BB4AB5C" w:rsidR="00C823BC" w:rsidRPr="00511A72" w:rsidRDefault="00C823BC"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t>
      </w:r>
      <w:r w:rsidR="004515A4" w:rsidRPr="00511A72">
        <w:rPr>
          <w:rFonts w:ascii="Century" w:hAnsi="Century"/>
          <w:sz w:val="18"/>
          <w:szCs w:val="18"/>
        </w:rPr>
        <w:t>i</w:t>
      </w:r>
      <w:r w:rsidRPr="00511A72">
        <w:rPr>
          <w:rFonts w:ascii="Century" w:hAnsi="Century"/>
          <w:sz w:val="18"/>
          <w:szCs w:val="18"/>
        </w:rPr>
        <w:t xml:space="preserve">d. </w:t>
      </w:r>
    </w:p>
  </w:footnote>
  <w:footnote w:id="36">
    <w:p w14:paraId="32603FA5" w14:textId="1E276DA1" w:rsidR="00C45B59" w:rsidRPr="00511A72" w:rsidRDefault="00C45B59"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Hogan and Keyes, </w:t>
      </w:r>
      <w:r w:rsidR="00BC2ECB" w:rsidRPr="00511A72">
        <w:rPr>
          <w:rFonts w:ascii="Century" w:hAnsi="Century"/>
          <w:sz w:val="18"/>
          <w:szCs w:val="18"/>
        </w:rPr>
        <w:t xml:space="preserve">(n </w:t>
      </w:r>
      <w:r w:rsidR="00BC2ECB" w:rsidRPr="00511A72">
        <w:rPr>
          <w:rFonts w:ascii="Century" w:hAnsi="Century"/>
          <w:sz w:val="18"/>
          <w:szCs w:val="18"/>
        </w:rPr>
        <w:fldChar w:fldCharType="begin"/>
      </w:r>
      <w:r w:rsidR="00BC2ECB" w:rsidRPr="00511A72">
        <w:rPr>
          <w:rFonts w:ascii="Century" w:hAnsi="Century"/>
          <w:sz w:val="18"/>
          <w:szCs w:val="18"/>
        </w:rPr>
        <w:instrText xml:space="preserve"> NOTEREF _Ref101613386 \h </w:instrText>
      </w:r>
      <w:r w:rsidR="00511A72" w:rsidRPr="00511A72">
        <w:rPr>
          <w:rFonts w:ascii="Century" w:hAnsi="Century"/>
          <w:sz w:val="18"/>
          <w:szCs w:val="18"/>
        </w:rPr>
        <w:instrText xml:space="preserve"> \* MERGEFORMAT </w:instrText>
      </w:r>
      <w:r w:rsidR="00BC2ECB" w:rsidRPr="00511A72">
        <w:rPr>
          <w:rFonts w:ascii="Century" w:hAnsi="Century"/>
          <w:sz w:val="18"/>
          <w:szCs w:val="18"/>
        </w:rPr>
      </w:r>
      <w:r w:rsidR="00BC2ECB" w:rsidRPr="00511A72">
        <w:rPr>
          <w:rFonts w:ascii="Century" w:hAnsi="Century"/>
          <w:sz w:val="18"/>
          <w:szCs w:val="18"/>
        </w:rPr>
        <w:fldChar w:fldCharType="separate"/>
      </w:r>
      <w:r w:rsidR="00583CBA">
        <w:rPr>
          <w:rFonts w:ascii="Century" w:hAnsi="Century"/>
          <w:sz w:val="18"/>
          <w:szCs w:val="18"/>
        </w:rPr>
        <w:t>24</w:t>
      </w:r>
      <w:r w:rsidR="00BC2ECB" w:rsidRPr="00511A72">
        <w:rPr>
          <w:rFonts w:ascii="Century" w:hAnsi="Century"/>
          <w:sz w:val="18"/>
          <w:szCs w:val="18"/>
        </w:rPr>
        <w:fldChar w:fldCharType="end"/>
      </w:r>
      <w:r w:rsidR="00BC2ECB" w:rsidRPr="00511A72">
        <w:rPr>
          <w:rFonts w:ascii="Century" w:hAnsi="Century"/>
          <w:sz w:val="18"/>
          <w:szCs w:val="18"/>
        </w:rPr>
        <w:t>).</w:t>
      </w:r>
    </w:p>
  </w:footnote>
  <w:footnote w:id="37">
    <w:p w14:paraId="6B323234" w14:textId="0B352730" w:rsidR="00C823BC" w:rsidRPr="00511A72" w:rsidRDefault="00C823BC"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Casey and Daly</w:t>
      </w:r>
      <w:r w:rsidR="00BC2ECB" w:rsidRPr="00511A72">
        <w:rPr>
          <w:rFonts w:ascii="Century" w:hAnsi="Century"/>
          <w:sz w:val="18"/>
          <w:szCs w:val="18"/>
        </w:rPr>
        <w:t xml:space="preserve">, (n </w:t>
      </w:r>
      <w:r w:rsidR="004515A4" w:rsidRPr="00511A72">
        <w:rPr>
          <w:rFonts w:ascii="Century" w:hAnsi="Century"/>
          <w:sz w:val="18"/>
          <w:szCs w:val="18"/>
        </w:rPr>
        <w:fldChar w:fldCharType="begin"/>
      </w:r>
      <w:r w:rsidR="004515A4" w:rsidRPr="00511A72">
        <w:rPr>
          <w:rFonts w:ascii="Century" w:hAnsi="Century"/>
          <w:sz w:val="18"/>
          <w:szCs w:val="18"/>
        </w:rPr>
        <w:instrText xml:space="preserve"> NOTEREF _Ref101639095 \h </w:instrText>
      </w:r>
      <w:r w:rsidR="00511A72" w:rsidRPr="00511A72">
        <w:rPr>
          <w:rFonts w:ascii="Century" w:hAnsi="Century"/>
          <w:sz w:val="18"/>
          <w:szCs w:val="18"/>
        </w:rPr>
        <w:instrText xml:space="preserve"> \* MERGEFORMAT </w:instrText>
      </w:r>
      <w:r w:rsidR="004515A4" w:rsidRPr="00511A72">
        <w:rPr>
          <w:rFonts w:ascii="Century" w:hAnsi="Century"/>
          <w:sz w:val="18"/>
          <w:szCs w:val="18"/>
        </w:rPr>
      </w:r>
      <w:r w:rsidR="004515A4" w:rsidRPr="00511A72">
        <w:rPr>
          <w:rFonts w:ascii="Century" w:hAnsi="Century"/>
          <w:sz w:val="18"/>
          <w:szCs w:val="18"/>
        </w:rPr>
        <w:fldChar w:fldCharType="separate"/>
      </w:r>
      <w:r w:rsidR="00583CBA">
        <w:rPr>
          <w:rFonts w:ascii="Century" w:hAnsi="Century"/>
          <w:sz w:val="18"/>
          <w:szCs w:val="18"/>
        </w:rPr>
        <w:t>32</w:t>
      </w:r>
      <w:r w:rsidR="004515A4" w:rsidRPr="00511A72">
        <w:rPr>
          <w:rFonts w:ascii="Century" w:hAnsi="Century"/>
          <w:sz w:val="18"/>
          <w:szCs w:val="18"/>
        </w:rPr>
        <w:fldChar w:fldCharType="end"/>
      </w:r>
      <w:r w:rsidR="00BC2ECB" w:rsidRPr="00511A72">
        <w:rPr>
          <w:rFonts w:ascii="Century" w:hAnsi="Century"/>
          <w:sz w:val="18"/>
          <w:szCs w:val="18"/>
        </w:rPr>
        <w:t>)</w:t>
      </w:r>
      <w:r w:rsidR="00B231E7" w:rsidRPr="00511A72">
        <w:rPr>
          <w:rFonts w:ascii="Century" w:hAnsi="Century"/>
          <w:sz w:val="18"/>
          <w:szCs w:val="18"/>
        </w:rPr>
        <w:t xml:space="preserve"> 210-211.</w:t>
      </w:r>
    </w:p>
  </w:footnote>
  <w:footnote w:id="38">
    <w:p w14:paraId="492BCCB4" w14:textId="0BAB1472" w:rsidR="00D42BD6" w:rsidRPr="00511A72" w:rsidRDefault="00D42BD6"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Carolan</w:t>
      </w:r>
      <w:r w:rsidR="001A2A21" w:rsidRPr="00511A72">
        <w:rPr>
          <w:rFonts w:ascii="Century" w:hAnsi="Century"/>
          <w:sz w:val="18"/>
          <w:szCs w:val="18"/>
        </w:rPr>
        <w:t xml:space="preserve"> (n </w:t>
      </w:r>
      <w:r w:rsidR="001A2A21" w:rsidRPr="00511A72">
        <w:rPr>
          <w:rFonts w:ascii="Century" w:hAnsi="Century"/>
          <w:sz w:val="18"/>
          <w:szCs w:val="18"/>
        </w:rPr>
        <w:fldChar w:fldCharType="begin"/>
      </w:r>
      <w:r w:rsidR="001A2A21" w:rsidRPr="00511A72">
        <w:rPr>
          <w:rFonts w:ascii="Century" w:hAnsi="Century"/>
          <w:sz w:val="18"/>
          <w:szCs w:val="18"/>
        </w:rPr>
        <w:instrText xml:space="preserve"> NOTEREF _Ref101613181 \h </w:instrText>
      </w:r>
      <w:r w:rsidR="008025B9" w:rsidRPr="00511A72">
        <w:rPr>
          <w:rFonts w:ascii="Century" w:hAnsi="Century"/>
          <w:sz w:val="18"/>
          <w:szCs w:val="18"/>
        </w:rPr>
        <w:instrText xml:space="preserve"> \* MERGEFORMAT </w:instrText>
      </w:r>
      <w:r w:rsidR="001A2A21" w:rsidRPr="00511A72">
        <w:rPr>
          <w:rFonts w:ascii="Century" w:hAnsi="Century"/>
          <w:sz w:val="18"/>
          <w:szCs w:val="18"/>
        </w:rPr>
      </w:r>
      <w:r w:rsidR="001A2A21" w:rsidRPr="00511A72">
        <w:rPr>
          <w:rFonts w:ascii="Century" w:hAnsi="Century"/>
          <w:sz w:val="18"/>
          <w:szCs w:val="18"/>
        </w:rPr>
        <w:fldChar w:fldCharType="separate"/>
      </w:r>
      <w:r w:rsidR="00583CBA">
        <w:rPr>
          <w:rFonts w:ascii="Century" w:hAnsi="Century"/>
          <w:sz w:val="18"/>
          <w:szCs w:val="18"/>
        </w:rPr>
        <w:t>28</w:t>
      </w:r>
      <w:r w:rsidR="001A2A21" w:rsidRPr="00511A72">
        <w:rPr>
          <w:rFonts w:ascii="Century" w:hAnsi="Century"/>
          <w:sz w:val="18"/>
          <w:szCs w:val="18"/>
        </w:rPr>
        <w:fldChar w:fldCharType="end"/>
      </w:r>
      <w:r w:rsidR="001A2A21" w:rsidRPr="00511A72">
        <w:rPr>
          <w:rFonts w:ascii="Century" w:hAnsi="Century"/>
          <w:sz w:val="18"/>
          <w:szCs w:val="18"/>
        </w:rPr>
        <w:t>) 241.</w:t>
      </w:r>
    </w:p>
  </w:footnote>
  <w:footnote w:id="39">
    <w:p w14:paraId="1B81865A" w14:textId="64676907" w:rsidR="00D42BD6" w:rsidRPr="00511A72" w:rsidRDefault="00D42BD6"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t>
      </w:r>
      <w:r w:rsidR="004515A4" w:rsidRPr="00511A72">
        <w:rPr>
          <w:rFonts w:ascii="Century" w:hAnsi="Century"/>
          <w:sz w:val="18"/>
          <w:szCs w:val="18"/>
        </w:rPr>
        <w:t>i</w:t>
      </w:r>
      <w:r w:rsidR="001A2A21" w:rsidRPr="00511A72">
        <w:rPr>
          <w:rFonts w:ascii="Century" w:hAnsi="Century"/>
          <w:sz w:val="18"/>
          <w:szCs w:val="18"/>
        </w:rPr>
        <w:t>d.</w:t>
      </w:r>
      <w:r w:rsidRPr="00511A72">
        <w:rPr>
          <w:rFonts w:ascii="Century" w:hAnsi="Century"/>
          <w:sz w:val="18"/>
          <w:szCs w:val="18"/>
        </w:rPr>
        <w:t xml:space="preserve"> </w:t>
      </w:r>
    </w:p>
  </w:footnote>
  <w:footnote w:id="40">
    <w:p w14:paraId="4004D648" w14:textId="45F7DF48" w:rsidR="00D42BD6" w:rsidRPr="00511A72" w:rsidRDefault="00D42BD6"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t>
      </w:r>
      <w:r w:rsidR="004515A4" w:rsidRPr="00511A72">
        <w:rPr>
          <w:rFonts w:ascii="Century" w:hAnsi="Century"/>
          <w:sz w:val="18"/>
          <w:szCs w:val="18"/>
        </w:rPr>
        <w:t xml:space="preserve">Casey and Daly, (n </w:t>
      </w:r>
      <w:r w:rsidR="004515A4" w:rsidRPr="00511A72">
        <w:rPr>
          <w:rFonts w:ascii="Century" w:hAnsi="Century"/>
          <w:sz w:val="18"/>
          <w:szCs w:val="18"/>
        </w:rPr>
        <w:fldChar w:fldCharType="begin"/>
      </w:r>
      <w:r w:rsidR="004515A4" w:rsidRPr="00511A72">
        <w:rPr>
          <w:rFonts w:ascii="Century" w:hAnsi="Century"/>
          <w:sz w:val="18"/>
          <w:szCs w:val="18"/>
        </w:rPr>
        <w:instrText xml:space="preserve"> NOTEREF _Ref101639095 \h </w:instrText>
      </w:r>
      <w:r w:rsidR="008025B9" w:rsidRPr="00511A72">
        <w:rPr>
          <w:rFonts w:ascii="Century" w:hAnsi="Century"/>
          <w:sz w:val="18"/>
          <w:szCs w:val="18"/>
        </w:rPr>
        <w:instrText xml:space="preserve"> \* MERGEFORMAT </w:instrText>
      </w:r>
      <w:r w:rsidR="004515A4" w:rsidRPr="00511A72">
        <w:rPr>
          <w:rFonts w:ascii="Century" w:hAnsi="Century"/>
          <w:sz w:val="18"/>
          <w:szCs w:val="18"/>
        </w:rPr>
      </w:r>
      <w:r w:rsidR="004515A4" w:rsidRPr="00511A72">
        <w:rPr>
          <w:rFonts w:ascii="Century" w:hAnsi="Century"/>
          <w:sz w:val="18"/>
          <w:szCs w:val="18"/>
        </w:rPr>
        <w:fldChar w:fldCharType="separate"/>
      </w:r>
      <w:r w:rsidR="00583CBA">
        <w:rPr>
          <w:rFonts w:ascii="Century" w:hAnsi="Century"/>
          <w:sz w:val="18"/>
          <w:szCs w:val="18"/>
        </w:rPr>
        <w:t>32</w:t>
      </w:r>
      <w:r w:rsidR="004515A4" w:rsidRPr="00511A72">
        <w:rPr>
          <w:rFonts w:ascii="Century" w:hAnsi="Century"/>
          <w:sz w:val="18"/>
          <w:szCs w:val="18"/>
        </w:rPr>
        <w:fldChar w:fldCharType="end"/>
      </w:r>
      <w:r w:rsidR="004515A4" w:rsidRPr="00511A72">
        <w:rPr>
          <w:rFonts w:ascii="Century" w:hAnsi="Century"/>
          <w:sz w:val="18"/>
          <w:szCs w:val="18"/>
        </w:rPr>
        <w:t xml:space="preserve">) </w:t>
      </w:r>
      <w:r w:rsidR="00B231E7" w:rsidRPr="00511A72">
        <w:rPr>
          <w:rFonts w:ascii="Century" w:hAnsi="Century"/>
          <w:sz w:val="18"/>
          <w:szCs w:val="18"/>
        </w:rPr>
        <w:t>223.</w:t>
      </w:r>
    </w:p>
  </w:footnote>
  <w:footnote w:id="41">
    <w:p w14:paraId="651645C0" w14:textId="1514765F" w:rsidR="000316CD" w:rsidRPr="00511A72" w:rsidRDefault="000316CD" w:rsidP="00511A72">
      <w:pPr>
        <w:pStyle w:val="Heading1"/>
        <w:spacing w:before="0" w:beforeAutospacing="0" w:after="0" w:afterAutospacing="0"/>
        <w:jc w:val="both"/>
        <w:rPr>
          <w:rFonts w:ascii="Century" w:hAnsi="Century"/>
          <w:b w:val="0"/>
          <w:bCs w:val="0"/>
          <w:color w:val="222222"/>
          <w:sz w:val="18"/>
          <w:szCs w:val="18"/>
        </w:rPr>
      </w:pPr>
      <w:r w:rsidRPr="00511A72">
        <w:rPr>
          <w:rStyle w:val="FootnoteReference"/>
          <w:rFonts w:ascii="Century" w:hAnsi="Century"/>
          <w:b w:val="0"/>
          <w:bCs w:val="0"/>
          <w:sz w:val="18"/>
          <w:szCs w:val="18"/>
        </w:rPr>
        <w:footnoteRef/>
      </w:r>
      <w:r w:rsidRPr="00511A72">
        <w:rPr>
          <w:rFonts w:ascii="Century" w:hAnsi="Century"/>
          <w:b w:val="0"/>
          <w:bCs w:val="0"/>
          <w:sz w:val="18"/>
          <w:szCs w:val="18"/>
        </w:rPr>
        <w:t xml:space="preserve"> </w:t>
      </w:r>
      <w:r w:rsidR="008025B9" w:rsidRPr="00511A72">
        <w:rPr>
          <w:rFonts w:ascii="Century" w:hAnsi="Century"/>
          <w:b w:val="0"/>
          <w:bCs w:val="0"/>
          <w:sz w:val="18"/>
          <w:szCs w:val="18"/>
        </w:rPr>
        <w:t>Conor Casey &amp; John Larkin, ‘</w:t>
      </w:r>
      <w:r w:rsidR="008025B9" w:rsidRPr="00511A72">
        <w:rPr>
          <w:rFonts w:ascii="Century" w:hAnsi="Century"/>
          <w:b w:val="0"/>
          <w:bCs w:val="0"/>
          <w:color w:val="222222"/>
          <w:sz w:val="18"/>
          <w:szCs w:val="18"/>
        </w:rPr>
        <w:t xml:space="preserve">The Attorney General and Renewed Controversy Over the Law/Politics Divide’ (Forthcoming 2022) 2 Edinburgh Law Review. </w:t>
      </w:r>
    </w:p>
  </w:footnote>
  <w:footnote w:id="42">
    <w:p w14:paraId="06E1F234" w14:textId="4578B398" w:rsidR="008E12BE" w:rsidRPr="00511A72" w:rsidRDefault="008E12BE" w:rsidP="00511A72">
      <w:pPr>
        <w:pStyle w:val="FootnoteText"/>
        <w:jc w:val="both"/>
        <w:rPr>
          <w:rFonts w:ascii="Century" w:hAnsi="Century"/>
          <w:sz w:val="18"/>
          <w:szCs w:val="18"/>
        </w:rPr>
      </w:pPr>
      <w:r w:rsidRPr="00511A72">
        <w:rPr>
          <w:rStyle w:val="FootnoteReference"/>
          <w:rFonts w:ascii="Century" w:hAnsi="Century"/>
          <w:sz w:val="18"/>
          <w:szCs w:val="18"/>
        </w:rPr>
        <w:footnoteRef/>
      </w:r>
      <w:r w:rsidRPr="00511A72">
        <w:rPr>
          <w:rFonts w:ascii="Century" w:hAnsi="Century"/>
          <w:sz w:val="18"/>
          <w:szCs w:val="18"/>
        </w:rPr>
        <w:t xml:space="preserve"> Walsh </w:t>
      </w:r>
      <w:r w:rsidR="00B231E7" w:rsidRPr="00511A72">
        <w:rPr>
          <w:rFonts w:ascii="Century" w:hAnsi="Century"/>
          <w:sz w:val="18"/>
          <w:szCs w:val="18"/>
        </w:rPr>
        <w:t xml:space="preserve">(n </w:t>
      </w:r>
      <w:r w:rsidR="00B231E7" w:rsidRPr="00511A72">
        <w:rPr>
          <w:rFonts w:ascii="Century" w:hAnsi="Century"/>
          <w:sz w:val="18"/>
          <w:szCs w:val="18"/>
        </w:rPr>
        <w:fldChar w:fldCharType="begin"/>
      </w:r>
      <w:r w:rsidR="00B231E7" w:rsidRPr="00511A72">
        <w:rPr>
          <w:rFonts w:ascii="Century" w:hAnsi="Century"/>
          <w:sz w:val="18"/>
          <w:szCs w:val="18"/>
        </w:rPr>
        <w:instrText xml:space="preserve"> NOTEREF _Ref101609462 \h </w:instrText>
      </w:r>
      <w:r w:rsidR="00511A72" w:rsidRPr="00511A72">
        <w:rPr>
          <w:rFonts w:ascii="Century" w:hAnsi="Century"/>
          <w:sz w:val="18"/>
          <w:szCs w:val="18"/>
        </w:rPr>
        <w:instrText xml:space="preserve"> \* MERGEFORMAT </w:instrText>
      </w:r>
      <w:r w:rsidR="00B231E7" w:rsidRPr="00511A72">
        <w:rPr>
          <w:rFonts w:ascii="Century" w:hAnsi="Century"/>
          <w:sz w:val="18"/>
          <w:szCs w:val="18"/>
        </w:rPr>
      </w:r>
      <w:r w:rsidR="00B231E7" w:rsidRPr="00511A72">
        <w:rPr>
          <w:rFonts w:ascii="Century" w:hAnsi="Century"/>
          <w:sz w:val="18"/>
          <w:szCs w:val="18"/>
        </w:rPr>
        <w:fldChar w:fldCharType="separate"/>
      </w:r>
      <w:r w:rsidR="00583CBA">
        <w:rPr>
          <w:rFonts w:ascii="Century" w:hAnsi="Century"/>
          <w:sz w:val="18"/>
          <w:szCs w:val="18"/>
        </w:rPr>
        <w:t>11</w:t>
      </w:r>
      <w:r w:rsidR="00B231E7" w:rsidRPr="00511A72">
        <w:rPr>
          <w:rFonts w:ascii="Century" w:hAnsi="Century"/>
          <w:sz w:val="18"/>
          <w:szCs w:val="18"/>
        </w:rPr>
        <w:fldChar w:fldCharType="end"/>
      </w:r>
      <w:r w:rsidR="00B231E7" w:rsidRPr="00511A72">
        <w:rPr>
          <w:rFonts w:ascii="Century" w:hAnsi="Century"/>
          <w:sz w:val="18"/>
          <w:szCs w:val="18"/>
        </w:rPr>
        <w:t xml:space="preserve">) </w:t>
      </w:r>
      <w:r w:rsidRPr="00511A72">
        <w:rPr>
          <w:rFonts w:ascii="Century" w:hAnsi="Century"/>
          <w:sz w:val="18"/>
          <w:szCs w:val="18"/>
        </w:rPr>
        <w:t xml:space="preserve">244-245. </w:t>
      </w:r>
    </w:p>
  </w:footnote>
  <w:footnote w:id="43">
    <w:p w14:paraId="053CD836" w14:textId="74484AD6" w:rsidR="00581763" w:rsidRDefault="00581763" w:rsidP="00511A72">
      <w:pPr>
        <w:pStyle w:val="FootnoteText"/>
        <w:jc w:val="both"/>
      </w:pPr>
      <w:r w:rsidRPr="00511A72">
        <w:rPr>
          <w:rStyle w:val="FootnoteReference"/>
          <w:rFonts w:ascii="Century" w:hAnsi="Century"/>
          <w:sz w:val="18"/>
          <w:szCs w:val="18"/>
        </w:rPr>
        <w:footnoteRef/>
      </w:r>
      <w:r w:rsidRPr="00511A72">
        <w:rPr>
          <w:rFonts w:ascii="Century" w:hAnsi="Century"/>
          <w:sz w:val="18"/>
          <w:szCs w:val="18"/>
        </w:rPr>
        <w:t xml:space="preserve"> Walsh (n </w:t>
      </w:r>
      <w:r w:rsidRPr="00511A72">
        <w:rPr>
          <w:rFonts w:ascii="Century" w:hAnsi="Century"/>
          <w:sz w:val="18"/>
          <w:szCs w:val="18"/>
        </w:rPr>
        <w:fldChar w:fldCharType="begin"/>
      </w:r>
      <w:r w:rsidRPr="00511A72">
        <w:rPr>
          <w:rFonts w:ascii="Century" w:hAnsi="Century"/>
          <w:sz w:val="18"/>
          <w:szCs w:val="18"/>
        </w:rPr>
        <w:instrText xml:space="preserve"> NOTEREF _Ref101639355 \h </w:instrText>
      </w:r>
      <w:r w:rsidR="00511A72" w:rsidRPr="00511A72">
        <w:rPr>
          <w:rFonts w:ascii="Century" w:hAnsi="Century"/>
          <w:sz w:val="18"/>
          <w:szCs w:val="18"/>
        </w:rPr>
        <w:instrText xml:space="preserve"> \* MERGEFORMAT </w:instrText>
      </w:r>
      <w:r w:rsidRPr="00511A72">
        <w:rPr>
          <w:rFonts w:ascii="Century" w:hAnsi="Century"/>
          <w:sz w:val="18"/>
          <w:szCs w:val="18"/>
        </w:rPr>
      </w:r>
      <w:r w:rsidRPr="00511A72">
        <w:rPr>
          <w:rFonts w:ascii="Century" w:hAnsi="Century"/>
          <w:sz w:val="18"/>
          <w:szCs w:val="18"/>
        </w:rPr>
        <w:fldChar w:fldCharType="separate"/>
      </w:r>
      <w:r w:rsidR="00583CBA">
        <w:rPr>
          <w:rFonts w:ascii="Century" w:hAnsi="Century"/>
          <w:sz w:val="18"/>
          <w:szCs w:val="18"/>
        </w:rPr>
        <w:t>21</w:t>
      </w:r>
      <w:r w:rsidRPr="00511A72">
        <w:rPr>
          <w:rFonts w:ascii="Century" w:hAnsi="Century"/>
          <w:sz w:val="18"/>
          <w:szCs w:val="18"/>
        </w:rPr>
        <w:fldChar w:fldCharType="end"/>
      </w:r>
      <w:r w:rsidRPr="00511A72">
        <w:rPr>
          <w:rFonts w:ascii="Century" w:hAnsi="Century"/>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3FDA"/>
    <w:multiLevelType w:val="hybridMultilevel"/>
    <w:tmpl w:val="35544B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C91089"/>
    <w:multiLevelType w:val="hybridMultilevel"/>
    <w:tmpl w:val="84EA7BDE"/>
    <w:lvl w:ilvl="0" w:tplc="1EAAA4CA">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F91298"/>
    <w:multiLevelType w:val="hybridMultilevel"/>
    <w:tmpl w:val="6BFE5CEC"/>
    <w:lvl w:ilvl="0" w:tplc="57CCAA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3F1CC3"/>
    <w:multiLevelType w:val="hybridMultilevel"/>
    <w:tmpl w:val="35544B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580315"/>
    <w:multiLevelType w:val="hybridMultilevel"/>
    <w:tmpl w:val="5EF8AFEA"/>
    <w:lvl w:ilvl="0" w:tplc="3198E3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156738"/>
    <w:multiLevelType w:val="hybridMultilevel"/>
    <w:tmpl w:val="13EA4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5079F"/>
    <w:multiLevelType w:val="hybridMultilevel"/>
    <w:tmpl w:val="B2063F48"/>
    <w:lvl w:ilvl="0" w:tplc="3C04B46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6725AF"/>
    <w:multiLevelType w:val="hybridMultilevel"/>
    <w:tmpl w:val="1176520A"/>
    <w:lvl w:ilvl="0" w:tplc="FFFFFFFF">
      <w:start w:val="1"/>
      <w:numFmt w:val="lowerRoman"/>
      <w:lvlText w:val="(%1)"/>
      <w:lvlJc w:val="left"/>
      <w:pPr>
        <w:ind w:left="1080" w:hanging="720"/>
      </w:pPr>
      <w:rPr>
        <w:rFonts w:ascii="Arial" w:hAnsi="Arial" w:cs="Arial" w:hint="default"/>
        <w:i/>
        <w:color w:val="21212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87122F"/>
    <w:multiLevelType w:val="hybridMultilevel"/>
    <w:tmpl w:val="4BEE59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B483DCB"/>
    <w:multiLevelType w:val="hybridMultilevel"/>
    <w:tmpl w:val="3E9686DE"/>
    <w:lvl w:ilvl="0" w:tplc="5E54306C">
      <w:start w:val="1"/>
      <w:numFmt w:val="lowerRoman"/>
      <w:lvlText w:val="(%1)"/>
      <w:lvlJc w:val="left"/>
      <w:pPr>
        <w:ind w:left="1080" w:hanging="720"/>
      </w:pPr>
      <w:rPr>
        <w:rFonts w:ascii="Arial" w:hAnsi="Arial" w:cs="Arial" w:hint="default"/>
        <w:i w:val="0"/>
        <w:iCs/>
        <w:color w:val="21212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2556685">
    <w:abstractNumId w:val="6"/>
  </w:num>
  <w:num w:numId="2" w16cid:durableId="850264913">
    <w:abstractNumId w:val="1"/>
  </w:num>
  <w:num w:numId="3" w16cid:durableId="348533353">
    <w:abstractNumId w:val="9"/>
  </w:num>
  <w:num w:numId="4" w16cid:durableId="1734546845">
    <w:abstractNumId w:val="7"/>
  </w:num>
  <w:num w:numId="5" w16cid:durableId="174535228">
    <w:abstractNumId w:val="5"/>
  </w:num>
  <w:num w:numId="6" w16cid:durableId="242686195">
    <w:abstractNumId w:val="3"/>
  </w:num>
  <w:num w:numId="7" w16cid:durableId="100878877">
    <w:abstractNumId w:val="8"/>
  </w:num>
  <w:num w:numId="8" w16cid:durableId="1105225797">
    <w:abstractNumId w:val="0"/>
  </w:num>
  <w:num w:numId="9" w16cid:durableId="1092816393">
    <w:abstractNumId w:val="4"/>
  </w:num>
  <w:num w:numId="10" w16cid:durableId="68158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5A"/>
    <w:rsid w:val="0002337E"/>
    <w:rsid w:val="00025992"/>
    <w:rsid w:val="000316CD"/>
    <w:rsid w:val="0003706D"/>
    <w:rsid w:val="000447C6"/>
    <w:rsid w:val="0005349F"/>
    <w:rsid w:val="0008416D"/>
    <w:rsid w:val="00085648"/>
    <w:rsid w:val="0010005F"/>
    <w:rsid w:val="00102BEB"/>
    <w:rsid w:val="00104335"/>
    <w:rsid w:val="001075F4"/>
    <w:rsid w:val="00116478"/>
    <w:rsid w:val="00124785"/>
    <w:rsid w:val="001302C5"/>
    <w:rsid w:val="001428B2"/>
    <w:rsid w:val="00142A36"/>
    <w:rsid w:val="001568AD"/>
    <w:rsid w:val="001629CE"/>
    <w:rsid w:val="00172AE3"/>
    <w:rsid w:val="00175A17"/>
    <w:rsid w:val="00193AF4"/>
    <w:rsid w:val="001A065A"/>
    <w:rsid w:val="001A1CA8"/>
    <w:rsid w:val="001A2A21"/>
    <w:rsid w:val="001B4A38"/>
    <w:rsid w:val="001B79C5"/>
    <w:rsid w:val="001C5217"/>
    <w:rsid w:val="001D0B1D"/>
    <w:rsid w:val="001D0D25"/>
    <w:rsid w:val="001D3B70"/>
    <w:rsid w:val="001E17BC"/>
    <w:rsid w:val="001F437A"/>
    <w:rsid w:val="00203F68"/>
    <w:rsid w:val="002239E4"/>
    <w:rsid w:val="00224359"/>
    <w:rsid w:val="00233677"/>
    <w:rsid w:val="00250907"/>
    <w:rsid w:val="00251A13"/>
    <w:rsid w:val="00253906"/>
    <w:rsid w:val="002572E9"/>
    <w:rsid w:val="002715E3"/>
    <w:rsid w:val="0028161A"/>
    <w:rsid w:val="00285409"/>
    <w:rsid w:val="002901F7"/>
    <w:rsid w:val="002963BA"/>
    <w:rsid w:val="002B3322"/>
    <w:rsid w:val="002C36CC"/>
    <w:rsid w:val="002C77FA"/>
    <w:rsid w:val="002D5AA1"/>
    <w:rsid w:val="002E5B44"/>
    <w:rsid w:val="002F2200"/>
    <w:rsid w:val="002F6573"/>
    <w:rsid w:val="0030142F"/>
    <w:rsid w:val="00322C96"/>
    <w:rsid w:val="003248DA"/>
    <w:rsid w:val="003303D0"/>
    <w:rsid w:val="003537C2"/>
    <w:rsid w:val="003556E2"/>
    <w:rsid w:val="00366FB2"/>
    <w:rsid w:val="00381972"/>
    <w:rsid w:val="003852EE"/>
    <w:rsid w:val="003A4D4A"/>
    <w:rsid w:val="003D1E94"/>
    <w:rsid w:val="00404485"/>
    <w:rsid w:val="00405AA5"/>
    <w:rsid w:val="004364C0"/>
    <w:rsid w:val="004515A4"/>
    <w:rsid w:val="00452411"/>
    <w:rsid w:val="00452D36"/>
    <w:rsid w:val="004632A0"/>
    <w:rsid w:val="004733ED"/>
    <w:rsid w:val="00480F2B"/>
    <w:rsid w:val="004854F1"/>
    <w:rsid w:val="0048643D"/>
    <w:rsid w:val="0048655A"/>
    <w:rsid w:val="004A4081"/>
    <w:rsid w:val="004B09CE"/>
    <w:rsid w:val="004C670C"/>
    <w:rsid w:val="004D7AB0"/>
    <w:rsid w:val="004E322F"/>
    <w:rsid w:val="004F7DF9"/>
    <w:rsid w:val="005117B4"/>
    <w:rsid w:val="00511A72"/>
    <w:rsid w:val="00516B31"/>
    <w:rsid w:val="005361CC"/>
    <w:rsid w:val="00557F74"/>
    <w:rsid w:val="00560DB7"/>
    <w:rsid w:val="00565439"/>
    <w:rsid w:val="00567EB0"/>
    <w:rsid w:val="00570DCD"/>
    <w:rsid w:val="00581763"/>
    <w:rsid w:val="00581CCC"/>
    <w:rsid w:val="00583CBA"/>
    <w:rsid w:val="00590E61"/>
    <w:rsid w:val="00596A1F"/>
    <w:rsid w:val="005B20CD"/>
    <w:rsid w:val="005B796D"/>
    <w:rsid w:val="005C4C87"/>
    <w:rsid w:val="005C6E72"/>
    <w:rsid w:val="005D360F"/>
    <w:rsid w:val="005D3931"/>
    <w:rsid w:val="005D439B"/>
    <w:rsid w:val="005D7CC3"/>
    <w:rsid w:val="005E2DFD"/>
    <w:rsid w:val="00600438"/>
    <w:rsid w:val="00601292"/>
    <w:rsid w:val="00601FEB"/>
    <w:rsid w:val="00605A5F"/>
    <w:rsid w:val="006318BD"/>
    <w:rsid w:val="00640CA9"/>
    <w:rsid w:val="00645255"/>
    <w:rsid w:val="00653794"/>
    <w:rsid w:val="006629F1"/>
    <w:rsid w:val="00664636"/>
    <w:rsid w:val="006826C3"/>
    <w:rsid w:val="006A1D36"/>
    <w:rsid w:val="006B5AD5"/>
    <w:rsid w:val="006B6DF7"/>
    <w:rsid w:val="006C24FB"/>
    <w:rsid w:val="006C3969"/>
    <w:rsid w:val="006D242A"/>
    <w:rsid w:val="006D4043"/>
    <w:rsid w:val="006F59FB"/>
    <w:rsid w:val="007345A2"/>
    <w:rsid w:val="00744E20"/>
    <w:rsid w:val="00746D9D"/>
    <w:rsid w:val="00752095"/>
    <w:rsid w:val="007574BC"/>
    <w:rsid w:val="00762548"/>
    <w:rsid w:val="00772CB0"/>
    <w:rsid w:val="00775776"/>
    <w:rsid w:val="00775AC3"/>
    <w:rsid w:val="007827C6"/>
    <w:rsid w:val="0078631F"/>
    <w:rsid w:val="0079274A"/>
    <w:rsid w:val="0079461E"/>
    <w:rsid w:val="007A7BFA"/>
    <w:rsid w:val="007B24D9"/>
    <w:rsid w:val="007C131F"/>
    <w:rsid w:val="007D2299"/>
    <w:rsid w:val="007D2E9A"/>
    <w:rsid w:val="007E274B"/>
    <w:rsid w:val="008025B9"/>
    <w:rsid w:val="008030A0"/>
    <w:rsid w:val="00803241"/>
    <w:rsid w:val="008206A8"/>
    <w:rsid w:val="008212E0"/>
    <w:rsid w:val="00821EE3"/>
    <w:rsid w:val="00822564"/>
    <w:rsid w:val="00826EE5"/>
    <w:rsid w:val="008313CF"/>
    <w:rsid w:val="008341FE"/>
    <w:rsid w:val="0083477D"/>
    <w:rsid w:val="008351EB"/>
    <w:rsid w:val="0083635B"/>
    <w:rsid w:val="008430FB"/>
    <w:rsid w:val="00853773"/>
    <w:rsid w:val="008620E9"/>
    <w:rsid w:val="008871D8"/>
    <w:rsid w:val="00894A3B"/>
    <w:rsid w:val="008A3124"/>
    <w:rsid w:val="008B183C"/>
    <w:rsid w:val="008C784F"/>
    <w:rsid w:val="008D17DB"/>
    <w:rsid w:val="008E12BE"/>
    <w:rsid w:val="008E45F2"/>
    <w:rsid w:val="00902A1A"/>
    <w:rsid w:val="0092147B"/>
    <w:rsid w:val="00935AA5"/>
    <w:rsid w:val="0096295A"/>
    <w:rsid w:val="00966138"/>
    <w:rsid w:val="00967436"/>
    <w:rsid w:val="0096744B"/>
    <w:rsid w:val="009718B5"/>
    <w:rsid w:val="00971B08"/>
    <w:rsid w:val="00976700"/>
    <w:rsid w:val="00977C74"/>
    <w:rsid w:val="00980BCF"/>
    <w:rsid w:val="00993B17"/>
    <w:rsid w:val="009A0CEB"/>
    <w:rsid w:val="009A253F"/>
    <w:rsid w:val="009B05BE"/>
    <w:rsid w:val="009D3C97"/>
    <w:rsid w:val="009D6D2F"/>
    <w:rsid w:val="009E66B9"/>
    <w:rsid w:val="009F3691"/>
    <w:rsid w:val="009F3E4D"/>
    <w:rsid w:val="00A10052"/>
    <w:rsid w:val="00A10295"/>
    <w:rsid w:val="00A113C0"/>
    <w:rsid w:val="00A168D2"/>
    <w:rsid w:val="00A17CC3"/>
    <w:rsid w:val="00A65F0F"/>
    <w:rsid w:val="00A71825"/>
    <w:rsid w:val="00A7450C"/>
    <w:rsid w:val="00A8350B"/>
    <w:rsid w:val="00A8575B"/>
    <w:rsid w:val="00A874D0"/>
    <w:rsid w:val="00A87E6B"/>
    <w:rsid w:val="00AB740B"/>
    <w:rsid w:val="00AC5229"/>
    <w:rsid w:val="00AD362D"/>
    <w:rsid w:val="00AE4FFE"/>
    <w:rsid w:val="00AF5CEC"/>
    <w:rsid w:val="00AF6AA6"/>
    <w:rsid w:val="00B231E7"/>
    <w:rsid w:val="00B32D9E"/>
    <w:rsid w:val="00B457D5"/>
    <w:rsid w:val="00B91F0A"/>
    <w:rsid w:val="00B94CDD"/>
    <w:rsid w:val="00BB5DFB"/>
    <w:rsid w:val="00BB78DA"/>
    <w:rsid w:val="00BC2ECB"/>
    <w:rsid w:val="00BD1F9B"/>
    <w:rsid w:val="00BF2F64"/>
    <w:rsid w:val="00C21405"/>
    <w:rsid w:val="00C45B59"/>
    <w:rsid w:val="00C52856"/>
    <w:rsid w:val="00C56527"/>
    <w:rsid w:val="00C615F4"/>
    <w:rsid w:val="00C717F3"/>
    <w:rsid w:val="00C73D23"/>
    <w:rsid w:val="00C823BC"/>
    <w:rsid w:val="00C85647"/>
    <w:rsid w:val="00CC02BD"/>
    <w:rsid w:val="00CC5970"/>
    <w:rsid w:val="00CE2925"/>
    <w:rsid w:val="00D01513"/>
    <w:rsid w:val="00D207FF"/>
    <w:rsid w:val="00D31106"/>
    <w:rsid w:val="00D4247C"/>
    <w:rsid w:val="00D42BD6"/>
    <w:rsid w:val="00D5316F"/>
    <w:rsid w:val="00D573CF"/>
    <w:rsid w:val="00D60DB3"/>
    <w:rsid w:val="00D63040"/>
    <w:rsid w:val="00D67EC6"/>
    <w:rsid w:val="00D71AED"/>
    <w:rsid w:val="00D72CD3"/>
    <w:rsid w:val="00D87F5D"/>
    <w:rsid w:val="00DB3418"/>
    <w:rsid w:val="00DB53F1"/>
    <w:rsid w:val="00DB5A93"/>
    <w:rsid w:val="00DF204E"/>
    <w:rsid w:val="00DF7539"/>
    <w:rsid w:val="00E15524"/>
    <w:rsid w:val="00E2251C"/>
    <w:rsid w:val="00E444A3"/>
    <w:rsid w:val="00E50682"/>
    <w:rsid w:val="00E6141C"/>
    <w:rsid w:val="00E74EC4"/>
    <w:rsid w:val="00E770B5"/>
    <w:rsid w:val="00EB03BD"/>
    <w:rsid w:val="00EB091A"/>
    <w:rsid w:val="00EB3A7F"/>
    <w:rsid w:val="00EC1473"/>
    <w:rsid w:val="00EC15FF"/>
    <w:rsid w:val="00ED3EC0"/>
    <w:rsid w:val="00ED5248"/>
    <w:rsid w:val="00EE2EB6"/>
    <w:rsid w:val="00EE6C74"/>
    <w:rsid w:val="00F10A94"/>
    <w:rsid w:val="00F21444"/>
    <w:rsid w:val="00F4207A"/>
    <w:rsid w:val="00F64DC5"/>
    <w:rsid w:val="00F731E9"/>
    <w:rsid w:val="00F81915"/>
    <w:rsid w:val="00F83ACE"/>
    <w:rsid w:val="00F87E51"/>
    <w:rsid w:val="00F97E17"/>
    <w:rsid w:val="00FA5302"/>
    <w:rsid w:val="00FA5540"/>
    <w:rsid w:val="00FA5B91"/>
    <w:rsid w:val="00FB25FB"/>
    <w:rsid w:val="00FB4DF1"/>
    <w:rsid w:val="00FC2A56"/>
    <w:rsid w:val="00FD0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15A20C"/>
  <w15:chartTrackingRefBased/>
  <w15:docId w15:val="{498AEC7C-5385-4845-AD38-B0F77140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8B2"/>
    <w:rPr>
      <w:rFonts w:ascii="Times New Roman" w:eastAsia="Times New Roman" w:hAnsi="Times New Roman" w:cs="Times New Roman"/>
      <w:lang w:eastAsia="en-GB"/>
    </w:rPr>
  </w:style>
  <w:style w:type="paragraph" w:styleId="Heading1">
    <w:name w:val="heading 1"/>
    <w:basedOn w:val="Normal"/>
    <w:link w:val="Heading1Char"/>
    <w:uiPriority w:val="9"/>
    <w:qFormat/>
    <w:rsid w:val="001428B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55A"/>
    <w:pPr>
      <w:ind w:left="720"/>
      <w:contextualSpacing/>
    </w:pPr>
    <w:rPr>
      <w:rFonts w:asciiTheme="minorHAnsi" w:eastAsiaTheme="minorHAnsi" w:hAnsiTheme="minorHAnsi" w:cstheme="minorBidi"/>
      <w:lang w:eastAsia="en-US"/>
    </w:rPr>
  </w:style>
  <w:style w:type="paragraph" w:customStyle="1" w:styleId="Default">
    <w:name w:val="Default"/>
    <w:rsid w:val="0048655A"/>
    <w:pPr>
      <w:autoSpaceDE w:val="0"/>
      <w:autoSpaceDN w:val="0"/>
      <w:adjustRightInd w:val="0"/>
    </w:pPr>
    <w:rPr>
      <w:rFonts w:ascii="Arial" w:hAnsi="Arial" w:cs="Arial"/>
      <w:color w:val="000000"/>
    </w:rPr>
  </w:style>
  <w:style w:type="paragraph" w:styleId="FootnoteText">
    <w:name w:val="footnote text"/>
    <w:basedOn w:val="Normal"/>
    <w:link w:val="FootnoteTextChar"/>
    <w:uiPriority w:val="99"/>
    <w:semiHidden/>
    <w:unhideWhenUsed/>
    <w:rsid w:val="004632A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632A0"/>
    <w:rPr>
      <w:sz w:val="20"/>
      <w:szCs w:val="20"/>
    </w:rPr>
  </w:style>
  <w:style w:type="character" w:styleId="FootnoteReference">
    <w:name w:val="footnote reference"/>
    <w:basedOn w:val="DefaultParagraphFont"/>
    <w:uiPriority w:val="99"/>
    <w:semiHidden/>
    <w:unhideWhenUsed/>
    <w:rsid w:val="004632A0"/>
    <w:rPr>
      <w:vertAlign w:val="superscript"/>
    </w:rPr>
  </w:style>
  <w:style w:type="paragraph" w:styleId="Header">
    <w:name w:val="header"/>
    <w:basedOn w:val="Normal"/>
    <w:link w:val="HeaderChar"/>
    <w:uiPriority w:val="99"/>
    <w:unhideWhenUsed/>
    <w:rsid w:val="00405AA5"/>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05AA5"/>
  </w:style>
  <w:style w:type="paragraph" w:styleId="Footer">
    <w:name w:val="footer"/>
    <w:basedOn w:val="Normal"/>
    <w:link w:val="FooterChar"/>
    <w:uiPriority w:val="99"/>
    <w:unhideWhenUsed/>
    <w:rsid w:val="00405AA5"/>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05AA5"/>
  </w:style>
  <w:style w:type="character" w:styleId="PageNumber">
    <w:name w:val="page number"/>
    <w:basedOn w:val="DefaultParagraphFont"/>
    <w:uiPriority w:val="99"/>
    <w:semiHidden/>
    <w:unhideWhenUsed/>
    <w:rsid w:val="00405AA5"/>
  </w:style>
  <w:style w:type="paragraph" w:customStyle="1" w:styleId="IndentQuote">
    <w:name w:val="IndentQuote"/>
    <w:next w:val="Normal"/>
    <w:uiPriority w:val="99"/>
    <w:rsid w:val="009A0CEB"/>
    <w:pPr>
      <w:pBdr>
        <w:top w:val="nil"/>
        <w:left w:val="nil"/>
        <w:bottom w:val="nil"/>
        <w:right w:val="nil"/>
        <w:between w:val="nil"/>
        <w:bar w:val="nil"/>
      </w:pBdr>
      <w:spacing w:line="360" w:lineRule="auto"/>
      <w:ind w:left="851" w:right="851"/>
      <w:jc w:val="both"/>
    </w:pPr>
    <w:rPr>
      <w:rFonts w:ascii="Times New Roman" w:eastAsia="Arial Unicode MS" w:hAnsi="Times New Roman" w:cs="Arial Unicode MS"/>
      <w:color w:val="000000"/>
      <w:u w:color="000000"/>
      <w:bdr w:val="nil"/>
      <w:lang w:val="en-US"/>
    </w:rPr>
  </w:style>
  <w:style w:type="character" w:styleId="Hyperlink">
    <w:name w:val="Hyperlink"/>
    <w:basedOn w:val="DefaultParagraphFont"/>
    <w:uiPriority w:val="99"/>
    <w:unhideWhenUsed/>
    <w:rsid w:val="001A065A"/>
    <w:rPr>
      <w:color w:val="0563C1" w:themeColor="hyperlink"/>
      <w:u w:val="single"/>
    </w:rPr>
  </w:style>
  <w:style w:type="character" w:styleId="UnresolvedMention">
    <w:name w:val="Unresolved Mention"/>
    <w:basedOn w:val="DefaultParagraphFont"/>
    <w:uiPriority w:val="99"/>
    <w:semiHidden/>
    <w:unhideWhenUsed/>
    <w:rsid w:val="001A065A"/>
    <w:rPr>
      <w:color w:val="605E5C"/>
      <w:shd w:val="clear" w:color="auto" w:fill="E1DFDD"/>
    </w:rPr>
  </w:style>
  <w:style w:type="character" w:styleId="Emphasis">
    <w:name w:val="Emphasis"/>
    <w:basedOn w:val="DefaultParagraphFont"/>
    <w:uiPriority w:val="20"/>
    <w:qFormat/>
    <w:rsid w:val="001428B2"/>
    <w:rPr>
      <w:i/>
      <w:iCs/>
    </w:rPr>
  </w:style>
  <w:style w:type="character" w:customStyle="1" w:styleId="Heading1Char">
    <w:name w:val="Heading 1 Char"/>
    <w:basedOn w:val="DefaultParagraphFont"/>
    <w:link w:val="Heading1"/>
    <w:uiPriority w:val="9"/>
    <w:rsid w:val="001428B2"/>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49651">
      <w:bodyDiv w:val="1"/>
      <w:marLeft w:val="0"/>
      <w:marRight w:val="0"/>
      <w:marTop w:val="0"/>
      <w:marBottom w:val="0"/>
      <w:divBdr>
        <w:top w:val="none" w:sz="0" w:space="0" w:color="auto"/>
        <w:left w:val="none" w:sz="0" w:space="0" w:color="auto"/>
        <w:bottom w:val="none" w:sz="0" w:space="0" w:color="auto"/>
        <w:right w:val="none" w:sz="0" w:space="0" w:color="auto"/>
      </w:divBdr>
    </w:div>
    <w:div w:id="764880635">
      <w:bodyDiv w:val="1"/>
      <w:marLeft w:val="0"/>
      <w:marRight w:val="0"/>
      <w:marTop w:val="0"/>
      <w:marBottom w:val="0"/>
      <w:divBdr>
        <w:top w:val="none" w:sz="0" w:space="0" w:color="auto"/>
        <w:left w:val="none" w:sz="0" w:space="0" w:color="auto"/>
        <w:bottom w:val="none" w:sz="0" w:space="0" w:color="auto"/>
        <w:right w:val="none" w:sz="0" w:space="0" w:color="auto"/>
      </w:divBdr>
    </w:div>
    <w:div w:id="1239365554">
      <w:bodyDiv w:val="1"/>
      <w:marLeft w:val="0"/>
      <w:marRight w:val="0"/>
      <w:marTop w:val="0"/>
      <w:marBottom w:val="0"/>
      <w:divBdr>
        <w:top w:val="none" w:sz="0" w:space="0" w:color="auto"/>
        <w:left w:val="none" w:sz="0" w:space="0" w:color="auto"/>
        <w:bottom w:val="none" w:sz="0" w:space="0" w:color="auto"/>
        <w:right w:val="none" w:sz="0" w:space="0" w:color="auto"/>
      </w:divBdr>
    </w:div>
    <w:div w:id="19980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ie/en/publication/e9d71-terms-of-reference-for-the-housing-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1542-7068-FC46-9637-D88516D8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19</Pages>
  <Words>4579</Words>
  <Characters>25007</Characters>
  <Application>Microsoft Office Word</Application>
  <DocSecurity>0</DocSecurity>
  <Lines>403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Conor</dc:creator>
  <cp:keywords/>
  <dc:description/>
  <cp:lastModifiedBy>Casey, Conor</cp:lastModifiedBy>
  <cp:revision>73</cp:revision>
  <cp:lastPrinted>2022-04-25T06:09:00Z</cp:lastPrinted>
  <dcterms:created xsi:type="dcterms:W3CDTF">2022-04-24T01:03:00Z</dcterms:created>
  <dcterms:modified xsi:type="dcterms:W3CDTF">2022-05-11T10:21:00Z</dcterms:modified>
</cp:coreProperties>
</file>