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DD4" w14:textId="0815C4AA" w:rsidR="0065633B" w:rsidRPr="00261EDB" w:rsidRDefault="007D5452" w:rsidP="00822346">
      <w:pPr>
        <w:spacing w:line="480" w:lineRule="auto"/>
        <w:rPr>
          <w:b/>
          <w:sz w:val="32"/>
          <w:szCs w:val="32"/>
        </w:rPr>
      </w:pPr>
      <w:r>
        <w:rPr>
          <w:b/>
          <w:sz w:val="32"/>
          <w:szCs w:val="32"/>
        </w:rPr>
        <w:t xml:space="preserve">Erratum to: </w:t>
      </w:r>
      <w:r w:rsidR="00B558B0" w:rsidRPr="00261EDB">
        <w:rPr>
          <w:b/>
          <w:sz w:val="32"/>
          <w:szCs w:val="32"/>
        </w:rPr>
        <w:t>F</w:t>
      </w:r>
      <w:r w:rsidR="004E416F" w:rsidRPr="00261EDB">
        <w:rPr>
          <w:b/>
          <w:sz w:val="32"/>
          <w:szCs w:val="32"/>
        </w:rPr>
        <w:t xml:space="preserve">lomoxef </w:t>
      </w:r>
      <w:r w:rsidR="00B558B0" w:rsidRPr="00261EDB">
        <w:rPr>
          <w:b/>
          <w:sz w:val="32"/>
          <w:szCs w:val="32"/>
        </w:rPr>
        <w:t xml:space="preserve">for Neonates: </w:t>
      </w:r>
      <w:r w:rsidR="007079F4" w:rsidRPr="00261EDB">
        <w:rPr>
          <w:b/>
          <w:sz w:val="32"/>
          <w:szCs w:val="32"/>
        </w:rPr>
        <w:t>Extending</w:t>
      </w:r>
      <w:r w:rsidR="00B558B0" w:rsidRPr="00261EDB">
        <w:rPr>
          <w:b/>
          <w:sz w:val="32"/>
          <w:szCs w:val="32"/>
        </w:rPr>
        <w:t xml:space="preserve"> Option</w:t>
      </w:r>
      <w:r w:rsidR="007079F4" w:rsidRPr="00261EDB">
        <w:rPr>
          <w:b/>
          <w:sz w:val="32"/>
          <w:szCs w:val="32"/>
        </w:rPr>
        <w:t>s</w:t>
      </w:r>
      <w:r w:rsidR="00B558B0" w:rsidRPr="00261EDB">
        <w:rPr>
          <w:b/>
          <w:sz w:val="32"/>
          <w:szCs w:val="32"/>
        </w:rPr>
        <w:t xml:space="preserve"> for Treatment of Neonatal sepsis caused by ESBL-Producing Enterobacterales</w:t>
      </w:r>
    </w:p>
    <w:p w14:paraId="27BCDAC6" w14:textId="77777777" w:rsidR="004E416F" w:rsidRPr="00261EDB" w:rsidRDefault="004E416F" w:rsidP="00822346">
      <w:pPr>
        <w:spacing w:line="480" w:lineRule="auto"/>
      </w:pPr>
    </w:p>
    <w:p w14:paraId="1321A1F8" w14:textId="2AE841F6" w:rsidR="004E416F" w:rsidRPr="00261EDB" w:rsidRDefault="004E416F" w:rsidP="00822346">
      <w:pPr>
        <w:spacing w:line="480" w:lineRule="auto"/>
        <w:rPr>
          <w:color w:val="000000" w:themeColor="text1"/>
          <w:vertAlign w:val="superscript"/>
        </w:rPr>
      </w:pPr>
      <w:r w:rsidRPr="00261EDB">
        <w:rPr>
          <w:color w:val="000000" w:themeColor="text1"/>
        </w:rPr>
        <w:t xml:space="preserve">Christopher A </w:t>
      </w:r>
      <w:r w:rsidR="00FF780F" w:rsidRPr="00261EDB">
        <w:rPr>
          <w:color w:val="000000" w:themeColor="text1"/>
        </w:rPr>
        <w:t>DARLOW*</w:t>
      </w:r>
      <w:r w:rsidRPr="00261EDB">
        <w:rPr>
          <w:color w:val="000000" w:themeColor="text1"/>
          <w:vertAlign w:val="superscript"/>
        </w:rPr>
        <w:t>1</w:t>
      </w:r>
      <w:r w:rsidRPr="00261EDB">
        <w:rPr>
          <w:color w:val="000000" w:themeColor="text1"/>
        </w:rPr>
        <w:t xml:space="preserve">, William </w:t>
      </w:r>
      <w:r w:rsidR="00FF780F" w:rsidRPr="00261EDB">
        <w:rPr>
          <w:color w:val="000000" w:themeColor="text1"/>
        </w:rPr>
        <w:t>HOPE</w:t>
      </w:r>
      <w:r w:rsidRPr="00261EDB">
        <w:rPr>
          <w:color w:val="000000" w:themeColor="text1"/>
          <w:vertAlign w:val="superscript"/>
        </w:rPr>
        <w:t xml:space="preserve">1 </w:t>
      </w:r>
    </w:p>
    <w:p w14:paraId="0C4F57E0" w14:textId="77777777" w:rsidR="004E416F" w:rsidRPr="00261EDB" w:rsidRDefault="004E416F" w:rsidP="00822346">
      <w:pPr>
        <w:spacing w:line="480" w:lineRule="auto"/>
      </w:pPr>
    </w:p>
    <w:p w14:paraId="5AEAE95E" w14:textId="3606F465" w:rsidR="004E416F" w:rsidRPr="00261EDB" w:rsidRDefault="004E416F" w:rsidP="00822346">
      <w:pPr>
        <w:spacing w:after="120" w:line="480" w:lineRule="auto"/>
        <w:rPr>
          <w:rFonts w:cstheme="minorHAnsi"/>
          <w:color w:val="000000" w:themeColor="text1"/>
        </w:rPr>
      </w:pPr>
      <w:r w:rsidRPr="00261EDB">
        <w:rPr>
          <w:rFonts w:ascii="Arial" w:hAnsi="Arial" w:cs="Arial"/>
          <w:color w:val="000000" w:themeColor="text1"/>
          <w:vertAlign w:val="superscript"/>
        </w:rPr>
        <w:t xml:space="preserve">1 </w:t>
      </w:r>
      <w:r w:rsidRPr="00261EDB">
        <w:rPr>
          <w:rFonts w:cstheme="minorHAnsi"/>
          <w:color w:val="000000" w:themeColor="text1"/>
        </w:rPr>
        <w:t>Antimicrobial Pharmacodynamics and Therapeutics, University of Liverpool</w:t>
      </w:r>
      <w:r w:rsidR="008559CB" w:rsidRPr="00261EDB">
        <w:rPr>
          <w:rFonts w:cstheme="minorHAnsi"/>
          <w:color w:val="000000" w:themeColor="text1"/>
        </w:rPr>
        <w:t>, UK</w:t>
      </w:r>
    </w:p>
    <w:p w14:paraId="5AAC8EB6" w14:textId="1AA28B78" w:rsidR="008559CB" w:rsidRPr="00261EDB" w:rsidRDefault="00FF780F" w:rsidP="008559CB">
      <w:pPr>
        <w:shd w:val="clear" w:color="auto" w:fill="FFFFFF"/>
        <w:spacing w:after="120" w:line="480" w:lineRule="auto"/>
        <w:rPr>
          <w:rFonts w:cstheme="minorHAnsi"/>
          <w:color w:val="000000" w:themeColor="text1"/>
        </w:rPr>
      </w:pPr>
      <w:r w:rsidRPr="00261EDB">
        <w:rPr>
          <w:rFonts w:cstheme="minorHAnsi"/>
          <w:b/>
          <w:color w:val="000000" w:themeColor="text1"/>
        </w:rPr>
        <w:t>*</w:t>
      </w:r>
      <w:r w:rsidR="004E416F" w:rsidRPr="00261EDB">
        <w:rPr>
          <w:rFonts w:cstheme="minorHAnsi"/>
          <w:b/>
          <w:color w:val="000000" w:themeColor="text1"/>
        </w:rPr>
        <w:t>Corresponding author:</w:t>
      </w:r>
      <w:r w:rsidR="004E416F" w:rsidRPr="00261EDB">
        <w:rPr>
          <w:rFonts w:cstheme="minorHAnsi"/>
          <w:color w:val="000000" w:themeColor="text1"/>
        </w:rPr>
        <w:t xml:space="preserve"> email: </w:t>
      </w:r>
      <w:hyperlink r:id="rId6" w:history="1">
        <w:r w:rsidR="004E416F" w:rsidRPr="00261EDB">
          <w:rPr>
            <w:rFonts w:cstheme="minorHAnsi"/>
            <w:color w:val="000000" w:themeColor="text1"/>
            <w:u w:val="single"/>
          </w:rPr>
          <w:t>cdarlow@liverpool.ac.uk</w:t>
        </w:r>
      </w:hyperlink>
      <w:r w:rsidR="004E416F" w:rsidRPr="00261EDB">
        <w:rPr>
          <w:rFonts w:cstheme="minorHAnsi"/>
          <w:color w:val="000000" w:themeColor="text1"/>
        </w:rPr>
        <w:t>; p</w:t>
      </w:r>
      <w:r w:rsidR="004E416F" w:rsidRPr="00261EDB">
        <w:rPr>
          <w:rFonts w:eastAsia="Times New Roman" w:cstheme="minorHAnsi"/>
          <w:color w:val="000000" w:themeColor="text1"/>
        </w:rPr>
        <w:t xml:space="preserve">ostal address: Antimicrobial </w:t>
      </w:r>
      <w:r w:rsidR="004E416F" w:rsidRPr="00261EDB">
        <w:rPr>
          <w:rFonts w:cstheme="minorHAnsi"/>
          <w:color w:val="000000" w:themeColor="text1"/>
        </w:rPr>
        <w:t xml:space="preserve">Pharmacodynamics and Therapeutics, Department of Molecular and Clinical Pharmacology, Institute of </w:t>
      </w:r>
      <w:r w:rsidR="008559CB" w:rsidRPr="00261EDB">
        <w:rPr>
          <w:rFonts w:cstheme="minorHAnsi"/>
          <w:color w:val="000000" w:themeColor="text1"/>
        </w:rPr>
        <w:t>Systems, Molecular &amp; Integrative Biology</w:t>
      </w:r>
      <w:r w:rsidR="004E416F" w:rsidRPr="00261EDB">
        <w:rPr>
          <w:rFonts w:cstheme="minorHAnsi"/>
          <w:color w:val="000000" w:themeColor="text1"/>
        </w:rPr>
        <w:t xml:space="preserve">, University of Liverpool, </w:t>
      </w:r>
      <w:r w:rsidR="008559CB" w:rsidRPr="00261EDB">
        <w:rPr>
          <w:rFonts w:cstheme="minorHAnsi"/>
          <w:color w:val="000000" w:themeColor="text1"/>
        </w:rPr>
        <w:t>William Henry Duncan Building, 6 West Derby Street, Liverpool L7 8TX</w:t>
      </w:r>
    </w:p>
    <w:p w14:paraId="71D1B720" w14:textId="1BDBAE52" w:rsidR="004E416F" w:rsidRPr="00261EDB" w:rsidRDefault="004E416F" w:rsidP="00822346">
      <w:pPr>
        <w:spacing w:line="480" w:lineRule="auto"/>
      </w:pPr>
      <w:r w:rsidRPr="00261EDB">
        <w:br w:type="page"/>
      </w:r>
    </w:p>
    <w:p w14:paraId="718B9D4D" w14:textId="1DC6B01F" w:rsidR="00517249" w:rsidRDefault="007D5452" w:rsidP="00822346">
      <w:pPr>
        <w:spacing w:before="120" w:line="480" w:lineRule="auto"/>
        <w:rPr>
          <w:iCs/>
        </w:rPr>
      </w:pPr>
      <w:r>
        <w:rPr>
          <w:iCs/>
        </w:rPr>
        <w:lastRenderedPageBreak/>
        <w:t>The original paper</w:t>
      </w:r>
      <w:r>
        <w:rPr>
          <w:iCs/>
        </w:rPr>
        <w:fldChar w:fldCharType="begin" w:fldLock="1"/>
      </w:r>
      <w:r w:rsidR="00517249">
        <w:rPr>
          <w:iCs/>
        </w:rPr>
        <w:instrText>ADDIN CSL_CITATION {"citationItems":[{"id":"ITEM-1","itemData":{"DOI":"10.1093/JAC/DKAB468","ISBN":"468/6490170","ISSN":"0305-7453","abstract":"Background: Neonatal sepsis is a serious and frequently lethal infection, often complicated by antimicrobial resistance (including ESBLs) in low-and middle-income countries (LMICs). Flomoxef is an off-patent oxacephem b-lactam with stability against non-AmpC ESBLs, with potential for utility in these settings. To date, there has been no published flomoxef neonatal population pharmacokinetic (PopPK) model. Objectives: To summarize the clinical data available for flomoxef, build a neonatal PopPK model and assess the adequacy of different neonatal flomoxef regimens. Methods: A systematic literature search returned all available clinical or pharmacokinetic data of flomoxef use in neonates. Pharmacokinetic data were used to construct a PopPK model, with progressive incorporation of covariates into the final model. Monte Carlo simulations were performed using this final model to simulate drug exposures of different flomoxef regimens to calculate PTAs. Results: Individual-level clinical and pharmacokinetic data were extracted for 313 and 146 neonates, respectively , with population clinical data extracted for a further 199 neonates. Clinical and microbiological success rates were 89.71% and 82.8%, respectively, with minimal side effects. The final PopPK model incorporated body weight and postnatal age as covariates. PTA analyses predicted that IV regimens of 20 mg/kg q12h, 20 mg/kg q6-8h and 40 mg/kg q6-8h are adequate for neonates aged 0-7, 7-14 and 14-28 days, respectively. Conclusions: To the best of our knowledge, this is the first published neonatal PopPK model for flomoxef. Given the high treatment success rates, low toxicity rates and off-patent status, this drug has potential for use in the treatment of neonatal sepsis in ESBL-prevalent LMIC settings.","author":[{"dropping-particle":"","family":"Darlow","given":"Christopher A","non-dropping-particle":"","parse-names":false,"suffix":""},{"dropping-particle":"","family":"Hope","given":"William","non-dropping-particle":"","parse-names":false,"suffix":""}],"container-title":"Journal of Antimicrobial Chemotherapy","id":"ITEM-1","issue":"3","issued":{"date-parts":[["2022"]]},"page":"711-718","title":"Flomoxef for neonates: extending options for treatment of neonatal sepsis caused by ESBL-producing Enterobacterales [Online ahead of publication]","type":"article-journal","volume":"77"},"uris":["http://www.mendeley.com/documents/?uuid=32249011-7835-3f3d-8868-fee4c80eaf1e"]}],"mendeley":{"formattedCitation":"&lt;sup&gt;1&lt;/sup&gt;","plainTextFormattedCitation":"1","previouslyFormattedCitation":"&lt;sup&gt;1&lt;/sup&gt;"},"properties":{"noteIndex":0},"schema":"https://github.com/citation-style-language/schema/raw/master/csl-citation.json"}</w:instrText>
      </w:r>
      <w:r>
        <w:rPr>
          <w:iCs/>
        </w:rPr>
        <w:fldChar w:fldCharType="separate"/>
      </w:r>
      <w:r w:rsidRPr="007D5452">
        <w:rPr>
          <w:iCs/>
          <w:noProof/>
          <w:vertAlign w:val="superscript"/>
        </w:rPr>
        <w:t>1</w:t>
      </w:r>
      <w:r>
        <w:rPr>
          <w:iCs/>
        </w:rPr>
        <w:fldChar w:fldCharType="end"/>
      </w:r>
      <w:r>
        <w:rPr>
          <w:iCs/>
        </w:rPr>
        <w:t xml:space="preserve"> reported values for the model parameters A and B in Table 2 incorrectly, with the values inadvertently switched. The corrected table is shown in Table 2 in this Erratum (Table 2). All models and simulations in the original paper</w:t>
      </w:r>
      <w:r w:rsidR="00517249">
        <w:rPr>
          <w:iCs/>
        </w:rPr>
        <w:fldChar w:fldCharType="begin" w:fldLock="1"/>
      </w:r>
      <w:r w:rsidR="00517249">
        <w:rPr>
          <w:iCs/>
        </w:rPr>
        <w:instrText>ADDIN CSL_CITATION {"citationItems":[{"id":"ITEM-1","itemData":{"DOI":"10.1093/JAC/DKAB468","ISBN":"468/6490170","ISSN":"0305-7453","abstract":"Background: Neonatal sepsis is a serious and frequently lethal infection, often complicated by antimicrobial resistance (including ESBLs) in low-and middle-income countries (LMICs). Flomoxef is an off-patent oxacephem b-lactam with stability against non-AmpC ESBLs, with potential for utility in these settings. To date, there has been no published flomoxef neonatal population pharmacokinetic (PopPK) model. Objectives: To summarize the clinical data available for flomoxef, build a neonatal PopPK model and assess the adequacy of different neonatal flomoxef regimens. Methods: A systematic literature search returned all available clinical or pharmacokinetic data of flomoxef use in neonates. Pharmacokinetic data were used to construct a PopPK model, with progressive incorporation of covariates into the final model. Monte Carlo simulations were performed using this final model to simulate drug exposures of different flomoxef regimens to calculate PTAs. Results: Individual-level clinical and pharmacokinetic data were extracted for 313 and 146 neonates, respectively , with population clinical data extracted for a further 199 neonates. Clinical and microbiological success rates were 89.71% and 82.8%, respectively, with minimal side effects. The final PopPK model incorporated body weight and postnatal age as covariates. PTA analyses predicted that IV regimens of 20 mg/kg q12h, 20 mg/kg q6-8h and 40 mg/kg q6-8h are adequate for neonates aged 0-7, 7-14 and 14-28 days, respectively. Conclusions: To the best of our knowledge, this is the first published neonatal PopPK model for flomoxef. Given the high treatment success rates, low toxicity rates and off-patent status, this drug has potential for use in the treatment of neonatal sepsis in ESBL-prevalent LMIC settings.","author":[{"dropping-particle":"","family":"Darlow","given":"Christopher A","non-dropping-particle":"","parse-names":false,"suffix":""},{"dropping-particle":"","family":"Hope","given":"William","non-dropping-particle":"","parse-names":false,"suffix":""}],"container-title":"Journal of Antimicrobial Chemotherapy","id":"ITEM-1","issue":"3","issued":{"date-parts":[["2022"]]},"page":"711-718","title":"Flomoxef for neonates: extending options for treatment of neonatal sepsis caused by ESBL-producing Enterobacterales [Online ahead of publication]","type":"article-journal","volume":"77"},"uris":["http://www.mendeley.com/documents/?uuid=32249011-7835-3f3d-8868-fee4c80eaf1e"]}],"mendeley":{"formattedCitation":"&lt;sup&gt;1&lt;/sup&gt;","plainTextFormattedCitation":"1","previouslyFormattedCitation":"&lt;sup&gt;1&lt;/sup&gt;"},"properties":{"noteIndex":0},"schema":"https://github.com/citation-style-language/schema/raw/master/csl-citation.json"}</w:instrText>
      </w:r>
      <w:r w:rsidR="00517249">
        <w:rPr>
          <w:iCs/>
        </w:rPr>
        <w:fldChar w:fldCharType="separate"/>
      </w:r>
      <w:r w:rsidR="00517249" w:rsidRPr="00517249">
        <w:rPr>
          <w:iCs/>
          <w:noProof/>
          <w:vertAlign w:val="superscript"/>
        </w:rPr>
        <w:t>1</w:t>
      </w:r>
      <w:r w:rsidR="00517249">
        <w:rPr>
          <w:iCs/>
        </w:rPr>
        <w:fldChar w:fldCharType="end"/>
      </w:r>
      <w:r>
        <w:rPr>
          <w:iCs/>
        </w:rPr>
        <w:t xml:space="preserve"> </w:t>
      </w:r>
      <w:r w:rsidR="00517249">
        <w:rPr>
          <w:iCs/>
        </w:rPr>
        <w:t xml:space="preserve">and </w:t>
      </w:r>
      <w:r w:rsidR="00517249">
        <w:rPr>
          <w:iCs/>
        </w:rPr>
        <w:t>subsequent correspondence</w:t>
      </w:r>
      <w:r w:rsidR="00517249">
        <w:rPr>
          <w:iCs/>
        </w:rPr>
        <w:fldChar w:fldCharType="begin" w:fldLock="1"/>
      </w:r>
      <w:r w:rsidR="00517249">
        <w:rPr>
          <w:iCs/>
        </w:rPr>
        <w:instrText>ADDIN CSL_CITATION {"citationItems":[{"id":"ITEM-1","itemData":{"DOI":"10.1093/JAC/DKAC072","abstract":"We thank Joseph F. Standing for his comments 1 regarding our recently published population pharmacokinetic model for flomoxef in neonatal populations aged ,4 weeks. 2 To briefly summarize our approach: we fitted a population model to the flomoxef pharmacokinetic data (available in the public domain) for infants predominantly aged ,28 days. The fitting of a base model to the data (i.e. without the inclusion of covariates such as age and weight) somewhat surprisingly showed an exponential rise in clearance in the first 28 days of life. This observation is accounted for by a combination of changes in size (allometry) and development (ontogeny). We could have estimated the scaling exponent that relates size (weight) to clearance, but we would have constrained the potential value(s) to ,1 to avoid violating well-characterized allometric relationships that are operational in a wide range of biological contexts. Ultimately, we chose to fix this value at 0.75. We attributed the additional changes in clearance with increasing age and weight to time-and gestation-dependent maturation in renal function, with the subsequent sca-lars of these parameters estimated from the data. We note that significant (but, as yet, uncharacterized) drug transporters, with their own idiosyncratic ontogeny functions, 3 rather than passive glomerular filtration alone, likely account for a large proportion of the total flomoxef clearance. 4 This insight highlights the danger of mechanistically linking clearance to glomerular filtration rate. While we agree the overall shape of the clearance versus weight and age curves are ultimately sigmoidal with the upper limit approximating adult values, we had no data to estimate the transition of clearance from neonates to children and adults. Figure 1. Monte Carlo simulation of flomoxef drug exposures following a single 20 mg/kg IV dose of flomoxef in 10 000 neonates aged 21-28 days, weighing 2-4 kg, with time-concentration profiles for the 5th, 25th, 50th, 75th and 95th centiles of the simulated population.","author":[{"dropping-particle":"","family":"Darlow","given":"Christopher A.","non-dropping-particle":"","parse-names":false,"suffix":""},{"dropping-particle":"","family":"Hope","given":"William","non-dropping-particle":"","parse-names":false,"suffix":""}],"container-title":"Journal of Antimicrobial Chemotherapy","id":"ITEM-1","issued":{"date-parts":[["2022"]]},"page":"dkac072","title":"Flomoxef for neonates: extending options for treatment of neonatal sepsis caused by ESBL-producing Enterobacterales—authors’ response","type":"article-journal"},"uris":["http://www.mendeley.com/documents/?uuid=bf7c1122-915c-30cf-bc15-5ef5f4a3421d"]}],"mendeley":{"formattedCitation":"&lt;sup&gt;2&lt;/sup&gt;","plainTextFormattedCitation":"2","previouslyFormattedCitation":"&lt;sup&gt;2&lt;/sup&gt;"},"properties":{"noteIndex":0},"schema":"https://github.com/citation-style-language/schema/raw/master/csl-citation.json"}</w:instrText>
      </w:r>
      <w:r w:rsidR="00517249">
        <w:rPr>
          <w:iCs/>
        </w:rPr>
        <w:fldChar w:fldCharType="separate"/>
      </w:r>
      <w:r w:rsidR="00517249" w:rsidRPr="00517249">
        <w:rPr>
          <w:iCs/>
          <w:noProof/>
          <w:vertAlign w:val="superscript"/>
        </w:rPr>
        <w:t>2</w:t>
      </w:r>
      <w:r w:rsidR="00517249">
        <w:rPr>
          <w:iCs/>
        </w:rPr>
        <w:fldChar w:fldCharType="end"/>
      </w:r>
      <w:r w:rsidR="00517249">
        <w:rPr>
          <w:iCs/>
        </w:rPr>
        <w:t xml:space="preserve"> </w:t>
      </w:r>
      <w:r>
        <w:rPr>
          <w:iCs/>
        </w:rPr>
        <w:t xml:space="preserve">used the correct values, </w:t>
      </w:r>
      <w:r w:rsidR="00517249">
        <w:rPr>
          <w:iCs/>
        </w:rPr>
        <w:t>and the conclusions of the paper remain unaltered. The correspondence received relating to the original paper</w:t>
      </w:r>
      <w:r w:rsidR="00517249">
        <w:rPr>
          <w:iCs/>
        </w:rPr>
        <w:fldChar w:fldCharType="begin" w:fldLock="1"/>
      </w:r>
      <w:r w:rsidR="00763B30">
        <w:rPr>
          <w:iCs/>
        </w:rPr>
        <w:instrText>ADDIN CSL_CITATION {"citationItems":[{"id":"ITEM-1","itemData":{"author":[{"dropping-particle":"","family":"Standing","given":"Joseph F","non-dropping-particle":"","parse-names":false,"suffix":""}],"container-title":"Journal of Antimicrobial Chemotherapy","id":"ITEM-1","issued":{"date-parts":[["2022"]]},"page":"(In press)","title":"Comment on: Flomoxef for neonates extending options for treatment of neonatal sepsis caused by ESBL-producing Enterobacterales","type":"article-journal"},"uris":["http://www.mendeley.com/documents/?uuid=ef31ee36-2477-4ddf-bf12-d2005e5c3bdb"]}],"mendeley":{"formattedCitation":"&lt;sup&gt;3&lt;/sup&gt;","plainTextFormattedCitation":"3","previouslyFormattedCitation":"&lt;sup&gt;3&lt;/sup&gt;"},"properties":{"noteIndex":0},"schema":"https://github.com/citation-style-language/schema/raw/master/csl-citation.json"}</w:instrText>
      </w:r>
      <w:r w:rsidR="00517249">
        <w:rPr>
          <w:iCs/>
        </w:rPr>
        <w:fldChar w:fldCharType="separate"/>
      </w:r>
      <w:r w:rsidR="00517249" w:rsidRPr="00517249">
        <w:rPr>
          <w:iCs/>
          <w:noProof/>
          <w:vertAlign w:val="superscript"/>
        </w:rPr>
        <w:t>3</w:t>
      </w:r>
      <w:r w:rsidR="00517249">
        <w:rPr>
          <w:iCs/>
        </w:rPr>
        <w:fldChar w:fldCharType="end"/>
      </w:r>
      <w:r w:rsidR="00517249">
        <w:rPr>
          <w:iCs/>
        </w:rPr>
        <w:t xml:space="preserve"> used the original incorrect</w:t>
      </w:r>
      <w:r w:rsidR="00763B30">
        <w:rPr>
          <w:iCs/>
        </w:rPr>
        <w:t>ly switched</w:t>
      </w:r>
      <w:r w:rsidR="00517249">
        <w:rPr>
          <w:iCs/>
        </w:rPr>
        <w:t xml:space="preserve"> values for parameters A and B, and should be interpreted with this in mind.</w:t>
      </w:r>
    </w:p>
    <w:p w14:paraId="39AF8E08" w14:textId="77777777" w:rsidR="00763B30" w:rsidRDefault="00517249" w:rsidP="00822346">
      <w:pPr>
        <w:spacing w:before="120" w:line="480" w:lineRule="auto"/>
        <w:rPr>
          <w:iCs/>
        </w:rPr>
      </w:pPr>
      <w:r>
        <w:rPr>
          <w:iCs/>
        </w:rPr>
        <w:t>The authors apologise for the error.</w:t>
      </w:r>
    </w:p>
    <w:p w14:paraId="5E9E40B6" w14:textId="77777777" w:rsidR="00763B30" w:rsidRDefault="00763B30">
      <w:pPr>
        <w:rPr>
          <w:iCs/>
        </w:rPr>
      </w:pPr>
      <w:r>
        <w:rPr>
          <w:iCs/>
        </w:rPr>
        <w:br w:type="page"/>
      </w:r>
    </w:p>
    <w:p w14:paraId="64BA749E" w14:textId="56DC8837" w:rsidR="00763B30" w:rsidRPr="00763B30" w:rsidRDefault="00763B30" w:rsidP="00763B30">
      <w:pPr>
        <w:widowControl w:val="0"/>
        <w:autoSpaceDE w:val="0"/>
        <w:autoSpaceDN w:val="0"/>
        <w:adjustRightInd w:val="0"/>
        <w:spacing w:before="120" w:line="480" w:lineRule="auto"/>
        <w:rPr>
          <w:b/>
          <w:bCs/>
          <w:iCs/>
        </w:rPr>
      </w:pPr>
      <w:r>
        <w:rPr>
          <w:b/>
          <w:bCs/>
          <w:iCs/>
        </w:rPr>
        <w:lastRenderedPageBreak/>
        <w:t>References</w:t>
      </w:r>
    </w:p>
    <w:p w14:paraId="401D87E5" w14:textId="32BBABCC" w:rsidR="00763B30" w:rsidRPr="00763B30" w:rsidRDefault="00763B30" w:rsidP="00763B30">
      <w:pPr>
        <w:widowControl w:val="0"/>
        <w:autoSpaceDE w:val="0"/>
        <w:autoSpaceDN w:val="0"/>
        <w:adjustRightInd w:val="0"/>
        <w:spacing w:before="120" w:line="480" w:lineRule="auto"/>
        <w:rPr>
          <w:rFonts w:ascii="Calibri" w:hAnsi="Calibri" w:cs="Calibri"/>
          <w:noProof/>
        </w:rPr>
      </w:pPr>
      <w:r>
        <w:rPr>
          <w:i/>
        </w:rPr>
        <w:fldChar w:fldCharType="begin" w:fldLock="1"/>
      </w:r>
      <w:r>
        <w:rPr>
          <w:i/>
        </w:rPr>
        <w:instrText xml:space="preserve">ADDIN Mendeley Bibliography CSL_BIBLIOGRAPHY </w:instrText>
      </w:r>
      <w:r>
        <w:rPr>
          <w:i/>
        </w:rPr>
        <w:fldChar w:fldCharType="separate"/>
      </w:r>
      <w:r w:rsidRPr="00763B30">
        <w:rPr>
          <w:rFonts w:ascii="Calibri" w:hAnsi="Calibri" w:cs="Calibri"/>
          <w:noProof/>
        </w:rPr>
        <w:t xml:space="preserve">1. Darlow CA, Hope W. Flomoxef for neonates: extending options for treatment of neonatal sepsis caused by ESBL-producing Enterobacterales [Online ahead of publication]. </w:t>
      </w:r>
      <w:r w:rsidRPr="00763B30">
        <w:rPr>
          <w:rFonts w:ascii="Calibri" w:hAnsi="Calibri" w:cs="Calibri"/>
          <w:i/>
          <w:iCs/>
          <w:noProof/>
        </w:rPr>
        <w:t>J Antimicrob Chemother</w:t>
      </w:r>
      <w:r w:rsidRPr="00763B30">
        <w:rPr>
          <w:rFonts w:ascii="Calibri" w:hAnsi="Calibri" w:cs="Calibri"/>
          <w:noProof/>
        </w:rPr>
        <w:t xml:space="preserve"> 2022; </w:t>
      </w:r>
      <w:r w:rsidRPr="00763B30">
        <w:rPr>
          <w:rFonts w:ascii="Calibri" w:hAnsi="Calibri" w:cs="Calibri"/>
          <w:b/>
          <w:bCs/>
          <w:noProof/>
        </w:rPr>
        <w:t>77</w:t>
      </w:r>
      <w:r w:rsidRPr="00763B30">
        <w:rPr>
          <w:rFonts w:ascii="Calibri" w:hAnsi="Calibri" w:cs="Calibri"/>
          <w:noProof/>
        </w:rPr>
        <w:t>: 711–8. Available at: https://doi.org/10.1093/jac/dkab468.</w:t>
      </w:r>
    </w:p>
    <w:p w14:paraId="47F32EC3" w14:textId="77777777" w:rsidR="00763B30" w:rsidRPr="00763B30" w:rsidRDefault="00763B30" w:rsidP="00763B30">
      <w:pPr>
        <w:widowControl w:val="0"/>
        <w:autoSpaceDE w:val="0"/>
        <w:autoSpaceDN w:val="0"/>
        <w:adjustRightInd w:val="0"/>
        <w:spacing w:before="120" w:line="480" w:lineRule="auto"/>
        <w:rPr>
          <w:rFonts w:ascii="Calibri" w:hAnsi="Calibri" w:cs="Calibri"/>
          <w:noProof/>
        </w:rPr>
      </w:pPr>
      <w:r w:rsidRPr="00763B30">
        <w:rPr>
          <w:rFonts w:ascii="Calibri" w:hAnsi="Calibri" w:cs="Calibri"/>
          <w:noProof/>
        </w:rPr>
        <w:t xml:space="preserve">2. Darlow CA, Hope W. Flomoxef for neonates: extending options for treatment of neonatal sepsis caused by ESBL-producing Enterobacterales—authors’ response. </w:t>
      </w:r>
      <w:r w:rsidRPr="00763B30">
        <w:rPr>
          <w:rFonts w:ascii="Calibri" w:hAnsi="Calibri" w:cs="Calibri"/>
          <w:i/>
          <w:iCs/>
          <w:noProof/>
        </w:rPr>
        <w:t>J Antimicrob Chemother</w:t>
      </w:r>
      <w:r w:rsidRPr="00763B30">
        <w:rPr>
          <w:rFonts w:ascii="Calibri" w:hAnsi="Calibri" w:cs="Calibri"/>
          <w:noProof/>
        </w:rPr>
        <w:t xml:space="preserve"> 2022: dkac072. Available at: https://academic.oup.com/jac/advance-article/doi/10.1093/jac/dkac072/6542102. Accessed March 24, 2022.</w:t>
      </w:r>
    </w:p>
    <w:p w14:paraId="5755CF1F" w14:textId="77777777" w:rsidR="00763B30" w:rsidRPr="00763B30" w:rsidRDefault="00763B30" w:rsidP="00763B30">
      <w:pPr>
        <w:widowControl w:val="0"/>
        <w:autoSpaceDE w:val="0"/>
        <w:autoSpaceDN w:val="0"/>
        <w:adjustRightInd w:val="0"/>
        <w:spacing w:before="120" w:line="480" w:lineRule="auto"/>
        <w:rPr>
          <w:rFonts w:ascii="Calibri" w:hAnsi="Calibri" w:cs="Calibri"/>
          <w:noProof/>
        </w:rPr>
      </w:pPr>
      <w:r w:rsidRPr="00763B30">
        <w:rPr>
          <w:rFonts w:ascii="Calibri" w:hAnsi="Calibri" w:cs="Calibri"/>
          <w:noProof/>
        </w:rPr>
        <w:t xml:space="preserve">3. Standing JF. Comment on: Flomoxef for neonates extending options for treatment of neonatal sepsis caused by ESBL-producing Enterobacterales. </w:t>
      </w:r>
      <w:r w:rsidRPr="00763B30">
        <w:rPr>
          <w:rFonts w:ascii="Calibri" w:hAnsi="Calibri" w:cs="Calibri"/>
          <w:i/>
          <w:iCs/>
          <w:noProof/>
        </w:rPr>
        <w:t>J Antimicrob Chemother</w:t>
      </w:r>
      <w:r w:rsidRPr="00763B30">
        <w:rPr>
          <w:rFonts w:ascii="Calibri" w:hAnsi="Calibri" w:cs="Calibri"/>
          <w:noProof/>
        </w:rPr>
        <w:t xml:space="preserve"> 2022: (In press).</w:t>
      </w:r>
    </w:p>
    <w:p w14:paraId="3610BF40" w14:textId="55A9A904" w:rsidR="00323056" w:rsidRDefault="00763B30" w:rsidP="00822346">
      <w:pPr>
        <w:spacing w:before="120" w:line="480" w:lineRule="auto"/>
        <w:rPr>
          <w:i/>
        </w:rPr>
      </w:pPr>
      <w:r>
        <w:rPr>
          <w:i/>
        </w:rPr>
        <w:fldChar w:fldCharType="end"/>
      </w:r>
      <w:r w:rsidR="00323056" w:rsidRPr="00261EDB">
        <w:rPr>
          <w:i/>
        </w:rPr>
        <w:br w:type="page"/>
      </w:r>
    </w:p>
    <w:p w14:paraId="68C5E939" w14:textId="635BA9E3" w:rsidR="00763B30" w:rsidRPr="00763B30" w:rsidRDefault="00763B30" w:rsidP="00822346">
      <w:pPr>
        <w:spacing w:before="120" w:line="480" w:lineRule="auto"/>
        <w:rPr>
          <w:b/>
          <w:bCs/>
          <w:i/>
        </w:rPr>
      </w:pPr>
      <w:r>
        <w:rPr>
          <w:b/>
          <w:bCs/>
          <w:i/>
        </w:rPr>
        <w:lastRenderedPageBreak/>
        <w:t>Tables</w:t>
      </w:r>
    </w:p>
    <w:tbl>
      <w:tblPr>
        <w:tblStyle w:val="TableGrid"/>
        <w:tblW w:w="8926" w:type="dxa"/>
        <w:tblLook w:val="04A0" w:firstRow="1" w:lastRow="0" w:firstColumn="1" w:lastColumn="0" w:noHBand="0" w:noVBand="1"/>
      </w:tblPr>
      <w:tblGrid>
        <w:gridCol w:w="1886"/>
        <w:gridCol w:w="3212"/>
        <w:gridCol w:w="2268"/>
        <w:gridCol w:w="1560"/>
      </w:tblGrid>
      <w:tr w:rsidR="00763B30" w:rsidRPr="00261EDB" w14:paraId="238479A4" w14:textId="77777777" w:rsidTr="00AE5E22">
        <w:trPr>
          <w:trHeight w:val="589"/>
        </w:trPr>
        <w:tc>
          <w:tcPr>
            <w:tcW w:w="1886" w:type="dxa"/>
            <w:tcBorders>
              <w:bottom w:val="single" w:sz="4" w:space="0" w:color="auto"/>
            </w:tcBorders>
            <w:shd w:val="clear" w:color="auto" w:fill="auto"/>
            <w:vAlign w:val="center"/>
          </w:tcPr>
          <w:p w14:paraId="722ABA79" w14:textId="77777777" w:rsidR="00763B30" w:rsidRPr="00261EDB" w:rsidRDefault="00763B30" w:rsidP="00AE5E22">
            <w:pPr>
              <w:jc w:val="center"/>
              <w:rPr>
                <w:b/>
                <w:bCs/>
                <w:i/>
              </w:rPr>
            </w:pPr>
            <w:r w:rsidRPr="00261EDB">
              <w:rPr>
                <w:b/>
                <w:bCs/>
                <w:i/>
              </w:rPr>
              <w:t>Parameter</w:t>
            </w:r>
          </w:p>
        </w:tc>
        <w:tc>
          <w:tcPr>
            <w:tcW w:w="3212" w:type="dxa"/>
            <w:tcBorders>
              <w:bottom w:val="single" w:sz="4" w:space="0" w:color="auto"/>
            </w:tcBorders>
            <w:shd w:val="clear" w:color="auto" w:fill="auto"/>
            <w:vAlign w:val="center"/>
          </w:tcPr>
          <w:p w14:paraId="6C40B92D" w14:textId="77777777" w:rsidR="00763B30" w:rsidRPr="00261EDB" w:rsidRDefault="00763B30" w:rsidP="00AE5E22">
            <w:pPr>
              <w:jc w:val="center"/>
              <w:rPr>
                <w:b/>
                <w:bCs/>
                <w:i/>
              </w:rPr>
            </w:pPr>
            <w:r w:rsidRPr="00261EDB">
              <w:rPr>
                <w:b/>
                <w:bCs/>
                <w:i/>
              </w:rPr>
              <w:t>Median (95% credibility interval)</w:t>
            </w:r>
          </w:p>
        </w:tc>
        <w:tc>
          <w:tcPr>
            <w:tcW w:w="2268" w:type="dxa"/>
            <w:tcBorders>
              <w:bottom w:val="single" w:sz="4" w:space="0" w:color="auto"/>
            </w:tcBorders>
            <w:shd w:val="clear" w:color="auto" w:fill="auto"/>
            <w:vAlign w:val="center"/>
          </w:tcPr>
          <w:p w14:paraId="0A0CF20E" w14:textId="77777777" w:rsidR="00763B30" w:rsidRPr="00261EDB" w:rsidRDefault="00763B30" w:rsidP="00AE5E22">
            <w:pPr>
              <w:jc w:val="center"/>
              <w:rPr>
                <w:b/>
                <w:bCs/>
                <w:i/>
              </w:rPr>
            </w:pPr>
            <w:r w:rsidRPr="00261EDB">
              <w:rPr>
                <w:b/>
                <w:bCs/>
                <w:i/>
              </w:rPr>
              <w:t>Mean</w:t>
            </w:r>
          </w:p>
        </w:tc>
        <w:tc>
          <w:tcPr>
            <w:tcW w:w="1560" w:type="dxa"/>
            <w:tcBorders>
              <w:bottom w:val="single" w:sz="4" w:space="0" w:color="auto"/>
            </w:tcBorders>
            <w:shd w:val="clear" w:color="auto" w:fill="auto"/>
            <w:vAlign w:val="center"/>
          </w:tcPr>
          <w:p w14:paraId="2DAEBC8F" w14:textId="77777777" w:rsidR="00763B30" w:rsidRPr="00261EDB" w:rsidRDefault="00763B30" w:rsidP="00AE5E22">
            <w:pPr>
              <w:jc w:val="center"/>
              <w:rPr>
                <w:b/>
                <w:bCs/>
                <w:i/>
              </w:rPr>
            </w:pPr>
            <w:r w:rsidRPr="00261EDB">
              <w:rPr>
                <w:b/>
                <w:bCs/>
                <w:i/>
              </w:rPr>
              <w:t>SD</w:t>
            </w:r>
          </w:p>
        </w:tc>
      </w:tr>
      <w:tr w:rsidR="00763B30" w:rsidRPr="00261EDB" w14:paraId="2586C88A" w14:textId="77777777" w:rsidTr="00AE5E22">
        <w:trPr>
          <w:trHeight w:val="289"/>
        </w:trPr>
        <w:tc>
          <w:tcPr>
            <w:tcW w:w="1886" w:type="dxa"/>
            <w:tcBorders>
              <w:bottom w:val="nil"/>
            </w:tcBorders>
          </w:tcPr>
          <w:p w14:paraId="2C3B4B31" w14:textId="77777777" w:rsidR="00763B30" w:rsidRPr="00261EDB" w:rsidRDefault="00763B30" w:rsidP="00AE5E22">
            <w:pPr>
              <w:spacing w:before="120" w:after="120"/>
              <w:rPr>
                <w:i/>
              </w:rPr>
            </w:pPr>
            <w:proofErr w:type="spellStart"/>
            <w:r w:rsidRPr="00261EDB">
              <w:rPr>
                <w:i/>
              </w:rPr>
              <w:t>Cl</w:t>
            </w:r>
            <w:r w:rsidRPr="00261EDB">
              <w:rPr>
                <w:i/>
                <w:vertAlign w:val="subscript"/>
              </w:rPr>
              <w:t>Std</w:t>
            </w:r>
            <w:proofErr w:type="spellEnd"/>
            <w:r w:rsidRPr="00261EDB">
              <w:rPr>
                <w:i/>
                <w:vertAlign w:val="subscript"/>
              </w:rPr>
              <w:t xml:space="preserve"> </w:t>
            </w:r>
            <w:r w:rsidRPr="00261EDB">
              <w:rPr>
                <w:i/>
              </w:rPr>
              <w:t>(L/H/70kg)</w:t>
            </w:r>
          </w:p>
        </w:tc>
        <w:tc>
          <w:tcPr>
            <w:tcW w:w="3212" w:type="dxa"/>
            <w:tcBorders>
              <w:bottom w:val="nil"/>
            </w:tcBorders>
          </w:tcPr>
          <w:p w14:paraId="79C05CA1" w14:textId="77777777" w:rsidR="00763B30" w:rsidRPr="00261EDB" w:rsidRDefault="00763B30" w:rsidP="00AE5E22">
            <w:pPr>
              <w:spacing w:before="120" w:after="120"/>
              <w:jc w:val="center"/>
              <w:rPr>
                <w:i/>
              </w:rPr>
            </w:pPr>
            <w:r w:rsidRPr="00261EDB">
              <w:rPr>
                <w:i/>
              </w:rPr>
              <w:t>24.059 (21.667 – 30.842)</w:t>
            </w:r>
          </w:p>
        </w:tc>
        <w:tc>
          <w:tcPr>
            <w:tcW w:w="2268" w:type="dxa"/>
            <w:tcBorders>
              <w:bottom w:val="nil"/>
            </w:tcBorders>
          </w:tcPr>
          <w:p w14:paraId="63AE97C7" w14:textId="77777777" w:rsidR="00763B30" w:rsidRPr="00261EDB" w:rsidRDefault="00763B30" w:rsidP="00AE5E22">
            <w:pPr>
              <w:spacing w:before="120" w:after="120"/>
              <w:jc w:val="center"/>
              <w:rPr>
                <w:i/>
              </w:rPr>
            </w:pPr>
            <w:r w:rsidRPr="00261EDB">
              <w:rPr>
                <w:i/>
              </w:rPr>
              <w:t>23.759</w:t>
            </w:r>
          </w:p>
        </w:tc>
        <w:tc>
          <w:tcPr>
            <w:tcW w:w="1560" w:type="dxa"/>
            <w:tcBorders>
              <w:bottom w:val="nil"/>
            </w:tcBorders>
          </w:tcPr>
          <w:p w14:paraId="3C01A0E8" w14:textId="77777777" w:rsidR="00763B30" w:rsidRPr="00261EDB" w:rsidRDefault="00763B30" w:rsidP="00AE5E22">
            <w:pPr>
              <w:spacing w:before="120" w:after="120"/>
              <w:jc w:val="center"/>
              <w:rPr>
                <w:i/>
              </w:rPr>
            </w:pPr>
            <w:r w:rsidRPr="00261EDB">
              <w:rPr>
                <w:i/>
              </w:rPr>
              <w:t>10.483</w:t>
            </w:r>
          </w:p>
        </w:tc>
      </w:tr>
      <w:tr w:rsidR="00763B30" w:rsidRPr="00261EDB" w14:paraId="76510FB2" w14:textId="77777777" w:rsidTr="00AE5E22">
        <w:trPr>
          <w:trHeight w:val="300"/>
        </w:trPr>
        <w:tc>
          <w:tcPr>
            <w:tcW w:w="1886" w:type="dxa"/>
            <w:tcBorders>
              <w:top w:val="nil"/>
              <w:bottom w:val="nil"/>
            </w:tcBorders>
          </w:tcPr>
          <w:p w14:paraId="3EC80AF5" w14:textId="77777777" w:rsidR="00763B30" w:rsidRPr="00261EDB" w:rsidRDefault="00763B30" w:rsidP="00AE5E22">
            <w:pPr>
              <w:spacing w:before="120" w:after="120"/>
              <w:rPr>
                <w:i/>
              </w:rPr>
            </w:pPr>
            <w:proofErr w:type="spellStart"/>
            <w:r w:rsidRPr="00261EDB">
              <w:rPr>
                <w:i/>
              </w:rPr>
              <w:t>V</w:t>
            </w:r>
            <w:r w:rsidRPr="00261EDB">
              <w:rPr>
                <w:i/>
                <w:vertAlign w:val="subscript"/>
              </w:rPr>
              <w:t>Std</w:t>
            </w:r>
            <w:proofErr w:type="spellEnd"/>
            <w:r w:rsidRPr="00261EDB">
              <w:rPr>
                <w:i/>
              </w:rPr>
              <w:t xml:space="preserve"> (L/70kg)</w:t>
            </w:r>
          </w:p>
        </w:tc>
        <w:tc>
          <w:tcPr>
            <w:tcW w:w="3212" w:type="dxa"/>
            <w:tcBorders>
              <w:top w:val="nil"/>
              <w:bottom w:val="nil"/>
            </w:tcBorders>
          </w:tcPr>
          <w:p w14:paraId="1B593505" w14:textId="77777777" w:rsidR="00763B30" w:rsidRPr="00261EDB" w:rsidRDefault="00763B30" w:rsidP="00AE5E22">
            <w:pPr>
              <w:spacing w:before="120" w:after="120"/>
              <w:jc w:val="center"/>
              <w:rPr>
                <w:i/>
              </w:rPr>
            </w:pPr>
            <w:r w:rsidRPr="00261EDB">
              <w:rPr>
                <w:i/>
              </w:rPr>
              <w:t>19.595 (18.23 – 21.585)</w:t>
            </w:r>
          </w:p>
        </w:tc>
        <w:tc>
          <w:tcPr>
            <w:tcW w:w="2268" w:type="dxa"/>
            <w:tcBorders>
              <w:top w:val="nil"/>
              <w:bottom w:val="nil"/>
            </w:tcBorders>
          </w:tcPr>
          <w:p w14:paraId="4853B664" w14:textId="77777777" w:rsidR="00763B30" w:rsidRPr="00261EDB" w:rsidRDefault="00763B30" w:rsidP="00AE5E22">
            <w:pPr>
              <w:spacing w:before="120" w:after="120"/>
              <w:jc w:val="center"/>
              <w:rPr>
                <w:i/>
              </w:rPr>
            </w:pPr>
            <w:r w:rsidRPr="00261EDB">
              <w:rPr>
                <w:i/>
              </w:rPr>
              <w:t>22.499</w:t>
            </w:r>
          </w:p>
        </w:tc>
        <w:tc>
          <w:tcPr>
            <w:tcW w:w="1560" w:type="dxa"/>
            <w:tcBorders>
              <w:top w:val="nil"/>
              <w:bottom w:val="nil"/>
            </w:tcBorders>
          </w:tcPr>
          <w:p w14:paraId="4E88EF4C" w14:textId="77777777" w:rsidR="00763B30" w:rsidRPr="00261EDB" w:rsidRDefault="00763B30" w:rsidP="00AE5E22">
            <w:pPr>
              <w:spacing w:before="120" w:after="120"/>
              <w:jc w:val="center"/>
              <w:rPr>
                <w:i/>
              </w:rPr>
            </w:pPr>
            <w:r w:rsidRPr="00261EDB">
              <w:rPr>
                <w:i/>
              </w:rPr>
              <w:t>13.361</w:t>
            </w:r>
          </w:p>
        </w:tc>
      </w:tr>
      <w:tr w:rsidR="00763B30" w:rsidRPr="00261EDB" w14:paraId="7BA80667" w14:textId="77777777" w:rsidTr="00AE5E22">
        <w:trPr>
          <w:trHeight w:val="289"/>
        </w:trPr>
        <w:tc>
          <w:tcPr>
            <w:tcW w:w="1886" w:type="dxa"/>
            <w:tcBorders>
              <w:top w:val="nil"/>
              <w:bottom w:val="nil"/>
            </w:tcBorders>
          </w:tcPr>
          <w:p w14:paraId="1ED41EBF" w14:textId="77777777" w:rsidR="00763B30" w:rsidRPr="00261EDB" w:rsidRDefault="00763B30" w:rsidP="00AE5E22">
            <w:pPr>
              <w:spacing w:before="120" w:after="120"/>
              <w:rPr>
                <w:i/>
              </w:rPr>
            </w:pPr>
            <w:r w:rsidRPr="00261EDB">
              <w:rPr>
                <w:i/>
              </w:rPr>
              <w:t>KCP (h</w:t>
            </w:r>
            <w:r w:rsidRPr="00261EDB">
              <w:rPr>
                <w:i/>
                <w:vertAlign w:val="superscript"/>
              </w:rPr>
              <w:t>-1</w:t>
            </w:r>
            <w:r w:rsidRPr="00261EDB">
              <w:rPr>
                <w:i/>
              </w:rPr>
              <w:t>)</w:t>
            </w:r>
          </w:p>
        </w:tc>
        <w:tc>
          <w:tcPr>
            <w:tcW w:w="3212" w:type="dxa"/>
            <w:tcBorders>
              <w:top w:val="nil"/>
              <w:bottom w:val="nil"/>
            </w:tcBorders>
          </w:tcPr>
          <w:p w14:paraId="4AAC3B43" w14:textId="77777777" w:rsidR="00763B30" w:rsidRPr="00261EDB" w:rsidRDefault="00763B30" w:rsidP="00AE5E22">
            <w:pPr>
              <w:spacing w:before="120" w:after="120"/>
              <w:jc w:val="center"/>
              <w:rPr>
                <w:i/>
              </w:rPr>
            </w:pPr>
            <w:r w:rsidRPr="00261EDB">
              <w:rPr>
                <w:i/>
              </w:rPr>
              <w:t>2.770 (1.709 – 4.696)</w:t>
            </w:r>
          </w:p>
        </w:tc>
        <w:tc>
          <w:tcPr>
            <w:tcW w:w="2268" w:type="dxa"/>
            <w:tcBorders>
              <w:top w:val="nil"/>
              <w:bottom w:val="nil"/>
            </w:tcBorders>
          </w:tcPr>
          <w:p w14:paraId="4C6A43D1" w14:textId="77777777" w:rsidR="00763B30" w:rsidRPr="00261EDB" w:rsidRDefault="00763B30" w:rsidP="00AE5E22">
            <w:pPr>
              <w:spacing w:before="120" w:after="120"/>
              <w:jc w:val="center"/>
              <w:rPr>
                <w:i/>
              </w:rPr>
            </w:pPr>
            <w:r w:rsidRPr="00261EDB">
              <w:rPr>
                <w:i/>
              </w:rPr>
              <w:t>5.890</w:t>
            </w:r>
          </w:p>
        </w:tc>
        <w:tc>
          <w:tcPr>
            <w:tcW w:w="1560" w:type="dxa"/>
            <w:tcBorders>
              <w:top w:val="nil"/>
              <w:bottom w:val="nil"/>
            </w:tcBorders>
          </w:tcPr>
          <w:p w14:paraId="23B897E6" w14:textId="77777777" w:rsidR="00763B30" w:rsidRPr="00261EDB" w:rsidRDefault="00763B30" w:rsidP="00AE5E22">
            <w:pPr>
              <w:spacing w:before="120" w:after="120"/>
              <w:jc w:val="center"/>
              <w:rPr>
                <w:i/>
              </w:rPr>
            </w:pPr>
            <w:r w:rsidRPr="00261EDB">
              <w:rPr>
                <w:i/>
              </w:rPr>
              <w:t>6.516</w:t>
            </w:r>
          </w:p>
        </w:tc>
      </w:tr>
      <w:tr w:rsidR="00763B30" w:rsidRPr="00261EDB" w14:paraId="39597330" w14:textId="77777777" w:rsidTr="00AE5E22">
        <w:trPr>
          <w:trHeight w:val="289"/>
        </w:trPr>
        <w:tc>
          <w:tcPr>
            <w:tcW w:w="1886" w:type="dxa"/>
            <w:tcBorders>
              <w:top w:val="nil"/>
              <w:bottom w:val="nil"/>
            </w:tcBorders>
          </w:tcPr>
          <w:p w14:paraId="780A91EE" w14:textId="77777777" w:rsidR="00763B30" w:rsidRPr="00261EDB" w:rsidRDefault="00763B30" w:rsidP="00AE5E22">
            <w:pPr>
              <w:spacing w:before="120" w:after="120"/>
              <w:rPr>
                <w:i/>
              </w:rPr>
            </w:pPr>
            <w:r w:rsidRPr="00261EDB">
              <w:rPr>
                <w:i/>
              </w:rPr>
              <w:t>KPC (h</w:t>
            </w:r>
            <w:r w:rsidRPr="00261EDB">
              <w:rPr>
                <w:i/>
                <w:vertAlign w:val="superscript"/>
              </w:rPr>
              <w:t>-1</w:t>
            </w:r>
            <w:r w:rsidRPr="00261EDB">
              <w:rPr>
                <w:i/>
              </w:rPr>
              <w:t>)</w:t>
            </w:r>
          </w:p>
        </w:tc>
        <w:tc>
          <w:tcPr>
            <w:tcW w:w="3212" w:type="dxa"/>
            <w:tcBorders>
              <w:top w:val="nil"/>
              <w:bottom w:val="nil"/>
            </w:tcBorders>
          </w:tcPr>
          <w:p w14:paraId="488D42AF" w14:textId="77777777" w:rsidR="00763B30" w:rsidRPr="00261EDB" w:rsidRDefault="00763B30" w:rsidP="00AE5E22">
            <w:pPr>
              <w:spacing w:before="120" w:after="120"/>
              <w:jc w:val="center"/>
              <w:rPr>
                <w:i/>
              </w:rPr>
            </w:pPr>
            <w:r w:rsidRPr="00261EDB">
              <w:rPr>
                <w:i/>
              </w:rPr>
              <w:t>7.007 (2.438 – 13.201)</w:t>
            </w:r>
          </w:p>
        </w:tc>
        <w:tc>
          <w:tcPr>
            <w:tcW w:w="2268" w:type="dxa"/>
            <w:tcBorders>
              <w:top w:val="nil"/>
              <w:bottom w:val="nil"/>
            </w:tcBorders>
          </w:tcPr>
          <w:p w14:paraId="6E440AB7" w14:textId="77777777" w:rsidR="00763B30" w:rsidRPr="00261EDB" w:rsidRDefault="00763B30" w:rsidP="00AE5E22">
            <w:pPr>
              <w:spacing w:before="120" w:after="120"/>
              <w:jc w:val="center"/>
              <w:rPr>
                <w:i/>
              </w:rPr>
            </w:pPr>
            <w:r w:rsidRPr="00261EDB">
              <w:rPr>
                <w:i/>
              </w:rPr>
              <w:t>11.443</w:t>
            </w:r>
          </w:p>
        </w:tc>
        <w:tc>
          <w:tcPr>
            <w:tcW w:w="1560" w:type="dxa"/>
            <w:tcBorders>
              <w:top w:val="nil"/>
              <w:bottom w:val="nil"/>
            </w:tcBorders>
          </w:tcPr>
          <w:p w14:paraId="435BF1D6" w14:textId="77777777" w:rsidR="00763B30" w:rsidRPr="00261EDB" w:rsidRDefault="00763B30" w:rsidP="00AE5E22">
            <w:pPr>
              <w:spacing w:before="120" w:after="120"/>
              <w:jc w:val="center"/>
              <w:rPr>
                <w:i/>
              </w:rPr>
            </w:pPr>
            <w:r w:rsidRPr="00261EDB">
              <w:rPr>
                <w:i/>
              </w:rPr>
              <w:t>10.764</w:t>
            </w:r>
          </w:p>
        </w:tc>
      </w:tr>
      <w:tr w:rsidR="00763B30" w:rsidRPr="00261EDB" w14:paraId="174131AF" w14:textId="77777777" w:rsidTr="00AE5E22">
        <w:trPr>
          <w:trHeight w:val="300"/>
        </w:trPr>
        <w:tc>
          <w:tcPr>
            <w:tcW w:w="1886" w:type="dxa"/>
            <w:tcBorders>
              <w:top w:val="nil"/>
              <w:bottom w:val="nil"/>
            </w:tcBorders>
          </w:tcPr>
          <w:p w14:paraId="37A4C71D" w14:textId="77777777" w:rsidR="00763B30" w:rsidRPr="00261EDB" w:rsidRDefault="00763B30" w:rsidP="00AE5E22">
            <w:pPr>
              <w:spacing w:before="120" w:after="120"/>
              <w:rPr>
                <w:i/>
              </w:rPr>
            </w:pPr>
            <w:r w:rsidRPr="00261EDB">
              <w:rPr>
                <w:i/>
              </w:rPr>
              <w:t>A</w:t>
            </w:r>
          </w:p>
        </w:tc>
        <w:tc>
          <w:tcPr>
            <w:tcW w:w="3212" w:type="dxa"/>
            <w:tcBorders>
              <w:top w:val="nil"/>
              <w:bottom w:val="nil"/>
            </w:tcBorders>
          </w:tcPr>
          <w:p w14:paraId="477772BC" w14:textId="77777777" w:rsidR="00763B30" w:rsidRPr="00261EDB" w:rsidRDefault="00763B30" w:rsidP="00AE5E22">
            <w:pPr>
              <w:spacing w:before="120" w:after="120"/>
              <w:jc w:val="center"/>
              <w:rPr>
                <w:i/>
              </w:rPr>
            </w:pPr>
            <w:r w:rsidRPr="00261EDB">
              <w:rPr>
                <w:i/>
              </w:rPr>
              <w:t>0.350 (0.299 – 0.458)</w:t>
            </w:r>
          </w:p>
        </w:tc>
        <w:tc>
          <w:tcPr>
            <w:tcW w:w="2268" w:type="dxa"/>
            <w:tcBorders>
              <w:top w:val="nil"/>
              <w:bottom w:val="nil"/>
            </w:tcBorders>
          </w:tcPr>
          <w:p w14:paraId="4C796FE9" w14:textId="77777777" w:rsidR="00763B30" w:rsidRPr="00261EDB" w:rsidRDefault="00763B30" w:rsidP="00AE5E22">
            <w:pPr>
              <w:spacing w:before="120" w:after="120"/>
              <w:jc w:val="center"/>
              <w:rPr>
                <w:i/>
              </w:rPr>
            </w:pPr>
            <w:r w:rsidRPr="00261EDB">
              <w:rPr>
                <w:i/>
              </w:rPr>
              <w:t>0.400</w:t>
            </w:r>
          </w:p>
        </w:tc>
        <w:tc>
          <w:tcPr>
            <w:tcW w:w="1560" w:type="dxa"/>
            <w:tcBorders>
              <w:top w:val="nil"/>
              <w:bottom w:val="nil"/>
            </w:tcBorders>
          </w:tcPr>
          <w:p w14:paraId="69C720C6" w14:textId="77777777" w:rsidR="00763B30" w:rsidRPr="00261EDB" w:rsidRDefault="00763B30" w:rsidP="00AE5E22">
            <w:pPr>
              <w:spacing w:before="120" w:after="120"/>
              <w:jc w:val="center"/>
              <w:rPr>
                <w:i/>
              </w:rPr>
            </w:pPr>
            <w:r w:rsidRPr="00261EDB">
              <w:rPr>
                <w:i/>
              </w:rPr>
              <w:t>0.233</w:t>
            </w:r>
          </w:p>
        </w:tc>
      </w:tr>
      <w:tr w:rsidR="00763B30" w:rsidRPr="00261EDB" w14:paraId="64D22681" w14:textId="77777777" w:rsidTr="00AE5E22">
        <w:trPr>
          <w:trHeight w:val="300"/>
        </w:trPr>
        <w:tc>
          <w:tcPr>
            <w:tcW w:w="1886" w:type="dxa"/>
            <w:tcBorders>
              <w:top w:val="nil"/>
              <w:bottom w:val="single" w:sz="4" w:space="0" w:color="auto"/>
            </w:tcBorders>
          </w:tcPr>
          <w:p w14:paraId="3B1BD3AD" w14:textId="77777777" w:rsidR="00763B30" w:rsidRPr="00261EDB" w:rsidRDefault="00763B30" w:rsidP="00AE5E22">
            <w:pPr>
              <w:spacing w:before="120" w:after="120"/>
              <w:rPr>
                <w:i/>
              </w:rPr>
            </w:pPr>
            <w:r w:rsidRPr="00261EDB">
              <w:rPr>
                <w:i/>
              </w:rPr>
              <w:t>B</w:t>
            </w:r>
          </w:p>
        </w:tc>
        <w:tc>
          <w:tcPr>
            <w:tcW w:w="3212" w:type="dxa"/>
            <w:tcBorders>
              <w:top w:val="nil"/>
              <w:bottom w:val="single" w:sz="4" w:space="0" w:color="auto"/>
            </w:tcBorders>
          </w:tcPr>
          <w:p w14:paraId="35946A2A" w14:textId="77777777" w:rsidR="00763B30" w:rsidRPr="00261EDB" w:rsidRDefault="00763B30" w:rsidP="00AE5E22">
            <w:pPr>
              <w:spacing w:before="120" w:after="120"/>
              <w:jc w:val="center"/>
              <w:rPr>
                <w:i/>
              </w:rPr>
            </w:pPr>
            <w:r w:rsidRPr="00261EDB">
              <w:rPr>
                <w:i/>
              </w:rPr>
              <w:t>0.744 (0.695 – 0.790)</w:t>
            </w:r>
          </w:p>
        </w:tc>
        <w:tc>
          <w:tcPr>
            <w:tcW w:w="2268" w:type="dxa"/>
            <w:tcBorders>
              <w:top w:val="nil"/>
              <w:bottom w:val="single" w:sz="4" w:space="0" w:color="auto"/>
            </w:tcBorders>
          </w:tcPr>
          <w:p w14:paraId="19B9B0B1" w14:textId="77777777" w:rsidR="00763B30" w:rsidRPr="00261EDB" w:rsidRDefault="00763B30" w:rsidP="00AE5E22">
            <w:pPr>
              <w:spacing w:before="120" w:after="120"/>
              <w:jc w:val="center"/>
              <w:rPr>
                <w:i/>
              </w:rPr>
            </w:pPr>
            <w:r w:rsidRPr="00261EDB">
              <w:rPr>
                <w:i/>
              </w:rPr>
              <w:t>0.693</w:t>
            </w:r>
          </w:p>
        </w:tc>
        <w:tc>
          <w:tcPr>
            <w:tcW w:w="1560" w:type="dxa"/>
            <w:tcBorders>
              <w:top w:val="nil"/>
              <w:bottom w:val="single" w:sz="4" w:space="0" w:color="auto"/>
            </w:tcBorders>
          </w:tcPr>
          <w:p w14:paraId="03BC2B34" w14:textId="77777777" w:rsidR="00763B30" w:rsidRPr="00261EDB" w:rsidRDefault="00763B30" w:rsidP="00AE5E22">
            <w:pPr>
              <w:spacing w:before="120" w:after="120"/>
              <w:jc w:val="center"/>
              <w:rPr>
                <w:i/>
              </w:rPr>
            </w:pPr>
            <w:r w:rsidRPr="00261EDB">
              <w:rPr>
                <w:i/>
              </w:rPr>
              <w:t>0.260</w:t>
            </w:r>
          </w:p>
        </w:tc>
      </w:tr>
    </w:tbl>
    <w:p w14:paraId="6D1C210A" w14:textId="77777777" w:rsidR="00763B30" w:rsidRPr="00261EDB" w:rsidRDefault="00763B30" w:rsidP="00763B30">
      <w:pPr>
        <w:spacing w:before="120" w:line="480" w:lineRule="auto"/>
        <w:rPr>
          <w:i/>
        </w:rPr>
      </w:pPr>
      <w:r w:rsidRPr="00261EDB">
        <w:rPr>
          <w:i/>
        </w:rPr>
        <w:t xml:space="preserve">Table 2 – Median, mean and variance parameter values from final PopPK model. </w:t>
      </w:r>
      <w:proofErr w:type="spellStart"/>
      <w:r w:rsidRPr="00261EDB">
        <w:rPr>
          <w:i/>
        </w:rPr>
        <w:t>Cl</w:t>
      </w:r>
      <w:r w:rsidRPr="00261EDB">
        <w:rPr>
          <w:i/>
          <w:vertAlign w:val="subscript"/>
        </w:rPr>
        <w:t>Std</w:t>
      </w:r>
      <w:proofErr w:type="spellEnd"/>
      <w:r w:rsidRPr="00261EDB">
        <w:rPr>
          <w:i/>
        </w:rPr>
        <w:t xml:space="preserve"> and </w:t>
      </w:r>
      <w:proofErr w:type="spellStart"/>
      <w:r w:rsidRPr="00261EDB">
        <w:rPr>
          <w:i/>
        </w:rPr>
        <w:t>V</w:t>
      </w:r>
      <w:r w:rsidRPr="00261EDB">
        <w:rPr>
          <w:i/>
          <w:vertAlign w:val="subscript"/>
        </w:rPr>
        <w:t>Std</w:t>
      </w:r>
      <w:proofErr w:type="spellEnd"/>
      <w:r w:rsidRPr="00261EDB">
        <w:rPr>
          <w:i/>
        </w:rPr>
        <w:t xml:space="preserve"> are estimated standardised clearances and volume of distribution values, adjusted for weight +/- age. KCP and KPC are kinetic constants determining movement from the central and peripheral compartments and vice versa. A and B are the estimated exponents for weight and age for clearance.</w:t>
      </w:r>
    </w:p>
    <w:p w14:paraId="2634DAE4" w14:textId="77777777" w:rsidR="00763B30" w:rsidRPr="00261EDB" w:rsidRDefault="00763B30" w:rsidP="00822346">
      <w:pPr>
        <w:spacing w:before="120" w:line="480" w:lineRule="auto"/>
        <w:rPr>
          <w:i/>
        </w:rPr>
      </w:pPr>
    </w:p>
    <w:sectPr w:rsidR="00763B30" w:rsidRPr="00261EDB" w:rsidSect="00FF3739">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C1563"/>
    <w:multiLevelType w:val="hybridMultilevel"/>
    <w:tmpl w:val="0C36E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6F"/>
    <w:rsid w:val="00005F75"/>
    <w:rsid w:val="000065A1"/>
    <w:rsid w:val="00007E71"/>
    <w:rsid w:val="00020F85"/>
    <w:rsid w:val="000255B1"/>
    <w:rsid w:val="00031889"/>
    <w:rsid w:val="00032159"/>
    <w:rsid w:val="000349D7"/>
    <w:rsid w:val="00036949"/>
    <w:rsid w:val="00040B6E"/>
    <w:rsid w:val="00041B50"/>
    <w:rsid w:val="00053283"/>
    <w:rsid w:val="00070AC8"/>
    <w:rsid w:val="0007151D"/>
    <w:rsid w:val="000842D1"/>
    <w:rsid w:val="00084AC2"/>
    <w:rsid w:val="00087AA9"/>
    <w:rsid w:val="00096BFE"/>
    <w:rsid w:val="000B407A"/>
    <w:rsid w:val="000B725F"/>
    <w:rsid w:val="000C5B22"/>
    <w:rsid w:val="000E32DD"/>
    <w:rsid w:val="000E390C"/>
    <w:rsid w:val="000F6FE7"/>
    <w:rsid w:val="00104F79"/>
    <w:rsid w:val="00112696"/>
    <w:rsid w:val="00130343"/>
    <w:rsid w:val="001335FE"/>
    <w:rsid w:val="0014006B"/>
    <w:rsid w:val="001420E3"/>
    <w:rsid w:val="00147481"/>
    <w:rsid w:val="0014792D"/>
    <w:rsid w:val="00152C85"/>
    <w:rsid w:val="001623A5"/>
    <w:rsid w:val="00163010"/>
    <w:rsid w:val="0016776D"/>
    <w:rsid w:val="001A3C00"/>
    <w:rsid w:val="001B5CC7"/>
    <w:rsid w:val="001C0058"/>
    <w:rsid w:val="001C5EE1"/>
    <w:rsid w:val="001D5B3B"/>
    <w:rsid w:val="001E2FEC"/>
    <w:rsid w:val="0021709A"/>
    <w:rsid w:val="00221515"/>
    <w:rsid w:val="00224270"/>
    <w:rsid w:val="00225016"/>
    <w:rsid w:val="00225CCA"/>
    <w:rsid w:val="00226627"/>
    <w:rsid w:val="00227F7E"/>
    <w:rsid w:val="00254F2D"/>
    <w:rsid w:val="002616BB"/>
    <w:rsid w:val="00261EDB"/>
    <w:rsid w:val="00266271"/>
    <w:rsid w:val="00273F6C"/>
    <w:rsid w:val="00277E16"/>
    <w:rsid w:val="002830E6"/>
    <w:rsid w:val="002A0F01"/>
    <w:rsid w:val="002A1BF6"/>
    <w:rsid w:val="002B02DF"/>
    <w:rsid w:val="002B3BD5"/>
    <w:rsid w:val="002C54C4"/>
    <w:rsid w:val="002D015B"/>
    <w:rsid w:val="002D529C"/>
    <w:rsid w:val="002D7D4A"/>
    <w:rsid w:val="002E4B0D"/>
    <w:rsid w:val="002E4B8A"/>
    <w:rsid w:val="002E7B1D"/>
    <w:rsid w:val="002F0A9A"/>
    <w:rsid w:val="002F3073"/>
    <w:rsid w:val="002F67CC"/>
    <w:rsid w:val="00312FE1"/>
    <w:rsid w:val="0031419B"/>
    <w:rsid w:val="00323056"/>
    <w:rsid w:val="00335E08"/>
    <w:rsid w:val="0033611B"/>
    <w:rsid w:val="003378D4"/>
    <w:rsid w:val="00343344"/>
    <w:rsid w:val="00361D36"/>
    <w:rsid w:val="00367D93"/>
    <w:rsid w:val="003A7383"/>
    <w:rsid w:val="003A7A46"/>
    <w:rsid w:val="003C0E82"/>
    <w:rsid w:val="003C64E4"/>
    <w:rsid w:val="003C6D74"/>
    <w:rsid w:val="003D0C20"/>
    <w:rsid w:val="003D21F2"/>
    <w:rsid w:val="003D23D7"/>
    <w:rsid w:val="003D2FA6"/>
    <w:rsid w:val="003D464F"/>
    <w:rsid w:val="003E0000"/>
    <w:rsid w:val="003E7E9A"/>
    <w:rsid w:val="003F5F05"/>
    <w:rsid w:val="003F7F6C"/>
    <w:rsid w:val="0040230F"/>
    <w:rsid w:val="0040378C"/>
    <w:rsid w:val="00413CBB"/>
    <w:rsid w:val="00416DC3"/>
    <w:rsid w:val="00437E85"/>
    <w:rsid w:val="00441A32"/>
    <w:rsid w:val="00461A43"/>
    <w:rsid w:val="004774BC"/>
    <w:rsid w:val="00483B41"/>
    <w:rsid w:val="00493775"/>
    <w:rsid w:val="004A7053"/>
    <w:rsid w:val="004B5012"/>
    <w:rsid w:val="004C02EA"/>
    <w:rsid w:val="004C6F17"/>
    <w:rsid w:val="004D1438"/>
    <w:rsid w:val="004E416F"/>
    <w:rsid w:val="004F00FB"/>
    <w:rsid w:val="004F2644"/>
    <w:rsid w:val="004F4A04"/>
    <w:rsid w:val="00504AD2"/>
    <w:rsid w:val="00517249"/>
    <w:rsid w:val="005177E3"/>
    <w:rsid w:val="005423CC"/>
    <w:rsid w:val="00550F5E"/>
    <w:rsid w:val="00555817"/>
    <w:rsid w:val="00563D8F"/>
    <w:rsid w:val="00564219"/>
    <w:rsid w:val="00574BFE"/>
    <w:rsid w:val="005848B1"/>
    <w:rsid w:val="00597EED"/>
    <w:rsid w:val="005B7CA0"/>
    <w:rsid w:val="005B7E00"/>
    <w:rsid w:val="005E497F"/>
    <w:rsid w:val="005F0C95"/>
    <w:rsid w:val="005F0FFC"/>
    <w:rsid w:val="005F3E78"/>
    <w:rsid w:val="00602F32"/>
    <w:rsid w:val="00612B48"/>
    <w:rsid w:val="00614FE5"/>
    <w:rsid w:val="006321F0"/>
    <w:rsid w:val="0065609F"/>
    <w:rsid w:val="0065633B"/>
    <w:rsid w:val="00666F70"/>
    <w:rsid w:val="00676613"/>
    <w:rsid w:val="006A14E8"/>
    <w:rsid w:val="006B1E53"/>
    <w:rsid w:val="006D2D27"/>
    <w:rsid w:val="006D630E"/>
    <w:rsid w:val="006D6E63"/>
    <w:rsid w:val="006F7D49"/>
    <w:rsid w:val="00701C86"/>
    <w:rsid w:val="007079F4"/>
    <w:rsid w:val="00716573"/>
    <w:rsid w:val="00720819"/>
    <w:rsid w:val="007333D0"/>
    <w:rsid w:val="00741149"/>
    <w:rsid w:val="00763B30"/>
    <w:rsid w:val="007778E3"/>
    <w:rsid w:val="00784D12"/>
    <w:rsid w:val="0079588B"/>
    <w:rsid w:val="007A573A"/>
    <w:rsid w:val="007B24B8"/>
    <w:rsid w:val="007C1711"/>
    <w:rsid w:val="007D007A"/>
    <w:rsid w:val="007D5452"/>
    <w:rsid w:val="007D6321"/>
    <w:rsid w:val="007F0666"/>
    <w:rsid w:val="00800C25"/>
    <w:rsid w:val="00803191"/>
    <w:rsid w:val="00822346"/>
    <w:rsid w:val="00826683"/>
    <w:rsid w:val="00831F1D"/>
    <w:rsid w:val="0085087F"/>
    <w:rsid w:val="00854940"/>
    <w:rsid w:val="008559CB"/>
    <w:rsid w:val="00876007"/>
    <w:rsid w:val="00876B78"/>
    <w:rsid w:val="00876B7B"/>
    <w:rsid w:val="00884095"/>
    <w:rsid w:val="0088473E"/>
    <w:rsid w:val="008A3FF2"/>
    <w:rsid w:val="008B1B4E"/>
    <w:rsid w:val="008C2B67"/>
    <w:rsid w:val="008C3FB8"/>
    <w:rsid w:val="008D402A"/>
    <w:rsid w:val="008D54DE"/>
    <w:rsid w:val="009156FF"/>
    <w:rsid w:val="0092080E"/>
    <w:rsid w:val="00930647"/>
    <w:rsid w:val="009363E7"/>
    <w:rsid w:val="00947E38"/>
    <w:rsid w:val="009641C1"/>
    <w:rsid w:val="00977F0B"/>
    <w:rsid w:val="009836FA"/>
    <w:rsid w:val="0098690E"/>
    <w:rsid w:val="009950A8"/>
    <w:rsid w:val="009A391C"/>
    <w:rsid w:val="009A6B5E"/>
    <w:rsid w:val="009B24B2"/>
    <w:rsid w:val="009B2D20"/>
    <w:rsid w:val="009C5279"/>
    <w:rsid w:val="009E0D98"/>
    <w:rsid w:val="009E2757"/>
    <w:rsid w:val="009F7202"/>
    <w:rsid w:val="00A02EF0"/>
    <w:rsid w:val="00A03AAD"/>
    <w:rsid w:val="00A111DD"/>
    <w:rsid w:val="00A26F91"/>
    <w:rsid w:val="00A27001"/>
    <w:rsid w:val="00A34FF7"/>
    <w:rsid w:val="00A400B6"/>
    <w:rsid w:val="00A63E34"/>
    <w:rsid w:val="00A66164"/>
    <w:rsid w:val="00A668D7"/>
    <w:rsid w:val="00A74F1F"/>
    <w:rsid w:val="00A95F2F"/>
    <w:rsid w:val="00AA42AA"/>
    <w:rsid w:val="00AB55E7"/>
    <w:rsid w:val="00AC0AD8"/>
    <w:rsid w:val="00AC1C72"/>
    <w:rsid w:val="00AE6EE0"/>
    <w:rsid w:val="00AE7D9F"/>
    <w:rsid w:val="00AF3C85"/>
    <w:rsid w:val="00B17F2C"/>
    <w:rsid w:val="00B235B8"/>
    <w:rsid w:val="00B43577"/>
    <w:rsid w:val="00B501D8"/>
    <w:rsid w:val="00B50EC7"/>
    <w:rsid w:val="00B53853"/>
    <w:rsid w:val="00B558B0"/>
    <w:rsid w:val="00B56048"/>
    <w:rsid w:val="00B65A56"/>
    <w:rsid w:val="00B67BEA"/>
    <w:rsid w:val="00B74B8C"/>
    <w:rsid w:val="00B80FB8"/>
    <w:rsid w:val="00B944A6"/>
    <w:rsid w:val="00B950D2"/>
    <w:rsid w:val="00BA2990"/>
    <w:rsid w:val="00BB31C2"/>
    <w:rsid w:val="00BC5FD8"/>
    <w:rsid w:val="00BE1AC5"/>
    <w:rsid w:val="00BE478F"/>
    <w:rsid w:val="00BF1E91"/>
    <w:rsid w:val="00C008CF"/>
    <w:rsid w:val="00C013FF"/>
    <w:rsid w:val="00C105B2"/>
    <w:rsid w:val="00C1093A"/>
    <w:rsid w:val="00C118F5"/>
    <w:rsid w:val="00C15F5C"/>
    <w:rsid w:val="00C209BB"/>
    <w:rsid w:val="00C26075"/>
    <w:rsid w:val="00C3347F"/>
    <w:rsid w:val="00C43B76"/>
    <w:rsid w:val="00C737C6"/>
    <w:rsid w:val="00C75498"/>
    <w:rsid w:val="00C84E51"/>
    <w:rsid w:val="00C960DD"/>
    <w:rsid w:val="00CB5103"/>
    <w:rsid w:val="00CC6779"/>
    <w:rsid w:val="00CF3EA0"/>
    <w:rsid w:val="00CF4410"/>
    <w:rsid w:val="00D13260"/>
    <w:rsid w:val="00D245E5"/>
    <w:rsid w:val="00D3413E"/>
    <w:rsid w:val="00D67172"/>
    <w:rsid w:val="00D76D29"/>
    <w:rsid w:val="00D800A5"/>
    <w:rsid w:val="00D83BB2"/>
    <w:rsid w:val="00D97031"/>
    <w:rsid w:val="00DA5166"/>
    <w:rsid w:val="00DD0300"/>
    <w:rsid w:val="00DD0DB7"/>
    <w:rsid w:val="00DD1194"/>
    <w:rsid w:val="00DD6FB7"/>
    <w:rsid w:val="00DE55A3"/>
    <w:rsid w:val="00DF1B4B"/>
    <w:rsid w:val="00DF1F3D"/>
    <w:rsid w:val="00E05948"/>
    <w:rsid w:val="00E113EF"/>
    <w:rsid w:val="00E139AE"/>
    <w:rsid w:val="00E24831"/>
    <w:rsid w:val="00E3098F"/>
    <w:rsid w:val="00E42FEF"/>
    <w:rsid w:val="00E4489C"/>
    <w:rsid w:val="00E501D4"/>
    <w:rsid w:val="00E63A20"/>
    <w:rsid w:val="00E86DDF"/>
    <w:rsid w:val="00EA0BD6"/>
    <w:rsid w:val="00EA202E"/>
    <w:rsid w:val="00EA7440"/>
    <w:rsid w:val="00EC0919"/>
    <w:rsid w:val="00ED1A14"/>
    <w:rsid w:val="00EE3FE1"/>
    <w:rsid w:val="00EF4C7B"/>
    <w:rsid w:val="00EF6256"/>
    <w:rsid w:val="00EF6308"/>
    <w:rsid w:val="00F025B9"/>
    <w:rsid w:val="00F035FC"/>
    <w:rsid w:val="00F05082"/>
    <w:rsid w:val="00F11F16"/>
    <w:rsid w:val="00F15F67"/>
    <w:rsid w:val="00F24EDF"/>
    <w:rsid w:val="00F34FE7"/>
    <w:rsid w:val="00F36ECF"/>
    <w:rsid w:val="00F57BB2"/>
    <w:rsid w:val="00F60DDB"/>
    <w:rsid w:val="00F6472C"/>
    <w:rsid w:val="00F6599D"/>
    <w:rsid w:val="00F81E49"/>
    <w:rsid w:val="00F83B4F"/>
    <w:rsid w:val="00F83D43"/>
    <w:rsid w:val="00F85AA9"/>
    <w:rsid w:val="00F901D7"/>
    <w:rsid w:val="00F93578"/>
    <w:rsid w:val="00F953E9"/>
    <w:rsid w:val="00F97A12"/>
    <w:rsid w:val="00FB4E86"/>
    <w:rsid w:val="00FC67DB"/>
    <w:rsid w:val="00FC7AE9"/>
    <w:rsid w:val="00FE0291"/>
    <w:rsid w:val="00FE3457"/>
    <w:rsid w:val="00FF3739"/>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30F5"/>
  <w15:chartTrackingRefBased/>
  <w15:docId w15:val="{444143CA-1D83-2946-8A06-5459ED8A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416F"/>
    <w:rPr>
      <w:sz w:val="16"/>
      <w:szCs w:val="16"/>
    </w:rPr>
  </w:style>
  <w:style w:type="paragraph" w:styleId="CommentText">
    <w:name w:val="annotation text"/>
    <w:basedOn w:val="Normal"/>
    <w:link w:val="CommentTextChar"/>
    <w:uiPriority w:val="99"/>
    <w:semiHidden/>
    <w:unhideWhenUsed/>
    <w:rsid w:val="004E416F"/>
    <w:rPr>
      <w:sz w:val="20"/>
      <w:szCs w:val="20"/>
    </w:rPr>
  </w:style>
  <w:style w:type="character" w:customStyle="1" w:styleId="CommentTextChar">
    <w:name w:val="Comment Text Char"/>
    <w:basedOn w:val="DefaultParagraphFont"/>
    <w:link w:val="CommentText"/>
    <w:uiPriority w:val="99"/>
    <w:semiHidden/>
    <w:rsid w:val="004E416F"/>
    <w:rPr>
      <w:sz w:val="20"/>
      <w:szCs w:val="20"/>
    </w:rPr>
  </w:style>
  <w:style w:type="paragraph" w:styleId="BalloonText">
    <w:name w:val="Balloon Text"/>
    <w:basedOn w:val="Normal"/>
    <w:link w:val="BalloonTextChar"/>
    <w:uiPriority w:val="99"/>
    <w:semiHidden/>
    <w:unhideWhenUsed/>
    <w:rsid w:val="004E41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16F"/>
    <w:rPr>
      <w:rFonts w:ascii="Times New Roman" w:hAnsi="Times New Roman" w:cs="Times New Roman"/>
      <w:sz w:val="18"/>
      <w:szCs w:val="18"/>
    </w:rPr>
  </w:style>
  <w:style w:type="character" w:styleId="PlaceholderText">
    <w:name w:val="Placeholder Text"/>
    <w:basedOn w:val="DefaultParagraphFont"/>
    <w:uiPriority w:val="99"/>
    <w:semiHidden/>
    <w:rsid w:val="000349D7"/>
    <w:rPr>
      <w:color w:val="808080"/>
    </w:rPr>
  </w:style>
  <w:style w:type="paragraph" w:styleId="ListParagraph">
    <w:name w:val="List Paragraph"/>
    <w:basedOn w:val="Normal"/>
    <w:uiPriority w:val="34"/>
    <w:qFormat/>
    <w:rsid w:val="00FC67DB"/>
    <w:pPr>
      <w:ind w:left="720"/>
      <w:contextualSpacing/>
    </w:pPr>
  </w:style>
  <w:style w:type="table" w:styleId="TableGrid">
    <w:name w:val="Table Grid"/>
    <w:basedOn w:val="TableNormal"/>
    <w:uiPriority w:val="39"/>
    <w:rsid w:val="005F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F3739"/>
  </w:style>
  <w:style w:type="paragraph" w:styleId="CommentSubject">
    <w:name w:val="annotation subject"/>
    <w:basedOn w:val="CommentText"/>
    <w:next w:val="CommentText"/>
    <w:link w:val="CommentSubjectChar"/>
    <w:uiPriority w:val="99"/>
    <w:semiHidden/>
    <w:unhideWhenUsed/>
    <w:rsid w:val="007778E3"/>
    <w:rPr>
      <w:b/>
      <w:bCs/>
    </w:rPr>
  </w:style>
  <w:style w:type="character" w:customStyle="1" w:styleId="CommentSubjectChar">
    <w:name w:val="Comment Subject Char"/>
    <w:basedOn w:val="CommentTextChar"/>
    <w:link w:val="CommentSubject"/>
    <w:uiPriority w:val="99"/>
    <w:semiHidden/>
    <w:rsid w:val="007778E3"/>
    <w:rPr>
      <w:b/>
      <w:bCs/>
      <w:sz w:val="20"/>
      <w:szCs w:val="20"/>
    </w:rPr>
  </w:style>
  <w:style w:type="table" w:styleId="PlainTable5">
    <w:name w:val="Plain Table 5"/>
    <w:basedOn w:val="TableNormal"/>
    <w:uiPriority w:val="45"/>
    <w:rsid w:val="002F0A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F0A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F0A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2F0A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C2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1911">
      <w:bodyDiv w:val="1"/>
      <w:marLeft w:val="0"/>
      <w:marRight w:val="0"/>
      <w:marTop w:val="0"/>
      <w:marBottom w:val="0"/>
      <w:divBdr>
        <w:top w:val="none" w:sz="0" w:space="0" w:color="auto"/>
        <w:left w:val="none" w:sz="0" w:space="0" w:color="auto"/>
        <w:bottom w:val="none" w:sz="0" w:space="0" w:color="auto"/>
        <w:right w:val="none" w:sz="0" w:space="0" w:color="auto"/>
      </w:divBdr>
    </w:div>
    <w:div w:id="185294878">
      <w:bodyDiv w:val="1"/>
      <w:marLeft w:val="0"/>
      <w:marRight w:val="0"/>
      <w:marTop w:val="0"/>
      <w:marBottom w:val="0"/>
      <w:divBdr>
        <w:top w:val="none" w:sz="0" w:space="0" w:color="auto"/>
        <w:left w:val="none" w:sz="0" w:space="0" w:color="auto"/>
        <w:bottom w:val="none" w:sz="0" w:space="0" w:color="auto"/>
        <w:right w:val="none" w:sz="0" w:space="0" w:color="auto"/>
      </w:divBdr>
    </w:div>
    <w:div w:id="247495594">
      <w:bodyDiv w:val="1"/>
      <w:marLeft w:val="0"/>
      <w:marRight w:val="0"/>
      <w:marTop w:val="0"/>
      <w:marBottom w:val="0"/>
      <w:divBdr>
        <w:top w:val="none" w:sz="0" w:space="0" w:color="auto"/>
        <w:left w:val="none" w:sz="0" w:space="0" w:color="auto"/>
        <w:bottom w:val="none" w:sz="0" w:space="0" w:color="auto"/>
        <w:right w:val="none" w:sz="0" w:space="0" w:color="auto"/>
      </w:divBdr>
    </w:div>
    <w:div w:id="548957289">
      <w:bodyDiv w:val="1"/>
      <w:marLeft w:val="0"/>
      <w:marRight w:val="0"/>
      <w:marTop w:val="0"/>
      <w:marBottom w:val="0"/>
      <w:divBdr>
        <w:top w:val="none" w:sz="0" w:space="0" w:color="auto"/>
        <w:left w:val="none" w:sz="0" w:space="0" w:color="auto"/>
        <w:bottom w:val="none" w:sz="0" w:space="0" w:color="auto"/>
        <w:right w:val="none" w:sz="0" w:space="0" w:color="auto"/>
      </w:divBdr>
    </w:div>
    <w:div w:id="758644827">
      <w:bodyDiv w:val="1"/>
      <w:marLeft w:val="0"/>
      <w:marRight w:val="0"/>
      <w:marTop w:val="0"/>
      <w:marBottom w:val="0"/>
      <w:divBdr>
        <w:top w:val="none" w:sz="0" w:space="0" w:color="auto"/>
        <w:left w:val="none" w:sz="0" w:space="0" w:color="auto"/>
        <w:bottom w:val="none" w:sz="0" w:space="0" w:color="auto"/>
        <w:right w:val="none" w:sz="0" w:space="0" w:color="auto"/>
      </w:divBdr>
    </w:div>
    <w:div w:id="1007561948">
      <w:bodyDiv w:val="1"/>
      <w:marLeft w:val="0"/>
      <w:marRight w:val="0"/>
      <w:marTop w:val="0"/>
      <w:marBottom w:val="0"/>
      <w:divBdr>
        <w:top w:val="none" w:sz="0" w:space="0" w:color="auto"/>
        <w:left w:val="none" w:sz="0" w:space="0" w:color="auto"/>
        <w:bottom w:val="none" w:sz="0" w:space="0" w:color="auto"/>
        <w:right w:val="none" w:sz="0" w:space="0" w:color="auto"/>
      </w:divBdr>
    </w:div>
    <w:div w:id="1034385087">
      <w:bodyDiv w:val="1"/>
      <w:marLeft w:val="0"/>
      <w:marRight w:val="0"/>
      <w:marTop w:val="0"/>
      <w:marBottom w:val="0"/>
      <w:divBdr>
        <w:top w:val="none" w:sz="0" w:space="0" w:color="auto"/>
        <w:left w:val="none" w:sz="0" w:space="0" w:color="auto"/>
        <w:bottom w:val="none" w:sz="0" w:space="0" w:color="auto"/>
        <w:right w:val="none" w:sz="0" w:space="0" w:color="auto"/>
      </w:divBdr>
    </w:div>
    <w:div w:id="1154251517">
      <w:bodyDiv w:val="1"/>
      <w:marLeft w:val="0"/>
      <w:marRight w:val="0"/>
      <w:marTop w:val="0"/>
      <w:marBottom w:val="0"/>
      <w:divBdr>
        <w:top w:val="none" w:sz="0" w:space="0" w:color="auto"/>
        <w:left w:val="none" w:sz="0" w:space="0" w:color="auto"/>
        <w:bottom w:val="none" w:sz="0" w:space="0" w:color="auto"/>
        <w:right w:val="none" w:sz="0" w:space="0" w:color="auto"/>
      </w:divBdr>
    </w:div>
    <w:div w:id="1362896292">
      <w:bodyDiv w:val="1"/>
      <w:marLeft w:val="0"/>
      <w:marRight w:val="0"/>
      <w:marTop w:val="0"/>
      <w:marBottom w:val="0"/>
      <w:divBdr>
        <w:top w:val="none" w:sz="0" w:space="0" w:color="auto"/>
        <w:left w:val="none" w:sz="0" w:space="0" w:color="auto"/>
        <w:bottom w:val="none" w:sz="0" w:space="0" w:color="auto"/>
        <w:right w:val="none" w:sz="0" w:space="0" w:color="auto"/>
      </w:divBdr>
    </w:div>
    <w:div w:id="2079278008">
      <w:bodyDiv w:val="1"/>
      <w:marLeft w:val="0"/>
      <w:marRight w:val="0"/>
      <w:marTop w:val="0"/>
      <w:marBottom w:val="0"/>
      <w:divBdr>
        <w:top w:val="none" w:sz="0" w:space="0" w:color="auto"/>
        <w:left w:val="none" w:sz="0" w:space="0" w:color="auto"/>
        <w:bottom w:val="none" w:sz="0" w:space="0" w:color="auto"/>
        <w:right w:val="none" w:sz="0" w:space="0" w:color="auto"/>
      </w:divBdr>
    </w:div>
    <w:div w:id="2092852787">
      <w:bodyDiv w:val="1"/>
      <w:marLeft w:val="0"/>
      <w:marRight w:val="0"/>
      <w:marTop w:val="0"/>
      <w:marBottom w:val="0"/>
      <w:divBdr>
        <w:top w:val="none" w:sz="0" w:space="0" w:color="auto"/>
        <w:left w:val="none" w:sz="0" w:space="0" w:color="auto"/>
        <w:bottom w:val="none" w:sz="0" w:space="0" w:color="auto"/>
        <w:right w:val="none" w:sz="0" w:space="0" w:color="auto"/>
      </w:divBdr>
    </w:div>
    <w:div w:id="21135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rlow@liverpoo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2916-F7B6-3146-AA49-5CFA7A4B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Darlow, Christopher</dc:creator>
  <cp:keywords/>
  <dc:description/>
  <cp:lastModifiedBy>Darlow, Christopher</cp:lastModifiedBy>
  <cp:revision>3</cp:revision>
  <dcterms:created xsi:type="dcterms:W3CDTF">2022-03-24T15:08:00Z</dcterms:created>
  <dcterms:modified xsi:type="dcterms:W3CDTF">2022-03-24T15:20:00Z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50d4b2ca-1d8f-3775-ade6-d2047fd26fc1</vt:lpwstr>
  </property>
  <property fmtid="{D5CDD505-2E9C-101B-9397-08002B2CF9AE}" pid="4" name="Mendeley Citation Style_1">
    <vt:lpwstr>http://csl.mendeley.com/styles/455439591/journal-of-antimicrobial-chemotherapy</vt:lpwstr>
  </property>
  <property fmtid="{D5CDD505-2E9C-101B-9397-08002B2CF9AE}" pid="5" name="Mendeley Recent Style Id 0_1">
    <vt:lpwstr>http://www.zotero.org/styles/american-society-for-microbiology</vt:lpwstr>
  </property>
  <property fmtid="{D5CDD505-2E9C-101B-9397-08002B2CF9AE}" pid="6" name="Mendeley Recent Style Name 0_1">
    <vt:lpwstr>American Society for Microbiology</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http://www.zotero.org/styles/journal-of-antimicrobial-chemotherapy</vt:lpwstr>
  </property>
  <property fmtid="{D5CDD505-2E9C-101B-9397-08002B2CF9AE}" pid="16" name="Mendeley Recent Style Name 5_1">
    <vt:lpwstr>Journal of Antimicrobial Chemotherapy</vt:lpwstr>
  </property>
  <property fmtid="{D5CDD505-2E9C-101B-9397-08002B2CF9AE}" pid="17" name="Mendeley Recent Style Id 6_1">
    <vt:lpwstr>http://csl.mendeley.com/styles/455439591/journal-of-antimicrobial-chemotherapy</vt:lpwstr>
  </property>
  <property fmtid="{D5CDD505-2E9C-101B-9397-08002B2CF9AE}" pid="18" name="Mendeley Recent Style Name 6_1">
    <vt:lpwstr>Journal of Antimicrobial Chemotherapy - Christopher Darlow</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