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3011" w14:textId="77777777" w:rsidR="00FE10EE" w:rsidRDefault="00FE10EE" w:rsidP="00FE10EE">
      <w:pPr>
        <w:pStyle w:val="Heading1"/>
        <w:suppressLineNumbers/>
        <w:spacing w:before="0" w:line="240" w:lineRule="auto"/>
        <w:jc w:val="center"/>
        <w:rPr>
          <w:rFonts w:asciiTheme="majorBidi" w:hAnsiTheme="majorBidi"/>
          <w:color w:val="auto"/>
        </w:rPr>
      </w:pPr>
      <w:bookmarkStart w:id="0" w:name="_Hlk43575800"/>
      <w:bookmarkEnd w:id="0"/>
      <w:r w:rsidRPr="00DD7955">
        <w:rPr>
          <w:rFonts w:asciiTheme="majorBidi" w:hAnsiTheme="majorBidi"/>
          <w:color w:val="auto"/>
        </w:rPr>
        <w:t xml:space="preserve">Changing incidence of invasive pneumococcal disease in infants less than 90 days of age before and after introduction of the 13-valent Pneumococcal Conjugate Vaccine in Blantyre, Malawi: </w:t>
      </w:r>
    </w:p>
    <w:p w14:paraId="23FFBD4A" w14:textId="77777777" w:rsidR="00FE10EE" w:rsidRDefault="00FE10EE" w:rsidP="00FE10EE">
      <w:pPr>
        <w:pStyle w:val="Heading1"/>
        <w:suppressLineNumbers/>
        <w:spacing w:before="0" w:line="240" w:lineRule="auto"/>
        <w:jc w:val="center"/>
        <w:rPr>
          <w:rFonts w:asciiTheme="majorBidi" w:hAnsiTheme="majorBidi"/>
          <w:color w:val="222222"/>
          <w:shd w:val="clear" w:color="auto" w:fill="FFFFFF"/>
        </w:rPr>
      </w:pPr>
      <w:r w:rsidRPr="00DD7955">
        <w:rPr>
          <w:rFonts w:asciiTheme="majorBidi" w:hAnsiTheme="majorBidi"/>
          <w:color w:val="222222"/>
          <w:shd w:val="clear" w:color="auto" w:fill="FFFFFF"/>
        </w:rPr>
        <w:t>a 14-year hospital based surveillance study</w:t>
      </w:r>
    </w:p>
    <w:p w14:paraId="250D93CE" w14:textId="77777777" w:rsidR="00FE10EE" w:rsidRDefault="00FE10EE" w:rsidP="00FE10EE">
      <w:pPr>
        <w:pStyle w:val="Heading2"/>
        <w:suppressLineNumbers/>
        <w:spacing w:before="0" w:line="240" w:lineRule="auto"/>
        <w:rPr>
          <w:rFonts w:asciiTheme="majorBidi" w:hAnsiTheme="majorBidi"/>
          <w:b w:val="0"/>
          <w:bCs w:val="0"/>
          <w:color w:val="auto"/>
          <w:sz w:val="24"/>
          <w:szCs w:val="24"/>
        </w:rPr>
      </w:pPr>
    </w:p>
    <w:p w14:paraId="14EC0A19" w14:textId="77777777" w:rsidR="00FE10EE" w:rsidRDefault="00FE10EE" w:rsidP="00FE10EE">
      <w:pPr>
        <w:pStyle w:val="Heading2"/>
        <w:suppressLineNumbers/>
        <w:spacing w:before="0" w:line="240" w:lineRule="auto"/>
        <w:rPr>
          <w:rFonts w:asciiTheme="majorBidi" w:hAnsiTheme="majorBidi"/>
          <w:b w:val="0"/>
          <w:bCs w:val="0"/>
          <w:color w:val="auto"/>
          <w:sz w:val="24"/>
          <w:szCs w:val="24"/>
          <w:vertAlign w:val="superscript"/>
        </w:rPr>
      </w:pPr>
      <w:r w:rsidRPr="00E5578E">
        <w:rPr>
          <w:rFonts w:asciiTheme="majorBidi" w:hAnsiTheme="majorBidi"/>
          <w:b w:val="0"/>
          <w:bCs w:val="0"/>
          <w:color w:val="auto"/>
          <w:sz w:val="24"/>
          <w:szCs w:val="24"/>
        </w:rPr>
        <w:t>Marianne Koenraads</w:t>
      </w:r>
      <w:r w:rsidRPr="00E5578E">
        <w:rPr>
          <w:rFonts w:asciiTheme="majorBidi" w:hAnsiTheme="majorBidi"/>
          <w:b w:val="0"/>
          <w:bCs w:val="0"/>
          <w:color w:val="auto"/>
          <w:sz w:val="24"/>
          <w:szCs w:val="24"/>
          <w:vertAlign w:val="superscript"/>
        </w:rPr>
        <w:t>1</w:t>
      </w:r>
      <w:r w:rsidRPr="00E5578E">
        <w:rPr>
          <w:rFonts w:asciiTheme="majorBidi" w:hAnsiTheme="majorBidi"/>
          <w:b w:val="0"/>
          <w:bCs w:val="0"/>
          <w:color w:val="auto"/>
          <w:sz w:val="24"/>
          <w:szCs w:val="24"/>
        </w:rPr>
        <w:t>, Todd D. Swarthout</w:t>
      </w:r>
      <w:r w:rsidRPr="00E5578E">
        <w:rPr>
          <w:rFonts w:asciiTheme="majorBidi" w:hAnsiTheme="majorBidi"/>
          <w:b w:val="0"/>
          <w:bCs w:val="0"/>
          <w:color w:val="auto"/>
          <w:sz w:val="24"/>
          <w:szCs w:val="24"/>
          <w:vertAlign w:val="superscript"/>
        </w:rPr>
        <w:t>2,3</w:t>
      </w:r>
      <w:r w:rsidRPr="00E5578E">
        <w:rPr>
          <w:rFonts w:asciiTheme="majorBidi" w:hAnsiTheme="majorBidi"/>
          <w:b w:val="0"/>
          <w:bCs w:val="0"/>
          <w:color w:val="auto"/>
          <w:sz w:val="24"/>
          <w:szCs w:val="24"/>
        </w:rPr>
        <w:t xml:space="preserve">, </w:t>
      </w:r>
      <w:proofErr w:type="spellStart"/>
      <w:r w:rsidRPr="00E5578E">
        <w:rPr>
          <w:rFonts w:asciiTheme="majorBidi" w:hAnsiTheme="majorBidi"/>
          <w:b w:val="0"/>
          <w:bCs w:val="0"/>
          <w:color w:val="auto"/>
          <w:sz w:val="24"/>
          <w:szCs w:val="24"/>
        </w:rPr>
        <w:t>Naor</w:t>
      </w:r>
      <w:proofErr w:type="spellEnd"/>
      <w:r w:rsidRPr="00E5578E">
        <w:rPr>
          <w:rFonts w:asciiTheme="majorBidi" w:hAnsiTheme="majorBidi"/>
          <w:b w:val="0"/>
          <w:bCs w:val="0"/>
          <w:color w:val="auto"/>
          <w:sz w:val="24"/>
          <w:szCs w:val="24"/>
        </w:rPr>
        <w:t xml:space="preserve"> Bar-Zeev</w:t>
      </w:r>
      <w:r w:rsidRPr="00E5578E">
        <w:rPr>
          <w:rFonts w:asciiTheme="majorBidi" w:hAnsiTheme="majorBidi"/>
          <w:b w:val="0"/>
          <w:bCs w:val="0"/>
          <w:color w:val="auto"/>
          <w:sz w:val="24"/>
          <w:szCs w:val="24"/>
          <w:vertAlign w:val="superscript"/>
        </w:rPr>
        <w:t>2, 4, 5</w:t>
      </w:r>
      <w:r w:rsidRPr="00E5578E">
        <w:rPr>
          <w:rFonts w:asciiTheme="majorBidi" w:hAnsiTheme="majorBidi"/>
          <w:b w:val="0"/>
          <w:bCs w:val="0"/>
          <w:color w:val="auto"/>
          <w:sz w:val="24"/>
          <w:szCs w:val="24"/>
        </w:rPr>
        <w:t>, Comfort Brown</w:t>
      </w:r>
      <w:r w:rsidRPr="00E5578E">
        <w:rPr>
          <w:rFonts w:asciiTheme="majorBidi" w:hAnsiTheme="majorBidi"/>
          <w:b w:val="0"/>
          <w:bCs w:val="0"/>
          <w:color w:val="auto"/>
          <w:sz w:val="24"/>
          <w:szCs w:val="24"/>
          <w:vertAlign w:val="superscript"/>
        </w:rPr>
        <w:t>2</w:t>
      </w:r>
      <w:r w:rsidRPr="00E5578E">
        <w:rPr>
          <w:rFonts w:asciiTheme="majorBidi" w:hAnsiTheme="majorBidi"/>
          <w:b w:val="0"/>
          <w:bCs w:val="0"/>
          <w:color w:val="auto"/>
          <w:sz w:val="24"/>
          <w:szCs w:val="24"/>
        </w:rPr>
        <w:t xml:space="preserve">, </w:t>
      </w:r>
      <w:proofErr w:type="spellStart"/>
      <w:r w:rsidRPr="00E5578E">
        <w:rPr>
          <w:rFonts w:asciiTheme="majorBidi" w:hAnsiTheme="majorBidi"/>
          <w:b w:val="0"/>
          <w:bCs w:val="0"/>
          <w:color w:val="222222"/>
          <w:sz w:val="24"/>
          <w:szCs w:val="24"/>
          <w:shd w:val="clear" w:color="auto" w:fill="FFFFFF"/>
        </w:rPr>
        <w:t>Jacquline</w:t>
      </w:r>
      <w:proofErr w:type="spellEnd"/>
      <w:r w:rsidRPr="00E5578E">
        <w:rPr>
          <w:rFonts w:asciiTheme="majorBidi" w:hAnsiTheme="majorBidi"/>
          <w:b w:val="0"/>
          <w:bCs w:val="0"/>
          <w:color w:val="222222"/>
          <w:sz w:val="24"/>
          <w:szCs w:val="24"/>
          <w:shd w:val="clear" w:color="auto" w:fill="FFFFFF"/>
        </w:rPr>
        <w:t xml:space="preserve"> Msefula</w:t>
      </w:r>
      <w:r w:rsidRPr="00E5578E">
        <w:rPr>
          <w:rFonts w:asciiTheme="majorBidi" w:hAnsiTheme="majorBidi"/>
          <w:b w:val="0"/>
          <w:bCs w:val="0"/>
          <w:color w:val="222222"/>
          <w:sz w:val="24"/>
          <w:szCs w:val="24"/>
          <w:shd w:val="clear" w:color="auto" w:fill="FFFFFF"/>
          <w:vertAlign w:val="superscript"/>
        </w:rPr>
        <w:t>2</w:t>
      </w:r>
      <w:r w:rsidRPr="00E5578E">
        <w:rPr>
          <w:rFonts w:asciiTheme="majorBidi" w:hAnsiTheme="majorBidi"/>
          <w:b w:val="0"/>
          <w:bCs w:val="0"/>
          <w:color w:val="222222"/>
          <w:sz w:val="24"/>
          <w:szCs w:val="24"/>
          <w:shd w:val="clear" w:color="auto" w:fill="FFFFFF"/>
        </w:rPr>
        <w:t xml:space="preserve">, </w:t>
      </w:r>
      <w:r w:rsidRPr="00E5578E">
        <w:rPr>
          <w:rFonts w:asciiTheme="majorBidi" w:hAnsiTheme="majorBidi"/>
          <w:b w:val="0"/>
          <w:bCs w:val="0"/>
          <w:color w:val="auto"/>
          <w:sz w:val="24"/>
          <w:szCs w:val="24"/>
        </w:rPr>
        <w:t>Brigitte Denis</w:t>
      </w:r>
      <w:r w:rsidRPr="00E5578E">
        <w:rPr>
          <w:rFonts w:asciiTheme="majorBidi" w:hAnsiTheme="majorBidi"/>
          <w:b w:val="0"/>
          <w:bCs w:val="0"/>
          <w:color w:val="auto"/>
          <w:sz w:val="24"/>
          <w:szCs w:val="24"/>
          <w:vertAlign w:val="superscript"/>
        </w:rPr>
        <w:t>2</w:t>
      </w:r>
      <w:r w:rsidRPr="00E5578E">
        <w:rPr>
          <w:rFonts w:asciiTheme="majorBidi" w:hAnsiTheme="majorBidi"/>
          <w:b w:val="0"/>
          <w:bCs w:val="0"/>
          <w:color w:val="auto"/>
          <w:sz w:val="24"/>
          <w:szCs w:val="24"/>
        </w:rPr>
        <w:t>, Queen Dube</w:t>
      </w:r>
      <w:r w:rsidRPr="00E5578E">
        <w:rPr>
          <w:rFonts w:asciiTheme="majorBidi" w:hAnsiTheme="majorBidi"/>
          <w:b w:val="0"/>
          <w:bCs w:val="0"/>
          <w:color w:val="auto"/>
          <w:sz w:val="24"/>
          <w:szCs w:val="24"/>
          <w:vertAlign w:val="superscript"/>
        </w:rPr>
        <w:t>6</w:t>
      </w:r>
      <w:r w:rsidRPr="00E5578E">
        <w:rPr>
          <w:rFonts w:asciiTheme="majorBidi" w:hAnsiTheme="majorBidi"/>
          <w:b w:val="0"/>
          <w:bCs w:val="0"/>
          <w:color w:val="auto"/>
          <w:sz w:val="24"/>
          <w:szCs w:val="24"/>
        </w:rPr>
        <w:t>, Stephen B. Gordon</w:t>
      </w:r>
      <w:r w:rsidRPr="00E5578E">
        <w:rPr>
          <w:rFonts w:asciiTheme="majorBidi" w:hAnsiTheme="majorBidi"/>
          <w:b w:val="0"/>
          <w:bCs w:val="0"/>
          <w:color w:val="auto"/>
          <w:sz w:val="24"/>
          <w:szCs w:val="24"/>
          <w:vertAlign w:val="superscript"/>
        </w:rPr>
        <w:t>2,7</w:t>
      </w:r>
      <w:r w:rsidRPr="00E5578E">
        <w:rPr>
          <w:rFonts w:asciiTheme="majorBidi" w:hAnsiTheme="majorBidi"/>
          <w:b w:val="0"/>
          <w:bCs w:val="0"/>
          <w:color w:val="auto"/>
          <w:sz w:val="24"/>
          <w:szCs w:val="24"/>
        </w:rPr>
        <w:t>, Robert S. Heyderman</w:t>
      </w:r>
      <w:r w:rsidRPr="00E5578E">
        <w:rPr>
          <w:rFonts w:asciiTheme="majorBidi" w:hAnsiTheme="majorBidi"/>
          <w:b w:val="0"/>
          <w:bCs w:val="0"/>
          <w:color w:val="auto"/>
          <w:sz w:val="24"/>
          <w:szCs w:val="24"/>
          <w:vertAlign w:val="superscript"/>
        </w:rPr>
        <w:t>2,3</w:t>
      </w:r>
      <w:r w:rsidRPr="00E5578E">
        <w:rPr>
          <w:rFonts w:asciiTheme="majorBidi" w:hAnsiTheme="majorBidi"/>
          <w:b w:val="0"/>
          <w:bCs w:val="0"/>
          <w:color w:val="auto"/>
          <w:sz w:val="24"/>
          <w:szCs w:val="24"/>
        </w:rPr>
        <w:t>, Melissa Gladstone</w:t>
      </w:r>
      <w:r w:rsidRPr="00E5578E">
        <w:rPr>
          <w:rFonts w:asciiTheme="majorBidi" w:hAnsiTheme="majorBidi"/>
          <w:b w:val="0"/>
          <w:bCs w:val="0"/>
          <w:color w:val="auto"/>
          <w:sz w:val="24"/>
          <w:szCs w:val="24"/>
          <w:vertAlign w:val="superscript"/>
        </w:rPr>
        <w:t>1</w:t>
      </w:r>
      <w:r w:rsidRPr="00E5578E">
        <w:rPr>
          <w:rFonts w:asciiTheme="majorBidi" w:hAnsiTheme="majorBidi"/>
          <w:b w:val="0"/>
          <w:bCs w:val="0"/>
          <w:color w:val="auto"/>
          <w:sz w:val="24"/>
          <w:szCs w:val="24"/>
        </w:rPr>
        <w:t>, Neil French</w:t>
      </w:r>
      <w:r w:rsidRPr="00E5578E">
        <w:rPr>
          <w:rFonts w:asciiTheme="majorBidi" w:hAnsiTheme="majorBidi"/>
          <w:b w:val="0"/>
          <w:bCs w:val="0"/>
          <w:color w:val="auto"/>
          <w:sz w:val="24"/>
          <w:szCs w:val="24"/>
          <w:vertAlign w:val="superscript"/>
        </w:rPr>
        <w:t>2,4</w:t>
      </w:r>
    </w:p>
    <w:p w14:paraId="3E4C26C4" w14:textId="77777777" w:rsidR="00FE10EE" w:rsidRPr="004379F3" w:rsidRDefault="00FE10EE" w:rsidP="00FE10EE">
      <w:pPr>
        <w:spacing w:line="240" w:lineRule="auto"/>
      </w:pPr>
    </w:p>
    <w:p w14:paraId="0A780433" w14:textId="77777777" w:rsidR="00FE10EE" w:rsidRPr="00E5578E" w:rsidRDefault="00FE10EE" w:rsidP="00FE10EE">
      <w:pPr>
        <w:suppressLineNumbers/>
        <w:spacing w:line="240" w:lineRule="auto"/>
        <w:jc w:val="both"/>
        <w:rPr>
          <w:rFonts w:asciiTheme="majorBidi" w:hAnsiTheme="majorBidi" w:cstheme="majorBidi"/>
          <w:i/>
          <w:iCs/>
        </w:rPr>
      </w:pPr>
      <w:r w:rsidRPr="00E5578E">
        <w:rPr>
          <w:rFonts w:asciiTheme="majorBidi" w:hAnsiTheme="majorBidi" w:cstheme="majorBidi"/>
          <w:i/>
          <w:iCs/>
        </w:rPr>
        <w:t xml:space="preserve">1. Department of Women and Children’s Health, Institute of Translational Medicine, University of Liverpool, Liverpool, UK </w:t>
      </w:r>
    </w:p>
    <w:p w14:paraId="3945C795" w14:textId="77777777" w:rsidR="00FE10EE" w:rsidRPr="00E5578E" w:rsidRDefault="00FE10EE" w:rsidP="00FE10EE">
      <w:pPr>
        <w:suppressLineNumbers/>
        <w:spacing w:line="240" w:lineRule="auto"/>
        <w:jc w:val="both"/>
        <w:rPr>
          <w:rFonts w:asciiTheme="majorBidi" w:hAnsiTheme="majorBidi" w:cstheme="majorBidi"/>
          <w:i/>
          <w:iCs/>
        </w:rPr>
      </w:pPr>
      <w:r w:rsidRPr="00E5578E">
        <w:rPr>
          <w:rFonts w:asciiTheme="majorBidi" w:hAnsiTheme="majorBidi" w:cstheme="majorBidi"/>
          <w:i/>
          <w:iCs/>
        </w:rPr>
        <w:t>2. Malawi-Liverpool-</w:t>
      </w:r>
      <w:proofErr w:type="spellStart"/>
      <w:r w:rsidRPr="00E5578E">
        <w:rPr>
          <w:rFonts w:asciiTheme="majorBidi" w:hAnsiTheme="majorBidi" w:cstheme="majorBidi"/>
          <w:i/>
          <w:iCs/>
        </w:rPr>
        <w:t>Wellcome</w:t>
      </w:r>
      <w:proofErr w:type="spellEnd"/>
      <w:r w:rsidRPr="00E5578E">
        <w:rPr>
          <w:rFonts w:asciiTheme="majorBidi" w:hAnsiTheme="majorBidi" w:cstheme="majorBidi"/>
          <w:i/>
          <w:iCs/>
        </w:rPr>
        <w:t xml:space="preserve"> Trust Clinical Research Programme, Kamuzu University of Health Sciences, Blantyre, Malawi</w:t>
      </w:r>
    </w:p>
    <w:p w14:paraId="45067BAA" w14:textId="77777777" w:rsidR="00FE10EE" w:rsidRPr="00E5578E" w:rsidRDefault="00FE10EE" w:rsidP="00FE10EE">
      <w:pPr>
        <w:suppressLineNumbers/>
        <w:spacing w:line="240" w:lineRule="auto"/>
        <w:jc w:val="both"/>
        <w:rPr>
          <w:rFonts w:asciiTheme="majorBidi" w:hAnsiTheme="majorBidi" w:cstheme="majorBidi"/>
          <w:i/>
          <w:iCs/>
        </w:rPr>
      </w:pPr>
      <w:r w:rsidRPr="00E5578E">
        <w:rPr>
          <w:rFonts w:asciiTheme="majorBidi" w:hAnsiTheme="majorBidi" w:cstheme="majorBidi"/>
          <w:i/>
          <w:iCs/>
        </w:rPr>
        <w:t>3. NIHR Global Health Research Unit on Mucosal Pathogens, Research Department of Infection, Division of Infection and Immunity, University College London, London, United Kingdom</w:t>
      </w:r>
    </w:p>
    <w:p w14:paraId="24C30F1D" w14:textId="77777777" w:rsidR="00FE10EE" w:rsidRPr="00E5578E" w:rsidRDefault="00FE10EE" w:rsidP="00FE10EE">
      <w:pPr>
        <w:suppressLineNumbers/>
        <w:spacing w:line="240" w:lineRule="auto"/>
        <w:jc w:val="both"/>
        <w:rPr>
          <w:rFonts w:asciiTheme="majorBidi" w:hAnsiTheme="majorBidi" w:cstheme="majorBidi"/>
          <w:i/>
          <w:iCs/>
        </w:rPr>
      </w:pPr>
      <w:r w:rsidRPr="00E5578E">
        <w:rPr>
          <w:rFonts w:asciiTheme="majorBidi" w:hAnsiTheme="majorBidi" w:cstheme="majorBidi"/>
          <w:i/>
          <w:iCs/>
        </w:rPr>
        <w:t xml:space="preserve">4. Institute of Infection Veterinary and Ecological Science, University of Liverpool, Liverpool, United Kingdom </w:t>
      </w:r>
    </w:p>
    <w:p w14:paraId="6A2783A7" w14:textId="77777777" w:rsidR="00FE10EE" w:rsidRPr="00E5578E" w:rsidRDefault="00FE10EE" w:rsidP="00FE10EE">
      <w:pPr>
        <w:suppressLineNumbers/>
        <w:spacing w:line="240" w:lineRule="auto"/>
        <w:jc w:val="both"/>
        <w:rPr>
          <w:rFonts w:asciiTheme="majorBidi" w:hAnsiTheme="majorBidi" w:cstheme="majorBidi"/>
          <w:i/>
          <w:iCs/>
        </w:rPr>
      </w:pPr>
      <w:r w:rsidRPr="00E5578E">
        <w:rPr>
          <w:rFonts w:asciiTheme="majorBidi" w:hAnsiTheme="majorBidi" w:cstheme="majorBidi"/>
          <w:i/>
          <w:iCs/>
        </w:rPr>
        <w:t xml:space="preserve">5. International Vaccine Access </w:t>
      </w:r>
      <w:proofErr w:type="spellStart"/>
      <w:r w:rsidRPr="00E5578E">
        <w:rPr>
          <w:rFonts w:asciiTheme="majorBidi" w:hAnsiTheme="majorBidi" w:cstheme="majorBidi"/>
          <w:i/>
          <w:iCs/>
        </w:rPr>
        <w:t>Center</w:t>
      </w:r>
      <w:proofErr w:type="spellEnd"/>
      <w:r w:rsidRPr="00E5578E">
        <w:rPr>
          <w:rFonts w:asciiTheme="majorBidi" w:hAnsiTheme="majorBidi" w:cstheme="majorBidi"/>
          <w:i/>
          <w:iCs/>
        </w:rPr>
        <w:t>, Department of International Health, Bloomberg School of Public Health, Johns Hopkins University, Baltimore, MD, United States</w:t>
      </w:r>
    </w:p>
    <w:p w14:paraId="08F29FBF" w14:textId="77777777" w:rsidR="00FE10EE" w:rsidRPr="00E5578E" w:rsidRDefault="00FE10EE" w:rsidP="00FE10EE">
      <w:pPr>
        <w:suppressLineNumbers/>
        <w:spacing w:line="240" w:lineRule="auto"/>
        <w:jc w:val="both"/>
        <w:rPr>
          <w:rFonts w:asciiTheme="majorBidi" w:hAnsiTheme="majorBidi" w:cstheme="majorBidi"/>
          <w:i/>
          <w:iCs/>
        </w:rPr>
      </w:pPr>
      <w:r w:rsidRPr="00E5578E">
        <w:rPr>
          <w:rFonts w:asciiTheme="majorBidi" w:hAnsiTheme="majorBidi" w:cstheme="majorBidi"/>
          <w:i/>
          <w:iCs/>
        </w:rPr>
        <w:t xml:space="preserve">6. Department of Paediatrics, Kamuzu University of Health Sciences, Blantyre, Malawi </w:t>
      </w:r>
    </w:p>
    <w:p w14:paraId="5EE72273" w14:textId="77777777" w:rsidR="00FE10EE" w:rsidRPr="00E5578E" w:rsidRDefault="00FE10EE" w:rsidP="00FE10EE">
      <w:pPr>
        <w:suppressLineNumbers/>
        <w:spacing w:line="240" w:lineRule="auto"/>
        <w:jc w:val="both"/>
        <w:rPr>
          <w:rFonts w:asciiTheme="majorBidi" w:hAnsiTheme="majorBidi" w:cstheme="majorBidi"/>
          <w:i/>
          <w:iCs/>
        </w:rPr>
      </w:pPr>
      <w:r w:rsidRPr="00E5578E">
        <w:rPr>
          <w:rFonts w:asciiTheme="majorBidi" w:hAnsiTheme="majorBidi" w:cstheme="majorBidi"/>
          <w:i/>
          <w:iCs/>
        </w:rPr>
        <w:t>7. Liverpool School of Tropical Medicine, Liverpool, United Kingdom</w:t>
      </w:r>
    </w:p>
    <w:p w14:paraId="64217B3A" w14:textId="77777777" w:rsidR="00FE10EE" w:rsidRDefault="00FE10EE" w:rsidP="00FE10EE">
      <w:pPr>
        <w:pStyle w:val="NoSpacing"/>
        <w:suppressLineNumbers/>
        <w:rPr>
          <w:rFonts w:asciiTheme="majorBidi" w:hAnsiTheme="majorBidi" w:cstheme="majorBidi"/>
          <w:b/>
          <w:bCs/>
          <w:sz w:val="24"/>
          <w:szCs w:val="24"/>
        </w:rPr>
      </w:pPr>
    </w:p>
    <w:p w14:paraId="73815E06" w14:textId="77777777" w:rsidR="00FE10EE" w:rsidRPr="00E5578E" w:rsidRDefault="00FE10EE" w:rsidP="00FE10EE">
      <w:pPr>
        <w:pStyle w:val="NoSpacing"/>
        <w:suppressLineNumbers/>
        <w:rPr>
          <w:rFonts w:asciiTheme="majorBidi" w:hAnsiTheme="majorBidi" w:cstheme="majorBidi"/>
          <w:sz w:val="24"/>
          <w:szCs w:val="24"/>
        </w:rPr>
      </w:pPr>
      <w:r w:rsidRPr="00E5578E">
        <w:rPr>
          <w:rFonts w:asciiTheme="majorBidi" w:hAnsiTheme="majorBidi" w:cstheme="majorBidi"/>
          <w:b/>
          <w:bCs/>
          <w:sz w:val="24"/>
          <w:szCs w:val="24"/>
        </w:rPr>
        <w:t>Corresponding author:</w:t>
      </w:r>
      <w:r w:rsidRPr="00E5578E">
        <w:rPr>
          <w:rFonts w:asciiTheme="majorBidi" w:hAnsiTheme="majorBidi" w:cstheme="majorBidi"/>
          <w:sz w:val="24"/>
          <w:szCs w:val="24"/>
        </w:rPr>
        <w:t xml:space="preserve"> Marianne Koenraads, </w:t>
      </w:r>
      <w:hyperlink r:id="rId4" w:history="1">
        <w:r w:rsidRPr="00E905AF">
          <w:rPr>
            <w:rStyle w:val="Hyperlink"/>
            <w:rFonts w:asciiTheme="majorBidi" w:hAnsiTheme="majorBidi" w:cstheme="majorBidi"/>
            <w:sz w:val="24"/>
            <w:szCs w:val="24"/>
          </w:rPr>
          <w:t>Koenraads.m@gmail.com</w:t>
        </w:r>
      </w:hyperlink>
      <w:r w:rsidRPr="00E5578E">
        <w:rPr>
          <w:rStyle w:val="Hyperlink"/>
          <w:rFonts w:asciiTheme="majorBidi" w:hAnsiTheme="majorBidi" w:cstheme="majorBidi"/>
          <w:sz w:val="24"/>
          <w:szCs w:val="24"/>
        </w:rPr>
        <w:t>;</w:t>
      </w:r>
      <w:r w:rsidRPr="00E5578E">
        <w:rPr>
          <w:rFonts w:asciiTheme="majorBidi" w:hAnsiTheme="majorBidi" w:cstheme="majorBidi"/>
          <w:sz w:val="24"/>
          <w:szCs w:val="24"/>
        </w:rPr>
        <w:t xml:space="preserve"> +447450600138. </w:t>
      </w:r>
    </w:p>
    <w:p w14:paraId="4500F2FB" w14:textId="77777777" w:rsidR="00FE10EE" w:rsidRDefault="00FE10EE" w:rsidP="00FE10EE">
      <w:pPr>
        <w:pStyle w:val="NoSpacing"/>
        <w:suppressLineNumbers/>
        <w:rPr>
          <w:rFonts w:asciiTheme="majorBidi" w:hAnsiTheme="majorBidi" w:cstheme="majorBidi"/>
          <w:b/>
          <w:bCs/>
          <w:sz w:val="24"/>
          <w:szCs w:val="24"/>
        </w:rPr>
      </w:pPr>
    </w:p>
    <w:p w14:paraId="5076691D" w14:textId="77777777" w:rsidR="00FE10EE" w:rsidRDefault="00FE10EE" w:rsidP="00FE10EE">
      <w:pPr>
        <w:pStyle w:val="NoSpacing"/>
        <w:suppressLineNumbers/>
        <w:rPr>
          <w:rFonts w:asciiTheme="majorBidi" w:hAnsiTheme="majorBidi" w:cstheme="majorBidi"/>
          <w:sz w:val="24"/>
          <w:szCs w:val="24"/>
        </w:rPr>
      </w:pPr>
      <w:r>
        <w:rPr>
          <w:rFonts w:asciiTheme="majorBidi" w:hAnsiTheme="majorBidi" w:cstheme="majorBidi"/>
          <w:b/>
          <w:bCs/>
          <w:sz w:val="24"/>
          <w:szCs w:val="24"/>
        </w:rPr>
        <w:t xml:space="preserve">Source of funding: </w:t>
      </w:r>
      <w:r w:rsidRPr="00F1203F">
        <w:rPr>
          <w:rFonts w:asciiTheme="majorBidi" w:hAnsiTheme="majorBidi" w:cstheme="majorBidi"/>
          <w:sz w:val="24"/>
          <w:szCs w:val="24"/>
        </w:rPr>
        <w:t>This work was partly funded by Bill &amp; Melinda Gates Foundation</w:t>
      </w:r>
      <w:r>
        <w:rPr>
          <w:rFonts w:asciiTheme="majorBidi" w:hAnsiTheme="majorBidi" w:cstheme="majorBidi"/>
          <w:sz w:val="24"/>
          <w:szCs w:val="24"/>
        </w:rPr>
        <w:t xml:space="preserve"> [</w:t>
      </w:r>
      <w:r w:rsidRPr="00AF2198">
        <w:rPr>
          <w:rFonts w:asciiTheme="majorBidi" w:hAnsiTheme="majorBidi" w:cstheme="majorBidi"/>
          <w:sz w:val="24"/>
          <w:szCs w:val="24"/>
        </w:rPr>
        <w:t>OPP1117653</w:t>
      </w:r>
      <w:r>
        <w:rPr>
          <w:rFonts w:asciiTheme="majorBidi" w:hAnsiTheme="majorBidi" w:cstheme="majorBidi"/>
          <w:sz w:val="24"/>
          <w:szCs w:val="24"/>
        </w:rPr>
        <w:t>]</w:t>
      </w:r>
      <w:r w:rsidRPr="00F1203F">
        <w:rPr>
          <w:rFonts w:asciiTheme="majorBidi" w:hAnsiTheme="majorBidi" w:cstheme="majorBidi"/>
          <w:sz w:val="24"/>
          <w:szCs w:val="24"/>
        </w:rPr>
        <w:t xml:space="preserve">, a </w:t>
      </w:r>
      <w:proofErr w:type="spellStart"/>
      <w:r w:rsidRPr="00F1203F">
        <w:rPr>
          <w:rFonts w:asciiTheme="majorBidi" w:hAnsiTheme="majorBidi" w:cstheme="majorBidi"/>
          <w:sz w:val="24"/>
          <w:szCs w:val="24"/>
        </w:rPr>
        <w:t>Wellcome</w:t>
      </w:r>
      <w:proofErr w:type="spellEnd"/>
      <w:r w:rsidRPr="00F1203F">
        <w:rPr>
          <w:rFonts w:asciiTheme="majorBidi" w:hAnsiTheme="majorBidi" w:cstheme="majorBidi"/>
          <w:sz w:val="24"/>
          <w:szCs w:val="24"/>
        </w:rPr>
        <w:t xml:space="preserve"> Trust Programme Grant</w:t>
      </w:r>
      <w:r>
        <w:rPr>
          <w:rFonts w:asciiTheme="majorBidi" w:hAnsiTheme="majorBidi" w:cstheme="majorBidi"/>
          <w:sz w:val="24"/>
          <w:szCs w:val="24"/>
        </w:rPr>
        <w:t xml:space="preserve"> [</w:t>
      </w:r>
      <w:r w:rsidRPr="00AF2198">
        <w:rPr>
          <w:rFonts w:asciiTheme="majorBidi" w:hAnsiTheme="majorBidi" w:cstheme="majorBidi"/>
          <w:sz w:val="24"/>
          <w:szCs w:val="24"/>
        </w:rPr>
        <w:t>WT091909/B/10/Z</w:t>
      </w:r>
      <w:r>
        <w:rPr>
          <w:rFonts w:asciiTheme="majorBidi" w:hAnsiTheme="majorBidi" w:cstheme="majorBidi"/>
          <w:sz w:val="24"/>
          <w:szCs w:val="24"/>
        </w:rPr>
        <w:t xml:space="preserve">], the Medical Research Council, UK, and the </w:t>
      </w:r>
      <w:r w:rsidRPr="00F1203F">
        <w:rPr>
          <w:rFonts w:asciiTheme="majorBidi" w:hAnsiTheme="majorBidi" w:cstheme="majorBidi"/>
          <w:sz w:val="24"/>
          <w:szCs w:val="24"/>
        </w:rPr>
        <w:t>National Institute for Health Research (NIHR)</w:t>
      </w:r>
      <w:r>
        <w:rPr>
          <w:rFonts w:asciiTheme="majorBidi" w:hAnsiTheme="majorBidi" w:cstheme="majorBidi"/>
          <w:sz w:val="24"/>
          <w:szCs w:val="24"/>
        </w:rPr>
        <w:t xml:space="preserve"> </w:t>
      </w:r>
      <w:r w:rsidRPr="00F1203F">
        <w:rPr>
          <w:rFonts w:asciiTheme="majorBidi" w:hAnsiTheme="majorBidi" w:cstheme="majorBidi"/>
          <w:sz w:val="24"/>
          <w:szCs w:val="24"/>
        </w:rPr>
        <w:t xml:space="preserve">Global Health Research Unit on Mucosal Pathogens using UK aid from the UK Government </w:t>
      </w:r>
      <w:r>
        <w:rPr>
          <w:rFonts w:asciiTheme="majorBidi" w:hAnsiTheme="majorBidi" w:cstheme="majorBidi"/>
          <w:sz w:val="24"/>
          <w:szCs w:val="24"/>
        </w:rPr>
        <w:t>[</w:t>
      </w:r>
      <w:r w:rsidRPr="00F1203F">
        <w:rPr>
          <w:rFonts w:asciiTheme="majorBidi" w:hAnsiTheme="majorBidi" w:cstheme="majorBidi"/>
          <w:sz w:val="24"/>
          <w:szCs w:val="24"/>
        </w:rPr>
        <w:t>16/136/46</w:t>
      </w:r>
      <w:r>
        <w:rPr>
          <w:rFonts w:asciiTheme="majorBidi" w:hAnsiTheme="majorBidi" w:cstheme="majorBidi"/>
          <w:sz w:val="24"/>
          <w:szCs w:val="24"/>
        </w:rPr>
        <w:t xml:space="preserve">]. </w:t>
      </w:r>
      <w:r w:rsidRPr="00F1203F">
        <w:rPr>
          <w:rFonts w:asciiTheme="majorBidi" w:hAnsiTheme="majorBidi" w:cstheme="majorBidi"/>
          <w:sz w:val="24"/>
          <w:szCs w:val="24"/>
        </w:rPr>
        <w:t>The Malawi</w:t>
      </w:r>
      <w:r>
        <w:rPr>
          <w:rFonts w:asciiTheme="majorBidi" w:hAnsiTheme="majorBidi" w:cstheme="majorBidi"/>
          <w:sz w:val="24"/>
          <w:szCs w:val="24"/>
        </w:rPr>
        <w:t>-</w:t>
      </w:r>
      <w:r w:rsidRPr="00F1203F">
        <w:rPr>
          <w:rFonts w:asciiTheme="majorBidi" w:hAnsiTheme="majorBidi" w:cstheme="majorBidi"/>
          <w:sz w:val="24"/>
          <w:szCs w:val="24"/>
        </w:rPr>
        <w:t>Liverpool</w:t>
      </w:r>
      <w:r>
        <w:rPr>
          <w:rFonts w:asciiTheme="majorBidi" w:hAnsiTheme="majorBidi" w:cstheme="majorBidi"/>
          <w:sz w:val="24"/>
          <w:szCs w:val="24"/>
        </w:rPr>
        <w:t>-</w:t>
      </w:r>
      <w:proofErr w:type="spellStart"/>
      <w:r w:rsidRPr="00F1203F">
        <w:rPr>
          <w:rFonts w:asciiTheme="majorBidi" w:hAnsiTheme="majorBidi" w:cstheme="majorBidi"/>
          <w:sz w:val="24"/>
          <w:szCs w:val="24"/>
        </w:rPr>
        <w:t>Wellcome</w:t>
      </w:r>
      <w:proofErr w:type="spellEnd"/>
      <w:r w:rsidRPr="00F1203F">
        <w:rPr>
          <w:rFonts w:asciiTheme="majorBidi" w:hAnsiTheme="majorBidi" w:cstheme="majorBidi"/>
          <w:sz w:val="24"/>
          <w:szCs w:val="24"/>
        </w:rPr>
        <w:t xml:space="preserve"> Clinical Research Programme is supported by a Strategic Award from the </w:t>
      </w:r>
      <w:proofErr w:type="spellStart"/>
      <w:r w:rsidRPr="00F1203F">
        <w:rPr>
          <w:rFonts w:asciiTheme="majorBidi" w:hAnsiTheme="majorBidi" w:cstheme="majorBidi"/>
          <w:sz w:val="24"/>
          <w:szCs w:val="24"/>
        </w:rPr>
        <w:t>Wellcome</w:t>
      </w:r>
      <w:proofErr w:type="spellEnd"/>
      <w:r w:rsidRPr="00F1203F">
        <w:rPr>
          <w:rFonts w:asciiTheme="majorBidi" w:hAnsiTheme="majorBidi" w:cstheme="majorBidi"/>
          <w:sz w:val="24"/>
          <w:szCs w:val="24"/>
        </w:rPr>
        <w:t xml:space="preserve"> Trust </w:t>
      </w:r>
      <w:r>
        <w:rPr>
          <w:rFonts w:asciiTheme="majorBidi" w:hAnsiTheme="majorBidi" w:cstheme="majorBidi"/>
          <w:sz w:val="24"/>
          <w:szCs w:val="24"/>
        </w:rPr>
        <w:t>[</w:t>
      </w:r>
      <w:r w:rsidRPr="00F1203F">
        <w:rPr>
          <w:rFonts w:asciiTheme="majorBidi" w:hAnsiTheme="majorBidi" w:cstheme="majorBidi"/>
          <w:sz w:val="24"/>
          <w:szCs w:val="24"/>
        </w:rPr>
        <w:t>206545/Z/17/Z</w:t>
      </w:r>
      <w:r>
        <w:rPr>
          <w:rFonts w:asciiTheme="majorBidi" w:hAnsiTheme="majorBidi" w:cstheme="majorBidi"/>
          <w:sz w:val="24"/>
          <w:szCs w:val="24"/>
        </w:rPr>
        <w:t>]</w:t>
      </w:r>
      <w:r w:rsidRPr="00F1203F">
        <w:rPr>
          <w:rFonts w:asciiTheme="majorBidi" w:hAnsiTheme="majorBidi" w:cstheme="majorBidi"/>
          <w:sz w:val="24"/>
          <w:szCs w:val="24"/>
        </w:rPr>
        <w:t>.</w:t>
      </w:r>
      <w:r>
        <w:rPr>
          <w:rFonts w:asciiTheme="majorBidi" w:hAnsiTheme="majorBidi" w:cstheme="majorBidi"/>
          <w:sz w:val="24"/>
          <w:szCs w:val="24"/>
        </w:rPr>
        <w:t xml:space="preserve"> </w:t>
      </w:r>
    </w:p>
    <w:p w14:paraId="69AB66E2" w14:textId="77777777" w:rsidR="00FE10EE" w:rsidRDefault="00FE10EE" w:rsidP="00FE10EE">
      <w:pPr>
        <w:pStyle w:val="NoSpacing"/>
        <w:suppressLineNumbers/>
        <w:rPr>
          <w:rFonts w:asciiTheme="majorBidi" w:hAnsiTheme="majorBidi" w:cstheme="majorBidi"/>
          <w:b/>
          <w:bCs/>
          <w:sz w:val="24"/>
          <w:szCs w:val="24"/>
        </w:rPr>
      </w:pPr>
    </w:p>
    <w:p w14:paraId="6F96D4C6" w14:textId="77777777" w:rsidR="00FE10EE" w:rsidRPr="00E5578E" w:rsidRDefault="00FE10EE" w:rsidP="00FE10EE">
      <w:pPr>
        <w:pStyle w:val="NoSpacing"/>
        <w:suppressLineNumbers/>
        <w:rPr>
          <w:rFonts w:asciiTheme="majorBidi" w:hAnsiTheme="majorBidi" w:cstheme="majorBidi"/>
          <w:b/>
          <w:bCs/>
          <w:sz w:val="24"/>
          <w:szCs w:val="24"/>
        </w:rPr>
      </w:pPr>
      <w:r w:rsidRPr="00E5578E">
        <w:rPr>
          <w:rFonts w:asciiTheme="majorBidi" w:hAnsiTheme="majorBidi" w:cstheme="majorBidi"/>
          <w:b/>
          <w:bCs/>
          <w:sz w:val="24"/>
          <w:szCs w:val="24"/>
        </w:rPr>
        <w:t>Keywords:</w:t>
      </w:r>
      <w:r w:rsidRPr="00E5578E">
        <w:rPr>
          <w:rFonts w:asciiTheme="majorBidi" w:hAnsiTheme="majorBidi" w:cstheme="majorBidi"/>
          <w:sz w:val="24"/>
          <w:szCs w:val="24"/>
        </w:rPr>
        <w:t xml:space="preserve"> Invasive Pneumococcal Disease</w:t>
      </w:r>
      <w:r w:rsidRPr="00E5578E">
        <w:rPr>
          <w:rFonts w:asciiTheme="majorBidi" w:hAnsiTheme="majorBidi" w:cstheme="majorBidi"/>
          <w:i/>
          <w:iCs/>
          <w:sz w:val="24"/>
          <w:szCs w:val="24"/>
        </w:rPr>
        <w:t xml:space="preserve">, </w:t>
      </w:r>
      <w:r w:rsidRPr="00E5578E">
        <w:rPr>
          <w:rFonts w:asciiTheme="majorBidi" w:hAnsiTheme="majorBidi" w:cstheme="majorBidi"/>
          <w:sz w:val="24"/>
          <w:szCs w:val="24"/>
        </w:rPr>
        <w:t>Infant, Pneumococcal Conjugate Vaccine</w:t>
      </w:r>
    </w:p>
    <w:p w14:paraId="086DA69F" w14:textId="77777777" w:rsidR="00FE10EE" w:rsidRDefault="00FE10EE" w:rsidP="00FE10EE">
      <w:pPr>
        <w:pStyle w:val="NoSpacing"/>
        <w:suppressLineNumbers/>
        <w:rPr>
          <w:rFonts w:asciiTheme="majorBidi" w:hAnsiTheme="majorBidi" w:cstheme="majorBidi"/>
          <w:b/>
          <w:bCs/>
          <w:sz w:val="24"/>
          <w:szCs w:val="24"/>
        </w:rPr>
      </w:pPr>
    </w:p>
    <w:p w14:paraId="719DCA72" w14:textId="77777777" w:rsidR="00FE10EE" w:rsidRDefault="00FE10EE" w:rsidP="00FE10EE">
      <w:pPr>
        <w:pStyle w:val="NoSpacing"/>
        <w:suppressLineNumbers/>
        <w:rPr>
          <w:rFonts w:asciiTheme="majorBidi" w:hAnsiTheme="majorBidi"/>
          <w:sz w:val="24"/>
          <w:szCs w:val="24"/>
        </w:rPr>
      </w:pPr>
      <w:r w:rsidRPr="00B74169">
        <w:rPr>
          <w:rFonts w:asciiTheme="majorBidi" w:hAnsiTheme="majorBidi" w:cstheme="majorBidi"/>
          <w:b/>
          <w:bCs/>
          <w:sz w:val="24"/>
          <w:szCs w:val="24"/>
        </w:rPr>
        <w:t xml:space="preserve">Abbreviated title: </w:t>
      </w:r>
      <w:r w:rsidRPr="00B74169">
        <w:rPr>
          <w:rFonts w:asciiTheme="majorBidi" w:hAnsiTheme="majorBidi"/>
          <w:sz w:val="24"/>
          <w:szCs w:val="24"/>
        </w:rPr>
        <w:t xml:space="preserve">Invasive pneumococcal disease in infants </w:t>
      </w:r>
      <w:r>
        <w:rPr>
          <w:rFonts w:asciiTheme="majorBidi" w:hAnsiTheme="majorBidi"/>
          <w:sz w:val="24"/>
          <w:szCs w:val="24"/>
        </w:rPr>
        <w:t xml:space="preserve">in Malawi </w:t>
      </w:r>
    </w:p>
    <w:p w14:paraId="4D6C6974" w14:textId="77777777" w:rsidR="00FE10EE" w:rsidRDefault="00FE10EE" w:rsidP="00FE10EE">
      <w:pPr>
        <w:pStyle w:val="NoSpacing"/>
        <w:suppressLineNumbers/>
        <w:rPr>
          <w:rFonts w:asciiTheme="majorBidi" w:hAnsiTheme="majorBidi"/>
          <w:sz w:val="24"/>
          <w:szCs w:val="24"/>
        </w:rPr>
      </w:pPr>
    </w:p>
    <w:p w14:paraId="531672A9" w14:textId="77777777" w:rsidR="00FE10EE" w:rsidRPr="006A012E" w:rsidRDefault="00FE10EE" w:rsidP="00FE10EE">
      <w:pPr>
        <w:pStyle w:val="NoSpacing"/>
        <w:suppressLineNumbers/>
        <w:rPr>
          <w:rFonts w:asciiTheme="majorBidi" w:hAnsiTheme="majorBidi" w:cstheme="majorBidi"/>
          <w:sz w:val="24"/>
          <w:szCs w:val="24"/>
        </w:rPr>
      </w:pPr>
      <w:r w:rsidRPr="006A012E">
        <w:rPr>
          <w:rFonts w:asciiTheme="majorBidi" w:hAnsiTheme="majorBidi" w:cstheme="majorBidi"/>
          <w:b/>
          <w:bCs/>
          <w:sz w:val="24"/>
          <w:szCs w:val="24"/>
        </w:rPr>
        <w:t xml:space="preserve">Running title: </w:t>
      </w:r>
      <w:r w:rsidRPr="006A012E">
        <w:rPr>
          <w:rFonts w:asciiTheme="majorBidi" w:hAnsiTheme="majorBidi" w:cstheme="majorBidi"/>
          <w:sz w:val="24"/>
          <w:szCs w:val="24"/>
        </w:rPr>
        <w:t>IPD in infants in Malawi</w:t>
      </w:r>
    </w:p>
    <w:p w14:paraId="1F39B056" w14:textId="77777777" w:rsidR="00FE10EE" w:rsidRPr="006A012E" w:rsidRDefault="00FE10EE" w:rsidP="00FE10EE">
      <w:pPr>
        <w:pStyle w:val="NoSpacing"/>
        <w:suppressLineNumbers/>
        <w:rPr>
          <w:rFonts w:asciiTheme="majorBidi" w:hAnsiTheme="majorBidi" w:cstheme="majorBidi"/>
          <w:sz w:val="24"/>
          <w:szCs w:val="24"/>
        </w:rPr>
      </w:pPr>
    </w:p>
    <w:p w14:paraId="032E9F26" w14:textId="77777777" w:rsidR="00FE10EE" w:rsidRPr="006A012E" w:rsidRDefault="00FE10EE" w:rsidP="00FE10EE">
      <w:pPr>
        <w:pStyle w:val="NoSpacing"/>
        <w:suppressLineNumbers/>
        <w:rPr>
          <w:rFonts w:asciiTheme="majorBidi" w:hAnsiTheme="majorBidi" w:cstheme="majorBidi"/>
          <w:b/>
          <w:bCs/>
          <w:sz w:val="24"/>
          <w:szCs w:val="24"/>
        </w:rPr>
      </w:pPr>
      <w:r w:rsidRPr="006A012E">
        <w:rPr>
          <w:rFonts w:asciiTheme="majorBidi" w:hAnsiTheme="majorBidi" w:cstheme="majorBidi"/>
          <w:b/>
          <w:bCs/>
          <w:color w:val="222222"/>
          <w:sz w:val="24"/>
          <w:szCs w:val="24"/>
          <w:shd w:val="clear" w:color="auto" w:fill="FFFFFF"/>
        </w:rPr>
        <w:t>Posting history:</w:t>
      </w:r>
      <w:r w:rsidRPr="006A012E">
        <w:rPr>
          <w:rFonts w:asciiTheme="majorBidi" w:hAnsiTheme="majorBidi" w:cstheme="majorBidi"/>
          <w:color w:val="222222"/>
          <w:sz w:val="24"/>
          <w:szCs w:val="24"/>
          <w:shd w:val="clear" w:color="auto" w:fill="FFFFFF"/>
        </w:rPr>
        <w:t xml:space="preserve"> This manuscript was previously posted to </w:t>
      </w:r>
      <w:proofErr w:type="spellStart"/>
      <w:r w:rsidRPr="006A012E">
        <w:rPr>
          <w:rFonts w:asciiTheme="majorBidi" w:hAnsiTheme="majorBidi" w:cstheme="majorBidi"/>
          <w:color w:val="222222"/>
          <w:sz w:val="24"/>
          <w:szCs w:val="24"/>
          <w:shd w:val="clear" w:color="auto" w:fill="FFFFFF"/>
        </w:rPr>
        <w:t>Medrix</w:t>
      </w:r>
      <w:proofErr w:type="spellEnd"/>
      <w:r w:rsidRPr="006A012E">
        <w:rPr>
          <w:rFonts w:asciiTheme="majorBidi" w:hAnsiTheme="majorBidi" w:cstheme="majorBidi"/>
          <w:color w:val="222222"/>
          <w:sz w:val="24"/>
          <w:szCs w:val="24"/>
          <w:shd w:val="clear" w:color="auto" w:fill="FFFFFF"/>
        </w:rPr>
        <w:t xml:space="preserve">: </w:t>
      </w:r>
      <w:proofErr w:type="spellStart"/>
      <w:r w:rsidRPr="006A012E">
        <w:rPr>
          <w:rStyle w:val="label"/>
          <w:rFonts w:asciiTheme="majorBidi" w:hAnsiTheme="majorBidi"/>
          <w:b/>
          <w:bCs/>
          <w:color w:val="333333"/>
          <w:bdr w:val="none" w:sz="0" w:space="0" w:color="auto" w:frame="1"/>
          <w:shd w:val="clear" w:color="auto" w:fill="FFFFFF"/>
        </w:rPr>
        <w:t>doi</w:t>
      </w:r>
      <w:proofErr w:type="spellEnd"/>
      <w:r w:rsidRPr="006A012E">
        <w:rPr>
          <w:rStyle w:val="label"/>
          <w:rFonts w:asciiTheme="majorBidi" w:hAnsiTheme="majorBidi"/>
          <w:b/>
          <w:bCs/>
          <w:color w:val="333333"/>
          <w:bdr w:val="none" w:sz="0" w:space="0" w:color="auto" w:frame="1"/>
          <w:shd w:val="clear" w:color="auto" w:fill="FFFFFF"/>
        </w:rPr>
        <w:t>:</w:t>
      </w:r>
      <w:r w:rsidRPr="006A012E">
        <w:rPr>
          <w:rFonts w:asciiTheme="majorBidi" w:hAnsiTheme="majorBidi" w:cstheme="majorBidi"/>
          <w:color w:val="333333"/>
          <w:sz w:val="24"/>
          <w:szCs w:val="24"/>
          <w:shd w:val="clear" w:color="auto" w:fill="FFFFFF"/>
        </w:rPr>
        <w:t> https://doi.org/10.1101/2021.08.18.21262215</w:t>
      </w:r>
    </w:p>
    <w:p w14:paraId="5DED955B" w14:textId="1C2BD64D" w:rsidR="00FE10EE" w:rsidRDefault="00FE10EE"/>
    <w:p w14:paraId="58C90D81" w14:textId="49DC1C03" w:rsidR="00FE10EE" w:rsidRDefault="00FE10EE"/>
    <w:p w14:paraId="1C2B79E8" w14:textId="4AF07274" w:rsidR="00FE10EE" w:rsidRDefault="00FE10EE"/>
    <w:p w14:paraId="4C0FF2B0" w14:textId="77777777" w:rsidR="00FE10EE" w:rsidRDefault="00FE10EE" w:rsidP="00FE10EE">
      <w:pPr>
        <w:pStyle w:val="NoSpacing"/>
        <w:suppressLineNumbers/>
        <w:spacing w:line="480" w:lineRule="auto"/>
        <w:rPr>
          <w:rFonts w:asciiTheme="majorBidi" w:hAnsiTheme="majorBidi" w:cstheme="majorBidi"/>
          <w:b/>
          <w:bCs/>
          <w:sz w:val="32"/>
          <w:szCs w:val="32"/>
        </w:rPr>
      </w:pPr>
      <w:r w:rsidRPr="00BD55A7">
        <w:rPr>
          <w:rFonts w:asciiTheme="majorBidi" w:hAnsiTheme="majorBidi" w:cstheme="majorBidi"/>
          <w:b/>
          <w:bCs/>
          <w:sz w:val="32"/>
          <w:szCs w:val="32"/>
        </w:rPr>
        <w:t xml:space="preserve">Abstract </w:t>
      </w:r>
    </w:p>
    <w:p w14:paraId="3A1C9E65" w14:textId="77777777" w:rsidR="00FE10EE" w:rsidRDefault="00FE10EE" w:rsidP="00FE10EE">
      <w:pPr>
        <w:pStyle w:val="NoSpacing"/>
        <w:suppressLineNumbers/>
        <w:spacing w:line="480" w:lineRule="auto"/>
        <w:rPr>
          <w:sz w:val="24"/>
          <w:szCs w:val="24"/>
        </w:rPr>
      </w:pPr>
      <w:r w:rsidRPr="00FE10EE">
        <w:rPr>
          <w:b/>
          <w:bCs/>
          <w:sz w:val="24"/>
          <w:szCs w:val="24"/>
          <w:u w:val="single"/>
        </w:rPr>
        <w:lastRenderedPageBreak/>
        <w:t>Background:</w:t>
      </w:r>
      <w:r w:rsidRPr="00BD55A7">
        <w:rPr>
          <w:sz w:val="24"/>
          <w:szCs w:val="24"/>
        </w:rPr>
        <w:t xml:space="preserve"> Invasive pneumococcal disease (IPD) in young infants is uncommon but associated with high morbidity and mortality. Accurate data on the burden of IPD in young infants in low-income countries are lacking. We examined the burden of IPD in infants aged &lt;90 days in Blantyre, Malawi over a 14-year period and evaluated the</w:t>
      </w:r>
      <w:r>
        <w:rPr>
          <w:sz w:val="24"/>
          <w:szCs w:val="24"/>
        </w:rPr>
        <w:t xml:space="preserve"> indirect</w:t>
      </w:r>
      <w:r w:rsidRPr="00BD55A7">
        <w:rPr>
          <w:sz w:val="24"/>
          <w:szCs w:val="24"/>
        </w:rPr>
        <w:t xml:space="preserve"> impact of the 13-valent pneumococcal conjugate vaccine (PCV13) on vaccine-serotype IPD (VT-IPD) in this population.</w:t>
      </w:r>
      <w:r>
        <w:rPr>
          <w:sz w:val="24"/>
          <w:szCs w:val="24"/>
        </w:rPr>
        <w:t xml:space="preserve"> </w:t>
      </w:r>
    </w:p>
    <w:p w14:paraId="4D19BD9A" w14:textId="77777777" w:rsidR="00FE10EE" w:rsidRDefault="00FE10EE" w:rsidP="00FE10EE">
      <w:pPr>
        <w:pStyle w:val="NoSpacing"/>
        <w:suppressLineNumbers/>
        <w:spacing w:line="480" w:lineRule="auto"/>
        <w:rPr>
          <w:sz w:val="24"/>
          <w:szCs w:val="24"/>
          <w:shd w:val="clear" w:color="auto" w:fill="FFFFFF"/>
        </w:rPr>
      </w:pPr>
      <w:r w:rsidRPr="00FE10EE">
        <w:rPr>
          <w:b/>
          <w:bCs/>
          <w:sz w:val="24"/>
          <w:szCs w:val="24"/>
          <w:u w:val="single"/>
        </w:rPr>
        <w:t>Methods:</w:t>
      </w:r>
      <w:r w:rsidRPr="00BD55A7">
        <w:rPr>
          <w:sz w:val="24"/>
          <w:szCs w:val="24"/>
        </w:rPr>
        <w:t xml:space="preserve"> We conducted laboratory-based prospective IPD surveillance in infants aged &lt;90 days admitted to Queen Elizabeth Central Hospital (QECH) in Blantyre between 2005 and 2018, including 7 years pre- and 7 years post-PCV13 introduction. IPD was defined as </w:t>
      </w:r>
      <w:r w:rsidRPr="00BD55A7">
        <w:rPr>
          <w:i/>
          <w:sz w:val="24"/>
          <w:szCs w:val="24"/>
        </w:rPr>
        <w:t>Streptococcus pneumoniae</w:t>
      </w:r>
      <w:r w:rsidRPr="00BD55A7">
        <w:rPr>
          <w:sz w:val="24"/>
          <w:szCs w:val="24"/>
        </w:rPr>
        <w:t xml:space="preserve"> identified by culture from blood or </w:t>
      </w:r>
      <w:r w:rsidRPr="00BD55A7">
        <w:rPr>
          <w:sz w:val="24"/>
          <w:szCs w:val="24"/>
        </w:rPr>
        <w:lastRenderedPageBreak/>
        <w:t xml:space="preserve">cerebrospinal fluid. Serotypes were determined by </w:t>
      </w:r>
      <w:r w:rsidRPr="00BD55A7">
        <w:rPr>
          <w:sz w:val="24"/>
          <w:szCs w:val="24"/>
          <w:shd w:val="clear" w:color="auto" w:fill="FFFFFF"/>
        </w:rPr>
        <w:t>multiplex PCR and latex agglutination testing.</w:t>
      </w:r>
      <w:r>
        <w:rPr>
          <w:sz w:val="24"/>
          <w:szCs w:val="24"/>
          <w:shd w:val="clear" w:color="auto" w:fill="FFFFFF"/>
        </w:rPr>
        <w:t xml:space="preserve"> </w:t>
      </w:r>
    </w:p>
    <w:p w14:paraId="3C514337" w14:textId="77777777" w:rsidR="00FE10EE" w:rsidRDefault="00FE10EE" w:rsidP="00FE10EE">
      <w:pPr>
        <w:pStyle w:val="NoSpacing"/>
        <w:suppressLineNumbers/>
        <w:spacing w:line="480" w:lineRule="auto"/>
        <w:rPr>
          <w:sz w:val="24"/>
          <w:szCs w:val="24"/>
        </w:rPr>
      </w:pPr>
      <w:r w:rsidRPr="00FE10EE">
        <w:rPr>
          <w:b/>
          <w:bCs/>
          <w:sz w:val="24"/>
          <w:szCs w:val="24"/>
          <w:u w:val="single"/>
        </w:rPr>
        <w:t>Results:</w:t>
      </w:r>
      <w:r w:rsidRPr="00BD55A7">
        <w:rPr>
          <w:sz w:val="24"/>
          <w:szCs w:val="24"/>
        </w:rPr>
        <w:t xml:space="preserve"> We identified 130 cases of culture-confirmed IPD in infants &lt;90 days old between 2005-2018. Total IPD incidence was declining prior to PCV13 introduction. The mean incidence of IPD was significantly lower in the post-PCV13 era. Serotypes 5 (27.8%) and 1 (15.6%) were most prevalent. Even after PCV13 introduction, VTs remained the primary cause of IPD, with serotype 5 accounting for 17.4% and serotype 1 for 13.0% of cases in young infants.    </w:t>
      </w:r>
    </w:p>
    <w:p w14:paraId="789E52ED" w14:textId="59696B96" w:rsidR="00FE10EE" w:rsidRPr="00BD55A7" w:rsidRDefault="00FE10EE" w:rsidP="00FE10EE">
      <w:pPr>
        <w:pStyle w:val="NoSpacing"/>
        <w:suppressLineNumbers/>
        <w:spacing w:line="480" w:lineRule="auto"/>
        <w:rPr>
          <w:b/>
          <w:bCs/>
          <w:sz w:val="24"/>
          <w:szCs w:val="24"/>
        </w:rPr>
      </w:pPr>
      <w:r w:rsidRPr="00FE10EE">
        <w:rPr>
          <w:b/>
          <w:bCs/>
          <w:sz w:val="24"/>
          <w:szCs w:val="24"/>
          <w:u w:val="single"/>
        </w:rPr>
        <w:t>Conclusion:</w:t>
      </w:r>
      <w:r w:rsidRPr="00BD55A7">
        <w:rPr>
          <w:sz w:val="24"/>
          <w:szCs w:val="24"/>
        </w:rPr>
        <w:t xml:space="preserve"> Vaccine serotypes </w:t>
      </w:r>
      <w:r>
        <w:rPr>
          <w:sz w:val="24"/>
          <w:szCs w:val="24"/>
        </w:rPr>
        <w:t xml:space="preserve">1 &amp; 5 </w:t>
      </w:r>
      <w:r w:rsidRPr="00BD55A7">
        <w:rPr>
          <w:sz w:val="24"/>
          <w:szCs w:val="24"/>
        </w:rPr>
        <w:t xml:space="preserve">were the main cause of IPD in neonates and young infants, both before and after PCV13 introduction. </w:t>
      </w:r>
      <w:r>
        <w:rPr>
          <w:sz w:val="24"/>
          <w:szCs w:val="24"/>
        </w:rPr>
        <w:t xml:space="preserve">This suggests incomplete indirect protection with persisting VT carriage across the population despite vaccination in this </w:t>
      </w:r>
      <w:r>
        <w:rPr>
          <w:sz w:val="24"/>
          <w:szCs w:val="24"/>
        </w:rPr>
        <w:lastRenderedPageBreak/>
        <w:t>setting.  Alternative  vaccine schedules and other vaccine introduction approaches</w:t>
      </w:r>
      <w:r w:rsidRPr="00BD55A7">
        <w:rPr>
          <w:sz w:val="24"/>
          <w:szCs w:val="24"/>
        </w:rPr>
        <w:t xml:space="preserve"> need to be considered to protect this vulnerable population. </w:t>
      </w:r>
    </w:p>
    <w:p w14:paraId="6CE04D8C" w14:textId="77777777" w:rsidR="00FE10EE" w:rsidRDefault="00FE10EE" w:rsidP="00FE10EE"/>
    <w:p w14:paraId="46CD9AE8" w14:textId="77777777" w:rsidR="00FE10EE" w:rsidRPr="001A75F5" w:rsidRDefault="00FE10EE" w:rsidP="00FE10EE">
      <w:pPr>
        <w:pStyle w:val="Heading1"/>
        <w:spacing w:line="480" w:lineRule="auto"/>
        <w:rPr>
          <w:rFonts w:asciiTheme="majorBidi" w:hAnsiTheme="majorBidi"/>
          <w:sz w:val="32"/>
          <w:szCs w:val="32"/>
        </w:rPr>
      </w:pPr>
      <w:r w:rsidRPr="001A75F5">
        <w:rPr>
          <w:rFonts w:asciiTheme="majorBidi" w:hAnsiTheme="majorBidi"/>
          <w:color w:val="auto"/>
          <w:sz w:val="32"/>
          <w:szCs w:val="32"/>
        </w:rPr>
        <w:t>Background</w:t>
      </w:r>
    </w:p>
    <w:p w14:paraId="58BC936A" w14:textId="77777777" w:rsidR="00FE10EE" w:rsidRPr="00314A76" w:rsidRDefault="00FE10EE" w:rsidP="00FE10EE">
      <w:pPr>
        <w:pStyle w:val="NoSpacing"/>
        <w:spacing w:line="480" w:lineRule="auto"/>
        <w:jc w:val="both"/>
        <w:rPr>
          <w:rFonts w:asciiTheme="majorBidi" w:hAnsiTheme="majorBidi" w:cstheme="majorBidi"/>
          <w:sz w:val="24"/>
          <w:szCs w:val="24"/>
        </w:rPr>
      </w:pPr>
      <w:r w:rsidRPr="00314A76">
        <w:rPr>
          <w:rFonts w:asciiTheme="majorBidi" w:hAnsiTheme="majorBidi" w:cstheme="majorBidi"/>
          <w:i/>
          <w:iCs/>
          <w:sz w:val="24"/>
          <w:szCs w:val="24"/>
        </w:rPr>
        <w:t xml:space="preserve">Streptococcus </w:t>
      </w:r>
      <w:r w:rsidRPr="00314A76">
        <w:rPr>
          <w:rFonts w:asciiTheme="majorBidi" w:hAnsiTheme="majorBidi" w:cstheme="majorBidi"/>
          <w:i/>
          <w:sz w:val="24"/>
          <w:szCs w:val="24"/>
        </w:rPr>
        <w:t>pneumoniae</w:t>
      </w:r>
      <w:r w:rsidRPr="00314A76">
        <w:rPr>
          <w:rFonts w:asciiTheme="majorBidi" w:hAnsiTheme="majorBidi" w:cstheme="majorBidi"/>
          <w:sz w:val="24"/>
          <w:szCs w:val="24"/>
        </w:rPr>
        <w:t xml:space="preserve"> is a major cause of </w:t>
      </w:r>
      <w:r>
        <w:rPr>
          <w:rFonts w:asciiTheme="majorBidi" w:hAnsiTheme="majorBidi" w:cstheme="majorBidi"/>
          <w:sz w:val="24"/>
          <w:szCs w:val="24"/>
        </w:rPr>
        <w:t xml:space="preserve">serious bacterial infections including </w:t>
      </w:r>
      <w:r w:rsidRPr="00314A76">
        <w:rPr>
          <w:rFonts w:asciiTheme="majorBidi" w:hAnsiTheme="majorBidi" w:cstheme="majorBidi"/>
          <w:sz w:val="24"/>
          <w:szCs w:val="24"/>
        </w:rPr>
        <w:t>pneumonia,</w:t>
      </w:r>
      <w:r>
        <w:rPr>
          <w:rFonts w:asciiTheme="majorBidi" w:hAnsiTheme="majorBidi" w:cstheme="majorBidi"/>
          <w:sz w:val="24"/>
          <w:szCs w:val="24"/>
        </w:rPr>
        <w:t xml:space="preserve"> sepsis and</w:t>
      </w:r>
      <w:r w:rsidRPr="00314A76">
        <w:rPr>
          <w:rFonts w:asciiTheme="majorBidi" w:hAnsiTheme="majorBidi" w:cstheme="majorBidi"/>
          <w:sz w:val="24"/>
          <w:szCs w:val="24"/>
        </w:rPr>
        <w:t xml:space="preserve"> meningitis in </w:t>
      </w:r>
      <w:r>
        <w:rPr>
          <w:rFonts w:asciiTheme="majorBidi" w:hAnsiTheme="majorBidi" w:cstheme="majorBidi"/>
          <w:sz w:val="24"/>
          <w:szCs w:val="24"/>
        </w:rPr>
        <w:t xml:space="preserve">young </w:t>
      </w:r>
      <w:r w:rsidRPr="00314A76">
        <w:rPr>
          <w:rFonts w:asciiTheme="majorBidi" w:hAnsiTheme="majorBidi" w:cstheme="majorBidi"/>
          <w:sz w:val="24"/>
          <w:szCs w:val="24"/>
        </w:rPr>
        <w:t xml:space="preserve">children. </w:t>
      </w:r>
      <w:r>
        <w:rPr>
          <w:rFonts w:asciiTheme="majorBidi" w:hAnsiTheme="majorBidi" w:cstheme="majorBidi"/>
          <w:sz w:val="24"/>
          <w:szCs w:val="24"/>
        </w:rPr>
        <w:t>Globally, t</w:t>
      </w:r>
      <w:r w:rsidRPr="00314A76">
        <w:rPr>
          <w:rFonts w:asciiTheme="majorBidi" w:hAnsiTheme="majorBidi" w:cstheme="majorBidi"/>
          <w:sz w:val="24"/>
          <w:szCs w:val="24"/>
        </w:rPr>
        <w:t xml:space="preserve">here were an estimated 294,000 pneumococcal deaths in HIV-uninfected children aged 1-59 months in 2015, with the majority occurring in sub-Saharan Africa and Asia </w:t>
      </w:r>
      <w:r>
        <w:rPr>
          <w:rFonts w:asciiTheme="majorBidi" w:hAnsiTheme="majorBidi" w:cstheme="majorBidi"/>
          <w:noProof/>
          <w:sz w:val="24"/>
          <w:szCs w:val="24"/>
        </w:rPr>
        <w:t>(1)</w:t>
      </w:r>
      <w:r w:rsidRPr="00314A76">
        <w:rPr>
          <w:rFonts w:asciiTheme="majorBidi" w:hAnsiTheme="majorBidi" w:cstheme="majorBidi"/>
          <w:sz w:val="24"/>
          <w:szCs w:val="24"/>
        </w:rPr>
        <w:t xml:space="preserve">. </w:t>
      </w:r>
      <w:r w:rsidRPr="00314A76">
        <w:rPr>
          <w:rFonts w:asciiTheme="majorBidi" w:hAnsiTheme="majorBidi" w:cstheme="majorBidi"/>
          <w:i/>
          <w:iCs/>
          <w:sz w:val="24"/>
          <w:szCs w:val="24"/>
        </w:rPr>
        <w:t>Streptococcus pneumoniae</w:t>
      </w:r>
      <w:r w:rsidRPr="00314A76">
        <w:rPr>
          <w:rFonts w:asciiTheme="majorBidi" w:hAnsiTheme="majorBidi" w:cstheme="majorBidi"/>
          <w:sz w:val="24"/>
          <w:szCs w:val="24"/>
        </w:rPr>
        <w:t xml:space="preserve"> is considered an uncommon but well-recognized cause of invasive </w:t>
      </w:r>
      <w:r>
        <w:rPr>
          <w:rFonts w:asciiTheme="majorBidi" w:hAnsiTheme="majorBidi" w:cstheme="majorBidi"/>
          <w:sz w:val="24"/>
          <w:szCs w:val="24"/>
        </w:rPr>
        <w:t xml:space="preserve">bacterial </w:t>
      </w:r>
      <w:r w:rsidRPr="00314A76">
        <w:rPr>
          <w:rFonts w:asciiTheme="majorBidi" w:hAnsiTheme="majorBidi" w:cstheme="majorBidi"/>
          <w:sz w:val="24"/>
          <w:szCs w:val="24"/>
        </w:rPr>
        <w:t>disease</w:t>
      </w:r>
      <w:r>
        <w:rPr>
          <w:rFonts w:asciiTheme="majorBidi" w:hAnsiTheme="majorBidi" w:cstheme="majorBidi"/>
          <w:sz w:val="24"/>
          <w:szCs w:val="24"/>
        </w:rPr>
        <w:t xml:space="preserve"> </w:t>
      </w:r>
      <w:r w:rsidRPr="00314A76">
        <w:rPr>
          <w:rFonts w:asciiTheme="majorBidi" w:hAnsiTheme="majorBidi" w:cstheme="majorBidi"/>
          <w:sz w:val="24"/>
          <w:szCs w:val="24"/>
        </w:rPr>
        <w:t xml:space="preserve">in neonates and young infants and has been associated with high morbidity and </w:t>
      </w:r>
      <w:r>
        <w:rPr>
          <w:rFonts w:asciiTheme="majorBidi" w:hAnsiTheme="majorBidi" w:cstheme="majorBidi"/>
          <w:sz w:val="24"/>
          <w:szCs w:val="24"/>
        </w:rPr>
        <w:t xml:space="preserve">mortality, with a case fatality rate of up to 14.3% </w:t>
      </w:r>
      <w:r>
        <w:rPr>
          <w:rFonts w:asciiTheme="majorBidi" w:hAnsiTheme="majorBidi" w:cstheme="majorBidi"/>
          <w:noProof/>
          <w:sz w:val="24"/>
          <w:szCs w:val="24"/>
        </w:rPr>
        <w:t>(2-6)</w:t>
      </w:r>
      <w:r w:rsidRPr="00314A76">
        <w:rPr>
          <w:rFonts w:asciiTheme="majorBidi" w:hAnsiTheme="majorBidi" w:cstheme="majorBidi"/>
          <w:sz w:val="24"/>
          <w:szCs w:val="24"/>
        </w:rPr>
        <w:t xml:space="preserve">. </w:t>
      </w:r>
      <w:r w:rsidRPr="0091068E">
        <w:rPr>
          <w:rFonts w:asciiTheme="majorBidi" w:hAnsiTheme="majorBidi" w:cstheme="majorBidi"/>
          <w:sz w:val="24"/>
          <w:szCs w:val="24"/>
        </w:rPr>
        <w:t xml:space="preserve">The global burden of neonatal </w:t>
      </w:r>
      <w:r w:rsidRPr="0091068E">
        <w:rPr>
          <w:rFonts w:asciiTheme="majorBidi" w:hAnsiTheme="majorBidi" w:cstheme="majorBidi"/>
          <w:sz w:val="24"/>
          <w:szCs w:val="24"/>
        </w:rPr>
        <w:lastRenderedPageBreak/>
        <w:t xml:space="preserve">invasive pneumococcal disease </w:t>
      </w:r>
      <w:r>
        <w:rPr>
          <w:rFonts w:asciiTheme="majorBidi" w:hAnsiTheme="majorBidi" w:cstheme="majorBidi"/>
          <w:sz w:val="24"/>
          <w:szCs w:val="24"/>
        </w:rPr>
        <w:t>(</w:t>
      </w:r>
      <w:r w:rsidRPr="0091068E">
        <w:rPr>
          <w:rFonts w:asciiTheme="majorBidi" w:hAnsiTheme="majorBidi" w:cstheme="majorBidi"/>
          <w:sz w:val="24"/>
          <w:szCs w:val="24"/>
        </w:rPr>
        <w:t>IPD</w:t>
      </w:r>
      <w:r>
        <w:rPr>
          <w:rFonts w:asciiTheme="majorBidi" w:hAnsiTheme="majorBidi" w:cstheme="majorBidi"/>
          <w:sz w:val="24"/>
          <w:szCs w:val="24"/>
        </w:rPr>
        <w:t>)</w:t>
      </w:r>
      <w:r w:rsidRPr="0091068E">
        <w:rPr>
          <w:rFonts w:asciiTheme="majorBidi" w:hAnsiTheme="majorBidi" w:cstheme="majorBidi"/>
          <w:sz w:val="24"/>
          <w:szCs w:val="24"/>
        </w:rPr>
        <w:t xml:space="preserve"> has been estimated at 36.0 per 100,000 live</w:t>
      </w:r>
      <w:r w:rsidRPr="00314A76">
        <w:rPr>
          <w:rFonts w:asciiTheme="majorBidi" w:hAnsiTheme="majorBidi" w:cstheme="majorBidi"/>
          <w:sz w:val="24"/>
          <w:szCs w:val="24"/>
        </w:rPr>
        <w:t xml:space="preserve"> births in the pre-PCV </w:t>
      </w:r>
      <w:r>
        <w:rPr>
          <w:rFonts w:asciiTheme="majorBidi" w:hAnsiTheme="majorBidi" w:cstheme="majorBidi"/>
          <w:sz w:val="24"/>
          <w:szCs w:val="24"/>
        </w:rPr>
        <w:t>period</w:t>
      </w:r>
      <w:r w:rsidRPr="00314A76">
        <w:rPr>
          <w:rFonts w:asciiTheme="majorBidi" w:hAnsiTheme="majorBidi" w:cstheme="majorBidi"/>
          <w:sz w:val="24"/>
          <w:szCs w:val="24"/>
        </w:rPr>
        <w:t xml:space="preserve"> </w:t>
      </w:r>
      <w:r>
        <w:rPr>
          <w:rFonts w:asciiTheme="majorBidi" w:hAnsiTheme="majorBidi" w:cstheme="majorBidi"/>
          <w:noProof/>
          <w:sz w:val="24"/>
          <w:szCs w:val="24"/>
        </w:rPr>
        <w:t>(7)</w:t>
      </w:r>
      <w:r w:rsidRPr="00314A76">
        <w:rPr>
          <w:rFonts w:asciiTheme="majorBidi" w:hAnsiTheme="majorBidi" w:cstheme="majorBidi"/>
          <w:sz w:val="24"/>
          <w:szCs w:val="24"/>
        </w:rPr>
        <w:t>. However, accurate data on the burden of IPD in neonates and young infants are lacking, especially in low</w:t>
      </w:r>
      <w:r>
        <w:rPr>
          <w:rFonts w:asciiTheme="majorBidi" w:hAnsiTheme="majorBidi" w:cstheme="majorBidi"/>
          <w:sz w:val="24"/>
          <w:szCs w:val="24"/>
        </w:rPr>
        <w:t>-</w:t>
      </w:r>
      <w:r w:rsidRPr="00314A76">
        <w:rPr>
          <w:rFonts w:asciiTheme="majorBidi" w:hAnsiTheme="majorBidi" w:cstheme="majorBidi"/>
          <w:sz w:val="24"/>
          <w:szCs w:val="24"/>
        </w:rPr>
        <w:t>income countries.</w:t>
      </w:r>
    </w:p>
    <w:p w14:paraId="5570413E" w14:textId="77777777" w:rsidR="00FE10EE" w:rsidRPr="00314A76" w:rsidRDefault="00FE10EE" w:rsidP="00FE10EE">
      <w:pPr>
        <w:autoSpaceDE w:val="0"/>
        <w:autoSpaceDN w:val="0"/>
        <w:adjustRightInd w:val="0"/>
        <w:spacing w:after="0" w:line="480" w:lineRule="auto"/>
        <w:jc w:val="both"/>
        <w:rPr>
          <w:rFonts w:asciiTheme="majorBidi" w:hAnsiTheme="majorBidi" w:cstheme="majorBidi"/>
          <w:sz w:val="24"/>
          <w:szCs w:val="24"/>
        </w:rPr>
      </w:pPr>
    </w:p>
    <w:p w14:paraId="4E83CB67" w14:textId="77777777" w:rsidR="00FE10EE" w:rsidRDefault="00FE10EE" w:rsidP="00FE10EE">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In Malawi, </w:t>
      </w:r>
      <w:r w:rsidRPr="001301CA">
        <w:rPr>
          <w:rFonts w:asciiTheme="majorBidi" w:hAnsiTheme="majorBidi" w:cstheme="majorBidi"/>
          <w:sz w:val="24"/>
          <w:szCs w:val="24"/>
        </w:rPr>
        <w:t>the under-5 child mortality rate was reduced by two-thirds between 1990 and 2015, with the country therefore achieving Millennium Development Goal (MDG) 4</w:t>
      </w:r>
      <w:r>
        <w:rPr>
          <w:rFonts w:asciiTheme="majorBidi" w:hAnsiTheme="majorBidi" w:cstheme="majorBidi"/>
          <w:sz w:val="24"/>
          <w:szCs w:val="24"/>
        </w:rPr>
        <w:t>. Th</w:t>
      </w:r>
      <w:r w:rsidRPr="001301CA">
        <w:rPr>
          <w:rFonts w:asciiTheme="majorBidi" w:hAnsiTheme="majorBidi" w:cstheme="majorBidi"/>
          <w:sz w:val="24"/>
          <w:szCs w:val="24"/>
        </w:rPr>
        <w:t xml:space="preserve">e </w:t>
      </w:r>
      <w:r w:rsidRPr="001301CA">
        <w:rPr>
          <w:rFonts w:asciiTheme="majorBidi" w:hAnsiTheme="majorBidi" w:cstheme="majorBidi"/>
          <w:sz w:val="24"/>
          <w:szCs w:val="24"/>
          <w:shd w:val="clear" w:color="auto" w:fill="FFFFFF"/>
        </w:rPr>
        <w:t xml:space="preserve">neonatal mortality declined more slowly (from 50 to 23 deaths per 1000 livebirths) and remains amongst the highest in the world </w:t>
      </w:r>
      <w:r>
        <w:rPr>
          <w:rFonts w:asciiTheme="majorBidi" w:hAnsiTheme="majorBidi" w:cstheme="majorBidi"/>
          <w:noProof/>
          <w:sz w:val="24"/>
          <w:szCs w:val="24"/>
          <w:shd w:val="clear" w:color="auto" w:fill="FFFFFF"/>
        </w:rPr>
        <w:t>(8, 9)</w:t>
      </w:r>
      <w:r w:rsidRPr="001301CA">
        <w:rPr>
          <w:rFonts w:asciiTheme="majorBidi" w:hAnsiTheme="majorBidi" w:cstheme="majorBidi"/>
          <w:sz w:val="24"/>
          <w:szCs w:val="24"/>
        </w:rPr>
        <w:t xml:space="preserve">. </w:t>
      </w:r>
      <w:r w:rsidRPr="00314A76">
        <w:rPr>
          <w:rFonts w:asciiTheme="majorBidi" w:hAnsiTheme="majorBidi" w:cstheme="majorBidi"/>
          <w:sz w:val="24"/>
          <w:szCs w:val="24"/>
        </w:rPr>
        <w:t xml:space="preserve">Severe bacterial infections contribute significantly as a leading cause of death in the neonatal population </w:t>
      </w:r>
      <w:r>
        <w:rPr>
          <w:rFonts w:asciiTheme="majorBidi" w:hAnsiTheme="majorBidi" w:cstheme="majorBidi"/>
          <w:noProof/>
          <w:sz w:val="24"/>
          <w:szCs w:val="24"/>
        </w:rPr>
        <w:t>(10)</w:t>
      </w:r>
      <w:r w:rsidRPr="00314A76">
        <w:rPr>
          <w:rFonts w:asciiTheme="majorBidi" w:hAnsiTheme="majorBidi" w:cstheme="majorBidi"/>
          <w:sz w:val="24"/>
          <w:szCs w:val="24"/>
        </w:rPr>
        <w:t xml:space="preserve">. </w:t>
      </w:r>
      <w:r>
        <w:rPr>
          <w:rFonts w:asciiTheme="majorBidi" w:hAnsiTheme="majorBidi" w:cstheme="majorBidi"/>
          <w:sz w:val="24"/>
          <w:szCs w:val="24"/>
        </w:rPr>
        <w:t xml:space="preserve">Work examining </w:t>
      </w:r>
      <w:r w:rsidRPr="00314A76">
        <w:rPr>
          <w:rFonts w:asciiTheme="majorBidi" w:hAnsiTheme="majorBidi" w:cstheme="majorBidi"/>
          <w:sz w:val="24"/>
          <w:szCs w:val="24"/>
        </w:rPr>
        <w:t xml:space="preserve">the aetiology of neonatal sepsis in Blantyre, Malawi from 1996-2001 showed that </w:t>
      </w:r>
      <w:r w:rsidRPr="00314A76">
        <w:rPr>
          <w:rFonts w:asciiTheme="majorBidi" w:hAnsiTheme="majorBidi" w:cstheme="majorBidi"/>
          <w:i/>
          <w:iCs/>
          <w:sz w:val="24"/>
          <w:szCs w:val="24"/>
        </w:rPr>
        <w:t>Streptococcus pneumoniae</w:t>
      </w:r>
      <w:r w:rsidRPr="00314A76">
        <w:rPr>
          <w:rFonts w:asciiTheme="majorBidi" w:hAnsiTheme="majorBidi" w:cstheme="majorBidi"/>
          <w:i/>
          <w:sz w:val="24"/>
          <w:szCs w:val="24"/>
        </w:rPr>
        <w:t xml:space="preserve"> </w:t>
      </w:r>
      <w:r w:rsidRPr="00314A76">
        <w:rPr>
          <w:rFonts w:asciiTheme="majorBidi" w:hAnsiTheme="majorBidi" w:cstheme="majorBidi"/>
          <w:sz w:val="24"/>
          <w:szCs w:val="24"/>
        </w:rPr>
        <w:t xml:space="preserve">was responsible for 10% of neonatal sepsis cases and 23% of neonatal meningitis cases </w:t>
      </w:r>
      <w:r>
        <w:rPr>
          <w:rFonts w:asciiTheme="majorBidi" w:hAnsiTheme="majorBidi" w:cstheme="majorBidi"/>
          <w:noProof/>
          <w:sz w:val="24"/>
          <w:szCs w:val="24"/>
        </w:rPr>
        <w:t>(11)</w:t>
      </w:r>
      <w:r w:rsidRPr="00314A76">
        <w:rPr>
          <w:rFonts w:asciiTheme="majorBidi" w:hAnsiTheme="majorBidi" w:cstheme="majorBidi"/>
          <w:sz w:val="24"/>
          <w:szCs w:val="24"/>
        </w:rPr>
        <w:t xml:space="preserve">. </w:t>
      </w:r>
      <w:r>
        <w:rPr>
          <w:rFonts w:asciiTheme="majorBidi" w:hAnsiTheme="majorBidi" w:cstheme="majorBidi"/>
          <w:sz w:val="24"/>
          <w:szCs w:val="24"/>
        </w:rPr>
        <w:t xml:space="preserve"> </w:t>
      </w:r>
    </w:p>
    <w:p w14:paraId="311F0D21" w14:textId="77777777" w:rsidR="00FE10EE" w:rsidRDefault="00FE10EE" w:rsidP="00FE10EE">
      <w:pPr>
        <w:autoSpaceDE w:val="0"/>
        <w:autoSpaceDN w:val="0"/>
        <w:adjustRightInd w:val="0"/>
        <w:spacing w:after="0" w:line="480" w:lineRule="auto"/>
        <w:jc w:val="both"/>
        <w:rPr>
          <w:rFonts w:asciiTheme="majorBidi" w:hAnsiTheme="majorBidi" w:cstheme="majorBidi"/>
          <w:sz w:val="24"/>
          <w:szCs w:val="24"/>
        </w:rPr>
      </w:pPr>
    </w:p>
    <w:p w14:paraId="0F47753F" w14:textId="77777777" w:rsidR="00FE10EE" w:rsidRPr="0089244B" w:rsidRDefault="00FE10EE" w:rsidP="00FE10EE">
      <w:pPr>
        <w:autoSpaceDE w:val="0"/>
        <w:autoSpaceDN w:val="0"/>
        <w:adjustRightInd w:val="0"/>
        <w:spacing w:after="0" w:line="480" w:lineRule="auto"/>
        <w:jc w:val="both"/>
        <w:rPr>
          <w:rFonts w:asciiTheme="majorBidi" w:hAnsiTheme="majorBidi" w:cstheme="majorBidi"/>
          <w:bCs/>
          <w:sz w:val="24"/>
          <w:szCs w:val="24"/>
        </w:rPr>
      </w:pPr>
      <w:r w:rsidRPr="00314A76">
        <w:rPr>
          <w:rFonts w:asciiTheme="majorBidi" w:hAnsiTheme="majorBidi" w:cstheme="majorBidi"/>
          <w:bCs/>
          <w:sz w:val="24"/>
          <w:szCs w:val="24"/>
        </w:rPr>
        <w:t>S</w:t>
      </w:r>
      <w:r w:rsidRPr="00314A76">
        <w:rPr>
          <w:rFonts w:asciiTheme="majorBidi" w:hAnsiTheme="majorBidi" w:cstheme="majorBidi"/>
          <w:sz w:val="24"/>
          <w:szCs w:val="24"/>
        </w:rPr>
        <w:t xml:space="preserve">upported by </w:t>
      </w:r>
      <w:r>
        <w:rPr>
          <w:rFonts w:asciiTheme="majorBidi" w:hAnsiTheme="majorBidi" w:cstheme="majorBidi"/>
          <w:sz w:val="24"/>
          <w:szCs w:val="24"/>
        </w:rPr>
        <w:t xml:space="preserve">GAVI, the Vaccine </w:t>
      </w:r>
      <w:r w:rsidRPr="00314A76">
        <w:rPr>
          <w:rFonts w:asciiTheme="majorBidi" w:hAnsiTheme="majorBidi" w:cstheme="majorBidi"/>
          <w:sz w:val="24"/>
          <w:szCs w:val="24"/>
        </w:rPr>
        <w:t>Alliance</w:t>
      </w:r>
      <w:r>
        <w:rPr>
          <w:rFonts w:asciiTheme="majorBidi" w:hAnsiTheme="majorBidi" w:cstheme="majorBidi"/>
          <w:sz w:val="24"/>
          <w:szCs w:val="24"/>
        </w:rPr>
        <w:t xml:space="preserve">, </w:t>
      </w:r>
      <w:r w:rsidRPr="00314A76">
        <w:rPr>
          <w:rFonts w:asciiTheme="majorBidi" w:hAnsiTheme="majorBidi" w:cstheme="majorBidi"/>
          <w:sz w:val="24"/>
          <w:szCs w:val="24"/>
        </w:rPr>
        <w:t xml:space="preserve">the 13-valent pneumococcal conjugate vaccine (PCV13) was introduced in Malawi in </w:t>
      </w:r>
      <w:r>
        <w:rPr>
          <w:rFonts w:asciiTheme="majorBidi" w:hAnsiTheme="majorBidi" w:cstheme="majorBidi"/>
          <w:sz w:val="24"/>
          <w:szCs w:val="24"/>
        </w:rPr>
        <w:t xml:space="preserve">November </w:t>
      </w:r>
      <w:r w:rsidRPr="00314A76">
        <w:rPr>
          <w:rFonts w:asciiTheme="majorBidi" w:hAnsiTheme="majorBidi" w:cstheme="majorBidi"/>
          <w:sz w:val="24"/>
          <w:szCs w:val="24"/>
        </w:rPr>
        <w:t>2011 as part of the national ex</w:t>
      </w:r>
      <w:r>
        <w:rPr>
          <w:rFonts w:asciiTheme="majorBidi" w:hAnsiTheme="majorBidi" w:cstheme="majorBidi"/>
          <w:sz w:val="24"/>
          <w:szCs w:val="24"/>
        </w:rPr>
        <w:t xml:space="preserve">panded </w:t>
      </w:r>
      <w:r w:rsidRPr="00314A76">
        <w:rPr>
          <w:rFonts w:asciiTheme="majorBidi" w:hAnsiTheme="majorBidi" w:cstheme="majorBidi"/>
          <w:sz w:val="24"/>
          <w:szCs w:val="24"/>
        </w:rPr>
        <w:t xml:space="preserve">program of immunisation (EPI) with </w:t>
      </w:r>
      <w:r>
        <w:rPr>
          <w:rFonts w:asciiTheme="majorBidi" w:hAnsiTheme="majorBidi" w:cstheme="majorBidi"/>
          <w:sz w:val="24"/>
          <w:szCs w:val="24"/>
        </w:rPr>
        <w:t xml:space="preserve">at </w:t>
      </w:r>
      <w:r w:rsidRPr="00314A76">
        <w:rPr>
          <w:rFonts w:asciiTheme="majorBidi" w:hAnsiTheme="majorBidi" w:cstheme="majorBidi"/>
          <w:sz w:val="24"/>
          <w:szCs w:val="24"/>
        </w:rPr>
        <w:t>a 3+0 schedule (</w:t>
      </w:r>
      <w:r>
        <w:rPr>
          <w:rFonts w:asciiTheme="majorBidi" w:hAnsiTheme="majorBidi" w:cstheme="majorBidi"/>
          <w:sz w:val="24"/>
          <w:szCs w:val="24"/>
        </w:rPr>
        <w:t xml:space="preserve">one dose </w:t>
      </w:r>
      <w:r w:rsidRPr="00314A76">
        <w:rPr>
          <w:rFonts w:asciiTheme="majorBidi" w:hAnsiTheme="majorBidi" w:cstheme="majorBidi"/>
          <w:sz w:val="24"/>
          <w:szCs w:val="24"/>
        </w:rPr>
        <w:t>at 6, 10 and 14 weeks of age).</w:t>
      </w:r>
      <w:r>
        <w:rPr>
          <w:rFonts w:asciiTheme="majorBidi" w:hAnsiTheme="majorBidi" w:cstheme="majorBidi"/>
          <w:sz w:val="24"/>
          <w:szCs w:val="24"/>
        </w:rPr>
        <w:t xml:space="preserve"> A recent study by </w:t>
      </w:r>
      <w:proofErr w:type="spellStart"/>
      <w:r w:rsidRPr="00314A76">
        <w:rPr>
          <w:rFonts w:asciiTheme="majorBidi" w:hAnsiTheme="majorBidi" w:cstheme="majorBidi"/>
          <w:sz w:val="24"/>
          <w:szCs w:val="24"/>
        </w:rPr>
        <w:t>Swarthout</w:t>
      </w:r>
      <w:proofErr w:type="spellEnd"/>
      <w:r w:rsidRPr="00314A76">
        <w:rPr>
          <w:rFonts w:asciiTheme="majorBidi" w:hAnsiTheme="majorBidi" w:cstheme="majorBidi"/>
          <w:sz w:val="24"/>
          <w:szCs w:val="24"/>
        </w:rPr>
        <w:t xml:space="preserve"> </w:t>
      </w:r>
      <w:r w:rsidRPr="00151D0E">
        <w:rPr>
          <w:rFonts w:asciiTheme="majorBidi" w:hAnsiTheme="majorBidi" w:cstheme="majorBidi"/>
          <w:i/>
          <w:iCs/>
          <w:sz w:val="24"/>
          <w:szCs w:val="24"/>
        </w:rPr>
        <w:t>et al</w:t>
      </w:r>
      <w:r>
        <w:rPr>
          <w:rFonts w:asciiTheme="majorBidi" w:hAnsiTheme="majorBidi" w:cstheme="majorBidi"/>
          <w:sz w:val="24"/>
          <w:szCs w:val="24"/>
        </w:rPr>
        <w:t xml:space="preserve"> </w:t>
      </w:r>
      <w:r>
        <w:rPr>
          <w:rFonts w:asciiTheme="majorBidi" w:hAnsiTheme="majorBidi" w:cstheme="majorBidi"/>
          <w:noProof/>
          <w:sz w:val="24"/>
          <w:szCs w:val="24"/>
        </w:rPr>
        <w:t>(12)</w:t>
      </w:r>
      <w:r>
        <w:rPr>
          <w:rFonts w:ascii="Times New Roman" w:hAnsi="Times New Roman" w:cs="Times New Roman"/>
          <w:bCs/>
          <w:sz w:val="24"/>
          <w:szCs w:val="24"/>
          <w:lang w:val="en-US"/>
        </w:rPr>
        <w:t xml:space="preserve"> </w:t>
      </w:r>
      <w:r w:rsidRPr="00314A76">
        <w:rPr>
          <w:rFonts w:asciiTheme="majorBidi" w:hAnsiTheme="majorBidi" w:cstheme="majorBidi"/>
          <w:sz w:val="24"/>
          <w:szCs w:val="24"/>
        </w:rPr>
        <w:t xml:space="preserve">has shown that </w:t>
      </w:r>
      <w:r>
        <w:rPr>
          <w:rFonts w:asciiTheme="majorBidi" w:hAnsiTheme="majorBidi" w:cstheme="majorBidi"/>
          <w:sz w:val="24"/>
          <w:szCs w:val="24"/>
        </w:rPr>
        <w:t xml:space="preserve">7 years </w:t>
      </w:r>
      <w:r w:rsidRPr="00314A76">
        <w:rPr>
          <w:rFonts w:asciiTheme="majorBidi" w:hAnsiTheme="majorBidi" w:cstheme="majorBidi"/>
          <w:sz w:val="24"/>
          <w:szCs w:val="24"/>
        </w:rPr>
        <w:t xml:space="preserve">after </w:t>
      </w:r>
      <w:r>
        <w:rPr>
          <w:rFonts w:asciiTheme="majorBidi" w:hAnsiTheme="majorBidi" w:cstheme="majorBidi"/>
          <w:sz w:val="24"/>
          <w:szCs w:val="24"/>
        </w:rPr>
        <w:t xml:space="preserve">PCV13 </w:t>
      </w:r>
      <w:r w:rsidRPr="00314A76">
        <w:rPr>
          <w:rFonts w:asciiTheme="majorBidi" w:hAnsiTheme="majorBidi" w:cstheme="majorBidi"/>
          <w:sz w:val="24"/>
          <w:szCs w:val="24"/>
        </w:rPr>
        <w:t xml:space="preserve">introduction in </w:t>
      </w:r>
      <w:r w:rsidRPr="0089244B">
        <w:rPr>
          <w:rFonts w:asciiTheme="majorBidi" w:hAnsiTheme="majorBidi" w:cstheme="majorBidi"/>
          <w:sz w:val="24"/>
          <w:szCs w:val="24"/>
        </w:rPr>
        <w:t>Malawi, despite high vaccine uptake and a reduction in vaccine type (VT) carriage, there remains high persistent residual carriage. In this study, we evaluated</w:t>
      </w:r>
      <w:r w:rsidRPr="0089244B">
        <w:rPr>
          <w:rFonts w:asciiTheme="majorBidi" w:hAnsiTheme="majorBidi" w:cstheme="majorBidi"/>
          <w:bCs/>
          <w:sz w:val="24"/>
          <w:szCs w:val="24"/>
        </w:rPr>
        <w:t xml:space="preserve"> the burden of IPD in infants aged &lt;90 days admitted to </w:t>
      </w:r>
      <w:r w:rsidRPr="0089244B">
        <w:rPr>
          <w:rFonts w:asciiTheme="majorBidi" w:hAnsiTheme="majorBidi" w:cstheme="majorBidi"/>
          <w:sz w:val="24"/>
          <w:szCs w:val="24"/>
        </w:rPr>
        <w:t>Queen Elizabeth Central Hospital (</w:t>
      </w:r>
      <w:r w:rsidRPr="0089244B">
        <w:rPr>
          <w:rFonts w:asciiTheme="majorBidi" w:hAnsiTheme="majorBidi" w:cstheme="majorBidi"/>
          <w:bCs/>
          <w:sz w:val="24"/>
          <w:szCs w:val="24"/>
        </w:rPr>
        <w:t>QECH) in Blantyre, Malawi in the pre- and post-PCV13 period.</w:t>
      </w:r>
    </w:p>
    <w:p w14:paraId="4369A596" w14:textId="77777777" w:rsidR="00FE10EE" w:rsidRPr="001A75F5" w:rsidRDefault="00FE10EE" w:rsidP="00FE10EE">
      <w:pPr>
        <w:pStyle w:val="Heading1"/>
        <w:spacing w:line="480" w:lineRule="auto"/>
        <w:rPr>
          <w:rStyle w:val="Heading2Char"/>
          <w:rFonts w:asciiTheme="majorBidi" w:hAnsiTheme="majorBidi"/>
          <w:b/>
          <w:color w:val="auto"/>
          <w:sz w:val="32"/>
          <w:szCs w:val="32"/>
        </w:rPr>
      </w:pPr>
      <w:r w:rsidRPr="001A75F5">
        <w:rPr>
          <w:rFonts w:asciiTheme="majorBidi" w:hAnsiTheme="majorBidi"/>
          <w:color w:val="auto"/>
          <w:sz w:val="32"/>
          <w:szCs w:val="32"/>
        </w:rPr>
        <w:lastRenderedPageBreak/>
        <w:t>Methods</w:t>
      </w:r>
      <w:r w:rsidRPr="001A75F5">
        <w:rPr>
          <w:rStyle w:val="Heading2Char"/>
          <w:rFonts w:asciiTheme="majorBidi" w:hAnsiTheme="majorBidi"/>
          <w:color w:val="auto"/>
          <w:sz w:val="32"/>
          <w:szCs w:val="32"/>
        </w:rPr>
        <w:t xml:space="preserve"> </w:t>
      </w:r>
    </w:p>
    <w:p w14:paraId="47025212" w14:textId="77777777" w:rsidR="00FE10EE" w:rsidRPr="00FE10EE" w:rsidRDefault="00FE10EE" w:rsidP="00FE10EE">
      <w:pPr>
        <w:rPr>
          <w:b/>
          <w:bCs/>
        </w:rPr>
      </w:pPr>
      <w:r w:rsidRPr="00FE10EE">
        <w:rPr>
          <w:b/>
          <w:bCs/>
        </w:rPr>
        <w:t>Study setting</w:t>
      </w:r>
    </w:p>
    <w:p w14:paraId="3F134991" w14:textId="77777777" w:rsidR="00FE10EE" w:rsidRPr="00314A76" w:rsidRDefault="00FE10EE" w:rsidP="00FE10EE">
      <w:pPr>
        <w:spacing w:line="480" w:lineRule="auto"/>
        <w:rPr>
          <w:rFonts w:asciiTheme="majorBidi" w:hAnsiTheme="majorBidi" w:cstheme="majorBidi"/>
          <w:sz w:val="24"/>
          <w:szCs w:val="24"/>
        </w:rPr>
      </w:pPr>
      <w:r w:rsidRPr="00314A76">
        <w:rPr>
          <w:rFonts w:asciiTheme="majorBidi" w:hAnsiTheme="majorBidi" w:cstheme="majorBidi"/>
          <w:sz w:val="24"/>
          <w:szCs w:val="24"/>
        </w:rPr>
        <w:t xml:space="preserve">Malawi is a  landlocked country in </w:t>
      </w:r>
      <w:r>
        <w:rPr>
          <w:rFonts w:asciiTheme="majorBidi" w:hAnsiTheme="majorBidi" w:cstheme="majorBidi"/>
          <w:sz w:val="24"/>
          <w:szCs w:val="24"/>
        </w:rPr>
        <w:t xml:space="preserve">southern </w:t>
      </w:r>
      <w:r w:rsidRPr="00314A76">
        <w:rPr>
          <w:rFonts w:asciiTheme="majorBidi" w:hAnsiTheme="majorBidi" w:cstheme="majorBidi"/>
          <w:sz w:val="24"/>
          <w:szCs w:val="24"/>
        </w:rPr>
        <w:t>sub-Saharan Africa</w:t>
      </w:r>
      <w:r>
        <w:rPr>
          <w:rFonts w:asciiTheme="majorBidi" w:hAnsiTheme="majorBidi" w:cstheme="majorBidi"/>
          <w:sz w:val="24"/>
          <w:szCs w:val="24"/>
        </w:rPr>
        <w:t xml:space="preserve"> with a population of 19.1 million people. The country is </w:t>
      </w:r>
      <w:r w:rsidRPr="00CB1AA3">
        <w:rPr>
          <w:rFonts w:asciiTheme="majorBidi" w:hAnsiTheme="majorBidi" w:cstheme="majorBidi"/>
          <w:sz w:val="24"/>
          <w:szCs w:val="24"/>
        </w:rPr>
        <w:t>ranked by the World Bank in the lowest income category</w:t>
      </w:r>
      <w:r w:rsidRPr="00314A76" w:rsidDel="00CB1AA3">
        <w:rPr>
          <w:rFonts w:asciiTheme="majorBidi" w:hAnsiTheme="majorBidi" w:cstheme="majorBidi"/>
          <w:sz w:val="24"/>
          <w:szCs w:val="24"/>
        </w:rPr>
        <w:t xml:space="preserve"> </w:t>
      </w:r>
      <w:r>
        <w:rPr>
          <w:rFonts w:asciiTheme="majorBidi" w:hAnsiTheme="majorBidi" w:cstheme="majorBidi"/>
          <w:noProof/>
          <w:sz w:val="24"/>
          <w:szCs w:val="24"/>
        </w:rPr>
        <w:t>(13)</w:t>
      </w:r>
      <w:r w:rsidRPr="00314A76">
        <w:rPr>
          <w:rFonts w:asciiTheme="majorBidi" w:hAnsiTheme="majorBidi" w:cstheme="majorBidi"/>
          <w:sz w:val="24"/>
          <w:szCs w:val="24"/>
        </w:rPr>
        <w:t>.</w:t>
      </w:r>
      <w:r>
        <w:rPr>
          <w:rFonts w:asciiTheme="majorBidi" w:hAnsiTheme="majorBidi" w:cstheme="majorBidi"/>
          <w:sz w:val="24"/>
          <w:szCs w:val="24"/>
        </w:rPr>
        <w:t xml:space="preserve"> Located in Blantyre, capital city of Malawi’s southern region, </w:t>
      </w:r>
      <w:r w:rsidRPr="00314A76">
        <w:rPr>
          <w:rFonts w:asciiTheme="majorBidi" w:hAnsiTheme="majorBidi" w:cstheme="majorBidi"/>
          <w:sz w:val="24"/>
          <w:szCs w:val="24"/>
        </w:rPr>
        <w:t xml:space="preserve">QECH is a large government </w:t>
      </w:r>
      <w:r>
        <w:rPr>
          <w:rFonts w:asciiTheme="majorBidi" w:hAnsiTheme="majorBidi" w:cstheme="majorBidi"/>
          <w:sz w:val="24"/>
          <w:szCs w:val="24"/>
        </w:rPr>
        <w:t xml:space="preserve">funded </w:t>
      </w:r>
      <w:r w:rsidRPr="00314A76">
        <w:rPr>
          <w:rFonts w:asciiTheme="majorBidi" w:hAnsiTheme="majorBidi" w:cstheme="majorBidi"/>
          <w:sz w:val="24"/>
          <w:szCs w:val="24"/>
        </w:rPr>
        <w:t xml:space="preserve">district and referral hospital </w:t>
      </w:r>
      <w:r>
        <w:rPr>
          <w:rFonts w:asciiTheme="majorBidi" w:hAnsiTheme="majorBidi" w:cstheme="majorBidi"/>
          <w:sz w:val="24"/>
          <w:szCs w:val="24"/>
        </w:rPr>
        <w:t xml:space="preserve">with </w:t>
      </w:r>
      <w:r w:rsidRPr="00314A76">
        <w:rPr>
          <w:rFonts w:asciiTheme="majorBidi" w:hAnsiTheme="majorBidi" w:cstheme="majorBidi"/>
          <w:sz w:val="24"/>
          <w:szCs w:val="24"/>
        </w:rPr>
        <w:t xml:space="preserve">about 25,000 paediatric admissions a year. QECH provides free medical care to the 1.3 million urban, peri-urban and rural residents of Blantyre </w:t>
      </w:r>
      <w:r>
        <w:rPr>
          <w:rFonts w:asciiTheme="majorBidi" w:hAnsiTheme="majorBidi" w:cstheme="majorBidi"/>
          <w:sz w:val="24"/>
          <w:szCs w:val="24"/>
        </w:rPr>
        <w:t>D</w:t>
      </w:r>
      <w:r w:rsidRPr="00314A76">
        <w:rPr>
          <w:rFonts w:asciiTheme="majorBidi" w:hAnsiTheme="majorBidi" w:cstheme="majorBidi"/>
          <w:sz w:val="24"/>
          <w:szCs w:val="24"/>
        </w:rPr>
        <w:t>istrict.</w:t>
      </w:r>
    </w:p>
    <w:p w14:paraId="61FA0F06" w14:textId="77777777" w:rsidR="00FE10EE" w:rsidRPr="00FE10EE" w:rsidRDefault="00FE10EE" w:rsidP="00FE10EE">
      <w:pPr>
        <w:rPr>
          <w:b/>
          <w:bCs/>
          <w:lang w:val="en-US"/>
        </w:rPr>
      </w:pPr>
      <w:r w:rsidRPr="00FE10EE">
        <w:rPr>
          <w:b/>
          <w:bCs/>
          <w:lang w:val="en-US"/>
        </w:rPr>
        <w:t>Case ascertainment and laboratory confirmation</w:t>
      </w:r>
    </w:p>
    <w:p w14:paraId="511F40BB" w14:textId="77777777" w:rsidR="00FE10EE" w:rsidRDefault="00FE10EE" w:rsidP="00FE10EE">
      <w:pPr>
        <w:spacing w:line="480" w:lineRule="auto"/>
        <w:jc w:val="both"/>
        <w:rPr>
          <w:rFonts w:asciiTheme="majorBidi" w:hAnsiTheme="majorBidi" w:cstheme="majorBidi"/>
          <w:sz w:val="24"/>
          <w:szCs w:val="24"/>
          <w:lang w:val="en-US"/>
        </w:rPr>
      </w:pPr>
      <w:r w:rsidRPr="00314A76">
        <w:rPr>
          <w:rFonts w:asciiTheme="majorBidi" w:hAnsiTheme="majorBidi" w:cstheme="majorBidi"/>
          <w:sz w:val="24"/>
          <w:szCs w:val="24"/>
          <w:lang w:val="en-US"/>
        </w:rPr>
        <w:t xml:space="preserve">In accordance with longstanding clinical guidelines, all </w:t>
      </w:r>
      <w:r>
        <w:rPr>
          <w:rFonts w:asciiTheme="majorBidi" w:hAnsiTheme="majorBidi" w:cstheme="majorBidi"/>
          <w:sz w:val="24"/>
          <w:szCs w:val="24"/>
          <w:lang w:val="en-US"/>
        </w:rPr>
        <w:t xml:space="preserve">young infants </w:t>
      </w:r>
      <w:r w:rsidRPr="00314A76">
        <w:rPr>
          <w:rFonts w:asciiTheme="majorBidi" w:hAnsiTheme="majorBidi" w:cstheme="majorBidi"/>
          <w:sz w:val="24"/>
          <w:szCs w:val="24"/>
          <w:lang w:val="en-US"/>
        </w:rPr>
        <w:t xml:space="preserve">presenting to QECH with fever (axillary temperature &gt;37·5°C) or clinical </w:t>
      </w:r>
      <w:r>
        <w:rPr>
          <w:rFonts w:asciiTheme="majorBidi" w:hAnsiTheme="majorBidi" w:cstheme="majorBidi"/>
          <w:sz w:val="24"/>
          <w:szCs w:val="24"/>
          <w:lang w:val="en-US"/>
        </w:rPr>
        <w:t>suspicion</w:t>
      </w:r>
      <w:r w:rsidRPr="00314A76">
        <w:rPr>
          <w:rFonts w:asciiTheme="majorBidi" w:hAnsiTheme="majorBidi" w:cstheme="majorBidi"/>
          <w:sz w:val="24"/>
          <w:szCs w:val="24"/>
          <w:lang w:val="en-US"/>
        </w:rPr>
        <w:t xml:space="preserve"> of sepsis or meningitis undergo blood cultures </w:t>
      </w:r>
      <w:r w:rsidRPr="00314A76">
        <w:rPr>
          <w:rFonts w:asciiTheme="majorBidi" w:hAnsiTheme="majorBidi" w:cstheme="majorBidi"/>
          <w:sz w:val="24"/>
          <w:szCs w:val="24"/>
          <w:lang w:val="en-US"/>
        </w:rPr>
        <w:lastRenderedPageBreak/>
        <w:t xml:space="preserve">and, where appropriate, lumbar puncture. We have been conducting sentinel surveillance for laboratory-confirmed bloodstream infection and meningitis </w:t>
      </w:r>
      <w:r>
        <w:rPr>
          <w:rFonts w:asciiTheme="majorBidi" w:hAnsiTheme="majorBidi" w:cstheme="majorBidi"/>
          <w:sz w:val="24"/>
          <w:szCs w:val="24"/>
          <w:lang w:val="en-US"/>
        </w:rPr>
        <w:t>(</w:t>
      </w:r>
      <w:r w:rsidRPr="00314A76">
        <w:rPr>
          <w:rFonts w:asciiTheme="majorBidi" w:hAnsiTheme="majorBidi" w:cstheme="majorBidi"/>
          <w:sz w:val="24"/>
          <w:szCs w:val="24"/>
          <w:lang w:val="en-US"/>
        </w:rPr>
        <w:t>including IPD</w:t>
      </w:r>
      <w:r>
        <w:rPr>
          <w:rFonts w:asciiTheme="majorBidi" w:hAnsiTheme="majorBidi" w:cstheme="majorBidi"/>
          <w:sz w:val="24"/>
          <w:szCs w:val="24"/>
          <w:lang w:val="en-US"/>
        </w:rPr>
        <w:t>)</w:t>
      </w:r>
      <w:r w:rsidRPr="00314A76">
        <w:rPr>
          <w:rFonts w:asciiTheme="majorBidi" w:hAnsiTheme="majorBidi" w:cstheme="majorBidi"/>
          <w:sz w:val="24"/>
          <w:szCs w:val="24"/>
          <w:lang w:val="en-US"/>
        </w:rPr>
        <w:t xml:space="preserve"> in all age groups at QECH since 1998</w:t>
      </w:r>
      <w:r>
        <w:rPr>
          <w:rFonts w:asciiTheme="majorBidi" w:hAnsiTheme="majorBidi" w:cstheme="majorBidi"/>
          <w:sz w:val="24"/>
          <w:szCs w:val="24"/>
          <w:lang w:val="en-US"/>
        </w:rPr>
        <w:t xml:space="preserve">, as previously described </w:t>
      </w:r>
      <w:r>
        <w:rPr>
          <w:rFonts w:asciiTheme="majorBidi" w:hAnsiTheme="majorBidi" w:cstheme="majorBidi"/>
          <w:noProof/>
          <w:sz w:val="24"/>
          <w:szCs w:val="24"/>
          <w:lang w:val="en-US"/>
        </w:rPr>
        <w:t>(14-16)</w:t>
      </w:r>
      <w:r w:rsidRPr="00314A76">
        <w:rPr>
          <w:rFonts w:asciiTheme="majorBidi" w:hAnsiTheme="majorBidi" w:cstheme="majorBidi"/>
          <w:sz w:val="24"/>
          <w:szCs w:val="24"/>
          <w:lang w:val="en-US"/>
        </w:rPr>
        <w:t xml:space="preserve">. </w:t>
      </w:r>
    </w:p>
    <w:p w14:paraId="370320D3" w14:textId="77777777" w:rsidR="00FE10EE" w:rsidRDefault="00FE10EE" w:rsidP="00FE10EE">
      <w:pPr>
        <w:spacing w:line="480" w:lineRule="auto"/>
        <w:jc w:val="both"/>
        <w:rPr>
          <w:rFonts w:asciiTheme="majorBidi" w:hAnsiTheme="majorBidi" w:cstheme="majorBidi"/>
          <w:sz w:val="24"/>
          <w:szCs w:val="24"/>
          <w:lang w:val="en-US"/>
        </w:rPr>
      </w:pPr>
      <w:r w:rsidRPr="00314A76">
        <w:rPr>
          <w:rFonts w:asciiTheme="majorBidi" w:hAnsiTheme="majorBidi" w:cstheme="majorBidi"/>
          <w:sz w:val="24"/>
          <w:szCs w:val="24"/>
          <w:lang w:val="en-US"/>
        </w:rPr>
        <w:t>Specimens were processed at the co-located Malawi-Liverpool-</w:t>
      </w:r>
      <w:proofErr w:type="spellStart"/>
      <w:r w:rsidRPr="00314A76">
        <w:rPr>
          <w:rFonts w:asciiTheme="majorBidi" w:hAnsiTheme="majorBidi" w:cstheme="majorBidi"/>
          <w:sz w:val="24"/>
          <w:szCs w:val="24"/>
          <w:lang w:val="en-US"/>
        </w:rPr>
        <w:t>Wellcome</w:t>
      </w:r>
      <w:proofErr w:type="spellEnd"/>
      <w:r w:rsidRPr="00314A76">
        <w:rPr>
          <w:rFonts w:asciiTheme="majorBidi" w:hAnsiTheme="majorBidi" w:cstheme="majorBidi"/>
          <w:sz w:val="24"/>
          <w:szCs w:val="24"/>
          <w:lang w:val="en-US"/>
        </w:rPr>
        <w:t xml:space="preserve"> Clinical Research </w:t>
      </w:r>
      <w:proofErr w:type="spellStart"/>
      <w:r w:rsidRPr="00314A76">
        <w:rPr>
          <w:rFonts w:asciiTheme="majorBidi" w:hAnsiTheme="majorBidi" w:cstheme="majorBidi"/>
          <w:sz w:val="24"/>
          <w:szCs w:val="24"/>
          <w:lang w:val="en-US"/>
        </w:rPr>
        <w:t>Programme</w:t>
      </w:r>
      <w:proofErr w:type="spellEnd"/>
      <w:r w:rsidRPr="00314A76">
        <w:rPr>
          <w:rFonts w:asciiTheme="majorBidi" w:hAnsiTheme="majorBidi" w:cstheme="majorBidi"/>
          <w:sz w:val="24"/>
          <w:szCs w:val="24"/>
          <w:lang w:val="en-US"/>
        </w:rPr>
        <w:t xml:space="preserve"> laboratory, using BD BACTEC™ (Becton Dickinson, Franklin Lakes, NJ, USA). </w:t>
      </w:r>
      <w:r w:rsidRPr="00452A20">
        <w:rPr>
          <w:rFonts w:asciiTheme="majorBidi" w:hAnsiTheme="majorBidi" w:cstheme="majorBidi"/>
          <w:sz w:val="24"/>
          <w:szCs w:val="24"/>
          <w:lang w:val="en-US"/>
        </w:rPr>
        <w:t>T</w:t>
      </w:r>
      <w:r w:rsidRPr="00633DEB">
        <w:rPr>
          <w:rFonts w:asciiTheme="majorBidi" w:hAnsiTheme="majorBidi" w:cstheme="majorBidi"/>
          <w:sz w:val="24"/>
          <w:szCs w:val="24"/>
          <w:lang w:val="en-US"/>
        </w:rPr>
        <w:t>hose positive by BACTEC™ were Gram stained</w:t>
      </w:r>
      <w:r w:rsidRPr="00601E81">
        <w:rPr>
          <w:rFonts w:asciiTheme="majorBidi" w:hAnsiTheme="majorBidi" w:cstheme="majorBidi"/>
          <w:sz w:val="24"/>
          <w:szCs w:val="24"/>
          <w:lang w:val="en-US"/>
        </w:rPr>
        <w:t xml:space="preserve">. Gram-positive diplococci or Gram-positive cocci in short chains were initially classified as </w:t>
      </w:r>
      <w:r w:rsidRPr="00601E81">
        <w:rPr>
          <w:rFonts w:asciiTheme="majorBidi" w:hAnsiTheme="majorBidi" w:cstheme="majorBidi"/>
          <w:i/>
          <w:iCs/>
          <w:sz w:val="24"/>
          <w:szCs w:val="24"/>
          <w:lang w:val="en-US"/>
        </w:rPr>
        <w:t>Streptococcus pneumoniae</w:t>
      </w:r>
      <w:r w:rsidRPr="00601E81">
        <w:rPr>
          <w:rFonts w:asciiTheme="majorBidi" w:hAnsiTheme="majorBidi" w:cstheme="majorBidi"/>
          <w:sz w:val="24"/>
          <w:szCs w:val="24"/>
          <w:lang w:val="en-US"/>
        </w:rPr>
        <w:t xml:space="preserve"> after testing negative </w:t>
      </w:r>
      <w:r w:rsidRPr="00452A20">
        <w:rPr>
          <w:rFonts w:asciiTheme="majorBidi" w:hAnsiTheme="majorBidi" w:cstheme="majorBidi"/>
          <w:sz w:val="24"/>
          <w:szCs w:val="24"/>
          <w:lang w:val="en-US"/>
        </w:rPr>
        <w:t xml:space="preserve">using the catalase test. </w:t>
      </w:r>
      <w:r w:rsidRPr="00601E81">
        <w:rPr>
          <w:rFonts w:asciiTheme="majorBidi" w:hAnsiTheme="majorBidi" w:cstheme="majorBidi"/>
          <w:sz w:val="24"/>
          <w:szCs w:val="24"/>
          <w:lang w:val="en-US"/>
        </w:rPr>
        <w:t xml:space="preserve">These isolates </w:t>
      </w:r>
      <w:r w:rsidRPr="00452A20">
        <w:rPr>
          <w:rFonts w:asciiTheme="majorBidi" w:hAnsiTheme="majorBidi" w:cstheme="majorBidi"/>
          <w:sz w:val="24"/>
          <w:szCs w:val="24"/>
          <w:lang w:val="en-US"/>
        </w:rPr>
        <w:t xml:space="preserve">were archived on </w:t>
      </w:r>
      <w:proofErr w:type="spellStart"/>
      <w:r w:rsidRPr="00452A20">
        <w:rPr>
          <w:rFonts w:asciiTheme="majorBidi" w:hAnsiTheme="majorBidi" w:cstheme="majorBidi"/>
          <w:sz w:val="24"/>
          <w:szCs w:val="24"/>
          <w:lang w:val="en-US"/>
        </w:rPr>
        <w:t>Microbank</w:t>
      </w:r>
      <w:r w:rsidRPr="00452A20">
        <w:rPr>
          <w:rFonts w:asciiTheme="majorBidi" w:hAnsiTheme="majorBidi" w:cstheme="majorBidi"/>
          <w:sz w:val="24"/>
          <w:szCs w:val="24"/>
          <w:vertAlign w:val="superscript"/>
          <w:lang w:val="en-US"/>
        </w:rPr>
        <w:t>TM</w:t>
      </w:r>
      <w:proofErr w:type="spellEnd"/>
      <w:r w:rsidRPr="00452A20">
        <w:rPr>
          <w:rFonts w:asciiTheme="majorBidi" w:hAnsiTheme="majorBidi" w:cstheme="majorBidi"/>
          <w:sz w:val="24"/>
          <w:szCs w:val="24"/>
          <w:lang w:val="en-US"/>
        </w:rPr>
        <w:t xml:space="preserve"> beads (</w:t>
      </w:r>
      <w:proofErr w:type="spellStart"/>
      <w:r w:rsidRPr="00452A20">
        <w:rPr>
          <w:rFonts w:asciiTheme="majorBidi" w:hAnsiTheme="majorBidi" w:cstheme="majorBidi"/>
          <w:sz w:val="24"/>
          <w:szCs w:val="24"/>
          <w:lang w:val="en-US"/>
        </w:rPr>
        <w:t>ProLab</w:t>
      </w:r>
      <w:proofErr w:type="spellEnd"/>
      <w:r w:rsidRPr="00452A20">
        <w:rPr>
          <w:rFonts w:asciiTheme="majorBidi" w:hAnsiTheme="majorBidi" w:cstheme="majorBidi"/>
          <w:sz w:val="24"/>
          <w:szCs w:val="24"/>
          <w:lang w:val="en-US"/>
        </w:rPr>
        <w:t xml:space="preserve"> Diagnostics) at -80</w:t>
      </w:r>
      <w:r w:rsidRPr="00452A20">
        <w:rPr>
          <w:rFonts w:asciiTheme="majorBidi" w:hAnsiTheme="majorBidi" w:cstheme="majorBidi"/>
          <w:sz w:val="24"/>
          <w:szCs w:val="24"/>
          <w:vertAlign w:val="superscript"/>
          <w:lang w:val="en-US"/>
        </w:rPr>
        <w:t>o</w:t>
      </w:r>
      <w:r w:rsidRPr="00452A20">
        <w:rPr>
          <w:rFonts w:asciiTheme="majorBidi" w:hAnsiTheme="majorBidi" w:cstheme="majorBidi"/>
          <w:sz w:val="24"/>
          <w:szCs w:val="24"/>
          <w:lang w:val="en-US"/>
        </w:rPr>
        <w:t xml:space="preserve">C. For subsequent </w:t>
      </w:r>
      <w:r w:rsidRPr="00601E81">
        <w:rPr>
          <w:rFonts w:asciiTheme="majorBidi" w:hAnsiTheme="majorBidi" w:cstheme="majorBidi"/>
          <w:sz w:val="24"/>
          <w:szCs w:val="24"/>
          <w:lang w:val="en-US"/>
        </w:rPr>
        <w:t xml:space="preserve">confirmation of </w:t>
      </w:r>
      <w:r w:rsidRPr="00601E81">
        <w:rPr>
          <w:rFonts w:asciiTheme="majorBidi" w:hAnsiTheme="majorBidi" w:cstheme="majorBidi"/>
          <w:i/>
          <w:iCs/>
          <w:sz w:val="24"/>
          <w:szCs w:val="24"/>
          <w:lang w:val="en-US"/>
        </w:rPr>
        <w:t>Streptococcus pneumoniae</w:t>
      </w:r>
      <w:r w:rsidRPr="00601E81">
        <w:rPr>
          <w:rFonts w:asciiTheme="majorBidi" w:hAnsiTheme="majorBidi" w:cstheme="majorBidi"/>
          <w:sz w:val="24"/>
          <w:szCs w:val="24"/>
          <w:lang w:val="en-US"/>
        </w:rPr>
        <w:t xml:space="preserve"> and </w:t>
      </w:r>
      <w:r w:rsidRPr="00452A20">
        <w:rPr>
          <w:rFonts w:asciiTheme="majorBidi" w:hAnsiTheme="majorBidi" w:cstheme="majorBidi"/>
          <w:sz w:val="24"/>
          <w:szCs w:val="24"/>
          <w:lang w:val="en-US"/>
        </w:rPr>
        <w:t>serotyping, archived  isolates were plated on gentamicin-sheep blood agar (SBG; 7% sheep blood, 5µL gentamicin/mL) and incubated overnight at 37°C in 5% CO</w:t>
      </w:r>
      <w:r w:rsidRPr="00452A20">
        <w:rPr>
          <w:rFonts w:asciiTheme="majorBidi" w:hAnsiTheme="majorBidi" w:cstheme="majorBidi"/>
          <w:sz w:val="24"/>
          <w:szCs w:val="24"/>
          <w:vertAlign w:val="subscript"/>
          <w:lang w:val="en-US"/>
        </w:rPr>
        <w:t>2</w:t>
      </w:r>
      <w:r w:rsidRPr="00452A20">
        <w:rPr>
          <w:rFonts w:asciiTheme="majorBidi" w:hAnsiTheme="majorBidi" w:cstheme="majorBidi"/>
          <w:sz w:val="24"/>
          <w:szCs w:val="24"/>
          <w:lang w:val="en-US"/>
        </w:rPr>
        <w:t xml:space="preserve">. </w:t>
      </w:r>
      <w:r w:rsidRPr="00452A20">
        <w:rPr>
          <w:rFonts w:asciiTheme="majorBidi" w:hAnsiTheme="majorBidi" w:cstheme="majorBidi"/>
          <w:i/>
          <w:sz w:val="24"/>
          <w:szCs w:val="24"/>
          <w:lang w:val="en-US"/>
        </w:rPr>
        <w:t>S. pneumoniae</w:t>
      </w:r>
      <w:r w:rsidRPr="00452A20">
        <w:rPr>
          <w:rFonts w:asciiTheme="majorBidi" w:hAnsiTheme="majorBidi" w:cstheme="majorBidi"/>
          <w:sz w:val="24"/>
          <w:szCs w:val="24"/>
          <w:lang w:val="en-US"/>
        </w:rPr>
        <w:t xml:space="preserve"> </w:t>
      </w:r>
      <w:r w:rsidRPr="00452A20">
        <w:rPr>
          <w:rFonts w:asciiTheme="majorBidi" w:hAnsiTheme="majorBidi" w:cstheme="majorBidi"/>
          <w:sz w:val="24"/>
          <w:szCs w:val="24"/>
          <w:lang w:val="en-US"/>
        </w:rPr>
        <w:lastRenderedPageBreak/>
        <w:t>growth was confirmed by colony morphology and optochin disc (</w:t>
      </w:r>
      <w:proofErr w:type="spellStart"/>
      <w:r w:rsidRPr="00452A20">
        <w:rPr>
          <w:rFonts w:asciiTheme="majorBidi" w:hAnsiTheme="majorBidi" w:cstheme="majorBidi"/>
          <w:sz w:val="24"/>
          <w:szCs w:val="24"/>
          <w:lang w:val="en-US"/>
        </w:rPr>
        <w:t>Oxoid</w:t>
      </w:r>
      <w:proofErr w:type="spellEnd"/>
      <w:r w:rsidRPr="00452A20">
        <w:rPr>
          <w:rFonts w:asciiTheme="majorBidi" w:hAnsiTheme="majorBidi" w:cstheme="majorBidi"/>
          <w:sz w:val="24"/>
          <w:szCs w:val="24"/>
          <w:lang w:val="en-US"/>
        </w:rPr>
        <w:t>, Basingstoke, UK) susceptibility. The bile solubility test was used on isolates with no or intermediate (zone diameter &lt;14mm) optochin susceptibility. A single colony of confirmed pneumococcus was selected and grown on a new SBG plate as before.</w:t>
      </w:r>
      <w:r w:rsidRPr="00314A76">
        <w:rPr>
          <w:rFonts w:asciiTheme="majorBidi" w:hAnsiTheme="majorBidi" w:cstheme="majorBidi"/>
          <w:sz w:val="24"/>
          <w:szCs w:val="24"/>
          <w:lang w:val="en-US"/>
        </w:rPr>
        <w:t xml:space="preserve"> Growth from this second plate was used for serotyping by latex agglutination (</w:t>
      </w:r>
      <w:proofErr w:type="spellStart"/>
      <w:r w:rsidRPr="00314A76">
        <w:rPr>
          <w:rFonts w:asciiTheme="majorBidi" w:hAnsiTheme="majorBidi" w:cstheme="majorBidi"/>
          <w:sz w:val="24"/>
          <w:szCs w:val="24"/>
          <w:lang w:val="en-US"/>
        </w:rPr>
        <w:t>ImmuLex</w:t>
      </w:r>
      <w:proofErr w:type="spellEnd"/>
      <w:r w:rsidRPr="00314A76">
        <w:rPr>
          <w:rFonts w:asciiTheme="majorBidi" w:hAnsiTheme="majorBidi" w:cstheme="majorBidi"/>
          <w:sz w:val="24"/>
          <w:szCs w:val="24"/>
          <w:lang w:val="en-US"/>
        </w:rPr>
        <w:t xml:space="preserve">™ 7-10-13-valent </w:t>
      </w:r>
      <w:proofErr w:type="spellStart"/>
      <w:r w:rsidRPr="00314A76">
        <w:rPr>
          <w:rFonts w:asciiTheme="majorBidi" w:hAnsiTheme="majorBidi" w:cstheme="majorBidi"/>
          <w:sz w:val="24"/>
          <w:szCs w:val="24"/>
          <w:lang w:val="en-US"/>
        </w:rPr>
        <w:t>Pneumotest</w:t>
      </w:r>
      <w:proofErr w:type="spellEnd"/>
      <w:r w:rsidRPr="00314A76">
        <w:rPr>
          <w:rFonts w:asciiTheme="majorBidi" w:hAnsiTheme="majorBidi" w:cstheme="majorBidi"/>
          <w:sz w:val="24"/>
          <w:szCs w:val="24"/>
          <w:lang w:val="en-US"/>
        </w:rPr>
        <w:t xml:space="preserve">; </w:t>
      </w:r>
      <w:proofErr w:type="spellStart"/>
      <w:r w:rsidRPr="00314A76">
        <w:rPr>
          <w:rFonts w:asciiTheme="majorBidi" w:hAnsiTheme="majorBidi" w:cstheme="majorBidi"/>
          <w:sz w:val="24"/>
          <w:szCs w:val="24"/>
          <w:lang w:val="en-US"/>
        </w:rPr>
        <w:t>Statens</w:t>
      </w:r>
      <w:proofErr w:type="spellEnd"/>
      <w:r w:rsidRPr="00314A76">
        <w:rPr>
          <w:rFonts w:asciiTheme="majorBidi" w:hAnsiTheme="majorBidi" w:cstheme="majorBidi"/>
          <w:sz w:val="24"/>
          <w:szCs w:val="24"/>
          <w:lang w:val="en-US"/>
        </w:rPr>
        <w:t xml:space="preserve"> Serum Institute, Denmark). The </w:t>
      </w:r>
      <w:proofErr w:type="spellStart"/>
      <w:r w:rsidRPr="00314A76">
        <w:rPr>
          <w:rFonts w:asciiTheme="majorBidi" w:hAnsiTheme="majorBidi" w:cstheme="majorBidi"/>
          <w:sz w:val="24"/>
          <w:szCs w:val="24"/>
          <w:lang w:val="en-US"/>
        </w:rPr>
        <w:t>ImmuLex</w:t>
      </w:r>
      <w:proofErr w:type="spellEnd"/>
      <w:r w:rsidRPr="00314A76">
        <w:rPr>
          <w:rFonts w:asciiTheme="majorBidi" w:hAnsiTheme="majorBidi" w:cstheme="majorBidi"/>
          <w:sz w:val="24"/>
          <w:szCs w:val="24"/>
          <w:lang w:val="en-US"/>
        </w:rPr>
        <w:t>™ kit allows for differential identification of each PCV13 VT but not for differential identification of</w:t>
      </w:r>
      <w:r>
        <w:rPr>
          <w:rFonts w:asciiTheme="majorBidi" w:hAnsiTheme="majorBidi" w:cstheme="majorBidi"/>
          <w:sz w:val="24"/>
          <w:szCs w:val="24"/>
          <w:lang w:val="en-US"/>
        </w:rPr>
        <w:t xml:space="preserve"> non-VT</w:t>
      </w:r>
      <w:r w:rsidRPr="00314A76">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314A76">
        <w:rPr>
          <w:rFonts w:asciiTheme="majorBidi" w:hAnsiTheme="majorBidi" w:cstheme="majorBidi"/>
          <w:sz w:val="24"/>
          <w:szCs w:val="24"/>
          <w:lang w:val="en-US"/>
        </w:rPr>
        <w:t>NVT</w:t>
      </w:r>
      <w:r>
        <w:rPr>
          <w:rFonts w:asciiTheme="majorBidi" w:hAnsiTheme="majorBidi" w:cstheme="majorBidi"/>
          <w:sz w:val="24"/>
          <w:szCs w:val="24"/>
          <w:lang w:val="en-US"/>
        </w:rPr>
        <w:t>)</w:t>
      </w:r>
      <w:r w:rsidRPr="00314A76">
        <w:rPr>
          <w:rFonts w:asciiTheme="majorBidi" w:hAnsiTheme="majorBidi" w:cstheme="majorBidi"/>
          <w:sz w:val="24"/>
          <w:szCs w:val="24"/>
          <w:lang w:val="en-US"/>
        </w:rPr>
        <w:t xml:space="preserve"> serotypes; </w:t>
      </w:r>
      <w:r w:rsidRPr="00FD61D8">
        <w:rPr>
          <w:rFonts w:asciiTheme="majorBidi" w:hAnsiTheme="majorBidi" w:cstheme="majorBidi"/>
          <w:sz w:val="24"/>
          <w:szCs w:val="24"/>
          <w:lang w:val="en-US"/>
        </w:rPr>
        <w:t xml:space="preserve">All </w:t>
      </w:r>
      <w:r>
        <w:rPr>
          <w:rFonts w:asciiTheme="majorBidi" w:hAnsiTheme="majorBidi" w:cstheme="majorBidi"/>
          <w:sz w:val="24"/>
          <w:szCs w:val="24"/>
          <w:lang w:val="en-US"/>
        </w:rPr>
        <w:t xml:space="preserve">pneumococcal isolates that were not VT </w:t>
      </w:r>
      <w:r w:rsidRPr="00FD61D8">
        <w:rPr>
          <w:rFonts w:asciiTheme="majorBidi" w:hAnsiTheme="majorBidi" w:cstheme="majorBidi"/>
          <w:sz w:val="24"/>
          <w:szCs w:val="24"/>
          <w:lang w:val="en-US"/>
        </w:rPr>
        <w:t xml:space="preserve">were therefore reported as NVT. </w:t>
      </w:r>
      <w:r w:rsidRPr="00314A76">
        <w:rPr>
          <w:rFonts w:asciiTheme="majorBidi" w:hAnsiTheme="majorBidi" w:cstheme="majorBidi"/>
          <w:sz w:val="24"/>
          <w:szCs w:val="24"/>
          <w:lang w:val="en-US"/>
        </w:rPr>
        <w:t xml:space="preserve">Nucleic acid amplification-based serotyping was performed on samples collected between </w:t>
      </w:r>
      <w:r>
        <w:rPr>
          <w:rFonts w:asciiTheme="majorBidi" w:hAnsiTheme="majorBidi" w:cstheme="majorBidi"/>
          <w:sz w:val="24"/>
          <w:szCs w:val="24"/>
          <w:lang w:val="en-US"/>
        </w:rPr>
        <w:t xml:space="preserve">1 January </w:t>
      </w:r>
      <w:r w:rsidRPr="00314A76">
        <w:rPr>
          <w:rFonts w:asciiTheme="majorBidi" w:hAnsiTheme="majorBidi" w:cstheme="majorBidi"/>
          <w:sz w:val="24"/>
          <w:szCs w:val="24"/>
          <w:lang w:val="en-US"/>
        </w:rPr>
        <w:t xml:space="preserve">2009 and </w:t>
      </w:r>
      <w:r>
        <w:rPr>
          <w:rFonts w:asciiTheme="majorBidi" w:hAnsiTheme="majorBidi" w:cstheme="majorBidi"/>
          <w:sz w:val="24"/>
          <w:szCs w:val="24"/>
          <w:lang w:val="en-US"/>
        </w:rPr>
        <w:t xml:space="preserve">31 December </w:t>
      </w:r>
      <w:r w:rsidRPr="00314A76">
        <w:rPr>
          <w:rFonts w:asciiTheme="majorBidi" w:hAnsiTheme="majorBidi" w:cstheme="majorBidi"/>
          <w:sz w:val="24"/>
          <w:szCs w:val="24"/>
          <w:lang w:val="en-US"/>
        </w:rPr>
        <w:t xml:space="preserve">2013, </w:t>
      </w:r>
      <w:r w:rsidRPr="00314A76">
        <w:rPr>
          <w:rFonts w:asciiTheme="majorBidi" w:eastAsia="Times New Roman" w:hAnsiTheme="majorBidi" w:cstheme="majorBidi"/>
          <w:sz w:val="24"/>
          <w:szCs w:val="24"/>
        </w:rPr>
        <w:t xml:space="preserve">using the 'Triplex sequential real-time PCR-serotyping Africa' protocol of the </w:t>
      </w:r>
      <w:proofErr w:type="spellStart"/>
      <w:r w:rsidRPr="00314A76">
        <w:rPr>
          <w:rFonts w:asciiTheme="majorBidi" w:eastAsia="Times New Roman" w:hAnsiTheme="majorBidi" w:cstheme="majorBidi"/>
          <w:sz w:val="24"/>
          <w:szCs w:val="24"/>
        </w:rPr>
        <w:t>Center</w:t>
      </w:r>
      <w:proofErr w:type="spellEnd"/>
      <w:r w:rsidRPr="00314A76">
        <w:rPr>
          <w:rFonts w:asciiTheme="majorBidi" w:eastAsia="Times New Roman" w:hAnsiTheme="majorBidi" w:cstheme="majorBidi"/>
          <w:sz w:val="24"/>
          <w:szCs w:val="24"/>
          <w:lang w:val="en-US"/>
        </w:rPr>
        <w:t>s</w:t>
      </w:r>
      <w:r w:rsidRPr="00314A76">
        <w:rPr>
          <w:rFonts w:asciiTheme="majorBidi" w:eastAsia="Times New Roman" w:hAnsiTheme="majorBidi" w:cstheme="majorBidi"/>
          <w:sz w:val="24"/>
          <w:szCs w:val="24"/>
        </w:rPr>
        <w:t xml:space="preserve"> for Disease Control and Prevention.</w:t>
      </w:r>
      <w:r w:rsidRPr="00314A76">
        <w:rPr>
          <w:rFonts w:asciiTheme="majorBidi" w:eastAsia="Times New Roman" w:hAnsiTheme="majorBidi" w:cstheme="majorBidi"/>
          <w:sz w:val="24"/>
          <w:szCs w:val="24"/>
          <w:vertAlign w:val="superscript"/>
        </w:rPr>
        <w:t>24</w:t>
      </w:r>
      <w:r w:rsidRPr="00314A76">
        <w:rPr>
          <w:rFonts w:asciiTheme="majorBidi" w:eastAsia="Times New Roman" w:hAnsiTheme="majorBidi" w:cstheme="majorBidi"/>
          <w:sz w:val="24"/>
          <w:szCs w:val="24"/>
        </w:rPr>
        <w:t xml:space="preserve"> </w:t>
      </w:r>
      <w:r w:rsidRPr="00B619AD">
        <w:rPr>
          <w:rFonts w:ascii="Times New Roman" w:hAnsi="Times New Roman" w:cs="Times New Roman"/>
          <w:color w:val="000000"/>
          <w:sz w:val="24"/>
          <w:szCs w:val="24"/>
        </w:rPr>
        <w:t xml:space="preserve">Both assays have been shown to be highly accurate and </w:t>
      </w:r>
      <w:r w:rsidRPr="00B619AD">
        <w:rPr>
          <w:rFonts w:ascii="Times New Roman" w:hAnsi="Times New Roman" w:cs="Times New Roman"/>
          <w:color w:val="000000"/>
          <w:sz w:val="24"/>
          <w:szCs w:val="24"/>
        </w:rPr>
        <w:lastRenderedPageBreak/>
        <w:t xml:space="preserve">concordant in pneumococcal </w:t>
      </w:r>
      <w:r w:rsidRPr="0003553F">
        <w:rPr>
          <w:rFonts w:ascii="Times New Roman" w:hAnsi="Times New Roman" w:cs="Times New Roman"/>
          <w:sz w:val="24"/>
          <w:szCs w:val="24"/>
        </w:rPr>
        <w:t xml:space="preserve">serotyping </w:t>
      </w:r>
      <w:r w:rsidRPr="0003553F">
        <w:rPr>
          <w:rFonts w:ascii="Times New Roman" w:hAnsi="Times New Roman" w:cs="Times New Roman"/>
          <w:noProof/>
          <w:sz w:val="24"/>
          <w:szCs w:val="24"/>
        </w:rPr>
        <w:t>(17, 18)</w:t>
      </w:r>
      <w:r w:rsidRPr="0003553F">
        <w:rPr>
          <w:rFonts w:ascii="Times New Roman" w:hAnsi="Times New Roman" w:cs="Times New Roman"/>
          <w:sz w:val="24"/>
          <w:szCs w:val="24"/>
        </w:rPr>
        <w:t xml:space="preserve">. </w:t>
      </w:r>
      <w:r>
        <w:rPr>
          <w:rFonts w:asciiTheme="majorBidi" w:eastAsia="Times New Roman" w:hAnsiTheme="majorBidi" w:cstheme="majorBidi"/>
          <w:sz w:val="24"/>
          <w:szCs w:val="24"/>
        </w:rPr>
        <w:t xml:space="preserve">There was 100% concordance among a </w:t>
      </w:r>
      <w:r w:rsidRPr="00314A76">
        <w:rPr>
          <w:rFonts w:asciiTheme="majorBidi" w:hAnsiTheme="majorBidi" w:cstheme="majorBidi"/>
          <w:sz w:val="24"/>
          <w:szCs w:val="24"/>
          <w:lang w:val="en-US"/>
        </w:rPr>
        <w:t xml:space="preserve">random selection </w:t>
      </w:r>
      <w:r>
        <w:rPr>
          <w:rFonts w:asciiTheme="majorBidi" w:hAnsiTheme="majorBidi" w:cstheme="majorBidi"/>
          <w:sz w:val="24"/>
          <w:szCs w:val="24"/>
          <w:lang w:val="en-US"/>
        </w:rPr>
        <w:t xml:space="preserve">(approximately 6%) of </w:t>
      </w:r>
      <w:r w:rsidRPr="00314A76">
        <w:rPr>
          <w:rFonts w:asciiTheme="majorBidi" w:hAnsiTheme="majorBidi" w:cstheme="majorBidi"/>
          <w:sz w:val="24"/>
          <w:szCs w:val="24"/>
          <w:lang w:val="en-US"/>
        </w:rPr>
        <w:t xml:space="preserve">serotyped isolates sent for confirmatory serotyping by </w:t>
      </w:r>
      <w:proofErr w:type="spellStart"/>
      <w:r w:rsidRPr="00314A76">
        <w:rPr>
          <w:rFonts w:asciiTheme="majorBidi" w:hAnsiTheme="majorBidi" w:cstheme="majorBidi"/>
          <w:sz w:val="24"/>
          <w:szCs w:val="24"/>
          <w:lang w:val="en-US"/>
        </w:rPr>
        <w:t>Quellung</w:t>
      </w:r>
      <w:proofErr w:type="spellEnd"/>
      <w:r w:rsidRPr="00314A76">
        <w:rPr>
          <w:rFonts w:asciiTheme="majorBidi" w:hAnsiTheme="majorBidi" w:cstheme="majorBidi"/>
          <w:sz w:val="24"/>
          <w:szCs w:val="24"/>
          <w:lang w:val="en-US"/>
        </w:rPr>
        <w:t xml:space="preserve"> reaction at the regional pneumococcal reference laboratory at the National Institute for Communicable Disease in Johannesburg, South Africa. Since </w:t>
      </w:r>
      <w:r>
        <w:rPr>
          <w:rFonts w:asciiTheme="majorBidi" w:hAnsiTheme="majorBidi" w:cstheme="majorBidi"/>
          <w:sz w:val="24"/>
          <w:szCs w:val="24"/>
          <w:lang w:val="en-US"/>
        </w:rPr>
        <w:t xml:space="preserve">13 August </w:t>
      </w:r>
      <w:r w:rsidRPr="00314A76">
        <w:rPr>
          <w:rFonts w:asciiTheme="majorBidi" w:hAnsiTheme="majorBidi" w:cstheme="majorBidi"/>
          <w:sz w:val="24"/>
          <w:szCs w:val="24"/>
          <w:lang w:val="en-US"/>
        </w:rPr>
        <w:t xml:space="preserve">2011, serotyping </w:t>
      </w:r>
      <w:r>
        <w:rPr>
          <w:rFonts w:asciiTheme="majorBidi" w:hAnsiTheme="majorBidi" w:cstheme="majorBidi"/>
          <w:sz w:val="24"/>
          <w:szCs w:val="24"/>
          <w:lang w:val="en-US"/>
        </w:rPr>
        <w:t xml:space="preserve">has </w:t>
      </w:r>
      <w:r w:rsidRPr="00314A76">
        <w:rPr>
          <w:rFonts w:asciiTheme="majorBidi" w:hAnsiTheme="majorBidi" w:cstheme="majorBidi"/>
          <w:sz w:val="24"/>
          <w:szCs w:val="24"/>
          <w:lang w:val="en-US"/>
        </w:rPr>
        <w:t>occur</w:t>
      </w:r>
      <w:r>
        <w:rPr>
          <w:rFonts w:asciiTheme="majorBidi" w:hAnsiTheme="majorBidi" w:cstheme="majorBidi"/>
          <w:sz w:val="24"/>
          <w:szCs w:val="24"/>
          <w:lang w:val="en-US"/>
        </w:rPr>
        <w:t>red</w:t>
      </w:r>
      <w:r w:rsidRPr="00314A76">
        <w:rPr>
          <w:rFonts w:asciiTheme="majorBidi" w:hAnsiTheme="majorBidi" w:cstheme="majorBidi"/>
          <w:sz w:val="24"/>
          <w:szCs w:val="24"/>
          <w:lang w:val="en-US"/>
        </w:rPr>
        <w:t xml:space="preserve"> in real time with specimen processing. Isolates collected before </w:t>
      </w:r>
      <w:r>
        <w:rPr>
          <w:rFonts w:asciiTheme="majorBidi" w:hAnsiTheme="majorBidi" w:cstheme="majorBidi"/>
          <w:sz w:val="24"/>
          <w:szCs w:val="24"/>
          <w:lang w:val="en-US"/>
        </w:rPr>
        <w:t xml:space="preserve">13 August </w:t>
      </w:r>
      <w:r w:rsidRPr="00314A76">
        <w:rPr>
          <w:rFonts w:asciiTheme="majorBidi" w:hAnsiTheme="majorBidi" w:cstheme="majorBidi"/>
          <w:sz w:val="24"/>
          <w:szCs w:val="24"/>
          <w:lang w:val="en-US"/>
        </w:rPr>
        <w:t xml:space="preserve">2011 were retrospectively serotyped. Demographic information </w:t>
      </w:r>
      <w:r>
        <w:rPr>
          <w:rFonts w:asciiTheme="majorBidi" w:hAnsiTheme="majorBidi" w:cstheme="majorBidi"/>
          <w:sz w:val="24"/>
          <w:szCs w:val="24"/>
          <w:lang w:val="en-US"/>
        </w:rPr>
        <w:t xml:space="preserve">(including age and sex) </w:t>
      </w:r>
      <w:r w:rsidRPr="00314A76">
        <w:rPr>
          <w:rFonts w:asciiTheme="majorBidi" w:hAnsiTheme="majorBidi" w:cstheme="majorBidi"/>
          <w:sz w:val="24"/>
          <w:szCs w:val="24"/>
          <w:lang w:val="en-US"/>
        </w:rPr>
        <w:t xml:space="preserve">was collected at the time of </w:t>
      </w:r>
      <w:r w:rsidRPr="00B2126D">
        <w:rPr>
          <w:rFonts w:asciiTheme="majorBidi" w:hAnsiTheme="majorBidi" w:cstheme="majorBidi"/>
          <w:sz w:val="24"/>
          <w:szCs w:val="24"/>
          <w:lang w:val="en-US"/>
        </w:rPr>
        <w:t xml:space="preserve">sampling. Clinical data were not </w:t>
      </w:r>
      <w:r>
        <w:rPr>
          <w:rFonts w:asciiTheme="majorBidi" w:hAnsiTheme="majorBidi" w:cstheme="majorBidi"/>
          <w:sz w:val="24"/>
          <w:szCs w:val="24"/>
          <w:lang w:val="en-US"/>
        </w:rPr>
        <w:t xml:space="preserve">available for </w:t>
      </w:r>
      <w:r w:rsidRPr="00B2126D">
        <w:rPr>
          <w:rFonts w:asciiTheme="majorBidi" w:hAnsiTheme="majorBidi" w:cstheme="majorBidi"/>
          <w:sz w:val="24"/>
          <w:szCs w:val="24"/>
          <w:lang w:val="en-US"/>
        </w:rPr>
        <w:t>prospective collect</w:t>
      </w:r>
      <w:r>
        <w:rPr>
          <w:rFonts w:asciiTheme="majorBidi" w:hAnsiTheme="majorBidi" w:cstheme="majorBidi"/>
          <w:sz w:val="24"/>
          <w:szCs w:val="24"/>
          <w:lang w:val="en-US"/>
        </w:rPr>
        <w:t>ion.</w:t>
      </w:r>
    </w:p>
    <w:p w14:paraId="006DED4F" w14:textId="77777777" w:rsidR="00FE10EE" w:rsidRPr="00FE10EE" w:rsidRDefault="00FE10EE" w:rsidP="00FE10EE">
      <w:pPr>
        <w:rPr>
          <w:b/>
          <w:bCs/>
        </w:rPr>
      </w:pPr>
      <w:r w:rsidRPr="00FE10EE">
        <w:rPr>
          <w:b/>
          <w:bCs/>
        </w:rPr>
        <w:t>Case Definitions</w:t>
      </w:r>
    </w:p>
    <w:p w14:paraId="1435B0AA" w14:textId="77777777" w:rsidR="00FE10EE" w:rsidRPr="00314A76" w:rsidRDefault="00FE10EE" w:rsidP="00FE10EE">
      <w:pPr>
        <w:spacing w:line="480" w:lineRule="auto"/>
        <w:jc w:val="both"/>
        <w:rPr>
          <w:rFonts w:asciiTheme="majorBidi" w:hAnsiTheme="majorBidi" w:cstheme="majorBidi"/>
          <w:sz w:val="24"/>
          <w:szCs w:val="24"/>
        </w:rPr>
      </w:pPr>
      <w:r w:rsidRPr="00B2126D">
        <w:rPr>
          <w:rFonts w:asciiTheme="majorBidi" w:hAnsiTheme="majorBidi" w:cstheme="majorBidi"/>
          <w:sz w:val="24"/>
          <w:szCs w:val="24"/>
        </w:rPr>
        <w:lastRenderedPageBreak/>
        <w:t xml:space="preserve">We analysed all archived </w:t>
      </w:r>
      <w:r>
        <w:rPr>
          <w:rFonts w:asciiTheme="majorBidi" w:hAnsiTheme="majorBidi" w:cstheme="majorBidi"/>
          <w:sz w:val="24"/>
          <w:szCs w:val="24"/>
        </w:rPr>
        <w:t xml:space="preserve">pneumococcal </w:t>
      </w:r>
      <w:r w:rsidRPr="00B2126D">
        <w:rPr>
          <w:rFonts w:asciiTheme="majorBidi" w:hAnsiTheme="majorBidi" w:cstheme="majorBidi"/>
          <w:sz w:val="24"/>
          <w:szCs w:val="24"/>
        </w:rPr>
        <w:t xml:space="preserve">isolates from blood and cerebrospinal fluid (CSF) of infants less than 90 days old admitted to QECH between 1 January 2005 and 31 December 2018. IPD cases were defined as isolation of </w:t>
      </w:r>
      <w:r w:rsidRPr="00B2126D">
        <w:rPr>
          <w:rFonts w:asciiTheme="majorBidi" w:hAnsiTheme="majorBidi" w:cstheme="majorBidi"/>
          <w:i/>
          <w:iCs/>
          <w:sz w:val="24"/>
          <w:szCs w:val="24"/>
        </w:rPr>
        <w:t>Streptococcus pneumoniae</w:t>
      </w:r>
      <w:r w:rsidRPr="00B2126D">
        <w:rPr>
          <w:rFonts w:asciiTheme="majorBidi" w:hAnsiTheme="majorBidi" w:cstheme="majorBidi"/>
          <w:sz w:val="24"/>
          <w:szCs w:val="24"/>
        </w:rPr>
        <w:t xml:space="preserve"> from a normally sterile site (i.e.</w:t>
      </w:r>
      <w:r>
        <w:rPr>
          <w:rFonts w:asciiTheme="majorBidi" w:hAnsiTheme="majorBidi" w:cstheme="majorBidi"/>
          <w:sz w:val="24"/>
          <w:szCs w:val="24"/>
        </w:rPr>
        <w:t>,</w:t>
      </w:r>
      <w:r w:rsidRPr="00B2126D">
        <w:rPr>
          <w:rFonts w:asciiTheme="majorBidi" w:hAnsiTheme="majorBidi" w:cstheme="majorBidi"/>
          <w:sz w:val="24"/>
          <w:szCs w:val="24"/>
        </w:rPr>
        <w:t xml:space="preserve"> blood or CSF). </w:t>
      </w:r>
      <w:r>
        <w:rPr>
          <w:rFonts w:asciiTheme="majorBidi" w:hAnsiTheme="majorBidi" w:cstheme="majorBidi"/>
          <w:sz w:val="24"/>
          <w:szCs w:val="24"/>
        </w:rPr>
        <w:t xml:space="preserve">We defined those with a </w:t>
      </w:r>
      <w:r w:rsidRPr="00314A76">
        <w:rPr>
          <w:rFonts w:asciiTheme="majorBidi" w:hAnsiTheme="majorBidi" w:cstheme="majorBidi"/>
          <w:sz w:val="24"/>
          <w:szCs w:val="24"/>
        </w:rPr>
        <w:t>positive CSF culture</w:t>
      </w:r>
      <w:r>
        <w:rPr>
          <w:rFonts w:asciiTheme="majorBidi" w:hAnsiTheme="majorBidi" w:cstheme="majorBidi"/>
          <w:sz w:val="24"/>
          <w:szCs w:val="24"/>
        </w:rPr>
        <w:t xml:space="preserve"> as “meningitis” and those with a </w:t>
      </w:r>
      <w:r w:rsidRPr="00314A76">
        <w:rPr>
          <w:rFonts w:asciiTheme="majorBidi" w:hAnsiTheme="majorBidi" w:cstheme="majorBidi"/>
          <w:sz w:val="24"/>
          <w:szCs w:val="24"/>
        </w:rPr>
        <w:t xml:space="preserve">positive blood culture as </w:t>
      </w:r>
      <w:r>
        <w:rPr>
          <w:rFonts w:asciiTheme="majorBidi" w:hAnsiTheme="majorBidi" w:cstheme="majorBidi"/>
          <w:sz w:val="24"/>
          <w:szCs w:val="24"/>
        </w:rPr>
        <w:t>“</w:t>
      </w:r>
      <w:r w:rsidRPr="00314A76">
        <w:rPr>
          <w:rFonts w:asciiTheme="majorBidi" w:hAnsiTheme="majorBidi" w:cstheme="majorBidi"/>
          <w:sz w:val="24"/>
          <w:szCs w:val="24"/>
        </w:rPr>
        <w:t>bacteraemia</w:t>
      </w:r>
      <w:r>
        <w:rPr>
          <w:rFonts w:asciiTheme="majorBidi" w:hAnsiTheme="majorBidi" w:cstheme="majorBidi"/>
          <w:sz w:val="24"/>
          <w:szCs w:val="24"/>
        </w:rPr>
        <w:t>”</w:t>
      </w:r>
      <w:r w:rsidRPr="00314A76">
        <w:rPr>
          <w:rFonts w:asciiTheme="majorBidi" w:hAnsiTheme="majorBidi" w:cstheme="majorBidi"/>
          <w:sz w:val="24"/>
          <w:szCs w:val="24"/>
        </w:rPr>
        <w:t>.</w:t>
      </w:r>
      <w:r>
        <w:rPr>
          <w:rFonts w:asciiTheme="majorBidi" w:hAnsiTheme="majorBidi" w:cstheme="majorBidi"/>
          <w:sz w:val="24"/>
          <w:szCs w:val="24"/>
        </w:rPr>
        <w:t xml:space="preserve"> Cases with both a positive CSF and a positive blood culture were classified as “meningitis”.  Although it is standard practice to take a CSF sample in all young infants with suspected sepsis, this was not done in all individuals. </w:t>
      </w:r>
      <w:r w:rsidRPr="00314A76">
        <w:rPr>
          <w:rFonts w:asciiTheme="majorBidi" w:hAnsiTheme="majorBidi" w:cstheme="majorBidi"/>
          <w:sz w:val="24"/>
          <w:szCs w:val="24"/>
        </w:rPr>
        <w:t xml:space="preserve">Cases in infants </w:t>
      </w:r>
      <w:r>
        <w:rPr>
          <w:rFonts w:asciiTheme="majorBidi" w:hAnsiTheme="majorBidi" w:cstheme="majorBidi"/>
          <w:sz w:val="24"/>
          <w:szCs w:val="24"/>
        </w:rPr>
        <w:t>≤</w:t>
      </w:r>
      <w:r w:rsidRPr="00314A76">
        <w:rPr>
          <w:rFonts w:asciiTheme="majorBidi" w:hAnsiTheme="majorBidi" w:cstheme="majorBidi"/>
          <w:sz w:val="24"/>
          <w:szCs w:val="24"/>
        </w:rPr>
        <w:t xml:space="preserve">7 days old were defined as </w:t>
      </w:r>
      <w:r>
        <w:rPr>
          <w:rFonts w:asciiTheme="majorBidi" w:hAnsiTheme="majorBidi" w:cstheme="majorBidi"/>
          <w:sz w:val="24"/>
          <w:szCs w:val="24"/>
        </w:rPr>
        <w:t>“</w:t>
      </w:r>
      <w:r w:rsidRPr="00314A76">
        <w:rPr>
          <w:rFonts w:asciiTheme="majorBidi" w:hAnsiTheme="majorBidi" w:cstheme="majorBidi"/>
          <w:sz w:val="24"/>
          <w:szCs w:val="24"/>
        </w:rPr>
        <w:t>early-onset</w:t>
      </w:r>
      <w:r>
        <w:rPr>
          <w:rFonts w:asciiTheme="majorBidi" w:hAnsiTheme="majorBidi" w:cstheme="majorBidi"/>
          <w:sz w:val="24"/>
          <w:szCs w:val="24"/>
        </w:rPr>
        <w:t>”</w:t>
      </w:r>
      <w:r w:rsidRPr="00314A76">
        <w:rPr>
          <w:rFonts w:asciiTheme="majorBidi" w:hAnsiTheme="majorBidi" w:cstheme="majorBidi"/>
          <w:sz w:val="24"/>
          <w:szCs w:val="24"/>
        </w:rPr>
        <w:t xml:space="preserve"> disease and cases in infants </w:t>
      </w:r>
      <w:r>
        <w:rPr>
          <w:rFonts w:asciiTheme="majorBidi" w:hAnsiTheme="majorBidi" w:cstheme="majorBidi"/>
          <w:sz w:val="24"/>
          <w:szCs w:val="24"/>
        </w:rPr>
        <w:t>8-89</w:t>
      </w:r>
      <w:r w:rsidRPr="00314A76">
        <w:rPr>
          <w:rFonts w:asciiTheme="majorBidi" w:hAnsiTheme="majorBidi" w:cstheme="majorBidi"/>
          <w:sz w:val="24"/>
          <w:szCs w:val="24"/>
        </w:rPr>
        <w:t xml:space="preserve"> days old as </w:t>
      </w:r>
      <w:r>
        <w:rPr>
          <w:rFonts w:asciiTheme="majorBidi" w:hAnsiTheme="majorBidi" w:cstheme="majorBidi"/>
          <w:sz w:val="24"/>
          <w:szCs w:val="24"/>
        </w:rPr>
        <w:t>“</w:t>
      </w:r>
      <w:r w:rsidRPr="00314A76">
        <w:rPr>
          <w:rFonts w:asciiTheme="majorBidi" w:hAnsiTheme="majorBidi" w:cstheme="majorBidi"/>
          <w:sz w:val="24"/>
          <w:szCs w:val="24"/>
        </w:rPr>
        <w:t>late</w:t>
      </w:r>
      <w:r>
        <w:rPr>
          <w:rFonts w:asciiTheme="majorBidi" w:hAnsiTheme="majorBidi" w:cstheme="majorBidi"/>
          <w:sz w:val="24"/>
          <w:szCs w:val="24"/>
        </w:rPr>
        <w:t>-</w:t>
      </w:r>
      <w:r w:rsidRPr="00314A76">
        <w:rPr>
          <w:rFonts w:asciiTheme="majorBidi" w:hAnsiTheme="majorBidi" w:cstheme="majorBidi"/>
          <w:sz w:val="24"/>
          <w:szCs w:val="24"/>
        </w:rPr>
        <w:t>onset</w:t>
      </w:r>
      <w:r>
        <w:rPr>
          <w:rFonts w:asciiTheme="majorBidi" w:hAnsiTheme="majorBidi" w:cstheme="majorBidi"/>
          <w:sz w:val="24"/>
          <w:szCs w:val="24"/>
        </w:rPr>
        <w:t>”</w:t>
      </w:r>
      <w:r w:rsidRPr="00314A76">
        <w:rPr>
          <w:rFonts w:asciiTheme="majorBidi" w:hAnsiTheme="majorBidi" w:cstheme="majorBidi"/>
          <w:sz w:val="24"/>
          <w:szCs w:val="24"/>
        </w:rPr>
        <w:t xml:space="preserve"> disease. </w:t>
      </w:r>
    </w:p>
    <w:p w14:paraId="6AC72FBD" w14:textId="77777777" w:rsidR="00FE10EE" w:rsidRPr="00FE10EE" w:rsidRDefault="00FE10EE" w:rsidP="00FE10EE">
      <w:pPr>
        <w:rPr>
          <w:b/>
          <w:bCs/>
        </w:rPr>
      </w:pPr>
      <w:r w:rsidRPr="00FE10EE">
        <w:rPr>
          <w:b/>
          <w:bCs/>
        </w:rPr>
        <w:t>Statistical analysis</w:t>
      </w:r>
    </w:p>
    <w:p w14:paraId="767F6406" w14:textId="77777777" w:rsidR="00FE10EE" w:rsidRPr="00741555" w:rsidRDefault="00FE10EE" w:rsidP="00FE10EE">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 xml:space="preserve">We used descriptive statistics for demographic and clinical characteristics. </w:t>
      </w:r>
      <w:r w:rsidRPr="005361A1">
        <w:rPr>
          <w:rFonts w:asciiTheme="majorBidi" w:hAnsiTheme="majorBidi" w:cstheme="majorBidi"/>
          <w:sz w:val="24"/>
          <w:szCs w:val="24"/>
        </w:rPr>
        <w:t xml:space="preserve">Incidence rates were </w:t>
      </w:r>
      <w:r>
        <w:rPr>
          <w:rFonts w:asciiTheme="majorBidi" w:hAnsiTheme="majorBidi" w:cstheme="majorBidi"/>
          <w:sz w:val="24"/>
          <w:szCs w:val="24"/>
        </w:rPr>
        <w:t xml:space="preserve">calculated using the annual </w:t>
      </w:r>
      <w:r w:rsidRPr="005361A1">
        <w:rPr>
          <w:rFonts w:asciiTheme="majorBidi" w:hAnsiTheme="majorBidi" w:cstheme="majorBidi"/>
          <w:sz w:val="24"/>
          <w:szCs w:val="24"/>
        </w:rPr>
        <w:t xml:space="preserve">number of </w:t>
      </w:r>
      <w:r>
        <w:rPr>
          <w:rFonts w:asciiTheme="majorBidi" w:hAnsiTheme="majorBidi" w:cstheme="majorBidi"/>
          <w:sz w:val="24"/>
          <w:szCs w:val="24"/>
        </w:rPr>
        <w:lastRenderedPageBreak/>
        <w:t xml:space="preserve">VT, NVT and total (VT+NVT) </w:t>
      </w:r>
      <w:r w:rsidRPr="005361A1">
        <w:rPr>
          <w:rFonts w:asciiTheme="majorBidi" w:hAnsiTheme="majorBidi" w:cstheme="majorBidi"/>
          <w:sz w:val="24"/>
          <w:szCs w:val="24"/>
        </w:rPr>
        <w:t xml:space="preserve">IPD cases in infants &lt;90 days old </w:t>
      </w:r>
      <w:r>
        <w:rPr>
          <w:rFonts w:asciiTheme="majorBidi" w:hAnsiTheme="majorBidi" w:cstheme="majorBidi"/>
          <w:sz w:val="24"/>
          <w:szCs w:val="24"/>
        </w:rPr>
        <w:t xml:space="preserve">multiplied by </w:t>
      </w:r>
      <w:r w:rsidRPr="005361A1">
        <w:rPr>
          <w:rFonts w:asciiTheme="majorBidi" w:hAnsiTheme="majorBidi" w:cstheme="majorBidi"/>
          <w:sz w:val="24"/>
          <w:szCs w:val="24"/>
        </w:rPr>
        <w:t xml:space="preserve">100,000 </w:t>
      </w:r>
      <w:r>
        <w:rPr>
          <w:rFonts w:asciiTheme="majorBidi" w:hAnsiTheme="majorBidi" w:cstheme="majorBidi"/>
          <w:sz w:val="24"/>
          <w:szCs w:val="24"/>
        </w:rPr>
        <w:t xml:space="preserve">and this divided by the annual age-specific population estimates for Blantyre. Population estimates were obtained from </w:t>
      </w:r>
      <w:r w:rsidRPr="005361A1">
        <w:rPr>
          <w:rFonts w:asciiTheme="majorBidi" w:hAnsiTheme="majorBidi" w:cstheme="majorBidi"/>
          <w:sz w:val="24"/>
          <w:szCs w:val="24"/>
        </w:rPr>
        <w:t xml:space="preserve">the 1998 and 2018 National Population Projections by </w:t>
      </w:r>
      <w:r>
        <w:rPr>
          <w:rFonts w:asciiTheme="majorBidi" w:hAnsiTheme="majorBidi" w:cstheme="majorBidi"/>
          <w:sz w:val="24"/>
          <w:szCs w:val="24"/>
        </w:rPr>
        <w:t xml:space="preserve">Malawi’s </w:t>
      </w:r>
      <w:r w:rsidRPr="005361A1">
        <w:rPr>
          <w:rFonts w:asciiTheme="majorBidi" w:hAnsiTheme="majorBidi" w:cstheme="majorBidi"/>
          <w:sz w:val="24"/>
          <w:szCs w:val="24"/>
        </w:rPr>
        <w:t xml:space="preserve">National Statistical Office </w:t>
      </w:r>
      <w:r>
        <w:rPr>
          <w:rFonts w:asciiTheme="majorBidi" w:hAnsiTheme="majorBidi" w:cstheme="majorBidi"/>
          <w:sz w:val="24"/>
          <w:szCs w:val="24"/>
        </w:rPr>
        <w:t xml:space="preserve">(NSO) </w:t>
      </w:r>
      <w:r>
        <w:rPr>
          <w:rFonts w:asciiTheme="majorBidi" w:hAnsiTheme="majorBidi" w:cstheme="majorBidi"/>
          <w:noProof/>
          <w:sz w:val="24"/>
          <w:szCs w:val="24"/>
        </w:rPr>
        <w:t>(19, 20)</w:t>
      </w:r>
      <w:r w:rsidRPr="005361A1">
        <w:rPr>
          <w:rFonts w:asciiTheme="majorBidi" w:hAnsiTheme="majorBidi" w:cstheme="majorBidi"/>
          <w:sz w:val="24"/>
          <w:szCs w:val="24"/>
        </w:rPr>
        <w:t xml:space="preserve">. </w:t>
      </w:r>
      <w:r>
        <w:rPr>
          <w:rFonts w:asciiTheme="majorBidi" w:hAnsiTheme="majorBidi" w:cstheme="majorBidi"/>
          <w:sz w:val="24"/>
          <w:szCs w:val="24"/>
        </w:rPr>
        <w:t xml:space="preserve">We used linear interpolation of the intercensal period to estimate the year-by-year population estimates of children &lt;1 year old and </w:t>
      </w:r>
      <w:r w:rsidRPr="005361A1">
        <w:rPr>
          <w:rFonts w:asciiTheme="majorBidi" w:hAnsiTheme="majorBidi" w:cstheme="majorBidi"/>
          <w:sz w:val="24"/>
          <w:szCs w:val="24"/>
        </w:rPr>
        <w:t xml:space="preserve">estimated the population of infants &lt;90 days old by taking a proportion </w:t>
      </w:r>
      <w:r>
        <w:rPr>
          <w:rFonts w:asciiTheme="majorBidi" w:hAnsiTheme="majorBidi" w:cstheme="majorBidi"/>
          <w:sz w:val="24"/>
          <w:szCs w:val="24"/>
        </w:rPr>
        <w:t>(</w:t>
      </w:r>
      <w:r w:rsidRPr="005361A1">
        <w:rPr>
          <w:rFonts w:asciiTheme="majorBidi" w:hAnsiTheme="majorBidi" w:cstheme="majorBidi"/>
          <w:sz w:val="24"/>
          <w:szCs w:val="24"/>
        </w:rPr>
        <w:t>3/12</w:t>
      </w:r>
      <w:r>
        <w:rPr>
          <w:rFonts w:asciiTheme="majorBidi" w:hAnsiTheme="majorBidi" w:cstheme="majorBidi"/>
          <w:sz w:val="24"/>
          <w:szCs w:val="24"/>
        </w:rPr>
        <w:t>)</w:t>
      </w:r>
      <w:r w:rsidRPr="005361A1">
        <w:rPr>
          <w:rFonts w:asciiTheme="majorBidi" w:hAnsiTheme="majorBidi" w:cstheme="majorBidi"/>
          <w:sz w:val="24"/>
          <w:szCs w:val="24"/>
        </w:rPr>
        <w:t xml:space="preserve"> of th</w:t>
      </w:r>
      <w:r>
        <w:rPr>
          <w:rFonts w:asciiTheme="majorBidi" w:hAnsiTheme="majorBidi" w:cstheme="majorBidi"/>
          <w:sz w:val="24"/>
          <w:szCs w:val="24"/>
        </w:rPr>
        <w:t>is. C</w:t>
      </w:r>
      <w:r w:rsidRPr="005361A1">
        <w:rPr>
          <w:rFonts w:asciiTheme="majorBidi" w:hAnsiTheme="majorBidi" w:cstheme="majorBidi"/>
          <w:sz w:val="24"/>
          <w:szCs w:val="24"/>
        </w:rPr>
        <w:t>onfidence intervals were estimated using the modified Wald method.</w:t>
      </w:r>
      <w:r>
        <w:rPr>
          <w:rFonts w:asciiTheme="majorBidi" w:hAnsiTheme="majorBidi" w:cstheme="majorBidi"/>
          <w:sz w:val="24"/>
          <w:szCs w:val="24"/>
        </w:rPr>
        <w:t xml:space="preserve"> </w:t>
      </w:r>
      <w:r w:rsidRPr="00741555">
        <w:rPr>
          <w:rFonts w:asciiTheme="majorBidi" w:hAnsiTheme="majorBidi" w:cstheme="majorBidi"/>
          <w:sz w:val="24"/>
          <w:szCs w:val="24"/>
        </w:rPr>
        <w:t>Incidence rate ratios (IRRs) for invasive pneumococcal disease were calculated over the study duration by log-binomial regression using years (365</w:t>
      </w:r>
      <w:r>
        <w:rPr>
          <w:rFonts w:asciiTheme="majorBidi" w:hAnsiTheme="majorBidi" w:cstheme="majorBidi"/>
          <w:sz w:val="24"/>
          <w:szCs w:val="24"/>
        </w:rPr>
        <w:t>.</w:t>
      </w:r>
      <w:r w:rsidRPr="00741555">
        <w:rPr>
          <w:rFonts w:asciiTheme="majorBidi" w:hAnsiTheme="majorBidi" w:cstheme="majorBidi"/>
          <w:sz w:val="24"/>
          <w:szCs w:val="24"/>
        </w:rPr>
        <w:t>25 days) between study start and PCV13 introduction (2011) and from PCV13 introduction to the end of the study period, coded as a single time variable.</w:t>
      </w:r>
    </w:p>
    <w:p w14:paraId="102D343E" w14:textId="77777777" w:rsidR="00FE10EE" w:rsidRPr="001A75F5" w:rsidRDefault="00FE10EE" w:rsidP="00FE10EE">
      <w:pPr>
        <w:pStyle w:val="Heading1"/>
        <w:spacing w:line="480" w:lineRule="auto"/>
        <w:rPr>
          <w:rFonts w:asciiTheme="majorBidi" w:hAnsiTheme="majorBidi"/>
          <w:color w:val="auto"/>
          <w:sz w:val="32"/>
          <w:szCs w:val="32"/>
        </w:rPr>
      </w:pPr>
      <w:r w:rsidRPr="001A75F5">
        <w:rPr>
          <w:rFonts w:asciiTheme="majorBidi" w:hAnsiTheme="majorBidi"/>
          <w:color w:val="auto"/>
          <w:sz w:val="32"/>
          <w:szCs w:val="32"/>
        </w:rPr>
        <w:lastRenderedPageBreak/>
        <w:t>Results</w:t>
      </w:r>
    </w:p>
    <w:p w14:paraId="3139DDF4" w14:textId="77777777" w:rsidR="00FE10EE" w:rsidRPr="00314A76" w:rsidRDefault="00FE10EE" w:rsidP="00FE10EE">
      <w:pPr>
        <w:spacing w:line="480" w:lineRule="auto"/>
        <w:jc w:val="both"/>
        <w:rPr>
          <w:rFonts w:asciiTheme="majorBidi" w:hAnsiTheme="majorBidi" w:cstheme="majorBidi"/>
          <w:sz w:val="24"/>
          <w:szCs w:val="24"/>
        </w:rPr>
      </w:pPr>
      <w:r w:rsidRPr="00314A76">
        <w:rPr>
          <w:rFonts w:asciiTheme="majorBidi" w:hAnsiTheme="majorBidi" w:cstheme="majorBidi"/>
          <w:sz w:val="24"/>
          <w:szCs w:val="24"/>
        </w:rPr>
        <w:t xml:space="preserve">We identified a total 130 cases of confirmed IPD in infants &lt;90 days old over </w:t>
      </w:r>
      <w:r>
        <w:rPr>
          <w:rFonts w:asciiTheme="majorBidi" w:hAnsiTheme="majorBidi" w:cstheme="majorBidi"/>
          <w:sz w:val="24"/>
          <w:szCs w:val="24"/>
        </w:rPr>
        <w:t xml:space="preserve">the study’s </w:t>
      </w:r>
      <w:r w:rsidRPr="00314A76">
        <w:rPr>
          <w:rFonts w:asciiTheme="majorBidi" w:hAnsiTheme="majorBidi" w:cstheme="majorBidi"/>
          <w:sz w:val="24"/>
          <w:szCs w:val="24"/>
        </w:rPr>
        <w:t xml:space="preserve">14-year period, </w:t>
      </w:r>
      <w:r>
        <w:rPr>
          <w:rFonts w:asciiTheme="majorBidi" w:hAnsiTheme="majorBidi" w:cstheme="majorBidi"/>
          <w:sz w:val="24"/>
          <w:szCs w:val="24"/>
        </w:rPr>
        <w:t xml:space="preserve">1 January </w:t>
      </w:r>
      <w:r w:rsidRPr="00314A76">
        <w:rPr>
          <w:rFonts w:asciiTheme="majorBidi" w:hAnsiTheme="majorBidi" w:cstheme="majorBidi"/>
          <w:sz w:val="24"/>
          <w:szCs w:val="24"/>
        </w:rPr>
        <w:t>2005</w:t>
      </w:r>
      <w:r>
        <w:rPr>
          <w:rFonts w:asciiTheme="majorBidi" w:hAnsiTheme="majorBidi" w:cstheme="majorBidi"/>
          <w:sz w:val="24"/>
          <w:szCs w:val="24"/>
        </w:rPr>
        <w:t xml:space="preserve"> – 31 December </w:t>
      </w:r>
      <w:r w:rsidRPr="00314A76">
        <w:rPr>
          <w:rFonts w:asciiTheme="majorBidi" w:hAnsiTheme="majorBidi" w:cstheme="majorBidi"/>
          <w:sz w:val="24"/>
          <w:szCs w:val="24"/>
        </w:rPr>
        <w:t xml:space="preserve">2018. The median age at hospital presentation was 30 </w:t>
      </w:r>
      <w:r w:rsidRPr="004405FA">
        <w:rPr>
          <w:rFonts w:asciiTheme="majorBidi" w:hAnsiTheme="majorBidi" w:cstheme="majorBidi"/>
          <w:sz w:val="24"/>
          <w:szCs w:val="24"/>
        </w:rPr>
        <w:t>days</w:t>
      </w:r>
      <w:r>
        <w:rPr>
          <w:rFonts w:asciiTheme="majorBidi" w:hAnsiTheme="majorBidi" w:cstheme="majorBidi"/>
          <w:sz w:val="24"/>
          <w:szCs w:val="24"/>
        </w:rPr>
        <w:t xml:space="preserve">. Among the 130 infant cases, 93 (71.5%) presented with meningitis and </w:t>
      </w:r>
      <w:r w:rsidRPr="00314A76">
        <w:rPr>
          <w:rFonts w:asciiTheme="majorBidi" w:hAnsiTheme="majorBidi" w:cstheme="majorBidi"/>
          <w:sz w:val="24"/>
          <w:szCs w:val="24"/>
        </w:rPr>
        <w:t>36 (2</w:t>
      </w:r>
      <w:r>
        <w:rPr>
          <w:rFonts w:asciiTheme="majorBidi" w:hAnsiTheme="majorBidi" w:cstheme="majorBidi"/>
          <w:sz w:val="24"/>
          <w:szCs w:val="24"/>
        </w:rPr>
        <w:t>7.7</w:t>
      </w:r>
      <w:r w:rsidRPr="00314A76">
        <w:rPr>
          <w:rFonts w:asciiTheme="majorBidi" w:hAnsiTheme="majorBidi" w:cstheme="majorBidi"/>
          <w:sz w:val="24"/>
          <w:szCs w:val="24"/>
        </w:rPr>
        <w:t>%) presented with early</w:t>
      </w:r>
      <w:r>
        <w:rPr>
          <w:rFonts w:asciiTheme="majorBidi" w:hAnsiTheme="majorBidi" w:cstheme="majorBidi"/>
          <w:sz w:val="24"/>
          <w:szCs w:val="24"/>
        </w:rPr>
        <w:t>-</w:t>
      </w:r>
      <w:r w:rsidRPr="00314A76">
        <w:rPr>
          <w:rFonts w:asciiTheme="majorBidi" w:hAnsiTheme="majorBidi" w:cstheme="majorBidi"/>
          <w:sz w:val="24"/>
          <w:szCs w:val="24"/>
        </w:rPr>
        <w:t>onset disease (0-7 days old)</w:t>
      </w:r>
      <w:r>
        <w:rPr>
          <w:rFonts w:asciiTheme="majorBidi" w:hAnsiTheme="majorBidi" w:cstheme="majorBidi"/>
          <w:sz w:val="24"/>
          <w:szCs w:val="24"/>
        </w:rPr>
        <w:t xml:space="preserve">; among which </w:t>
      </w:r>
      <w:r w:rsidRPr="00314A76">
        <w:rPr>
          <w:rFonts w:asciiTheme="majorBidi" w:hAnsiTheme="majorBidi" w:cstheme="majorBidi"/>
          <w:sz w:val="24"/>
          <w:szCs w:val="24"/>
        </w:rPr>
        <w:t>21 (58</w:t>
      </w:r>
      <w:r>
        <w:rPr>
          <w:rFonts w:asciiTheme="majorBidi" w:hAnsiTheme="majorBidi" w:cstheme="majorBidi"/>
          <w:sz w:val="24"/>
          <w:szCs w:val="24"/>
        </w:rPr>
        <w:t>.3</w:t>
      </w:r>
      <w:r w:rsidRPr="00314A76">
        <w:rPr>
          <w:rFonts w:asciiTheme="majorBidi" w:hAnsiTheme="majorBidi" w:cstheme="majorBidi"/>
          <w:sz w:val="24"/>
          <w:szCs w:val="24"/>
        </w:rPr>
        <w:t>%) were meningitis and 15 (4</w:t>
      </w:r>
      <w:r>
        <w:rPr>
          <w:rFonts w:asciiTheme="majorBidi" w:hAnsiTheme="majorBidi" w:cstheme="majorBidi"/>
          <w:sz w:val="24"/>
          <w:szCs w:val="24"/>
        </w:rPr>
        <w:t>1.7</w:t>
      </w:r>
      <w:r w:rsidRPr="00314A76">
        <w:rPr>
          <w:rFonts w:asciiTheme="majorBidi" w:hAnsiTheme="majorBidi" w:cstheme="majorBidi"/>
          <w:sz w:val="24"/>
          <w:szCs w:val="24"/>
        </w:rPr>
        <w:t>%)</w:t>
      </w:r>
      <w:r>
        <w:rPr>
          <w:rFonts w:asciiTheme="majorBidi" w:hAnsiTheme="majorBidi" w:cstheme="majorBidi"/>
          <w:sz w:val="24"/>
          <w:szCs w:val="24"/>
        </w:rPr>
        <w:t xml:space="preserve"> </w:t>
      </w:r>
      <w:r w:rsidRPr="00314A76">
        <w:rPr>
          <w:rFonts w:asciiTheme="majorBidi" w:hAnsiTheme="majorBidi" w:cstheme="majorBidi"/>
          <w:sz w:val="24"/>
          <w:szCs w:val="24"/>
        </w:rPr>
        <w:t xml:space="preserve">bacteraemia. </w:t>
      </w:r>
      <w:r>
        <w:rPr>
          <w:rFonts w:asciiTheme="majorBidi" w:hAnsiTheme="majorBidi" w:cstheme="majorBidi"/>
          <w:sz w:val="24"/>
          <w:szCs w:val="24"/>
        </w:rPr>
        <w:t xml:space="preserve">Among the </w:t>
      </w:r>
      <w:r w:rsidRPr="00314A76">
        <w:rPr>
          <w:rFonts w:asciiTheme="majorBidi" w:hAnsiTheme="majorBidi" w:cstheme="majorBidi"/>
          <w:sz w:val="24"/>
          <w:szCs w:val="24"/>
        </w:rPr>
        <w:t>94</w:t>
      </w:r>
      <w:r>
        <w:rPr>
          <w:rFonts w:asciiTheme="majorBidi" w:hAnsiTheme="majorBidi" w:cstheme="majorBidi"/>
          <w:sz w:val="24"/>
          <w:szCs w:val="24"/>
        </w:rPr>
        <w:t xml:space="preserve"> (72.3%) infants </w:t>
      </w:r>
      <w:r w:rsidRPr="00314A76">
        <w:rPr>
          <w:rFonts w:asciiTheme="majorBidi" w:hAnsiTheme="majorBidi" w:cstheme="majorBidi"/>
          <w:sz w:val="24"/>
          <w:szCs w:val="24"/>
        </w:rPr>
        <w:t>with late</w:t>
      </w:r>
      <w:r>
        <w:rPr>
          <w:rFonts w:asciiTheme="majorBidi" w:hAnsiTheme="majorBidi" w:cstheme="majorBidi"/>
          <w:sz w:val="24"/>
          <w:szCs w:val="24"/>
        </w:rPr>
        <w:t>-</w:t>
      </w:r>
      <w:r w:rsidRPr="00314A76">
        <w:rPr>
          <w:rFonts w:asciiTheme="majorBidi" w:hAnsiTheme="majorBidi" w:cstheme="majorBidi"/>
          <w:sz w:val="24"/>
          <w:szCs w:val="24"/>
        </w:rPr>
        <w:t>onset disease (8-89 days old), 72 (7</w:t>
      </w:r>
      <w:r>
        <w:rPr>
          <w:rFonts w:asciiTheme="majorBidi" w:hAnsiTheme="majorBidi" w:cstheme="majorBidi"/>
          <w:sz w:val="24"/>
          <w:szCs w:val="24"/>
        </w:rPr>
        <w:t>6.6</w:t>
      </w:r>
      <w:r w:rsidRPr="00314A76">
        <w:rPr>
          <w:rFonts w:asciiTheme="majorBidi" w:hAnsiTheme="majorBidi" w:cstheme="majorBidi"/>
          <w:sz w:val="24"/>
          <w:szCs w:val="24"/>
        </w:rPr>
        <w:t xml:space="preserve">%) were meningitis and </w:t>
      </w:r>
      <w:r>
        <w:rPr>
          <w:rFonts w:asciiTheme="majorBidi" w:hAnsiTheme="majorBidi" w:cstheme="majorBidi"/>
          <w:sz w:val="24"/>
          <w:szCs w:val="24"/>
        </w:rPr>
        <w:t>22</w:t>
      </w:r>
      <w:r w:rsidRPr="00314A76">
        <w:rPr>
          <w:rFonts w:asciiTheme="majorBidi" w:hAnsiTheme="majorBidi" w:cstheme="majorBidi"/>
          <w:sz w:val="24"/>
          <w:szCs w:val="24"/>
        </w:rPr>
        <w:t xml:space="preserve"> (23</w:t>
      </w:r>
      <w:r>
        <w:rPr>
          <w:rFonts w:asciiTheme="majorBidi" w:hAnsiTheme="majorBidi" w:cstheme="majorBidi"/>
          <w:sz w:val="24"/>
          <w:szCs w:val="24"/>
        </w:rPr>
        <w:t>.4</w:t>
      </w:r>
      <w:r w:rsidRPr="00314A76">
        <w:rPr>
          <w:rFonts w:asciiTheme="majorBidi" w:hAnsiTheme="majorBidi" w:cstheme="majorBidi"/>
          <w:sz w:val="24"/>
          <w:szCs w:val="24"/>
        </w:rPr>
        <w:t>%)</w:t>
      </w:r>
      <w:r>
        <w:rPr>
          <w:rFonts w:asciiTheme="majorBidi" w:hAnsiTheme="majorBidi" w:cstheme="majorBidi"/>
          <w:sz w:val="24"/>
          <w:szCs w:val="24"/>
        </w:rPr>
        <w:t xml:space="preserve"> </w:t>
      </w:r>
      <w:r w:rsidRPr="00314A76">
        <w:rPr>
          <w:rFonts w:asciiTheme="majorBidi" w:hAnsiTheme="majorBidi" w:cstheme="majorBidi"/>
          <w:sz w:val="24"/>
          <w:szCs w:val="24"/>
        </w:rPr>
        <w:t>bacteraemia.</w:t>
      </w:r>
      <w:r>
        <w:rPr>
          <w:rFonts w:asciiTheme="majorBidi" w:hAnsiTheme="majorBidi" w:cstheme="majorBidi"/>
          <w:sz w:val="24"/>
          <w:szCs w:val="24"/>
        </w:rPr>
        <w:t xml:space="preserve"> A</w:t>
      </w:r>
      <w:r w:rsidRPr="00314A76">
        <w:rPr>
          <w:rFonts w:asciiTheme="majorBidi" w:hAnsiTheme="majorBidi" w:cstheme="majorBidi"/>
          <w:sz w:val="24"/>
          <w:szCs w:val="24"/>
        </w:rPr>
        <w:t xml:space="preserve"> total </w:t>
      </w:r>
      <w:r>
        <w:rPr>
          <w:rFonts w:asciiTheme="majorBidi" w:hAnsiTheme="majorBidi" w:cstheme="majorBidi"/>
          <w:sz w:val="24"/>
          <w:szCs w:val="24"/>
        </w:rPr>
        <w:t xml:space="preserve">of </w:t>
      </w:r>
      <w:r w:rsidRPr="00314A76">
        <w:rPr>
          <w:rFonts w:asciiTheme="majorBidi" w:hAnsiTheme="majorBidi" w:cstheme="majorBidi"/>
          <w:sz w:val="24"/>
          <w:szCs w:val="24"/>
        </w:rPr>
        <w:t xml:space="preserve">104 cases of IPD </w:t>
      </w:r>
      <w:r>
        <w:rPr>
          <w:rFonts w:asciiTheme="majorBidi" w:hAnsiTheme="majorBidi" w:cstheme="majorBidi"/>
          <w:sz w:val="24"/>
          <w:szCs w:val="24"/>
        </w:rPr>
        <w:t xml:space="preserve">occurred </w:t>
      </w:r>
      <w:r w:rsidRPr="00314A76">
        <w:rPr>
          <w:rFonts w:asciiTheme="majorBidi" w:hAnsiTheme="majorBidi" w:cstheme="majorBidi"/>
          <w:sz w:val="24"/>
          <w:szCs w:val="24"/>
        </w:rPr>
        <w:t xml:space="preserve">before the </w:t>
      </w:r>
      <w:r>
        <w:rPr>
          <w:rFonts w:asciiTheme="majorBidi" w:hAnsiTheme="majorBidi" w:cstheme="majorBidi"/>
          <w:sz w:val="24"/>
          <w:szCs w:val="24"/>
        </w:rPr>
        <w:t xml:space="preserve">November </w:t>
      </w:r>
      <w:r w:rsidRPr="00314A76">
        <w:rPr>
          <w:rFonts w:asciiTheme="majorBidi" w:hAnsiTheme="majorBidi" w:cstheme="majorBidi"/>
          <w:sz w:val="24"/>
          <w:szCs w:val="24"/>
        </w:rPr>
        <w:t>2011 introduction of PCV13. Twenty-five (24</w:t>
      </w:r>
      <w:r>
        <w:rPr>
          <w:rFonts w:asciiTheme="majorBidi" w:hAnsiTheme="majorBidi" w:cstheme="majorBidi"/>
          <w:sz w:val="24"/>
          <w:szCs w:val="24"/>
        </w:rPr>
        <w:t>.0</w:t>
      </w:r>
      <w:r w:rsidRPr="00314A76">
        <w:rPr>
          <w:rFonts w:asciiTheme="majorBidi" w:hAnsiTheme="majorBidi" w:cstheme="majorBidi"/>
          <w:sz w:val="24"/>
          <w:szCs w:val="24"/>
        </w:rPr>
        <w:t>%) of these were early-onset and 79 (76</w:t>
      </w:r>
      <w:r>
        <w:rPr>
          <w:rFonts w:asciiTheme="majorBidi" w:hAnsiTheme="majorBidi" w:cstheme="majorBidi"/>
          <w:sz w:val="24"/>
          <w:szCs w:val="24"/>
        </w:rPr>
        <w:t>.0</w:t>
      </w:r>
      <w:r w:rsidRPr="00314A76">
        <w:rPr>
          <w:rFonts w:asciiTheme="majorBidi" w:hAnsiTheme="majorBidi" w:cstheme="majorBidi"/>
          <w:sz w:val="24"/>
          <w:szCs w:val="24"/>
        </w:rPr>
        <w:t xml:space="preserve">%) </w:t>
      </w:r>
      <w:r>
        <w:rPr>
          <w:rFonts w:asciiTheme="majorBidi" w:hAnsiTheme="majorBidi" w:cstheme="majorBidi"/>
          <w:sz w:val="24"/>
          <w:szCs w:val="24"/>
        </w:rPr>
        <w:t xml:space="preserve">late-onset disease. Among the </w:t>
      </w:r>
      <w:r w:rsidRPr="00314A76">
        <w:rPr>
          <w:rFonts w:asciiTheme="majorBidi" w:hAnsiTheme="majorBidi" w:cstheme="majorBidi"/>
          <w:sz w:val="24"/>
          <w:szCs w:val="24"/>
        </w:rPr>
        <w:t xml:space="preserve">26 </w:t>
      </w:r>
      <w:r>
        <w:rPr>
          <w:rFonts w:asciiTheme="majorBidi" w:hAnsiTheme="majorBidi" w:cstheme="majorBidi"/>
          <w:sz w:val="24"/>
          <w:szCs w:val="24"/>
        </w:rPr>
        <w:t xml:space="preserve">IPD </w:t>
      </w:r>
      <w:r w:rsidRPr="00314A76">
        <w:rPr>
          <w:rFonts w:asciiTheme="majorBidi" w:hAnsiTheme="majorBidi" w:cstheme="majorBidi"/>
          <w:sz w:val="24"/>
          <w:szCs w:val="24"/>
        </w:rPr>
        <w:t>cases in the post-PCV</w:t>
      </w:r>
      <w:r>
        <w:rPr>
          <w:rFonts w:asciiTheme="majorBidi" w:hAnsiTheme="majorBidi" w:cstheme="majorBidi"/>
          <w:sz w:val="24"/>
          <w:szCs w:val="24"/>
        </w:rPr>
        <w:t>13</w:t>
      </w:r>
      <w:r w:rsidRPr="00314A76">
        <w:rPr>
          <w:rFonts w:asciiTheme="majorBidi" w:hAnsiTheme="majorBidi" w:cstheme="majorBidi"/>
          <w:sz w:val="24"/>
          <w:szCs w:val="24"/>
        </w:rPr>
        <w:t xml:space="preserve"> era</w:t>
      </w:r>
      <w:r>
        <w:rPr>
          <w:rFonts w:asciiTheme="majorBidi" w:hAnsiTheme="majorBidi" w:cstheme="majorBidi"/>
          <w:sz w:val="24"/>
          <w:szCs w:val="24"/>
        </w:rPr>
        <w:t xml:space="preserve">, </w:t>
      </w:r>
      <w:r w:rsidRPr="00314A76">
        <w:rPr>
          <w:rFonts w:asciiTheme="majorBidi" w:hAnsiTheme="majorBidi" w:cstheme="majorBidi"/>
          <w:sz w:val="24"/>
          <w:szCs w:val="24"/>
        </w:rPr>
        <w:t>11 (42</w:t>
      </w:r>
      <w:r>
        <w:rPr>
          <w:rFonts w:asciiTheme="majorBidi" w:hAnsiTheme="majorBidi" w:cstheme="majorBidi"/>
          <w:sz w:val="24"/>
          <w:szCs w:val="24"/>
        </w:rPr>
        <w:t>.3</w:t>
      </w:r>
      <w:r w:rsidRPr="00314A76">
        <w:rPr>
          <w:rFonts w:asciiTheme="majorBidi" w:hAnsiTheme="majorBidi" w:cstheme="majorBidi"/>
          <w:sz w:val="24"/>
          <w:szCs w:val="24"/>
        </w:rPr>
        <w:t xml:space="preserve">%) </w:t>
      </w:r>
      <w:r>
        <w:rPr>
          <w:rFonts w:asciiTheme="majorBidi" w:hAnsiTheme="majorBidi" w:cstheme="majorBidi"/>
          <w:sz w:val="24"/>
          <w:szCs w:val="24"/>
        </w:rPr>
        <w:t xml:space="preserve">were </w:t>
      </w:r>
      <w:r w:rsidRPr="00314A76">
        <w:rPr>
          <w:rFonts w:asciiTheme="majorBidi" w:hAnsiTheme="majorBidi" w:cstheme="majorBidi"/>
          <w:sz w:val="24"/>
          <w:szCs w:val="24"/>
        </w:rPr>
        <w:t>early-onset and 15 (5</w:t>
      </w:r>
      <w:r>
        <w:rPr>
          <w:rFonts w:asciiTheme="majorBidi" w:hAnsiTheme="majorBidi" w:cstheme="majorBidi"/>
          <w:sz w:val="24"/>
          <w:szCs w:val="24"/>
        </w:rPr>
        <w:t>7.7</w:t>
      </w:r>
      <w:r w:rsidRPr="00314A76">
        <w:rPr>
          <w:rFonts w:asciiTheme="majorBidi" w:hAnsiTheme="majorBidi" w:cstheme="majorBidi"/>
          <w:sz w:val="24"/>
          <w:szCs w:val="24"/>
        </w:rPr>
        <w:t xml:space="preserve">%) </w:t>
      </w:r>
      <w:r>
        <w:rPr>
          <w:rFonts w:asciiTheme="majorBidi" w:hAnsiTheme="majorBidi" w:cstheme="majorBidi"/>
          <w:sz w:val="24"/>
          <w:szCs w:val="24"/>
        </w:rPr>
        <w:t xml:space="preserve">late-onset disease </w:t>
      </w:r>
      <w:r w:rsidRPr="00314A76">
        <w:rPr>
          <w:rFonts w:asciiTheme="majorBidi" w:hAnsiTheme="majorBidi" w:cstheme="majorBidi"/>
          <w:sz w:val="24"/>
          <w:szCs w:val="24"/>
        </w:rPr>
        <w:t>(Table 1)</w:t>
      </w:r>
      <w:r>
        <w:rPr>
          <w:rFonts w:asciiTheme="majorBidi" w:hAnsiTheme="majorBidi" w:cstheme="majorBidi"/>
          <w:sz w:val="24"/>
          <w:szCs w:val="24"/>
        </w:rPr>
        <w:t xml:space="preserve">. Of the 36 total early onset cases, 17 (47.2%) presented in the first 72 hours of life and 19 (52.8%) on day 4-7. </w:t>
      </w:r>
    </w:p>
    <w:p w14:paraId="1404B2A9" w14:textId="77777777" w:rsidR="00FE10EE" w:rsidRPr="00FE10EE" w:rsidRDefault="00FE10EE" w:rsidP="00FE10EE">
      <w:pPr>
        <w:rPr>
          <w:b/>
          <w:bCs/>
        </w:rPr>
      </w:pPr>
      <w:r w:rsidRPr="00FE10EE">
        <w:rPr>
          <w:b/>
          <w:bCs/>
        </w:rPr>
        <w:lastRenderedPageBreak/>
        <w:t xml:space="preserve">Serotype distribution. </w:t>
      </w:r>
    </w:p>
    <w:p w14:paraId="1346A8C8" w14:textId="77777777" w:rsidR="00FE10EE" w:rsidRPr="00B316E7" w:rsidRDefault="00FE10EE" w:rsidP="00FE10EE">
      <w:pPr>
        <w:spacing w:line="480" w:lineRule="auto"/>
        <w:jc w:val="both"/>
        <w:rPr>
          <w:rFonts w:asciiTheme="majorBidi" w:hAnsiTheme="majorBidi" w:cstheme="majorBidi"/>
          <w:bCs/>
          <w:sz w:val="24"/>
          <w:szCs w:val="24"/>
        </w:rPr>
      </w:pPr>
      <w:r w:rsidRPr="00B316E7">
        <w:rPr>
          <w:rFonts w:asciiTheme="majorBidi" w:hAnsiTheme="majorBidi" w:cstheme="majorBidi"/>
          <w:bCs/>
          <w:sz w:val="24"/>
          <w:szCs w:val="24"/>
        </w:rPr>
        <w:t>Among the total 130 cases, we were able to recover and serotype 90 (69</w:t>
      </w:r>
      <w:r>
        <w:rPr>
          <w:rFonts w:asciiTheme="majorBidi" w:hAnsiTheme="majorBidi" w:cstheme="majorBidi"/>
          <w:bCs/>
          <w:sz w:val="24"/>
          <w:szCs w:val="24"/>
        </w:rPr>
        <w:t>.2</w:t>
      </w:r>
      <w:r w:rsidRPr="00B316E7">
        <w:rPr>
          <w:rFonts w:asciiTheme="majorBidi" w:hAnsiTheme="majorBidi" w:cstheme="majorBidi"/>
          <w:bCs/>
          <w:sz w:val="24"/>
          <w:szCs w:val="24"/>
        </w:rPr>
        <w:t xml:space="preserve">%) samples. </w:t>
      </w:r>
      <w:r w:rsidRPr="00236CFC">
        <w:rPr>
          <w:rFonts w:asciiTheme="majorBidi" w:hAnsiTheme="majorBidi" w:cstheme="majorBidi"/>
          <w:bCs/>
          <w:sz w:val="24"/>
          <w:szCs w:val="24"/>
        </w:rPr>
        <w:t>Analysis of isolates that were and were not recoverable showed no statistically significant difference in age, gender, or sample type (data not shown).</w:t>
      </w:r>
      <w:r>
        <w:rPr>
          <w:rFonts w:cs="ScalaLancetPro"/>
          <w:color w:val="000000"/>
          <w:sz w:val="18"/>
          <w:szCs w:val="18"/>
        </w:rPr>
        <w:t xml:space="preserve"> </w:t>
      </w:r>
      <w:r>
        <w:rPr>
          <w:rFonts w:asciiTheme="majorBidi" w:hAnsiTheme="majorBidi" w:cstheme="majorBidi"/>
          <w:bCs/>
          <w:sz w:val="24"/>
          <w:szCs w:val="24"/>
        </w:rPr>
        <w:t xml:space="preserve">Over the duration of the study period, vaccine </w:t>
      </w:r>
      <w:r w:rsidRPr="00B316E7">
        <w:rPr>
          <w:rFonts w:asciiTheme="majorBidi" w:hAnsiTheme="majorBidi" w:cstheme="majorBidi"/>
          <w:bCs/>
          <w:sz w:val="24"/>
          <w:szCs w:val="24"/>
        </w:rPr>
        <w:t xml:space="preserve">serotypes 5 (27.8%) and 1 (15.6%) were </w:t>
      </w:r>
      <w:r>
        <w:rPr>
          <w:rFonts w:asciiTheme="majorBidi" w:hAnsiTheme="majorBidi" w:cstheme="majorBidi"/>
          <w:bCs/>
          <w:sz w:val="24"/>
          <w:szCs w:val="24"/>
        </w:rPr>
        <w:t xml:space="preserve">the </w:t>
      </w:r>
      <w:r w:rsidRPr="00B316E7">
        <w:rPr>
          <w:rFonts w:asciiTheme="majorBidi" w:hAnsiTheme="majorBidi" w:cstheme="majorBidi"/>
          <w:bCs/>
          <w:sz w:val="24"/>
          <w:szCs w:val="24"/>
        </w:rPr>
        <w:t xml:space="preserve">most common </w:t>
      </w:r>
      <w:r>
        <w:rPr>
          <w:rFonts w:asciiTheme="majorBidi" w:hAnsiTheme="majorBidi" w:cstheme="majorBidi"/>
          <w:bCs/>
          <w:sz w:val="24"/>
          <w:szCs w:val="24"/>
        </w:rPr>
        <w:t xml:space="preserve">identified </w:t>
      </w:r>
      <w:r w:rsidRPr="00B316E7">
        <w:rPr>
          <w:rFonts w:asciiTheme="majorBidi" w:hAnsiTheme="majorBidi" w:cstheme="majorBidi"/>
          <w:bCs/>
          <w:sz w:val="24"/>
          <w:szCs w:val="24"/>
        </w:rPr>
        <w:t>in this population, with NVT</w:t>
      </w:r>
      <w:r>
        <w:rPr>
          <w:rFonts w:asciiTheme="majorBidi" w:hAnsiTheme="majorBidi" w:cstheme="majorBidi"/>
          <w:bCs/>
          <w:sz w:val="24"/>
          <w:szCs w:val="24"/>
        </w:rPr>
        <w:t xml:space="preserve">-IPD </w:t>
      </w:r>
      <w:r w:rsidRPr="00B316E7">
        <w:rPr>
          <w:rFonts w:asciiTheme="majorBidi" w:hAnsiTheme="majorBidi" w:cstheme="majorBidi"/>
          <w:bCs/>
          <w:sz w:val="24"/>
          <w:szCs w:val="24"/>
        </w:rPr>
        <w:t xml:space="preserve">accounting for 32.2% of </w:t>
      </w:r>
      <w:r>
        <w:rPr>
          <w:rFonts w:asciiTheme="majorBidi" w:hAnsiTheme="majorBidi" w:cstheme="majorBidi"/>
          <w:bCs/>
          <w:sz w:val="24"/>
          <w:szCs w:val="24"/>
        </w:rPr>
        <w:t xml:space="preserve">the </w:t>
      </w:r>
      <w:r w:rsidRPr="00B316E7">
        <w:rPr>
          <w:rFonts w:asciiTheme="majorBidi" w:hAnsiTheme="majorBidi" w:cstheme="majorBidi"/>
          <w:bCs/>
          <w:sz w:val="24"/>
          <w:szCs w:val="24"/>
        </w:rPr>
        <w:t xml:space="preserve">total </w:t>
      </w:r>
      <w:r>
        <w:rPr>
          <w:rFonts w:asciiTheme="majorBidi" w:hAnsiTheme="majorBidi" w:cstheme="majorBidi"/>
          <w:bCs/>
          <w:sz w:val="24"/>
          <w:szCs w:val="24"/>
        </w:rPr>
        <w:t>recovered samples</w:t>
      </w:r>
      <w:r w:rsidRPr="00B316E7">
        <w:rPr>
          <w:rFonts w:asciiTheme="majorBidi" w:hAnsiTheme="majorBidi" w:cstheme="majorBidi"/>
          <w:bCs/>
          <w:sz w:val="24"/>
          <w:szCs w:val="24"/>
        </w:rPr>
        <w:t>. In the pre-PCV</w:t>
      </w:r>
      <w:r>
        <w:rPr>
          <w:rFonts w:asciiTheme="majorBidi" w:hAnsiTheme="majorBidi" w:cstheme="majorBidi"/>
          <w:bCs/>
          <w:sz w:val="24"/>
          <w:szCs w:val="24"/>
        </w:rPr>
        <w:t>13 period</w:t>
      </w:r>
      <w:r w:rsidRPr="00B316E7">
        <w:rPr>
          <w:rFonts w:asciiTheme="majorBidi" w:hAnsiTheme="majorBidi" w:cstheme="majorBidi"/>
          <w:bCs/>
          <w:sz w:val="24"/>
          <w:szCs w:val="24"/>
        </w:rPr>
        <w:t>, 70</w:t>
      </w:r>
      <w:r>
        <w:rPr>
          <w:rFonts w:asciiTheme="majorBidi" w:hAnsiTheme="majorBidi" w:cstheme="majorBidi"/>
          <w:bCs/>
          <w:sz w:val="24"/>
          <w:szCs w:val="24"/>
        </w:rPr>
        <w:t>.1</w:t>
      </w:r>
      <w:r w:rsidRPr="00B316E7">
        <w:rPr>
          <w:rFonts w:asciiTheme="majorBidi" w:hAnsiTheme="majorBidi" w:cstheme="majorBidi"/>
          <w:bCs/>
          <w:sz w:val="24"/>
          <w:szCs w:val="24"/>
        </w:rPr>
        <w:t xml:space="preserve">% of IPD cases were caused by VT and </w:t>
      </w:r>
      <w:r>
        <w:rPr>
          <w:rFonts w:asciiTheme="majorBidi" w:hAnsiTheme="majorBidi" w:cstheme="majorBidi"/>
          <w:bCs/>
          <w:sz w:val="24"/>
          <w:szCs w:val="24"/>
        </w:rPr>
        <w:t>29.9</w:t>
      </w:r>
      <w:r w:rsidRPr="00B316E7">
        <w:rPr>
          <w:rFonts w:asciiTheme="majorBidi" w:hAnsiTheme="majorBidi" w:cstheme="majorBidi"/>
          <w:bCs/>
          <w:sz w:val="24"/>
          <w:szCs w:val="24"/>
        </w:rPr>
        <w:t>% by NVT</w:t>
      </w:r>
      <w:r>
        <w:rPr>
          <w:rFonts w:asciiTheme="majorBidi" w:hAnsiTheme="majorBidi" w:cstheme="majorBidi"/>
          <w:bCs/>
          <w:sz w:val="24"/>
          <w:szCs w:val="24"/>
        </w:rPr>
        <w:t xml:space="preserve"> </w:t>
      </w:r>
      <w:r w:rsidRPr="00B316E7">
        <w:rPr>
          <w:rFonts w:asciiTheme="majorBidi" w:hAnsiTheme="majorBidi" w:cstheme="majorBidi"/>
          <w:bCs/>
          <w:sz w:val="24"/>
          <w:szCs w:val="24"/>
        </w:rPr>
        <w:t xml:space="preserve">. In the </w:t>
      </w:r>
      <w:r>
        <w:rPr>
          <w:rFonts w:asciiTheme="majorBidi" w:hAnsiTheme="majorBidi" w:cstheme="majorBidi"/>
          <w:bCs/>
          <w:sz w:val="24"/>
          <w:szCs w:val="24"/>
        </w:rPr>
        <w:t xml:space="preserve">early </w:t>
      </w:r>
      <w:r w:rsidRPr="00B316E7">
        <w:rPr>
          <w:rFonts w:asciiTheme="majorBidi" w:hAnsiTheme="majorBidi" w:cstheme="majorBidi"/>
          <w:bCs/>
          <w:sz w:val="24"/>
          <w:szCs w:val="24"/>
        </w:rPr>
        <w:t xml:space="preserve">post-PCV13 </w:t>
      </w:r>
      <w:r>
        <w:rPr>
          <w:rFonts w:asciiTheme="majorBidi" w:hAnsiTheme="majorBidi" w:cstheme="majorBidi"/>
          <w:bCs/>
          <w:sz w:val="24"/>
          <w:szCs w:val="24"/>
        </w:rPr>
        <w:t>period</w:t>
      </w:r>
      <w:r w:rsidRPr="00B316E7">
        <w:rPr>
          <w:rFonts w:asciiTheme="majorBidi" w:hAnsiTheme="majorBidi" w:cstheme="majorBidi"/>
          <w:bCs/>
          <w:sz w:val="24"/>
          <w:szCs w:val="24"/>
        </w:rPr>
        <w:t xml:space="preserve"> </w:t>
      </w:r>
      <w:r>
        <w:rPr>
          <w:rFonts w:asciiTheme="majorBidi" w:hAnsiTheme="majorBidi" w:cstheme="majorBidi"/>
          <w:bCs/>
          <w:sz w:val="24"/>
          <w:szCs w:val="24"/>
        </w:rPr>
        <w:t xml:space="preserve">(2012-2015) </w:t>
      </w:r>
      <w:r w:rsidRPr="00B316E7">
        <w:rPr>
          <w:rFonts w:asciiTheme="majorBidi" w:hAnsiTheme="majorBidi" w:cstheme="majorBidi"/>
          <w:bCs/>
          <w:sz w:val="24"/>
          <w:szCs w:val="24"/>
        </w:rPr>
        <w:t>5</w:t>
      </w:r>
      <w:r>
        <w:rPr>
          <w:rFonts w:asciiTheme="majorBidi" w:hAnsiTheme="majorBidi" w:cstheme="majorBidi"/>
          <w:bCs/>
          <w:sz w:val="24"/>
          <w:szCs w:val="24"/>
        </w:rPr>
        <w:t>6.3</w:t>
      </w:r>
      <w:r w:rsidRPr="00B316E7">
        <w:rPr>
          <w:rFonts w:asciiTheme="majorBidi" w:hAnsiTheme="majorBidi" w:cstheme="majorBidi"/>
          <w:bCs/>
          <w:sz w:val="24"/>
          <w:szCs w:val="24"/>
        </w:rPr>
        <w:t>% were VT and 43</w:t>
      </w:r>
      <w:r>
        <w:rPr>
          <w:rFonts w:asciiTheme="majorBidi" w:hAnsiTheme="majorBidi" w:cstheme="majorBidi"/>
          <w:bCs/>
          <w:sz w:val="24"/>
          <w:szCs w:val="24"/>
        </w:rPr>
        <w:t>.5</w:t>
      </w:r>
      <w:r w:rsidRPr="00B316E7">
        <w:rPr>
          <w:rFonts w:asciiTheme="majorBidi" w:hAnsiTheme="majorBidi" w:cstheme="majorBidi"/>
          <w:bCs/>
          <w:sz w:val="24"/>
          <w:szCs w:val="24"/>
        </w:rPr>
        <w:t>% NVT</w:t>
      </w:r>
      <w:r>
        <w:rPr>
          <w:rFonts w:asciiTheme="majorBidi" w:hAnsiTheme="majorBidi" w:cstheme="majorBidi"/>
          <w:bCs/>
          <w:sz w:val="24"/>
          <w:szCs w:val="24"/>
        </w:rPr>
        <w:t xml:space="preserve"> and in the late post-PCV13 period (2016-2018) 57.1% were VT and 42.9% were NVT. </w:t>
      </w:r>
      <w:r w:rsidRPr="00B316E7">
        <w:rPr>
          <w:rFonts w:asciiTheme="majorBidi" w:hAnsiTheme="majorBidi" w:cstheme="majorBidi"/>
          <w:bCs/>
          <w:sz w:val="24"/>
          <w:szCs w:val="24"/>
        </w:rPr>
        <w:t>The most frequent serotypes</w:t>
      </w:r>
      <w:r>
        <w:rPr>
          <w:rFonts w:asciiTheme="majorBidi" w:hAnsiTheme="majorBidi" w:cstheme="majorBidi"/>
          <w:bCs/>
          <w:sz w:val="24"/>
          <w:szCs w:val="24"/>
        </w:rPr>
        <w:t xml:space="preserve"> in the post-PCV13 period</w:t>
      </w:r>
      <w:r w:rsidRPr="00B316E7">
        <w:rPr>
          <w:rFonts w:asciiTheme="majorBidi" w:hAnsiTheme="majorBidi" w:cstheme="majorBidi"/>
          <w:bCs/>
          <w:sz w:val="24"/>
          <w:szCs w:val="24"/>
        </w:rPr>
        <w:t xml:space="preserve"> remained </w:t>
      </w:r>
      <w:r>
        <w:rPr>
          <w:rFonts w:asciiTheme="majorBidi" w:hAnsiTheme="majorBidi" w:cstheme="majorBidi"/>
          <w:bCs/>
          <w:sz w:val="24"/>
          <w:szCs w:val="24"/>
        </w:rPr>
        <w:t>vaccine sero</w:t>
      </w:r>
      <w:r w:rsidRPr="00B316E7">
        <w:rPr>
          <w:rFonts w:asciiTheme="majorBidi" w:hAnsiTheme="majorBidi" w:cstheme="majorBidi"/>
          <w:bCs/>
          <w:sz w:val="24"/>
          <w:szCs w:val="24"/>
        </w:rPr>
        <w:t>type</w:t>
      </w:r>
      <w:r>
        <w:rPr>
          <w:rFonts w:asciiTheme="majorBidi" w:hAnsiTheme="majorBidi" w:cstheme="majorBidi"/>
          <w:bCs/>
          <w:sz w:val="24"/>
          <w:szCs w:val="24"/>
        </w:rPr>
        <w:t>s</w:t>
      </w:r>
      <w:r w:rsidRPr="00B316E7">
        <w:rPr>
          <w:rFonts w:asciiTheme="majorBidi" w:hAnsiTheme="majorBidi" w:cstheme="majorBidi"/>
          <w:bCs/>
          <w:sz w:val="24"/>
          <w:szCs w:val="24"/>
        </w:rPr>
        <w:t xml:space="preserve"> 5 and 1</w:t>
      </w:r>
      <w:r>
        <w:rPr>
          <w:rFonts w:asciiTheme="majorBidi" w:hAnsiTheme="majorBidi" w:cstheme="majorBidi"/>
          <w:bCs/>
          <w:sz w:val="24"/>
          <w:szCs w:val="24"/>
        </w:rPr>
        <w:t xml:space="preserve"> </w:t>
      </w:r>
      <w:r w:rsidRPr="00B316E7">
        <w:rPr>
          <w:rFonts w:asciiTheme="majorBidi" w:hAnsiTheme="majorBidi" w:cstheme="majorBidi"/>
          <w:bCs/>
          <w:sz w:val="24"/>
          <w:szCs w:val="24"/>
        </w:rPr>
        <w:t xml:space="preserve">(Table </w:t>
      </w:r>
      <w:r>
        <w:rPr>
          <w:rFonts w:asciiTheme="majorBidi" w:hAnsiTheme="majorBidi" w:cstheme="majorBidi"/>
          <w:bCs/>
          <w:sz w:val="24"/>
          <w:szCs w:val="24"/>
        </w:rPr>
        <w:t>2</w:t>
      </w:r>
      <w:r w:rsidRPr="00B316E7">
        <w:rPr>
          <w:rFonts w:asciiTheme="majorBidi" w:hAnsiTheme="majorBidi" w:cstheme="majorBidi"/>
          <w:bCs/>
          <w:sz w:val="24"/>
          <w:szCs w:val="24"/>
        </w:rPr>
        <w:t>)</w:t>
      </w:r>
      <w:r>
        <w:rPr>
          <w:rFonts w:asciiTheme="majorBidi" w:hAnsiTheme="majorBidi" w:cstheme="majorBidi"/>
          <w:bCs/>
          <w:sz w:val="24"/>
          <w:szCs w:val="24"/>
        </w:rPr>
        <w:t xml:space="preserve">. </w:t>
      </w:r>
    </w:p>
    <w:p w14:paraId="18C5BAA7" w14:textId="77777777" w:rsidR="00FE10EE" w:rsidRPr="00FE10EE" w:rsidRDefault="00FE10EE" w:rsidP="00FE10EE">
      <w:pPr>
        <w:rPr>
          <w:b/>
          <w:bCs/>
        </w:rPr>
      </w:pPr>
      <w:r w:rsidRPr="00FE10EE">
        <w:rPr>
          <w:b/>
          <w:bCs/>
        </w:rPr>
        <w:lastRenderedPageBreak/>
        <w:t>IPD incidence</w:t>
      </w:r>
    </w:p>
    <w:p w14:paraId="749662C5" w14:textId="77777777" w:rsidR="00FE10EE" w:rsidRPr="00C40F6B" w:rsidRDefault="00FE10EE" w:rsidP="00FE10EE">
      <w:pPr>
        <w:spacing w:line="480" w:lineRule="auto"/>
        <w:rPr>
          <w:rFonts w:asciiTheme="majorBidi" w:hAnsiTheme="majorBidi" w:cstheme="majorBidi"/>
          <w:sz w:val="24"/>
          <w:szCs w:val="24"/>
        </w:rPr>
      </w:pPr>
      <w:r w:rsidRPr="00C40F6B">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58E62895" wp14:editId="10AFCDE0">
                <wp:simplePos x="0" y="0"/>
                <wp:positionH relativeFrom="column">
                  <wp:posOffset>-1753236</wp:posOffset>
                </wp:positionH>
                <wp:positionV relativeFrom="paragraph">
                  <wp:posOffset>1568449</wp:posOffset>
                </wp:positionV>
                <wp:extent cx="323850" cy="276225"/>
                <wp:effectExtent l="38100" t="0" r="19050" b="47625"/>
                <wp:wrapNone/>
                <wp:docPr id="3" name="Straight Arrow Connector 3"/>
                <wp:cNvGraphicFramePr/>
                <a:graphic xmlns:a="http://schemas.openxmlformats.org/drawingml/2006/main">
                  <a:graphicData uri="http://schemas.microsoft.com/office/word/2010/wordprocessingShape">
                    <wps:wsp>
                      <wps:cNvCnPr/>
                      <wps:spPr>
                        <a:xfrm flipH="1">
                          <a:off x="0" y="0"/>
                          <a:ext cx="323850" cy="276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0C23A4" id="_x0000_t32" coordsize="21600,21600" o:spt="32" o:oned="t" path="m,l21600,21600e" filled="f">
                <v:path arrowok="t" fillok="f" o:connecttype="none"/>
                <o:lock v:ext="edit" shapetype="t"/>
              </v:shapetype>
              <v:shape id="Straight Arrow Connector 3" o:spid="_x0000_s1026" type="#_x0000_t32" style="position:absolute;margin-left:-138.05pt;margin-top:123.5pt;width:25.5pt;height:2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" strokecolor="red" strokeweight=".5pt">
                <v:stroke endarrow="block" joinstyle="miter"/>
              </v:shape>
            </w:pict>
          </mc:Fallback>
        </mc:AlternateContent>
      </w:r>
      <w:r w:rsidRPr="00C40F6B">
        <w:rPr>
          <w:rFonts w:asciiTheme="majorBidi" w:hAnsiTheme="majorBidi" w:cstheme="majorBidi"/>
          <w:sz w:val="24"/>
          <w:szCs w:val="24"/>
        </w:rPr>
        <w:t xml:space="preserve">We estimated the </w:t>
      </w:r>
      <w:r>
        <w:rPr>
          <w:rFonts w:asciiTheme="majorBidi" w:hAnsiTheme="majorBidi" w:cstheme="majorBidi"/>
          <w:sz w:val="24"/>
          <w:szCs w:val="24"/>
        </w:rPr>
        <w:t xml:space="preserve">annual </w:t>
      </w:r>
      <w:r w:rsidRPr="00C40F6B">
        <w:rPr>
          <w:rFonts w:asciiTheme="majorBidi" w:hAnsiTheme="majorBidi" w:cstheme="majorBidi"/>
          <w:sz w:val="24"/>
          <w:szCs w:val="24"/>
        </w:rPr>
        <w:t>IPD incidence rate</w:t>
      </w:r>
      <w:r>
        <w:rPr>
          <w:rFonts w:asciiTheme="majorBidi" w:hAnsiTheme="majorBidi" w:cstheme="majorBidi"/>
          <w:sz w:val="24"/>
          <w:szCs w:val="24"/>
        </w:rPr>
        <w:t>s</w:t>
      </w:r>
      <w:r w:rsidRPr="00C40F6B">
        <w:rPr>
          <w:rFonts w:asciiTheme="majorBidi" w:hAnsiTheme="majorBidi" w:cstheme="majorBidi"/>
          <w:sz w:val="24"/>
          <w:szCs w:val="24"/>
        </w:rPr>
        <w:t xml:space="preserve"> per 100,000 infants &lt;90 days old in Blantyre over the 14-year period.  </w:t>
      </w:r>
      <w:r>
        <w:rPr>
          <w:rFonts w:asciiTheme="majorBidi" w:hAnsiTheme="majorBidi" w:cstheme="majorBidi"/>
          <w:sz w:val="24"/>
          <w:szCs w:val="24"/>
        </w:rPr>
        <w:t xml:space="preserve">As reported elsewhere for all-age IPD </w:t>
      </w:r>
      <w:r>
        <w:rPr>
          <w:rFonts w:asciiTheme="majorBidi" w:hAnsiTheme="majorBidi" w:cstheme="majorBidi"/>
          <w:noProof/>
          <w:sz w:val="24"/>
          <w:szCs w:val="24"/>
        </w:rPr>
        <w:t>(14)</w:t>
      </w:r>
      <w:r>
        <w:rPr>
          <w:rFonts w:asciiTheme="majorBidi" w:hAnsiTheme="majorBidi" w:cstheme="majorBidi"/>
          <w:sz w:val="24"/>
          <w:szCs w:val="24"/>
        </w:rPr>
        <w:t xml:space="preserve">, </w:t>
      </w:r>
      <w:r w:rsidRPr="00C40F6B">
        <w:rPr>
          <w:rFonts w:asciiTheme="majorBidi" w:hAnsiTheme="majorBidi" w:cstheme="majorBidi"/>
          <w:sz w:val="24"/>
          <w:szCs w:val="24"/>
        </w:rPr>
        <w:t>IPD incidence was already declining prior to the 2011 introduction of PCV13. After introduction of PCV</w:t>
      </w:r>
      <w:r>
        <w:rPr>
          <w:rFonts w:asciiTheme="majorBidi" w:hAnsiTheme="majorBidi" w:cstheme="majorBidi"/>
          <w:sz w:val="24"/>
          <w:szCs w:val="24"/>
        </w:rPr>
        <w:t>13</w:t>
      </w:r>
      <w:r w:rsidRPr="00C40F6B">
        <w:rPr>
          <w:rFonts w:asciiTheme="majorBidi" w:hAnsiTheme="majorBidi" w:cstheme="majorBidi"/>
          <w:sz w:val="24"/>
          <w:szCs w:val="24"/>
        </w:rPr>
        <w:t xml:space="preserve"> there was a further decline in IPD cases in young infants (</w:t>
      </w:r>
      <w:r>
        <w:rPr>
          <w:rFonts w:asciiTheme="majorBidi" w:hAnsiTheme="majorBidi" w:cstheme="majorBidi"/>
          <w:sz w:val="24"/>
          <w:szCs w:val="24"/>
        </w:rPr>
        <w:t>Figure 1; Supplementary Table 1</w:t>
      </w:r>
      <w:r w:rsidRPr="00C40F6B">
        <w:rPr>
          <w:rFonts w:asciiTheme="majorBidi" w:hAnsiTheme="majorBidi" w:cstheme="majorBidi"/>
          <w:sz w:val="24"/>
          <w:szCs w:val="24"/>
        </w:rPr>
        <w:t>).</w:t>
      </w:r>
    </w:p>
    <w:p w14:paraId="4858120F" w14:textId="77777777" w:rsidR="00FE10EE" w:rsidRDefault="00FE10EE" w:rsidP="00FE10EE">
      <w:pPr>
        <w:spacing w:line="480" w:lineRule="auto"/>
        <w:jc w:val="both"/>
        <w:rPr>
          <w:rFonts w:asciiTheme="majorBidi" w:hAnsiTheme="majorBidi" w:cstheme="majorBidi"/>
          <w:color w:val="FF0000"/>
          <w:sz w:val="24"/>
          <w:szCs w:val="24"/>
        </w:rPr>
      </w:pPr>
      <w:r w:rsidRPr="00C40F6B">
        <w:rPr>
          <w:rFonts w:asciiTheme="majorBidi" w:hAnsiTheme="majorBidi" w:cstheme="majorBidi"/>
          <w:sz w:val="24"/>
          <w:szCs w:val="24"/>
        </w:rPr>
        <w:t xml:space="preserve">The mean </w:t>
      </w:r>
      <w:r>
        <w:rPr>
          <w:rFonts w:asciiTheme="majorBidi" w:hAnsiTheme="majorBidi" w:cstheme="majorBidi"/>
          <w:sz w:val="24"/>
          <w:szCs w:val="24"/>
        </w:rPr>
        <w:t xml:space="preserve">annual </w:t>
      </w:r>
      <w:r w:rsidRPr="00C40F6B">
        <w:rPr>
          <w:rFonts w:asciiTheme="majorBidi" w:hAnsiTheme="majorBidi" w:cstheme="majorBidi"/>
          <w:sz w:val="24"/>
          <w:szCs w:val="24"/>
        </w:rPr>
        <w:t xml:space="preserve">incidence of </w:t>
      </w:r>
      <w:r>
        <w:rPr>
          <w:rFonts w:asciiTheme="majorBidi" w:hAnsiTheme="majorBidi" w:cstheme="majorBidi"/>
          <w:sz w:val="24"/>
          <w:szCs w:val="24"/>
        </w:rPr>
        <w:t xml:space="preserve">total (VT+NVT) </w:t>
      </w:r>
      <w:r w:rsidRPr="00C40F6B">
        <w:rPr>
          <w:rFonts w:asciiTheme="majorBidi" w:hAnsiTheme="majorBidi" w:cstheme="majorBidi"/>
          <w:sz w:val="24"/>
          <w:szCs w:val="24"/>
        </w:rPr>
        <w:t xml:space="preserve">IPD in infants &lt;90 days old </w:t>
      </w:r>
      <w:r>
        <w:rPr>
          <w:rFonts w:asciiTheme="majorBidi" w:hAnsiTheme="majorBidi" w:cstheme="majorBidi"/>
          <w:sz w:val="24"/>
          <w:szCs w:val="24"/>
        </w:rPr>
        <w:t xml:space="preserve">in the pre-PCV13 period </w:t>
      </w:r>
      <w:r w:rsidRPr="00C40F6B">
        <w:rPr>
          <w:rFonts w:asciiTheme="majorBidi" w:hAnsiTheme="majorBidi" w:cstheme="majorBidi"/>
          <w:sz w:val="24"/>
          <w:szCs w:val="24"/>
        </w:rPr>
        <w:t>was 319</w:t>
      </w:r>
      <w:r>
        <w:rPr>
          <w:rFonts w:asciiTheme="majorBidi" w:hAnsiTheme="majorBidi" w:cstheme="majorBidi"/>
          <w:sz w:val="24"/>
          <w:szCs w:val="24"/>
        </w:rPr>
        <w:t xml:space="preserve"> </w:t>
      </w:r>
      <w:r w:rsidRPr="00C40F6B">
        <w:rPr>
          <w:rFonts w:asciiTheme="majorBidi" w:hAnsiTheme="majorBidi" w:cstheme="majorBidi"/>
          <w:sz w:val="24"/>
          <w:szCs w:val="24"/>
        </w:rPr>
        <w:t>(95% CI 264-385</w:t>
      </w:r>
      <w:r w:rsidRPr="00233427">
        <w:rPr>
          <w:rFonts w:asciiTheme="majorBidi" w:hAnsiTheme="majorBidi" w:cstheme="majorBidi"/>
          <w:sz w:val="24"/>
          <w:szCs w:val="24"/>
        </w:rPr>
        <w:t>)</w:t>
      </w:r>
      <w:r>
        <w:rPr>
          <w:rFonts w:asciiTheme="majorBidi" w:hAnsiTheme="majorBidi" w:cstheme="majorBidi"/>
          <w:sz w:val="24"/>
          <w:szCs w:val="24"/>
        </w:rPr>
        <w:t xml:space="preserve"> per </w:t>
      </w:r>
      <w:r w:rsidRPr="00C40F6B">
        <w:rPr>
          <w:rFonts w:asciiTheme="majorBidi" w:hAnsiTheme="majorBidi" w:cstheme="majorBidi"/>
          <w:sz w:val="24"/>
          <w:szCs w:val="24"/>
        </w:rPr>
        <w:t xml:space="preserve">100,000 </w:t>
      </w:r>
      <w:r w:rsidRPr="00967BA4">
        <w:rPr>
          <w:rFonts w:asciiTheme="majorBidi" w:hAnsiTheme="majorBidi" w:cstheme="majorBidi"/>
          <w:sz w:val="24"/>
          <w:szCs w:val="24"/>
        </w:rPr>
        <w:t xml:space="preserve">versus 72 </w:t>
      </w:r>
      <w:r w:rsidRPr="00233427">
        <w:rPr>
          <w:rFonts w:asciiTheme="majorBidi" w:hAnsiTheme="majorBidi" w:cstheme="majorBidi"/>
          <w:sz w:val="24"/>
          <w:szCs w:val="24"/>
        </w:rPr>
        <w:t>(49-106)</w:t>
      </w:r>
      <w:r>
        <w:rPr>
          <w:rFonts w:asciiTheme="majorBidi" w:hAnsiTheme="majorBidi" w:cstheme="majorBidi"/>
          <w:sz w:val="24"/>
          <w:szCs w:val="24"/>
        </w:rPr>
        <w:t xml:space="preserve"> </w:t>
      </w:r>
      <w:r w:rsidRPr="009C4B71">
        <w:rPr>
          <w:rFonts w:asciiTheme="majorBidi" w:hAnsiTheme="majorBidi" w:cstheme="majorBidi"/>
          <w:sz w:val="24"/>
          <w:szCs w:val="24"/>
        </w:rPr>
        <w:t>per 100,000</w:t>
      </w:r>
      <w:r w:rsidRPr="00967BA4">
        <w:rPr>
          <w:rFonts w:asciiTheme="majorBidi" w:hAnsiTheme="majorBidi" w:cstheme="majorBidi"/>
          <w:sz w:val="24"/>
          <w:szCs w:val="24"/>
        </w:rPr>
        <w:t xml:space="preserve"> in the post-PCV</w:t>
      </w:r>
      <w:r>
        <w:rPr>
          <w:rFonts w:asciiTheme="majorBidi" w:hAnsiTheme="majorBidi" w:cstheme="majorBidi"/>
          <w:sz w:val="24"/>
          <w:szCs w:val="24"/>
        </w:rPr>
        <w:t>13</w:t>
      </w:r>
      <w:r w:rsidRPr="00967BA4">
        <w:rPr>
          <w:rFonts w:asciiTheme="majorBidi" w:hAnsiTheme="majorBidi" w:cstheme="majorBidi"/>
          <w:sz w:val="24"/>
          <w:szCs w:val="24"/>
        </w:rPr>
        <w:t xml:space="preserve"> period (P&lt;0.01). </w:t>
      </w:r>
      <w:r w:rsidRPr="009C4B71">
        <w:rPr>
          <w:rFonts w:asciiTheme="majorBidi" w:hAnsiTheme="majorBidi" w:cstheme="majorBidi"/>
          <w:sz w:val="24"/>
          <w:szCs w:val="24"/>
        </w:rPr>
        <w:t>For VT-IPD, the mean incidence pre-PCV</w:t>
      </w:r>
      <w:r>
        <w:rPr>
          <w:rFonts w:asciiTheme="majorBidi" w:hAnsiTheme="majorBidi" w:cstheme="majorBidi"/>
          <w:sz w:val="24"/>
          <w:szCs w:val="24"/>
        </w:rPr>
        <w:t>13</w:t>
      </w:r>
      <w:r w:rsidRPr="009C4B71">
        <w:rPr>
          <w:rFonts w:asciiTheme="majorBidi" w:hAnsiTheme="majorBidi" w:cstheme="majorBidi"/>
          <w:sz w:val="24"/>
          <w:szCs w:val="24"/>
        </w:rPr>
        <w:t xml:space="preserve"> was 148 </w:t>
      </w:r>
      <w:r w:rsidRPr="00233427">
        <w:rPr>
          <w:rFonts w:asciiTheme="majorBidi" w:hAnsiTheme="majorBidi" w:cstheme="majorBidi"/>
          <w:sz w:val="24"/>
          <w:szCs w:val="24"/>
        </w:rPr>
        <w:t>(11</w:t>
      </w:r>
      <w:r>
        <w:rPr>
          <w:rFonts w:asciiTheme="majorBidi" w:hAnsiTheme="majorBidi" w:cstheme="majorBidi"/>
          <w:sz w:val="24"/>
          <w:szCs w:val="24"/>
        </w:rPr>
        <w:t>6</w:t>
      </w:r>
      <w:r w:rsidRPr="00233427">
        <w:rPr>
          <w:rFonts w:asciiTheme="majorBidi" w:hAnsiTheme="majorBidi" w:cstheme="majorBidi"/>
          <w:sz w:val="24"/>
          <w:szCs w:val="24"/>
        </w:rPr>
        <w:t>-1</w:t>
      </w:r>
      <w:r>
        <w:rPr>
          <w:rFonts w:asciiTheme="majorBidi" w:hAnsiTheme="majorBidi" w:cstheme="majorBidi"/>
          <w:sz w:val="24"/>
          <w:szCs w:val="24"/>
        </w:rPr>
        <w:t>7</w:t>
      </w:r>
      <w:r w:rsidRPr="00233427">
        <w:rPr>
          <w:rFonts w:asciiTheme="majorBidi" w:hAnsiTheme="majorBidi" w:cstheme="majorBidi"/>
          <w:sz w:val="24"/>
          <w:szCs w:val="24"/>
        </w:rPr>
        <w:t>9)</w:t>
      </w:r>
      <w:r>
        <w:rPr>
          <w:rFonts w:asciiTheme="majorBidi" w:hAnsiTheme="majorBidi" w:cstheme="majorBidi"/>
          <w:sz w:val="24"/>
          <w:szCs w:val="24"/>
        </w:rPr>
        <w:t xml:space="preserve"> </w:t>
      </w:r>
      <w:r w:rsidRPr="009C4B71">
        <w:rPr>
          <w:rFonts w:asciiTheme="majorBidi" w:hAnsiTheme="majorBidi" w:cstheme="majorBidi"/>
          <w:sz w:val="24"/>
          <w:szCs w:val="24"/>
        </w:rPr>
        <w:t xml:space="preserve">per 100,000 </w:t>
      </w:r>
      <w:r w:rsidRPr="00280093">
        <w:rPr>
          <w:rFonts w:asciiTheme="majorBidi" w:hAnsiTheme="majorBidi" w:cstheme="majorBidi"/>
          <w:sz w:val="24"/>
          <w:szCs w:val="24"/>
        </w:rPr>
        <w:t xml:space="preserve">versus 36 </w:t>
      </w:r>
      <w:r w:rsidRPr="00233427">
        <w:rPr>
          <w:rFonts w:asciiTheme="majorBidi" w:hAnsiTheme="majorBidi" w:cstheme="majorBidi"/>
          <w:sz w:val="24"/>
          <w:szCs w:val="24"/>
        </w:rPr>
        <w:t>(</w:t>
      </w:r>
      <w:r>
        <w:rPr>
          <w:rFonts w:asciiTheme="majorBidi" w:hAnsiTheme="majorBidi" w:cstheme="majorBidi"/>
          <w:sz w:val="24"/>
          <w:szCs w:val="24"/>
        </w:rPr>
        <w:t>18</w:t>
      </w:r>
      <w:r w:rsidRPr="00233427">
        <w:rPr>
          <w:rFonts w:asciiTheme="majorBidi" w:hAnsiTheme="majorBidi" w:cstheme="majorBidi"/>
          <w:sz w:val="24"/>
          <w:szCs w:val="24"/>
        </w:rPr>
        <w:t>-</w:t>
      </w:r>
      <w:r>
        <w:rPr>
          <w:rFonts w:asciiTheme="majorBidi" w:hAnsiTheme="majorBidi" w:cstheme="majorBidi"/>
          <w:sz w:val="24"/>
          <w:szCs w:val="24"/>
        </w:rPr>
        <w:t>57</w:t>
      </w:r>
      <w:r w:rsidRPr="00233427">
        <w:rPr>
          <w:rFonts w:asciiTheme="majorBidi" w:hAnsiTheme="majorBidi" w:cstheme="majorBidi"/>
          <w:sz w:val="24"/>
          <w:szCs w:val="24"/>
        </w:rPr>
        <w:t>)</w:t>
      </w:r>
      <w:r>
        <w:rPr>
          <w:rFonts w:asciiTheme="majorBidi" w:hAnsiTheme="majorBidi" w:cstheme="majorBidi"/>
          <w:sz w:val="24"/>
          <w:szCs w:val="24"/>
        </w:rPr>
        <w:t xml:space="preserve"> </w:t>
      </w:r>
      <w:r w:rsidRPr="009C4B71">
        <w:rPr>
          <w:rFonts w:asciiTheme="majorBidi" w:hAnsiTheme="majorBidi" w:cstheme="majorBidi"/>
          <w:sz w:val="24"/>
          <w:szCs w:val="24"/>
        </w:rPr>
        <w:t>per 100,000 infants &lt;90 days old in the post-PCV</w:t>
      </w:r>
      <w:r>
        <w:rPr>
          <w:rFonts w:asciiTheme="majorBidi" w:hAnsiTheme="majorBidi" w:cstheme="majorBidi"/>
          <w:sz w:val="24"/>
          <w:szCs w:val="24"/>
        </w:rPr>
        <w:t>13</w:t>
      </w:r>
      <w:r w:rsidRPr="009C4B71">
        <w:rPr>
          <w:rFonts w:asciiTheme="majorBidi" w:hAnsiTheme="majorBidi" w:cstheme="majorBidi"/>
          <w:sz w:val="24"/>
          <w:szCs w:val="24"/>
        </w:rPr>
        <w:t xml:space="preserve"> period. And for NVT-IPD the mean incidence pre-PCV</w:t>
      </w:r>
      <w:r>
        <w:rPr>
          <w:rFonts w:asciiTheme="majorBidi" w:hAnsiTheme="majorBidi" w:cstheme="majorBidi"/>
          <w:sz w:val="24"/>
          <w:szCs w:val="24"/>
        </w:rPr>
        <w:t>13</w:t>
      </w:r>
      <w:r w:rsidRPr="009C4B71">
        <w:rPr>
          <w:rFonts w:asciiTheme="majorBidi" w:hAnsiTheme="majorBidi" w:cstheme="majorBidi"/>
          <w:sz w:val="24"/>
          <w:szCs w:val="24"/>
        </w:rPr>
        <w:t xml:space="preserve"> was 58 </w:t>
      </w:r>
      <w:r w:rsidRPr="00C40F6B">
        <w:rPr>
          <w:rFonts w:asciiTheme="majorBidi" w:hAnsiTheme="majorBidi" w:cstheme="majorBidi"/>
          <w:sz w:val="24"/>
          <w:szCs w:val="24"/>
        </w:rPr>
        <w:t>(</w:t>
      </w:r>
      <w:r>
        <w:rPr>
          <w:rFonts w:asciiTheme="majorBidi" w:hAnsiTheme="majorBidi" w:cstheme="majorBidi"/>
          <w:sz w:val="24"/>
          <w:szCs w:val="24"/>
        </w:rPr>
        <w:t>35</w:t>
      </w:r>
      <w:r w:rsidRPr="00C40F6B">
        <w:rPr>
          <w:rFonts w:asciiTheme="majorBidi" w:hAnsiTheme="majorBidi" w:cstheme="majorBidi"/>
          <w:sz w:val="24"/>
          <w:szCs w:val="24"/>
        </w:rPr>
        <w:t>-</w:t>
      </w:r>
      <w:r>
        <w:rPr>
          <w:rFonts w:asciiTheme="majorBidi" w:hAnsiTheme="majorBidi" w:cstheme="majorBidi"/>
          <w:sz w:val="24"/>
          <w:szCs w:val="24"/>
        </w:rPr>
        <w:t>84</w:t>
      </w:r>
      <w:r w:rsidRPr="00C40F6B">
        <w:rPr>
          <w:rFonts w:asciiTheme="majorBidi" w:hAnsiTheme="majorBidi" w:cstheme="majorBidi"/>
          <w:sz w:val="24"/>
          <w:szCs w:val="24"/>
        </w:rPr>
        <w:t>)</w:t>
      </w:r>
      <w:r>
        <w:rPr>
          <w:rFonts w:asciiTheme="majorBidi" w:hAnsiTheme="majorBidi" w:cstheme="majorBidi"/>
          <w:sz w:val="24"/>
          <w:szCs w:val="24"/>
        </w:rPr>
        <w:t xml:space="preserve"> </w:t>
      </w:r>
      <w:r w:rsidRPr="009C4B71">
        <w:rPr>
          <w:rFonts w:asciiTheme="majorBidi" w:hAnsiTheme="majorBidi" w:cstheme="majorBidi"/>
          <w:sz w:val="24"/>
          <w:szCs w:val="24"/>
        </w:rPr>
        <w:t>per 100,000</w:t>
      </w:r>
      <w:r w:rsidRPr="00C40F6B">
        <w:rPr>
          <w:rFonts w:asciiTheme="majorBidi" w:hAnsiTheme="majorBidi" w:cstheme="majorBidi"/>
          <w:sz w:val="24"/>
          <w:szCs w:val="24"/>
        </w:rPr>
        <w:t xml:space="preserve"> </w:t>
      </w:r>
      <w:r w:rsidRPr="009C4B71">
        <w:rPr>
          <w:rFonts w:asciiTheme="majorBidi" w:hAnsiTheme="majorBidi" w:cstheme="majorBidi"/>
          <w:sz w:val="24"/>
          <w:szCs w:val="24"/>
        </w:rPr>
        <w:t xml:space="preserve">infants &lt;90days old versus 27 </w:t>
      </w:r>
      <w:r w:rsidRPr="00C40F6B">
        <w:rPr>
          <w:rFonts w:asciiTheme="majorBidi" w:hAnsiTheme="majorBidi" w:cstheme="majorBidi"/>
          <w:sz w:val="24"/>
          <w:szCs w:val="24"/>
        </w:rPr>
        <w:t>(</w:t>
      </w:r>
      <w:r>
        <w:rPr>
          <w:rFonts w:asciiTheme="majorBidi" w:hAnsiTheme="majorBidi" w:cstheme="majorBidi"/>
          <w:sz w:val="24"/>
          <w:szCs w:val="24"/>
        </w:rPr>
        <w:t>11</w:t>
      </w:r>
      <w:r w:rsidRPr="00C40F6B">
        <w:rPr>
          <w:rFonts w:asciiTheme="majorBidi" w:hAnsiTheme="majorBidi" w:cstheme="majorBidi"/>
          <w:sz w:val="24"/>
          <w:szCs w:val="24"/>
        </w:rPr>
        <w:t>-</w:t>
      </w:r>
      <w:r>
        <w:rPr>
          <w:rFonts w:asciiTheme="majorBidi" w:hAnsiTheme="majorBidi" w:cstheme="majorBidi"/>
          <w:sz w:val="24"/>
          <w:szCs w:val="24"/>
        </w:rPr>
        <w:t>49</w:t>
      </w:r>
      <w:r w:rsidRPr="00C40F6B">
        <w:rPr>
          <w:rFonts w:asciiTheme="majorBidi" w:hAnsiTheme="majorBidi" w:cstheme="majorBidi"/>
          <w:sz w:val="24"/>
          <w:szCs w:val="24"/>
        </w:rPr>
        <w:t>)</w:t>
      </w:r>
      <w:r>
        <w:rPr>
          <w:rFonts w:asciiTheme="majorBidi" w:hAnsiTheme="majorBidi" w:cstheme="majorBidi"/>
          <w:sz w:val="24"/>
          <w:szCs w:val="24"/>
        </w:rPr>
        <w:t xml:space="preserve"> </w:t>
      </w:r>
      <w:r w:rsidRPr="009C4B71">
        <w:rPr>
          <w:rFonts w:asciiTheme="majorBidi" w:hAnsiTheme="majorBidi" w:cstheme="majorBidi"/>
          <w:sz w:val="24"/>
          <w:szCs w:val="24"/>
        </w:rPr>
        <w:t>per 100,000 infants &lt;90 days old in the post-</w:t>
      </w:r>
      <w:r w:rsidRPr="009C4B71">
        <w:rPr>
          <w:rFonts w:asciiTheme="majorBidi" w:hAnsiTheme="majorBidi" w:cstheme="majorBidi"/>
          <w:sz w:val="24"/>
          <w:szCs w:val="24"/>
        </w:rPr>
        <w:lastRenderedPageBreak/>
        <w:t>PCV</w:t>
      </w:r>
      <w:r>
        <w:rPr>
          <w:rFonts w:asciiTheme="majorBidi" w:hAnsiTheme="majorBidi" w:cstheme="majorBidi"/>
          <w:sz w:val="24"/>
          <w:szCs w:val="24"/>
        </w:rPr>
        <w:t>13</w:t>
      </w:r>
      <w:r w:rsidRPr="009C4B71">
        <w:rPr>
          <w:rFonts w:asciiTheme="majorBidi" w:hAnsiTheme="majorBidi" w:cstheme="majorBidi"/>
          <w:sz w:val="24"/>
          <w:szCs w:val="24"/>
        </w:rPr>
        <w:t xml:space="preserve"> period.</w:t>
      </w:r>
      <w:r w:rsidRPr="0068037B">
        <w:rPr>
          <w:rFonts w:asciiTheme="majorBidi" w:hAnsiTheme="majorBidi" w:cstheme="majorBidi"/>
          <w:sz w:val="24"/>
          <w:szCs w:val="24"/>
        </w:rPr>
        <w:t xml:space="preserve"> </w:t>
      </w:r>
      <w:bookmarkStart w:id="1" w:name="_Hlk76479174"/>
      <w:r w:rsidRPr="00741555">
        <w:rPr>
          <w:rFonts w:asciiTheme="majorBidi" w:hAnsiTheme="majorBidi" w:cstheme="majorBidi"/>
          <w:sz w:val="24"/>
          <w:szCs w:val="24"/>
        </w:rPr>
        <w:t>The overall reduction in total IPD incidence among infants &lt;90 days of age</w:t>
      </w:r>
      <w:r>
        <w:rPr>
          <w:rFonts w:asciiTheme="majorBidi" w:hAnsiTheme="majorBidi" w:cstheme="majorBidi"/>
          <w:sz w:val="24"/>
          <w:szCs w:val="24"/>
        </w:rPr>
        <w:t xml:space="preserve"> from 2005-2018 </w:t>
      </w:r>
      <w:r w:rsidRPr="00741555">
        <w:rPr>
          <w:rFonts w:asciiTheme="majorBidi" w:hAnsiTheme="majorBidi" w:cstheme="majorBidi"/>
          <w:sz w:val="24"/>
          <w:szCs w:val="24"/>
        </w:rPr>
        <w:t>was 12% per year (IRR 0</w:t>
      </w:r>
      <w:r>
        <w:rPr>
          <w:rFonts w:asciiTheme="majorBidi" w:hAnsiTheme="majorBidi" w:cstheme="majorBidi"/>
          <w:sz w:val="24"/>
          <w:szCs w:val="24"/>
        </w:rPr>
        <w:t>.</w:t>
      </w:r>
      <w:r w:rsidRPr="00741555">
        <w:rPr>
          <w:rFonts w:asciiTheme="majorBidi" w:hAnsiTheme="majorBidi" w:cstheme="majorBidi"/>
          <w:sz w:val="24"/>
          <w:szCs w:val="24"/>
        </w:rPr>
        <w:t>88, 95% CI 0</w:t>
      </w:r>
      <w:r>
        <w:rPr>
          <w:rFonts w:asciiTheme="majorBidi" w:hAnsiTheme="majorBidi" w:cstheme="majorBidi"/>
          <w:sz w:val="24"/>
          <w:szCs w:val="24"/>
        </w:rPr>
        <w:t>.</w:t>
      </w:r>
      <w:r w:rsidRPr="00741555">
        <w:rPr>
          <w:rFonts w:asciiTheme="majorBidi" w:hAnsiTheme="majorBidi" w:cstheme="majorBidi"/>
          <w:sz w:val="24"/>
          <w:szCs w:val="24"/>
        </w:rPr>
        <w:t>86–0</w:t>
      </w:r>
      <w:r>
        <w:rPr>
          <w:rFonts w:asciiTheme="majorBidi" w:hAnsiTheme="majorBidi" w:cstheme="majorBidi"/>
          <w:sz w:val="24"/>
          <w:szCs w:val="24"/>
        </w:rPr>
        <w:t>.</w:t>
      </w:r>
      <w:r w:rsidRPr="00741555">
        <w:rPr>
          <w:rFonts w:asciiTheme="majorBidi" w:hAnsiTheme="majorBidi" w:cstheme="majorBidi"/>
          <w:sz w:val="24"/>
          <w:szCs w:val="24"/>
        </w:rPr>
        <w:t xml:space="preserve">90; p&lt;0·001). For the </w:t>
      </w:r>
      <w:r>
        <w:rPr>
          <w:rFonts w:asciiTheme="majorBidi" w:hAnsiTheme="majorBidi" w:cstheme="majorBidi"/>
          <w:sz w:val="24"/>
          <w:szCs w:val="24"/>
        </w:rPr>
        <w:t xml:space="preserve">years following </w:t>
      </w:r>
      <w:r w:rsidRPr="00741555">
        <w:rPr>
          <w:rFonts w:asciiTheme="majorBidi" w:hAnsiTheme="majorBidi" w:cstheme="majorBidi"/>
          <w:sz w:val="24"/>
          <w:szCs w:val="24"/>
        </w:rPr>
        <w:t>PCV</w:t>
      </w:r>
      <w:r>
        <w:rPr>
          <w:rFonts w:asciiTheme="majorBidi" w:hAnsiTheme="majorBidi" w:cstheme="majorBidi"/>
          <w:sz w:val="24"/>
          <w:szCs w:val="24"/>
        </w:rPr>
        <w:t>13</w:t>
      </w:r>
      <w:r w:rsidRPr="00741555">
        <w:rPr>
          <w:rFonts w:asciiTheme="majorBidi" w:hAnsiTheme="majorBidi" w:cstheme="majorBidi"/>
          <w:sz w:val="24"/>
          <w:szCs w:val="24"/>
        </w:rPr>
        <w:t xml:space="preserve"> </w:t>
      </w:r>
      <w:r>
        <w:rPr>
          <w:rFonts w:asciiTheme="majorBidi" w:hAnsiTheme="majorBidi" w:cstheme="majorBidi"/>
          <w:sz w:val="24"/>
          <w:szCs w:val="24"/>
        </w:rPr>
        <w:t xml:space="preserve">introduction (2012-2018) </w:t>
      </w:r>
      <w:r w:rsidRPr="00741555">
        <w:rPr>
          <w:rFonts w:asciiTheme="majorBidi" w:hAnsiTheme="majorBidi" w:cstheme="majorBidi"/>
          <w:sz w:val="24"/>
          <w:szCs w:val="24"/>
        </w:rPr>
        <w:t xml:space="preserve">there was a significant and further reduction of 46% (IRR 0.54, </w:t>
      </w:r>
      <w:r>
        <w:rPr>
          <w:rFonts w:asciiTheme="majorBidi" w:hAnsiTheme="majorBidi" w:cstheme="majorBidi"/>
          <w:sz w:val="24"/>
          <w:szCs w:val="24"/>
        </w:rPr>
        <w:t xml:space="preserve">95%CI </w:t>
      </w:r>
      <w:r w:rsidRPr="00741555">
        <w:rPr>
          <w:rFonts w:asciiTheme="majorBidi" w:hAnsiTheme="majorBidi" w:cstheme="majorBidi"/>
          <w:sz w:val="24"/>
          <w:szCs w:val="24"/>
        </w:rPr>
        <w:t>0.460.64; p&lt;0.001).</w:t>
      </w:r>
    </w:p>
    <w:bookmarkEnd w:id="1"/>
    <w:p w14:paraId="75B991E7" w14:textId="77777777" w:rsidR="00FE10EE" w:rsidRPr="00475944" w:rsidRDefault="00FE10EE" w:rsidP="00FE10EE">
      <w:pPr>
        <w:pStyle w:val="Heading1"/>
        <w:spacing w:line="480" w:lineRule="auto"/>
        <w:rPr>
          <w:rFonts w:asciiTheme="majorBidi" w:hAnsiTheme="majorBidi"/>
          <w:color w:val="auto"/>
          <w:sz w:val="32"/>
          <w:szCs w:val="32"/>
        </w:rPr>
      </w:pPr>
      <w:r w:rsidRPr="00475944">
        <w:rPr>
          <w:rFonts w:asciiTheme="majorBidi" w:hAnsiTheme="majorBidi"/>
          <w:color w:val="auto"/>
          <w:sz w:val="32"/>
          <w:szCs w:val="32"/>
        </w:rPr>
        <w:t>Discussion</w:t>
      </w:r>
    </w:p>
    <w:p w14:paraId="6B1F3D8E" w14:textId="77777777" w:rsidR="00FE10EE" w:rsidRPr="00314A76" w:rsidRDefault="00FE10EE" w:rsidP="00FE10EE">
      <w:pPr>
        <w:spacing w:line="480" w:lineRule="auto"/>
        <w:jc w:val="both"/>
        <w:rPr>
          <w:rFonts w:asciiTheme="majorBidi" w:hAnsiTheme="majorBidi" w:cstheme="majorBidi"/>
          <w:sz w:val="24"/>
          <w:szCs w:val="24"/>
        </w:rPr>
      </w:pPr>
      <w:r w:rsidRPr="002F1351">
        <w:rPr>
          <w:rFonts w:asciiTheme="majorBidi" w:hAnsiTheme="majorBidi" w:cstheme="majorBidi"/>
          <w:sz w:val="24"/>
          <w:szCs w:val="24"/>
        </w:rPr>
        <w:t xml:space="preserve">In this low-income sub-Saharan African population with a high burden of disease, in which invasive pneumococcal disease incidence was already decreasing, we used robust long-term hospital-based surveillance to show a </w:t>
      </w:r>
      <w:r>
        <w:rPr>
          <w:rFonts w:asciiTheme="majorBidi" w:hAnsiTheme="majorBidi" w:cstheme="majorBidi"/>
          <w:sz w:val="24"/>
          <w:szCs w:val="24"/>
        </w:rPr>
        <w:t>continued</w:t>
      </w:r>
      <w:r w:rsidRPr="002F1351">
        <w:rPr>
          <w:rFonts w:asciiTheme="majorBidi" w:hAnsiTheme="majorBidi" w:cstheme="majorBidi"/>
          <w:sz w:val="24"/>
          <w:szCs w:val="24"/>
        </w:rPr>
        <w:t xml:space="preserve"> reduction in the incidence of </w:t>
      </w:r>
      <w:r>
        <w:rPr>
          <w:rFonts w:asciiTheme="majorBidi" w:hAnsiTheme="majorBidi" w:cstheme="majorBidi"/>
          <w:sz w:val="24"/>
          <w:szCs w:val="24"/>
        </w:rPr>
        <w:t xml:space="preserve">VT-IPD </w:t>
      </w:r>
      <w:r w:rsidRPr="002F1351">
        <w:rPr>
          <w:rFonts w:asciiTheme="majorBidi" w:hAnsiTheme="majorBidi" w:cstheme="majorBidi"/>
          <w:sz w:val="24"/>
          <w:szCs w:val="24"/>
        </w:rPr>
        <w:t xml:space="preserve">among children </w:t>
      </w:r>
      <w:r>
        <w:rPr>
          <w:rFonts w:asciiTheme="majorBidi" w:hAnsiTheme="majorBidi" w:cstheme="majorBidi"/>
          <w:sz w:val="24"/>
          <w:szCs w:val="24"/>
        </w:rPr>
        <w:t xml:space="preserve">aged &lt;90 days </w:t>
      </w:r>
      <w:r w:rsidRPr="002F1351">
        <w:rPr>
          <w:rFonts w:asciiTheme="majorBidi" w:hAnsiTheme="majorBidi" w:cstheme="majorBidi"/>
          <w:sz w:val="24"/>
          <w:szCs w:val="24"/>
        </w:rPr>
        <w:t>following introduction of PCV13.</w:t>
      </w:r>
      <w:r>
        <w:rPr>
          <w:rFonts w:asciiTheme="majorBidi" w:hAnsiTheme="majorBidi" w:cstheme="majorBidi"/>
          <w:sz w:val="24"/>
          <w:szCs w:val="24"/>
        </w:rPr>
        <w:t xml:space="preserve"> However, our </w:t>
      </w:r>
      <w:r w:rsidRPr="00314A76">
        <w:rPr>
          <w:rFonts w:asciiTheme="majorBidi" w:hAnsiTheme="majorBidi" w:cstheme="majorBidi"/>
          <w:sz w:val="24"/>
          <w:szCs w:val="24"/>
        </w:rPr>
        <w:t xml:space="preserve">results </w:t>
      </w:r>
      <w:r>
        <w:rPr>
          <w:rFonts w:asciiTheme="majorBidi" w:hAnsiTheme="majorBidi" w:cstheme="majorBidi"/>
          <w:sz w:val="24"/>
          <w:szCs w:val="24"/>
        </w:rPr>
        <w:t xml:space="preserve">also </w:t>
      </w:r>
      <w:r w:rsidRPr="00314A76">
        <w:rPr>
          <w:rFonts w:asciiTheme="majorBidi" w:hAnsiTheme="majorBidi" w:cstheme="majorBidi"/>
          <w:sz w:val="24"/>
          <w:szCs w:val="24"/>
        </w:rPr>
        <w:t xml:space="preserve">show that </w:t>
      </w:r>
      <w:r w:rsidRPr="00314A76">
        <w:rPr>
          <w:rFonts w:asciiTheme="majorBidi" w:hAnsiTheme="majorBidi" w:cstheme="majorBidi"/>
          <w:i/>
          <w:iCs/>
          <w:sz w:val="24"/>
          <w:szCs w:val="24"/>
        </w:rPr>
        <w:t>Streptococcus</w:t>
      </w:r>
      <w:r w:rsidRPr="00314A76">
        <w:rPr>
          <w:rFonts w:asciiTheme="majorBidi" w:hAnsiTheme="majorBidi" w:cstheme="majorBidi"/>
          <w:sz w:val="24"/>
          <w:szCs w:val="24"/>
        </w:rPr>
        <w:t xml:space="preserve"> </w:t>
      </w:r>
      <w:r w:rsidRPr="00314A76">
        <w:rPr>
          <w:rFonts w:asciiTheme="majorBidi" w:hAnsiTheme="majorBidi" w:cstheme="majorBidi"/>
          <w:i/>
          <w:iCs/>
          <w:sz w:val="24"/>
          <w:szCs w:val="24"/>
        </w:rPr>
        <w:t>pneumoniae</w:t>
      </w:r>
      <w:r w:rsidRPr="00314A76">
        <w:rPr>
          <w:rFonts w:asciiTheme="majorBidi" w:hAnsiTheme="majorBidi" w:cstheme="majorBidi"/>
          <w:sz w:val="24"/>
          <w:szCs w:val="24"/>
        </w:rPr>
        <w:t xml:space="preserve"> remains an important pathogen in causing </w:t>
      </w:r>
      <w:r>
        <w:rPr>
          <w:rFonts w:asciiTheme="majorBidi" w:hAnsiTheme="majorBidi" w:cstheme="majorBidi"/>
          <w:sz w:val="24"/>
          <w:szCs w:val="24"/>
        </w:rPr>
        <w:t xml:space="preserve">bacteraemia </w:t>
      </w:r>
      <w:r w:rsidRPr="00314A76">
        <w:rPr>
          <w:rFonts w:asciiTheme="majorBidi" w:hAnsiTheme="majorBidi" w:cstheme="majorBidi"/>
          <w:sz w:val="24"/>
          <w:szCs w:val="24"/>
        </w:rPr>
        <w:t xml:space="preserve">and meningitis in neonates and young infants in Blantyre, Malawi. </w:t>
      </w:r>
    </w:p>
    <w:p w14:paraId="28896D7E" w14:textId="77777777" w:rsidR="00FE10EE" w:rsidRPr="00314A76" w:rsidRDefault="00FE10EE" w:rsidP="00FE10EE">
      <w:pPr>
        <w:spacing w:line="480" w:lineRule="auto"/>
        <w:jc w:val="both"/>
        <w:rPr>
          <w:rFonts w:asciiTheme="majorBidi" w:hAnsiTheme="majorBidi" w:cstheme="majorBidi"/>
          <w:bCs/>
          <w:sz w:val="24"/>
          <w:szCs w:val="24"/>
        </w:rPr>
      </w:pPr>
      <w:r w:rsidRPr="00314A76">
        <w:rPr>
          <w:rFonts w:asciiTheme="majorBidi" w:hAnsiTheme="majorBidi" w:cstheme="majorBidi"/>
          <w:bCs/>
          <w:sz w:val="24"/>
          <w:szCs w:val="24"/>
        </w:rPr>
        <w:lastRenderedPageBreak/>
        <w:t xml:space="preserve">The </w:t>
      </w:r>
      <w:r>
        <w:rPr>
          <w:rFonts w:asciiTheme="majorBidi" w:hAnsiTheme="majorBidi" w:cstheme="majorBidi"/>
          <w:bCs/>
          <w:sz w:val="24"/>
          <w:szCs w:val="24"/>
        </w:rPr>
        <w:t xml:space="preserve">7-valent </w:t>
      </w:r>
      <w:r w:rsidRPr="00314A76">
        <w:rPr>
          <w:rFonts w:asciiTheme="majorBidi" w:hAnsiTheme="majorBidi" w:cstheme="majorBidi"/>
          <w:bCs/>
          <w:sz w:val="24"/>
          <w:szCs w:val="24"/>
        </w:rPr>
        <w:t>pneumococcal conjugate vaccine</w:t>
      </w:r>
      <w:r>
        <w:rPr>
          <w:rFonts w:asciiTheme="majorBidi" w:hAnsiTheme="majorBidi" w:cstheme="majorBidi"/>
          <w:bCs/>
          <w:sz w:val="24"/>
          <w:szCs w:val="24"/>
        </w:rPr>
        <w:t xml:space="preserve"> </w:t>
      </w:r>
      <w:r w:rsidRPr="00314A76">
        <w:rPr>
          <w:rFonts w:asciiTheme="majorBidi" w:hAnsiTheme="majorBidi" w:cstheme="majorBidi"/>
          <w:bCs/>
          <w:sz w:val="24"/>
          <w:szCs w:val="24"/>
        </w:rPr>
        <w:t xml:space="preserve">was </w:t>
      </w:r>
      <w:bookmarkStart w:id="2" w:name="_Hlk75091472"/>
      <w:r w:rsidRPr="00314A76">
        <w:rPr>
          <w:rFonts w:asciiTheme="majorBidi" w:hAnsiTheme="majorBidi" w:cstheme="majorBidi"/>
          <w:bCs/>
          <w:sz w:val="24"/>
          <w:szCs w:val="24"/>
        </w:rPr>
        <w:t>first introduced in the United States</w:t>
      </w:r>
      <w:r>
        <w:rPr>
          <w:rFonts w:asciiTheme="majorBidi" w:hAnsiTheme="majorBidi" w:cstheme="majorBidi"/>
          <w:bCs/>
          <w:sz w:val="24"/>
          <w:szCs w:val="24"/>
        </w:rPr>
        <w:t xml:space="preserve"> (US)</w:t>
      </w:r>
      <w:r w:rsidRPr="00314A76">
        <w:rPr>
          <w:rFonts w:asciiTheme="majorBidi" w:hAnsiTheme="majorBidi" w:cstheme="majorBidi"/>
          <w:bCs/>
          <w:sz w:val="24"/>
          <w:szCs w:val="24"/>
        </w:rPr>
        <w:t xml:space="preserve"> in 2000 and resulted in </w:t>
      </w:r>
      <w:r>
        <w:rPr>
          <w:rFonts w:asciiTheme="majorBidi" w:hAnsiTheme="majorBidi" w:cstheme="majorBidi"/>
          <w:bCs/>
          <w:sz w:val="24"/>
          <w:szCs w:val="24"/>
        </w:rPr>
        <w:t xml:space="preserve">a 76% decline in overall </w:t>
      </w:r>
      <w:r w:rsidRPr="00314A76">
        <w:rPr>
          <w:rFonts w:asciiTheme="majorBidi" w:hAnsiTheme="majorBidi" w:cstheme="majorBidi"/>
          <w:bCs/>
          <w:sz w:val="24"/>
          <w:szCs w:val="24"/>
        </w:rPr>
        <w:t>IPD</w:t>
      </w:r>
      <w:r>
        <w:rPr>
          <w:rFonts w:asciiTheme="majorBidi" w:hAnsiTheme="majorBidi" w:cstheme="majorBidi"/>
          <w:bCs/>
          <w:sz w:val="24"/>
          <w:szCs w:val="24"/>
        </w:rPr>
        <w:t xml:space="preserve"> incidence for children &lt;5 years </w:t>
      </w:r>
      <w:bookmarkEnd w:id="2"/>
      <w:r>
        <w:rPr>
          <w:rFonts w:asciiTheme="majorBidi" w:hAnsiTheme="majorBidi" w:cstheme="majorBidi"/>
          <w:bCs/>
          <w:noProof/>
          <w:sz w:val="24"/>
          <w:szCs w:val="24"/>
        </w:rPr>
        <w:t>(21)</w:t>
      </w:r>
      <w:r w:rsidRPr="00314A76">
        <w:rPr>
          <w:rFonts w:asciiTheme="majorBidi" w:hAnsiTheme="majorBidi" w:cstheme="majorBidi"/>
          <w:bCs/>
          <w:sz w:val="24"/>
          <w:szCs w:val="24"/>
        </w:rPr>
        <w:t>.</w:t>
      </w:r>
      <w:r w:rsidRPr="00314A76">
        <w:rPr>
          <w:rFonts w:asciiTheme="majorBidi" w:hAnsiTheme="majorBidi" w:cstheme="majorBidi"/>
          <w:sz w:val="24"/>
          <w:szCs w:val="24"/>
          <w:lang w:val="en-US"/>
        </w:rPr>
        <w:t xml:space="preserve"> </w:t>
      </w:r>
      <w:r w:rsidRPr="00314A76">
        <w:rPr>
          <w:rFonts w:asciiTheme="majorBidi" w:hAnsiTheme="majorBidi" w:cstheme="majorBidi"/>
          <w:bCs/>
          <w:sz w:val="24"/>
          <w:szCs w:val="24"/>
        </w:rPr>
        <w:t>Several studies in</w:t>
      </w:r>
      <w:r>
        <w:rPr>
          <w:rFonts w:asciiTheme="majorBidi" w:hAnsiTheme="majorBidi" w:cstheme="majorBidi"/>
          <w:bCs/>
          <w:sz w:val="24"/>
          <w:szCs w:val="24"/>
        </w:rPr>
        <w:t xml:space="preserve"> other</w:t>
      </w:r>
      <w:r w:rsidRPr="00314A76">
        <w:rPr>
          <w:rFonts w:asciiTheme="majorBidi" w:hAnsiTheme="majorBidi" w:cstheme="majorBidi"/>
          <w:bCs/>
          <w:sz w:val="24"/>
          <w:szCs w:val="24"/>
        </w:rPr>
        <w:t xml:space="preserve"> </w:t>
      </w:r>
      <w:r>
        <w:rPr>
          <w:rFonts w:asciiTheme="majorBidi" w:hAnsiTheme="majorBidi" w:cstheme="majorBidi"/>
          <w:bCs/>
          <w:sz w:val="24"/>
          <w:szCs w:val="24"/>
        </w:rPr>
        <w:t xml:space="preserve">high-income settings </w:t>
      </w:r>
      <w:r w:rsidRPr="00314A76">
        <w:rPr>
          <w:rFonts w:asciiTheme="majorBidi" w:hAnsiTheme="majorBidi" w:cstheme="majorBidi"/>
          <w:bCs/>
          <w:sz w:val="24"/>
          <w:szCs w:val="24"/>
        </w:rPr>
        <w:t xml:space="preserve">have </w:t>
      </w:r>
      <w:r>
        <w:rPr>
          <w:rFonts w:asciiTheme="majorBidi" w:hAnsiTheme="majorBidi" w:cstheme="majorBidi"/>
          <w:bCs/>
          <w:sz w:val="24"/>
          <w:szCs w:val="24"/>
        </w:rPr>
        <w:t xml:space="preserve">also reported significant </w:t>
      </w:r>
      <w:r w:rsidRPr="00314A76">
        <w:rPr>
          <w:rFonts w:asciiTheme="majorBidi" w:hAnsiTheme="majorBidi" w:cstheme="majorBidi"/>
          <w:bCs/>
          <w:sz w:val="24"/>
          <w:szCs w:val="24"/>
        </w:rPr>
        <w:t xml:space="preserve">reductions in IPD in neonates and young </w:t>
      </w:r>
      <w:r>
        <w:rPr>
          <w:rFonts w:asciiTheme="majorBidi" w:hAnsiTheme="majorBidi" w:cstheme="majorBidi"/>
          <w:bCs/>
          <w:sz w:val="24"/>
          <w:szCs w:val="24"/>
        </w:rPr>
        <w:t xml:space="preserve">PCV-unvaccinated </w:t>
      </w:r>
      <w:r w:rsidRPr="00314A76">
        <w:rPr>
          <w:rFonts w:asciiTheme="majorBidi" w:hAnsiTheme="majorBidi" w:cstheme="majorBidi"/>
          <w:bCs/>
          <w:sz w:val="24"/>
          <w:szCs w:val="24"/>
        </w:rPr>
        <w:t xml:space="preserve">infants after introduction of PCV, suggesting protection through </w:t>
      </w:r>
      <w:r>
        <w:rPr>
          <w:rFonts w:asciiTheme="majorBidi" w:hAnsiTheme="majorBidi" w:cstheme="majorBidi"/>
          <w:bCs/>
          <w:sz w:val="24"/>
          <w:szCs w:val="24"/>
        </w:rPr>
        <w:t xml:space="preserve">both direct and </w:t>
      </w:r>
      <w:r w:rsidRPr="00314A76">
        <w:rPr>
          <w:rFonts w:asciiTheme="majorBidi" w:hAnsiTheme="majorBidi" w:cstheme="majorBidi"/>
          <w:bCs/>
          <w:sz w:val="24"/>
          <w:szCs w:val="24"/>
        </w:rPr>
        <w:t xml:space="preserve">indirect effects. </w:t>
      </w:r>
      <w:proofErr w:type="spellStart"/>
      <w:r w:rsidRPr="00314A76">
        <w:rPr>
          <w:rFonts w:asciiTheme="majorBidi" w:hAnsiTheme="majorBidi" w:cstheme="majorBidi"/>
          <w:sz w:val="24"/>
          <w:szCs w:val="24"/>
        </w:rPr>
        <w:t>Ladhani</w:t>
      </w:r>
      <w:proofErr w:type="spellEnd"/>
      <w:r w:rsidRPr="00314A76">
        <w:rPr>
          <w:rFonts w:asciiTheme="majorBidi" w:hAnsiTheme="majorBidi" w:cstheme="majorBidi"/>
          <w:sz w:val="24"/>
          <w:szCs w:val="24"/>
        </w:rPr>
        <w:t xml:space="preserve"> et al </w:t>
      </w:r>
      <w:r>
        <w:rPr>
          <w:rFonts w:asciiTheme="majorBidi" w:hAnsiTheme="majorBidi" w:cstheme="majorBidi"/>
          <w:noProof/>
          <w:sz w:val="24"/>
          <w:szCs w:val="24"/>
        </w:rPr>
        <w:t>(22)</w:t>
      </w:r>
      <w:r w:rsidRPr="00314A76">
        <w:rPr>
          <w:rFonts w:asciiTheme="majorBidi" w:hAnsiTheme="majorBidi" w:cstheme="majorBidi"/>
          <w:sz w:val="24"/>
          <w:szCs w:val="24"/>
        </w:rPr>
        <w:t xml:space="preserve"> showed that in England and Wales introduction of PCV7 was responsible for an 83% reduction in </w:t>
      </w:r>
      <w:r>
        <w:rPr>
          <w:rFonts w:asciiTheme="majorBidi" w:hAnsiTheme="majorBidi" w:cstheme="majorBidi"/>
          <w:sz w:val="24"/>
          <w:szCs w:val="24"/>
        </w:rPr>
        <w:t>VT-</w:t>
      </w:r>
      <w:r w:rsidRPr="00314A76">
        <w:rPr>
          <w:rFonts w:asciiTheme="majorBidi" w:hAnsiTheme="majorBidi" w:cstheme="majorBidi"/>
          <w:sz w:val="24"/>
          <w:szCs w:val="24"/>
        </w:rPr>
        <w:t>IPD in infants &lt;90 days old and a declining trend in overall IPD. Similarly</w:t>
      </w:r>
      <w:r>
        <w:rPr>
          <w:rFonts w:asciiTheme="majorBidi" w:hAnsiTheme="majorBidi" w:cstheme="majorBidi"/>
          <w:sz w:val="24"/>
          <w:szCs w:val="24"/>
        </w:rPr>
        <w:t>,</w:t>
      </w:r>
      <w:r w:rsidRPr="00314A76">
        <w:rPr>
          <w:rFonts w:asciiTheme="majorBidi" w:hAnsiTheme="majorBidi" w:cstheme="majorBidi"/>
          <w:sz w:val="24"/>
          <w:szCs w:val="24"/>
        </w:rPr>
        <w:t xml:space="preserve"> </w:t>
      </w:r>
      <w:r>
        <w:rPr>
          <w:rFonts w:asciiTheme="majorBidi" w:hAnsiTheme="majorBidi" w:cstheme="majorBidi"/>
          <w:sz w:val="24"/>
          <w:szCs w:val="24"/>
        </w:rPr>
        <w:t>studies in the US among neonates reported a 40-74% reduction in IPD after PCV7 introduction</w:t>
      </w:r>
      <w:r w:rsidRPr="00314A76">
        <w:rPr>
          <w:rFonts w:asciiTheme="majorBidi" w:hAnsiTheme="majorBidi" w:cstheme="majorBidi"/>
          <w:bCs/>
          <w:sz w:val="24"/>
          <w:szCs w:val="24"/>
        </w:rPr>
        <w:t xml:space="preserve"> </w:t>
      </w:r>
      <w:r>
        <w:rPr>
          <w:rFonts w:asciiTheme="majorBidi" w:hAnsiTheme="majorBidi" w:cstheme="majorBidi"/>
          <w:bCs/>
          <w:noProof/>
          <w:sz w:val="24"/>
          <w:szCs w:val="24"/>
        </w:rPr>
        <w:t>(23, 24)</w:t>
      </w:r>
      <w:r w:rsidRPr="00314A76">
        <w:rPr>
          <w:rFonts w:asciiTheme="majorBidi" w:hAnsiTheme="majorBidi" w:cstheme="majorBidi"/>
          <w:sz w:val="24"/>
          <w:szCs w:val="24"/>
        </w:rPr>
        <w:t xml:space="preserve">.    </w:t>
      </w:r>
    </w:p>
    <w:p w14:paraId="3B3A4CD2" w14:textId="77777777" w:rsidR="00FE10EE" w:rsidRPr="00314A76" w:rsidRDefault="00FE10EE" w:rsidP="00FE10EE">
      <w:pPr>
        <w:spacing w:line="480" w:lineRule="auto"/>
        <w:jc w:val="both"/>
        <w:rPr>
          <w:rFonts w:asciiTheme="majorBidi" w:hAnsiTheme="majorBidi" w:cstheme="majorBidi"/>
          <w:sz w:val="24"/>
          <w:szCs w:val="24"/>
        </w:rPr>
      </w:pPr>
      <w:r w:rsidRPr="00314A76">
        <w:rPr>
          <w:rFonts w:asciiTheme="majorBidi" w:hAnsiTheme="majorBidi" w:cstheme="majorBidi"/>
          <w:sz w:val="24"/>
          <w:szCs w:val="24"/>
        </w:rPr>
        <w:t xml:space="preserve">Our study shows that in Blantyre, the incidence of IPD in young infants was already declining prior to PCV13 </w:t>
      </w:r>
      <w:r>
        <w:rPr>
          <w:rFonts w:asciiTheme="majorBidi" w:hAnsiTheme="majorBidi" w:cstheme="majorBidi"/>
          <w:sz w:val="24"/>
          <w:szCs w:val="24"/>
        </w:rPr>
        <w:t xml:space="preserve">introduction on 12 </w:t>
      </w:r>
      <w:r w:rsidRPr="00314A76">
        <w:rPr>
          <w:rFonts w:asciiTheme="majorBidi" w:hAnsiTheme="majorBidi" w:cstheme="majorBidi"/>
          <w:sz w:val="24"/>
          <w:szCs w:val="24"/>
        </w:rPr>
        <w:t>November 2011,</w:t>
      </w:r>
      <w:r>
        <w:rPr>
          <w:rFonts w:asciiTheme="majorBidi" w:hAnsiTheme="majorBidi" w:cstheme="majorBidi"/>
          <w:sz w:val="24"/>
          <w:szCs w:val="24"/>
        </w:rPr>
        <w:t xml:space="preserve"> comparable to the trend of decreasing IPD reported by Bar-</w:t>
      </w:r>
      <w:proofErr w:type="spellStart"/>
      <w:r>
        <w:rPr>
          <w:rFonts w:asciiTheme="majorBidi" w:hAnsiTheme="majorBidi" w:cstheme="majorBidi"/>
          <w:sz w:val="24"/>
          <w:szCs w:val="24"/>
        </w:rPr>
        <w:t>Zeev</w:t>
      </w:r>
      <w:proofErr w:type="spellEnd"/>
      <w:r>
        <w:rPr>
          <w:rFonts w:asciiTheme="majorBidi" w:hAnsiTheme="majorBidi" w:cstheme="majorBidi"/>
          <w:sz w:val="24"/>
          <w:szCs w:val="24"/>
        </w:rPr>
        <w:t xml:space="preserve"> </w:t>
      </w:r>
      <w:r w:rsidRPr="00BD7D80">
        <w:rPr>
          <w:rFonts w:asciiTheme="majorBidi" w:hAnsiTheme="majorBidi" w:cstheme="majorBidi"/>
          <w:i/>
          <w:iCs/>
          <w:sz w:val="24"/>
          <w:szCs w:val="24"/>
        </w:rPr>
        <w:t>et al.</w:t>
      </w:r>
      <w:r>
        <w:rPr>
          <w:rFonts w:asciiTheme="majorBidi" w:hAnsiTheme="majorBidi" w:cstheme="majorBidi"/>
          <w:sz w:val="24"/>
          <w:szCs w:val="24"/>
        </w:rPr>
        <w:t xml:space="preserve"> across all age groups in Blantyre </w:t>
      </w:r>
      <w:r>
        <w:rPr>
          <w:rFonts w:asciiTheme="majorBidi" w:hAnsiTheme="majorBidi" w:cstheme="majorBidi"/>
          <w:noProof/>
          <w:sz w:val="24"/>
          <w:szCs w:val="24"/>
        </w:rPr>
        <w:t>(14)</w:t>
      </w:r>
      <w:r w:rsidRPr="00314A76">
        <w:rPr>
          <w:rFonts w:asciiTheme="majorBidi" w:hAnsiTheme="majorBidi" w:cstheme="majorBidi"/>
          <w:sz w:val="24"/>
          <w:szCs w:val="24"/>
        </w:rPr>
        <w:t xml:space="preserve">.  </w:t>
      </w:r>
      <w:r>
        <w:rPr>
          <w:rFonts w:asciiTheme="majorBidi" w:hAnsiTheme="majorBidi" w:cstheme="majorBidi"/>
          <w:sz w:val="24"/>
          <w:szCs w:val="24"/>
        </w:rPr>
        <w:t xml:space="preserve">Similar </w:t>
      </w:r>
      <w:r>
        <w:rPr>
          <w:rFonts w:asciiTheme="majorBidi" w:hAnsiTheme="majorBidi" w:cstheme="majorBidi"/>
          <w:sz w:val="24"/>
          <w:szCs w:val="24"/>
        </w:rPr>
        <w:lastRenderedPageBreak/>
        <w:t xml:space="preserve">findings were </w:t>
      </w:r>
      <w:r w:rsidRPr="00314A76">
        <w:rPr>
          <w:rFonts w:asciiTheme="majorBidi" w:hAnsiTheme="majorBidi" w:cstheme="majorBidi"/>
          <w:sz w:val="24"/>
          <w:szCs w:val="24"/>
        </w:rPr>
        <w:t xml:space="preserve">also described in a longitudinal household study of pneumococcal acquisition among infants exposed to HIV in Karonga, </w:t>
      </w:r>
      <w:r>
        <w:rPr>
          <w:rFonts w:asciiTheme="majorBidi" w:hAnsiTheme="majorBidi" w:cstheme="majorBidi"/>
          <w:sz w:val="24"/>
          <w:szCs w:val="24"/>
        </w:rPr>
        <w:t>n</w:t>
      </w:r>
      <w:r w:rsidRPr="00314A76">
        <w:rPr>
          <w:rFonts w:asciiTheme="majorBidi" w:hAnsiTheme="majorBidi" w:cstheme="majorBidi"/>
          <w:sz w:val="24"/>
          <w:szCs w:val="24"/>
        </w:rPr>
        <w:t xml:space="preserve">orthern Malawi </w:t>
      </w:r>
      <w:r>
        <w:rPr>
          <w:rFonts w:asciiTheme="majorBidi" w:hAnsiTheme="majorBidi" w:cstheme="majorBidi"/>
          <w:noProof/>
          <w:sz w:val="24"/>
          <w:szCs w:val="24"/>
        </w:rPr>
        <w:t>(25)</w:t>
      </w:r>
      <w:r w:rsidRPr="00314A76">
        <w:rPr>
          <w:rFonts w:asciiTheme="majorBidi" w:hAnsiTheme="majorBidi" w:cstheme="majorBidi"/>
          <w:sz w:val="24"/>
          <w:szCs w:val="24"/>
        </w:rPr>
        <w:t xml:space="preserve"> and in a study on paediatric bloodstream infections in Malawi </w:t>
      </w:r>
      <w:r>
        <w:rPr>
          <w:rFonts w:asciiTheme="majorBidi" w:hAnsiTheme="majorBidi" w:cstheme="majorBidi"/>
          <w:noProof/>
          <w:sz w:val="24"/>
          <w:szCs w:val="24"/>
        </w:rPr>
        <w:t>(26)</w:t>
      </w:r>
      <w:r w:rsidRPr="00314A76">
        <w:rPr>
          <w:rFonts w:asciiTheme="majorBidi" w:hAnsiTheme="majorBidi" w:cstheme="majorBidi"/>
          <w:sz w:val="24"/>
          <w:szCs w:val="24"/>
        </w:rPr>
        <w:t>.</w:t>
      </w:r>
      <w:r w:rsidRPr="00314A76">
        <w:rPr>
          <w:rFonts w:asciiTheme="majorBidi" w:hAnsiTheme="majorBidi" w:cstheme="majorBidi"/>
          <w:bCs/>
          <w:sz w:val="24"/>
          <w:szCs w:val="24"/>
          <w:lang w:val="en-US"/>
        </w:rPr>
        <w:t xml:space="preserve"> </w:t>
      </w:r>
      <w:r w:rsidRPr="00314A76">
        <w:rPr>
          <w:rFonts w:asciiTheme="majorBidi" w:hAnsiTheme="majorBidi" w:cstheme="majorBidi"/>
          <w:sz w:val="24"/>
          <w:szCs w:val="24"/>
        </w:rPr>
        <w:t>Possible explanations for this pre-PCV</w:t>
      </w:r>
      <w:r>
        <w:rPr>
          <w:rFonts w:asciiTheme="majorBidi" w:hAnsiTheme="majorBidi" w:cstheme="majorBidi"/>
          <w:sz w:val="24"/>
          <w:szCs w:val="24"/>
        </w:rPr>
        <w:t>13</w:t>
      </w:r>
      <w:r w:rsidRPr="00314A76">
        <w:rPr>
          <w:rFonts w:asciiTheme="majorBidi" w:hAnsiTheme="majorBidi" w:cstheme="majorBidi"/>
          <w:sz w:val="24"/>
          <w:szCs w:val="24"/>
        </w:rPr>
        <w:t xml:space="preserve"> </w:t>
      </w:r>
      <w:r>
        <w:rPr>
          <w:rFonts w:asciiTheme="majorBidi" w:hAnsiTheme="majorBidi" w:cstheme="majorBidi"/>
          <w:sz w:val="24"/>
          <w:szCs w:val="24"/>
        </w:rPr>
        <w:t xml:space="preserve">secular </w:t>
      </w:r>
      <w:r w:rsidRPr="00314A76">
        <w:rPr>
          <w:rFonts w:asciiTheme="majorBidi" w:hAnsiTheme="majorBidi" w:cstheme="majorBidi"/>
          <w:sz w:val="24"/>
          <w:szCs w:val="24"/>
        </w:rPr>
        <w:t xml:space="preserve">decline in IPD </w:t>
      </w:r>
      <w:r>
        <w:rPr>
          <w:rFonts w:asciiTheme="majorBidi" w:hAnsiTheme="majorBidi" w:cstheme="majorBidi"/>
          <w:sz w:val="24"/>
          <w:szCs w:val="24"/>
        </w:rPr>
        <w:t xml:space="preserve">include the down-stroke of long-term cyclical change, </w:t>
      </w:r>
      <w:r w:rsidRPr="00314A76">
        <w:rPr>
          <w:rFonts w:asciiTheme="majorBidi" w:hAnsiTheme="majorBidi" w:cstheme="majorBidi"/>
          <w:sz w:val="24"/>
          <w:szCs w:val="24"/>
        </w:rPr>
        <w:t xml:space="preserve"> improved food security and nutrition in this population</w:t>
      </w:r>
      <w:r>
        <w:rPr>
          <w:rFonts w:asciiTheme="majorBidi" w:hAnsiTheme="majorBidi" w:cstheme="majorBidi"/>
          <w:sz w:val="24"/>
          <w:szCs w:val="24"/>
        </w:rPr>
        <w:t xml:space="preserve"> and improved HIV care.</w:t>
      </w:r>
      <w:r w:rsidRPr="00314A76">
        <w:rPr>
          <w:rFonts w:asciiTheme="majorBidi" w:hAnsiTheme="majorBidi" w:cstheme="majorBidi"/>
          <w:sz w:val="24"/>
          <w:szCs w:val="24"/>
        </w:rPr>
        <w:t xml:space="preserve"> From 2004 to 2015</w:t>
      </w:r>
      <w:r>
        <w:rPr>
          <w:rFonts w:asciiTheme="majorBidi" w:hAnsiTheme="majorBidi" w:cstheme="majorBidi"/>
          <w:sz w:val="24"/>
          <w:szCs w:val="24"/>
        </w:rPr>
        <w:t>,</w:t>
      </w:r>
      <w:r w:rsidRPr="00314A76">
        <w:rPr>
          <w:rFonts w:asciiTheme="majorBidi" w:hAnsiTheme="majorBidi" w:cstheme="majorBidi"/>
          <w:sz w:val="24"/>
          <w:szCs w:val="24"/>
        </w:rPr>
        <w:t xml:space="preserve"> the number of new patients started on ART in Malawi increased from about 3</w:t>
      </w:r>
      <w:r>
        <w:rPr>
          <w:rFonts w:asciiTheme="majorBidi" w:hAnsiTheme="majorBidi" w:cstheme="majorBidi"/>
          <w:sz w:val="24"/>
          <w:szCs w:val="24"/>
        </w:rPr>
        <w:t>,</w:t>
      </w:r>
      <w:r w:rsidRPr="00314A76">
        <w:rPr>
          <w:rFonts w:asciiTheme="majorBidi" w:hAnsiTheme="majorBidi" w:cstheme="majorBidi"/>
          <w:sz w:val="24"/>
          <w:szCs w:val="24"/>
        </w:rPr>
        <w:t>000 to over 820,000</w:t>
      </w:r>
      <w:r>
        <w:rPr>
          <w:rFonts w:asciiTheme="majorBidi" w:hAnsiTheme="majorBidi" w:cstheme="majorBidi"/>
          <w:sz w:val="24"/>
          <w:szCs w:val="24"/>
        </w:rPr>
        <w:t xml:space="preserve">, likely </w:t>
      </w:r>
      <w:r w:rsidRPr="00314A76">
        <w:rPr>
          <w:rFonts w:asciiTheme="majorBidi" w:hAnsiTheme="majorBidi" w:cstheme="majorBidi"/>
          <w:sz w:val="24"/>
          <w:szCs w:val="24"/>
        </w:rPr>
        <w:t>hav</w:t>
      </w:r>
      <w:r>
        <w:rPr>
          <w:rFonts w:asciiTheme="majorBidi" w:hAnsiTheme="majorBidi" w:cstheme="majorBidi"/>
          <w:sz w:val="24"/>
          <w:szCs w:val="24"/>
        </w:rPr>
        <w:t>ing</w:t>
      </w:r>
      <w:r w:rsidRPr="00314A76">
        <w:rPr>
          <w:rFonts w:asciiTheme="majorBidi" w:hAnsiTheme="majorBidi" w:cstheme="majorBidi"/>
          <w:sz w:val="24"/>
          <w:szCs w:val="24"/>
        </w:rPr>
        <w:t xml:space="preserve"> a</w:t>
      </w:r>
      <w:r>
        <w:rPr>
          <w:rFonts w:asciiTheme="majorBidi" w:hAnsiTheme="majorBidi" w:cstheme="majorBidi"/>
          <w:sz w:val="24"/>
          <w:szCs w:val="24"/>
        </w:rPr>
        <w:t xml:space="preserve"> positive</w:t>
      </w:r>
      <w:r w:rsidRPr="00314A76">
        <w:rPr>
          <w:rFonts w:asciiTheme="majorBidi" w:hAnsiTheme="majorBidi" w:cstheme="majorBidi"/>
          <w:sz w:val="24"/>
          <w:szCs w:val="24"/>
        </w:rPr>
        <w:t xml:space="preserve"> impact on </w:t>
      </w:r>
      <w:r>
        <w:rPr>
          <w:rFonts w:asciiTheme="majorBidi" w:hAnsiTheme="majorBidi" w:cstheme="majorBidi"/>
          <w:sz w:val="24"/>
          <w:szCs w:val="24"/>
        </w:rPr>
        <w:t xml:space="preserve">the health of mothers and thereby improved infant wellbeing </w:t>
      </w:r>
      <w:r>
        <w:rPr>
          <w:rFonts w:asciiTheme="majorBidi" w:hAnsiTheme="majorBidi" w:cstheme="majorBidi"/>
          <w:noProof/>
          <w:sz w:val="24"/>
          <w:szCs w:val="24"/>
        </w:rPr>
        <w:t>(27)</w:t>
      </w:r>
      <w:r w:rsidRPr="00314A76">
        <w:rPr>
          <w:rFonts w:asciiTheme="majorBidi" w:hAnsiTheme="majorBidi" w:cstheme="majorBidi"/>
          <w:sz w:val="24"/>
          <w:szCs w:val="24"/>
        </w:rPr>
        <w:t xml:space="preserve">. </w:t>
      </w:r>
      <w:r>
        <w:rPr>
          <w:rFonts w:asciiTheme="majorBidi" w:hAnsiTheme="majorBidi" w:cstheme="majorBidi"/>
          <w:sz w:val="24"/>
          <w:szCs w:val="24"/>
        </w:rPr>
        <w:t xml:space="preserve">Following the introduction of PCV13, </w:t>
      </w:r>
      <w:r w:rsidRPr="00314A76">
        <w:rPr>
          <w:rFonts w:asciiTheme="majorBidi" w:hAnsiTheme="majorBidi" w:cstheme="majorBidi"/>
          <w:sz w:val="24"/>
          <w:szCs w:val="24"/>
        </w:rPr>
        <w:t xml:space="preserve">IPD </w:t>
      </w:r>
      <w:r>
        <w:rPr>
          <w:rFonts w:asciiTheme="majorBidi" w:hAnsiTheme="majorBidi" w:cstheme="majorBidi"/>
          <w:sz w:val="24"/>
          <w:szCs w:val="24"/>
        </w:rPr>
        <w:t xml:space="preserve">incidence </w:t>
      </w:r>
      <w:r w:rsidRPr="00314A76">
        <w:rPr>
          <w:rFonts w:asciiTheme="majorBidi" w:hAnsiTheme="majorBidi" w:cstheme="majorBidi"/>
          <w:sz w:val="24"/>
          <w:szCs w:val="24"/>
        </w:rPr>
        <w:t xml:space="preserve">in neonates and young infants </w:t>
      </w:r>
      <w:r>
        <w:rPr>
          <w:rFonts w:asciiTheme="majorBidi" w:hAnsiTheme="majorBidi" w:cstheme="majorBidi"/>
          <w:sz w:val="24"/>
          <w:szCs w:val="24"/>
        </w:rPr>
        <w:t xml:space="preserve">in Blantyre further </w:t>
      </w:r>
      <w:r w:rsidRPr="00314A76">
        <w:rPr>
          <w:rFonts w:asciiTheme="majorBidi" w:hAnsiTheme="majorBidi" w:cstheme="majorBidi"/>
          <w:sz w:val="24"/>
          <w:szCs w:val="24"/>
        </w:rPr>
        <w:t>decline</w:t>
      </w:r>
      <w:r>
        <w:rPr>
          <w:rFonts w:asciiTheme="majorBidi" w:hAnsiTheme="majorBidi" w:cstheme="majorBidi"/>
          <w:sz w:val="24"/>
          <w:szCs w:val="24"/>
        </w:rPr>
        <w:t xml:space="preserve">d, consistent with an </w:t>
      </w:r>
      <w:r w:rsidRPr="00314A76">
        <w:rPr>
          <w:rFonts w:asciiTheme="majorBidi" w:hAnsiTheme="majorBidi" w:cstheme="majorBidi"/>
          <w:sz w:val="24"/>
          <w:szCs w:val="24"/>
        </w:rPr>
        <w:t>indirect effect of vaccination</w:t>
      </w:r>
      <w:r>
        <w:rPr>
          <w:rFonts w:asciiTheme="majorBidi" w:hAnsiTheme="majorBidi" w:cstheme="majorBidi"/>
          <w:sz w:val="24"/>
          <w:szCs w:val="24"/>
        </w:rPr>
        <w:t>. However, it is not possible to disassociate the contribution of PCV13 from the pre-existing secular trend</w:t>
      </w:r>
      <w:r w:rsidRPr="00314A76">
        <w:rPr>
          <w:rFonts w:asciiTheme="majorBidi" w:hAnsiTheme="majorBidi" w:cstheme="majorBidi"/>
          <w:sz w:val="24"/>
          <w:szCs w:val="24"/>
        </w:rPr>
        <w:t>.</w:t>
      </w:r>
      <w:r>
        <w:rPr>
          <w:rFonts w:asciiTheme="majorBidi" w:hAnsiTheme="majorBidi" w:cstheme="majorBidi"/>
          <w:sz w:val="24"/>
          <w:szCs w:val="24"/>
        </w:rPr>
        <w:t xml:space="preserve"> </w:t>
      </w:r>
    </w:p>
    <w:p w14:paraId="46A1EA28" w14:textId="77777777" w:rsidR="00FE10EE" w:rsidRDefault="00FE10EE" w:rsidP="00FE10EE">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Nonetheless,</w:t>
      </w:r>
      <w:r w:rsidRPr="00314A76">
        <w:rPr>
          <w:rFonts w:asciiTheme="majorBidi" w:hAnsiTheme="majorBidi" w:cstheme="majorBidi"/>
          <w:sz w:val="24"/>
          <w:szCs w:val="24"/>
        </w:rPr>
        <w:t xml:space="preserve"> </w:t>
      </w:r>
      <w:r>
        <w:rPr>
          <w:rFonts w:asciiTheme="majorBidi" w:hAnsiTheme="majorBidi" w:cstheme="majorBidi"/>
          <w:sz w:val="24"/>
          <w:szCs w:val="24"/>
        </w:rPr>
        <w:t>evidence is clear that VT-</w:t>
      </w:r>
      <w:r w:rsidRPr="00314A76">
        <w:rPr>
          <w:rFonts w:asciiTheme="majorBidi" w:hAnsiTheme="majorBidi" w:cstheme="majorBidi"/>
          <w:sz w:val="24"/>
          <w:szCs w:val="24"/>
        </w:rPr>
        <w:t>IPD remains present in this population</w:t>
      </w:r>
      <w:r>
        <w:rPr>
          <w:rFonts w:asciiTheme="majorBidi" w:hAnsiTheme="majorBidi" w:cstheme="majorBidi"/>
          <w:sz w:val="24"/>
          <w:szCs w:val="24"/>
        </w:rPr>
        <w:t xml:space="preserve">, up to 7 years </w:t>
      </w:r>
      <w:r w:rsidRPr="00314A76">
        <w:rPr>
          <w:rFonts w:asciiTheme="majorBidi" w:hAnsiTheme="majorBidi" w:cstheme="majorBidi"/>
          <w:sz w:val="24"/>
          <w:szCs w:val="24"/>
        </w:rPr>
        <w:t xml:space="preserve">after </w:t>
      </w:r>
      <w:r>
        <w:rPr>
          <w:rFonts w:asciiTheme="majorBidi" w:hAnsiTheme="majorBidi" w:cstheme="majorBidi"/>
          <w:sz w:val="24"/>
          <w:szCs w:val="24"/>
        </w:rPr>
        <w:t xml:space="preserve">PCV13 </w:t>
      </w:r>
      <w:r w:rsidRPr="00314A76">
        <w:rPr>
          <w:rFonts w:asciiTheme="majorBidi" w:hAnsiTheme="majorBidi" w:cstheme="majorBidi"/>
          <w:sz w:val="24"/>
          <w:szCs w:val="24"/>
        </w:rPr>
        <w:t>introduction</w:t>
      </w:r>
      <w:r>
        <w:rPr>
          <w:rFonts w:asciiTheme="majorBidi" w:hAnsiTheme="majorBidi" w:cstheme="majorBidi"/>
          <w:sz w:val="24"/>
          <w:szCs w:val="24"/>
        </w:rPr>
        <w:t>. In our study m</w:t>
      </w:r>
      <w:r w:rsidRPr="00314A76">
        <w:rPr>
          <w:rFonts w:asciiTheme="majorBidi" w:hAnsiTheme="majorBidi" w:cstheme="majorBidi"/>
          <w:sz w:val="24"/>
          <w:szCs w:val="24"/>
        </w:rPr>
        <w:t xml:space="preserve">ore than 50% of cases in neonates and young infants </w:t>
      </w:r>
      <w:r>
        <w:rPr>
          <w:rFonts w:asciiTheme="majorBidi" w:hAnsiTheme="majorBidi" w:cstheme="majorBidi"/>
          <w:sz w:val="24"/>
          <w:szCs w:val="24"/>
        </w:rPr>
        <w:t>in the post-PCV period were due to VT, with s</w:t>
      </w:r>
      <w:r w:rsidRPr="00314A76">
        <w:rPr>
          <w:rFonts w:asciiTheme="majorBidi" w:hAnsiTheme="majorBidi" w:cstheme="majorBidi"/>
          <w:sz w:val="24"/>
          <w:szCs w:val="24"/>
        </w:rPr>
        <w:t xml:space="preserve">erotype 1 and 5 being most common both before and after </w:t>
      </w:r>
      <w:r>
        <w:rPr>
          <w:rFonts w:asciiTheme="majorBidi" w:hAnsiTheme="majorBidi" w:cstheme="majorBidi"/>
          <w:sz w:val="24"/>
          <w:szCs w:val="24"/>
        </w:rPr>
        <w:t xml:space="preserve">PCV13 </w:t>
      </w:r>
      <w:r w:rsidRPr="00314A76">
        <w:rPr>
          <w:rFonts w:asciiTheme="majorBidi" w:hAnsiTheme="majorBidi" w:cstheme="majorBidi"/>
          <w:sz w:val="24"/>
          <w:szCs w:val="24"/>
        </w:rPr>
        <w:t>introduction. In sub-Saharan Africa, rates of pneumococcal carriage</w:t>
      </w:r>
      <w:r>
        <w:rPr>
          <w:rFonts w:asciiTheme="majorBidi" w:hAnsiTheme="majorBidi" w:cstheme="majorBidi"/>
          <w:sz w:val="24"/>
          <w:szCs w:val="24"/>
        </w:rPr>
        <w:t>, a prerequisite for disease,</w:t>
      </w:r>
      <w:r w:rsidRPr="00314A76">
        <w:rPr>
          <w:rFonts w:asciiTheme="majorBidi" w:hAnsiTheme="majorBidi" w:cstheme="majorBidi"/>
          <w:sz w:val="24"/>
          <w:szCs w:val="24"/>
        </w:rPr>
        <w:t xml:space="preserve"> </w:t>
      </w:r>
      <w:r>
        <w:rPr>
          <w:rFonts w:asciiTheme="majorBidi" w:hAnsiTheme="majorBidi" w:cstheme="majorBidi"/>
          <w:sz w:val="24"/>
          <w:szCs w:val="24"/>
        </w:rPr>
        <w:t xml:space="preserve">are </w:t>
      </w:r>
      <w:r w:rsidRPr="00314A76">
        <w:rPr>
          <w:rFonts w:asciiTheme="majorBidi" w:hAnsiTheme="majorBidi" w:cstheme="majorBidi"/>
          <w:sz w:val="24"/>
          <w:szCs w:val="24"/>
        </w:rPr>
        <w:t xml:space="preserve">reported to be high with carriage rates of up to 90% described in the pre-PCV </w:t>
      </w:r>
      <w:r>
        <w:rPr>
          <w:rFonts w:asciiTheme="majorBidi" w:hAnsiTheme="majorBidi" w:cstheme="majorBidi"/>
          <w:sz w:val="24"/>
          <w:szCs w:val="24"/>
        </w:rPr>
        <w:t xml:space="preserve">period </w:t>
      </w:r>
      <w:r>
        <w:rPr>
          <w:rFonts w:asciiTheme="majorBidi" w:hAnsiTheme="majorBidi" w:cstheme="majorBidi"/>
          <w:noProof/>
          <w:sz w:val="24"/>
          <w:szCs w:val="24"/>
        </w:rPr>
        <w:t>(28-30)</w:t>
      </w:r>
      <w:r w:rsidRPr="00314A76">
        <w:rPr>
          <w:rFonts w:asciiTheme="majorBidi" w:hAnsiTheme="majorBidi" w:cstheme="majorBidi"/>
          <w:sz w:val="24"/>
          <w:szCs w:val="24"/>
        </w:rPr>
        <w:t>.</w:t>
      </w:r>
      <w:r>
        <w:rPr>
          <w:rFonts w:asciiTheme="majorBidi" w:hAnsiTheme="majorBidi" w:cstheme="majorBidi"/>
          <w:sz w:val="24"/>
          <w:szCs w:val="24"/>
        </w:rPr>
        <w:t xml:space="preserve"> </w:t>
      </w:r>
      <w:r w:rsidRPr="00314A76">
        <w:rPr>
          <w:rFonts w:asciiTheme="majorBidi" w:hAnsiTheme="majorBidi" w:cstheme="majorBidi"/>
          <w:sz w:val="24"/>
          <w:szCs w:val="24"/>
        </w:rPr>
        <w:t xml:space="preserve">There is increasing evidence that in this setting </w:t>
      </w:r>
      <w:r>
        <w:rPr>
          <w:rFonts w:asciiTheme="majorBidi" w:hAnsiTheme="majorBidi" w:cstheme="majorBidi"/>
          <w:sz w:val="24"/>
          <w:szCs w:val="24"/>
        </w:rPr>
        <w:t xml:space="preserve">the current strategy used to implement </w:t>
      </w:r>
      <w:r w:rsidRPr="00314A76">
        <w:rPr>
          <w:rFonts w:asciiTheme="majorBidi" w:hAnsiTheme="majorBidi" w:cstheme="majorBidi"/>
          <w:sz w:val="24"/>
          <w:szCs w:val="24"/>
        </w:rPr>
        <w:t xml:space="preserve">conjugate vaccines </w:t>
      </w:r>
      <w:r>
        <w:rPr>
          <w:rFonts w:asciiTheme="majorBidi" w:hAnsiTheme="majorBidi" w:cstheme="majorBidi"/>
          <w:sz w:val="24"/>
          <w:szCs w:val="24"/>
        </w:rPr>
        <w:t>does not achieve the optimal reductions</w:t>
      </w:r>
      <w:r w:rsidRPr="00314A76">
        <w:rPr>
          <w:rFonts w:asciiTheme="majorBidi" w:hAnsiTheme="majorBidi" w:cstheme="majorBidi"/>
          <w:sz w:val="24"/>
          <w:szCs w:val="24"/>
        </w:rPr>
        <w:t xml:space="preserve"> </w:t>
      </w:r>
      <w:r>
        <w:rPr>
          <w:rFonts w:asciiTheme="majorBidi" w:hAnsiTheme="majorBidi" w:cstheme="majorBidi"/>
          <w:sz w:val="24"/>
          <w:szCs w:val="24"/>
        </w:rPr>
        <w:t xml:space="preserve">in </w:t>
      </w:r>
      <w:r w:rsidRPr="00314A76">
        <w:rPr>
          <w:rFonts w:asciiTheme="majorBidi" w:hAnsiTheme="majorBidi" w:cstheme="majorBidi"/>
          <w:sz w:val="24"/>
          <w:szCs w:val="24"/>
        </w:rPr>
        <w:t>VT pneumococcal carriage</w:t>
      </w:r>
      <w:r>
        <w:rPr>
          <w:rFonts w:asciiTheme="majorBidi" w:hAnsiTheme="majorBidi" w:cstheme="majorBidi"/>
          <w:sz w:val="24"/>
          <w:szCs w:val="24"/>
        </w:rPr>
        <w:t xml:space="preserve"> as seen in resource-rich countries. Recently, it has been </w:t>
      </w:r>
      <w:r w:rsidRPr="00314A76">
        <w:rPr>
          <w:rFonts w:asciiTheme="majorBidi" w:hAnsiTheme="majorBidi" w:cstheme="majorBidi"/>
          <w:sz w:val="24"/>
          <w:szCs w:val="24"/>
        </w:rPr>
        <w:t xml:space="preserve">shown that in Malawi, </w:t>
      </w:r>
      <w:r w:rsidRPr="00C33909">
        <w:rPr>
          <w:rFonts w:asciiTheme="majorBidi" w:hAnsiTheme="majorBidi" w:cstheme="majorBidi"/>
          <w:sz w:val="24"/>
          <w:szCs w:val="24"/>
        </w:rPr>
        <w:t xml:space="preserve">despite high </w:t>
      </w:r>
      <w:r>
        <w:rPr>
          <w:rFonts w:asciiTheme="majorBidi" w:hAnsiTheme="majorBidi" w:cstheme="majorBidi"/>
          <w:sz w:val="24"/>
          <w:szCs w:val="24"/>
        </w:rPr>
        <w:t xml:space="preserve">PCV13 </w:t>
      </w:r>
      <w:r w:rsidRPr="005A27FA">
        <w:rPr>
          <w:rFonts w:asciiTheme="majorBidi" w:hAnsiTheme="majorBidi" w:cstheme="majorBidi"/>
          <w:sz w:val="24"/>
          <w:szCs w:val="24"/>
        </w:rPr>
        <w:t>uptake</w:t>
      </w:r>
      <w:r w:rsidRPr="00314A76">
        <w:rPr>
          <w:rFonts w:asciiTheme="majorBidi" w:hAnsiTheme="majorBidi" w:cstheme="majorBidi"/>
          <w:sz w:val="24"/>
          <w:szCs w:val="24"/>
        </w:rPr>
        <w:t xml:space="preserve">, there </w:t>
      </w:r>
      <w:r>
        <w:rPr>
          <w:rFonts w:asciiTheme="majorBidi" w:hAnsiTheme="majorBidi" w:cstheme="majorBidi"/>
          <w:sz w:val="24"/>
          <w:szCs w:val="24"/>
        </w:rPr>
        <w:t>remains</w:t>
      </w:r>
      <w:r w:rsidRPr="00C33909">
        <w:rPr>
          <w:rFonts w:asciiTheme="majorBidi" w:hAnsiTheme="majorBidi" w:cstheme="majorBidi"/>
          <w:sz w:val="24"/>
          <w:szCs w:val="24"/>
        </w:rPr>
        <w:t xml:space="preserve"> high persistent residual carriage </w:t>
      </w:r>
      <w:r>
        <w:rPr>
          <w:rFonts w:asciiTheme="majorBidi" w:hAnsiTheme="majorBidi" w:cstheme="majorBidi"/>
          <w:sz w:val="24"/>
          <w:szCs w:val="24"/>
        </w:rPr>
        <w:t>of</w:t>
      </w:r>
      <w:r w:rsidRPr="00C33909">
        <w:rPr>
          <w:rFonts w:asciiTheme="majorBidi" w:hAnsiTheme="majorBidi" w:cstheme="majorBidi"/>
          <w:sz w:val="24"/>
          <w:szCs w:val="24"/>
        </w:rPr>
        <w:t xml:space="preserve"> all </w:t>
      </w:r>
      <w:r>
        <w:rPr>
          <w:rFonts w:asciiTheme="majorBidi" w:hAnsiTheme="majorBidi" w:cstheme="majorBidi"/>
          <w:sz w:val="24"/>
          <w:szCs w:val="24"/>
        </w:rPr>
        <w:t>PCV13 sero</w:t>
      </w:r>
      <w:r w:rsidRPr="00C33909">
        <w:rPr>
          <w:rFonts w:asciiTheme="majorBidi" w:hAnsiTheme="majorBidi" w:cstheme="majorBidi"/>
          <w:sz w:val="24"/>
          <w:szCs w:val="24"/>
        </w:rPr>
        <w:t>types</w:t>
      </w:r>
      <w:r>
        <w:rPr>
          <w:rFonts w:asciiTheme="majorBidi" w:hAnsiTheme="majorBidi" w:cstheme="majorBidi"/>
          <w:sz w:val="24"/>
          <w:szCs w:val="24"/>
        </w:rPr>
        <w:t xml:space="preserve"> </w:t>
      </w:r>
      <w:r w:rsidRPr="00A665BE">
        <w:rPr>
          <w:rFonts w:ascii="Times New Roman" w:hAnsi="Times New Roman" w:cs="Times New Roman"/>
          <w:bCs/>
          <w:sz w:val="24"/>
          <w:szCs w:val="24"/>
          <w:lang w:val="en-US"/>
        </w:rPr>
        <w:t>(12)</w:t>
      </w:r>
      <w:r w:rsidRPr="005A27FA">
        <w:rPr>
          <w:rFonts w:asciiTheme="majorBidi" w:hAnsiTheme="majorBidi" w:cstheme="majorBidi"/>
          <w:sz w:val="24"/>
          <w:szCs w:val="24"/>
        </w:rPr>
        <w:t>.</w:t>
      </w:r>
      <w:r>
        <w:rPr>
          <w:rFonts w:asciiTheme="majorBidi" w:hAnsiTheme="majorBidi" w:cstheme="majorBidi"/>
          <w:sz w:val="24"/>
          <w:szCs w:val="24"/>
        </w:rPr>
        <w:t xml:space="preserve"> </w:t>
      </w:r>
      <w:r w:rsidRPr="005A27FA">
        <w:rPr>
          <w:rFonts w:asciiTheme="majorBidi" w:hAnsiTheme="majorBidi" w:cstheme="majorBidi"/>
          <w:sz w:val="24"/>
          <w:szCs w:val="24"/>
        </w:rPr>
        <w:t>Serotype 1, a common cause of IPD in Africa</w:t>
      </w:r>
      <w:r>
        <w:rPr>
          <w:rFonts w:asciiTheme="majorBidi" w:hAnsiTheme="majorBidi" w:cstheme="majorBidi"/>
          <w:sz w:val="24"/>
          <w:szCs w:val="24"/>
        </w:rPr>
        <w:t xml:space="preserve"> </w:t>
      </w:r>
      <w:r>
        <w:rPr>
          <w:rFonts w:asciiTheme="majorBidi" w:hAnsiTheme="majorBidi" w:cstheme="majorBidi"/>
          <w:noProof/>
          <w:sz w:val="24"/>
          <w:szCs w:val="24"/>
        </w:rPr>
        <w:t>(31)</w:t>
      </w:r>
      <w:r w:rsidRPr="005A27FA">
        <w:rPr>
          <w:rFonts w:asciiTheme="majorBidi" w:hAnsiTheme="majorBidi" w:cstheme="majorBidi"/>
          <w:sz w:val="24"/>
          <w:szCs w:val="24"/>
        </w:rPr>
        <w:t>, was responsible for 3% of VT carriage of all ages</w:t>
      </w:r>
      <w:r>
        <w:rPr>
          <w:rFonts w:asciiTheme="majorBidi" w:hAnsiTheme="majorBidi" w:cstheme="majorBidi"/>
          <w:sz w:val="24"/>
          <w:szCs w:val="24"/>
        </w:rPr>
        <w:t xml:space="preserve"> in that study</w:t>
      </w:r>
      <w:r w:rsidRPr="00314A76">
        <w:rPr>
          <w:rFonts w:asciiTheme="majorBidi" w:hAnsiTheme="majorBidi" w:cstheme="majorBidi"/>
          <w:sz w:val="24"/>
          <w:szCs w:val="24"/>
        </w:rPr>
        <w:t>, consistent with our</w:t>
      </w:r>
      <w:r>
        <w:rPr>
          <w:rFonts w:asciiTheme="majorBidi" w:hAnsiTheme="majorBidi" w:cstheme="majorBidi"/>
          <w:sz w:val="24"/>
          <w:szCs w:val="24"/>
        </w:rPr>
        <w:t xml:space="preserve"> present</w:t>
      </w:r>
      <w:r w:rsidRPr="00314A76">
        <w:rPr>
          <w:rFonts w:asciiTheme="majorBidi" w:hAnsiTheme="majorBidi" w:cstheme="majorBidi"/>
          <w:sz w:val="24"/>
          <w:szCs w:val="24"/>
        </w:rPr>
        <w:t xml:space="preserve"> findings in </w:t>
      </w:r>
      <w:r w:rsidRPr="00314A76">
        <w:rPr>
          <w:rFonts w:asciiTheme="majorBidi" w:hAnsiTheme="majorBidi" w:cstheme="majorBidi"/>
          <w:sz w:val="24"/>
          <w:szCs w:val="24"/>
        </w:rPr>
        <w:lastRenderedPageBreak/>
        <w:t xml:space="preserve">infants in this population. </w:t>
      </w:r>
      <w:r>
        <w:rPr>
          <w:rFonts w:asciiTheme="majorBidi" w:hAnsiTheme="majorBidi" w:cstheme="majorBidi"/>
          <w:sz w:val="24"/>
          <w:szCs w:val="24"/>
        </w:rPr>
        <w:t xml:space="preserve">Furthermore, another study in northern Malawi </w:t>
      </w:r>
      <w:r w:rsidRPr="009A3306">
        <w:rPr>
          <w:rFonts w:asciiTheme="majorBidi" w:hAnsiTheme="majorBidi" w:cstheme="majorBidi"/>
          <w:sz w:val="24"/>
          <w:szCs w:val="24"/>
        </w:rPr>
        <w:t xml:space="preserve">demonstrated a reduction in VT carriage after PCV13 introduction but found high carriage rates continued to be present among </w:t>
      </w:r>
      <w:r>
        <w:rPr>
          <w:rFonts w:asciiTheme="majorBidi" w:hAnsiTheme="majorBidi" w:cstheme="majorBidi"/>
          <w:sz w:val="24"/>
          <w:szCs w:val="24"/>
        </w:rPr>
        <w:t>age-ineligible (</w:t>
      </w:r>
      <w:r w:rsidRPr="009A3306">
        <w:rPr>
          <w:rFonts w:asciiTheme="majorBidi" w:hAnsiTheme="majorBidi" w:cstheme="majorBidi"/>
          <w:sz w:val="24"/>
          <w:szCs w:val="24"/>
        </w:rPr>
        <w:t>6-week</w:t>
      </w:r>
      <w:r>
        <w:rPr>
          <w:rFonts w:asciiTheme="majorBidi" w:hAnsiTheme="majorBidi" w:cstheme="majorBidi"/>
          <w:sz w:val="24"/>
          <w:szCs w:val="24"/>
        </w:rPr>
        <w:t>s</w:t>
      </w:r>
      <w:r w:rsidRPr="009A3306">
        <w:rPr>
          <w:rFonts w:asciiTheme="majorBidi" w:hAnsiTheme="majorBidi" w:cstheme="majorBidi"/>
          <w:sz w:val="24"/>
          <w:szCs w:val="24"/>
        </w:rPr>
        <w:t xml:space="preserve"> old</w:t>
      </w:r>
      <w:r>
        <w:rPr>
          <w:rFonts w:asciiTheme="majorBidi" w:hAnsiTheme="majorBidi" w:cstheme="majorBidi"/>
          <w:sz w:val="24"/>
          <w:szCs w:val="24"/>
        </w:rPr>
        <w:t>)</w:t>
      </w:r>
      <w:r w:rsidRPr="009A3306">
        <w:rPr>
          <w:rFonts w:asciiTheme="majorBidi" w:hAnsiTheme="majorBidi" w:cstheme="majorBidi"/>
          <w:sz w:val="24"/>
          <w:szCs w:val="24"/>
        </w:rPr>
        <w:t xml:space="preserve"> infants</w:t>
      </w:r>
      <w:r>
        <w:rPr>
          <w:rFonts w:asciiTheme="majorBidi" w:hAnsiTheme="majorBidi" w:cstheme="majorBidi"/>
          <w:sz w:val="24"/>
          <w:szCs w:val="24"/>
        </w:rPr>
        <w:t xml:space="preserve">, with </w:t>
      </w:r>
      <w:r w:rsidRPr="009A3306">
        <w:rPr>
          <w:rFonts w:asciiTheme="majorBidi" w:hAnsiTheme="majorBidi" w:cstheme="majorBidi"/>
          <w:sz w:val="24"/>
          <w:szCs w:val="24"/>
        </w:rPr>
        <w:t xml:space="preserve">no difference in pneumococcal acquisition between the pre-and post-PCV13 period </w:t>
      </w:r>
      <w:r>
        <w:rPr>
          <w:rFonts w:asciiTheme="majorBidi" w:hAnsiTheme="majorBidi" w:cstheme="majorBidi"/>
          <w:noProof/>
          <w:sz w:val="24"/>
          <w:szCs w:val="24"/>
        </w:rPr>
        <w:t>(30)</w:t>
      </w:r>
      <w:r w:rsidRPr="009A3306">
        <w:rPr>
          <w:rFonts w:asciiTheme="majorBidi" w:hAnsiTheme="majorBidi" w:cstheme="majorBidi"/>
          <w:sz w:val="24"/>
          <w:szCs w:val="24"/>
        </w:rPr>
        <w:t>.</w:t>
      </w:r>
      <w:r>
        <w:rPr>
          <w:rFonts w:asciiTheme="majorBidi" w:hAnsiTheme="majorBidi" w:cstheme="majorBidi"/>
          <w:sz w:val="24"/>
          <w:szCs w:val="24"/>
        </w:rPr>
        <w:t xml:space="preserve"> </w:t>
      </w:r>
      <w:r w:rsidRPr="00CE0171">
        <w:rPr>
          <w:rFonts w:asciiTheme="majorBidi" w:hAnsiTheme="majorBidi" w:cstheme="majorBidi"/>
          <w:sz w:val="24"/>
          <w:szCs w:val="24"/>
        </w:rPr>
        <w:t xml:space="preserve">The </w:t>
      </w:r>
      <w:r>
        <w:rPr>
          <w:rFonts w:asciiTheme="majorBidi" w:hAnsiTheme="majorBidi" w:cstheme="majorBidi"/>
          <w:sz w:val="24"/>
          <w:szCs w:val="24"/>
        </w:rPr>
        <w:t xml:space="preserve">limited </w:t>
      </w:r>
      <w:r w:rsidRPr="00CE0171">
        <w:rPr>
          <w:rFonts w:asciiTheme="majorBidi" w:hAnsiTheme="majorBidi" w:cstheme="majorBidi"/>
          <w:sz w:val="24"/>
          <w:szCs w:val="24"/>
        </w:rPr>
        <w:t xml:space="preserve">vaccine impact on carriage </w:t>
      </w:r>
      <w:r w:rsidRPr="00CE0171">
        <w:rPr>
          <w:rFonts w:asciiTheme="majorBidi" w:hAnsiTheme="majorBidi" w:cstheme="majorBidi"/>
          <w:sz w:val="24"/>
          <w:szCs w:val="24"/>
          <w:shd w:val="clear" w:color="auto" w:fill="FFFFFF"/>
        </w:rPr>
        <w:t xml:space="preserve">in this setting is likely </w:t>
      </w:r>
      <w:r>
        <w:rPr>
          <w:rFonts w:asciiTheme="majorBidi" w:hAnsiTheme="majorBidi" w:cstheme="majorBidi"/>
          <w:sz w:val="24"/>
          <w:szCs w:val="24"/>
          <w:shd w:val="clear" w:color="auto" w:fill="FFFFFF"/>
        </w:rPr>
        <w:t xml:space="preserve">largely </w:t>
      </w:r>
      <w:r w:rsidRPr="00CE0171">
        <w:rPr>
          <w:rFonts w:asciiTheme="majorBidi" w:hAnsiTheme="majorBidi" w:cstheme="majorBidi"/>
          <w:sz w:val="24"/>
          <w:szCs w:val="24"/>
          <w:shd w:val="clear" w:color="auto" w:fill="FFFFFF"/>
        </w:rPr>
        <w:t xml:space="preserve">driven by demographic and socio-economic factors, and a local higher, age-dependent force of infection </w:t>
      </w:r>
      <w:r>
        <w:rPr>
          <w:rFonts w:asciiTheme="majorBidi" w:hAnsiTheme="majorBidi" w:cstheme="majorBidi"/>
          <w:noProof/>
          <w:sz w:val="24"/>
          <w:szCs w:val="24"/>
          <w:shd w:val="clear" w:color="auto" w:fill="FFFFFF"/>
        </w:rPr>
        <w:t>(32)</w:t>
      </w:r>
      <w:r w:rsidRPr="00CE0171">
        <w:rPr>
          <w:rFonts w:asciiTheme="majorBidi" w:hAnsiTheme="majorBidi" w:cstheme="majorBidi"/>
          <w:sz w:val="24"/>
          <w:szCs w:val="24"/>
        </w:rPr>
        <w:t>.</w:t>
      </w:r>
      <w:r w:rsidRPr="005A27FA">
        <w:rPr>
          <w:rFonts w:asciiTheme="majorBidi" w:hAnsiTheme="majorBidi" w:cstheme="majorBidi"/>
          <w:sz w:val="24"/>
          <w:szCs w:val="24"/>
        </w:rPr>
        <w:t xml:space="preserve"> </w:t>
      </w:r>
    </w:p>
    <w:p w14:paraId="4CA0E084" w14:textId="77777777" w:rsidR="00FE10EE" w:rsidRDefault="00FE10EE" w:rsidP="00FE10EE">
      <w:pPr>
        <w:spacing w:line="480" w:lineRule="auto"/>
        <w:jc w:val="both"/>
        <w:rPr>
          <w:rFonts w:asciiTheme="majorBidi" w:hAnsiTheme="majorBidi" w:cstheme="majorBidi"/>
          <w:sz w:val="24"/>
          <w:szCs w:val="24"/>
        </w:rPr>
      </w:pPr>
      <w:r w:rsidRPr="00314A76">
        <w:rPr>
          <w:rFonts w:asciiTheme="majorBidi" w:hAnsiTheme="majorBidi" w:cstheme="majorBidi"/>
          <w:sz w:val="24"/>
          <w:szCs w:val="24"/>
        </w:rPr>
        <w:t xml:space="preserve">The majority (72%) of </w:t>
      </w:r>
      <w:r>
        <w:rPr>
          <w:rFonts w:asciiTheme="majorBidi" w:hAnsiTheme="majorBidi" w:cstheme="majorBidi"/>
          <w:sz w:val="24"/>
          <w:szCs w:val="24"/>
        </w:rPr>
        <w:t xml:space="preserve">IPD </w:t>
      </w:r>
      <w:r w:rsidRPr="00314A76">
        <w:rPr>
          <w:rFonts w:asciiTheme="majorBidi" w:hAnsiTheme="majorBidi" w:cstheme="majorBidi"/>
          <w:sz w:val="24"/>
          <w:szCs w:val="24"/>
        </w:rPr>
        <w:t xml:space="preserve">cases in our study were </w:t>
      </w:r>
      <w:r>
        <w:rPr>
          <w:rFonts w:asciiTheme="majorBidi" w:hAnsiTheme="majorBidi" w:cstheme="majorBidi"/>
          <w:sz w:val="24"/>
          <w:szCs w:val="24"/>
        </w:rPr>
        <w:t xml:space="preserve">of </w:t>
      </w:r>
      <w:r w:rsidRPr="00314A76">
        <w:rPr>
          <w:rFonts w:asciiTheme="majorBidi" w:hAnsiTheme="majorBidi" w:cstheme="majorBidi"/>
          <w:sz w:val="24"/>
          <w:szCs w:val="24"/>
        </w:rPr>
        <w:t xml:space="preserve">late onset </w:t>
      </w:r>
      <w:r>
        <w:rPr>
          <w:rFonts w:asciiTheme="majorBidi" w:hAnsiTheme="majorBidi" w:cstheme="majorBidi"/>
          <w:sz w:val="24"/>
          <w:szCs w:val="24"/>
        </w:rPr>
        <w:t>disease</w:t>
      </w:r>
      <w:r w:rsidRPr="00314A76">
        <w:rPr>
          <w:rFonts w:asciiTheme="majorBidi" w:hAnsiTheme="majorBidi" w:cstheme="majorBidi"/>
          <w:sz w:val="24"/>
          <w:szCs w:val="24"/>
        </w:rPr>
        <w:t xml:space="preserve">, </w:t>
      </w:r>
      <w:r>
        <w:rPr>
          <w:rFonts w:asciiTheme="majorBidi" w:hAnsiTheme="majorBidi" w:cstheme="majorBidi"/>
          <w:sz w:val="24"/>
          <w:szCs w:val="24"/>
        </w:rPr>
        <w:t xml:space="preserve">which is likely </w:t>
      </w:r>
      <w:r w:rsidRPr="00314A76">
        <w:rPr>
          <w:rFonts w:asciiTheme="majorBidi" w:hAnsiTheme="majorBidi" w:cstheme="majorBidi"/>
          <w:sz w:val="24"/>
          <w:szCs w:val="24"/>
        </w:rPr>
        <w:t xml:space="preserve">due to </w:t>
      </w:r>
      <w:r>
        <w:rPr>
          <w:rFonts w:asciiTheme="majorBidi" w:hAnsiTheme="majorBidi" w:cstheme="majorBidi"/>
          <w:sz w:val="24"/>
          <w:szCs w:val="24"/>
        </w:rPr>
        <w:t xml:space="preserve">acquisition within households </w:t>
      </w:r>
      <w:r>
        <w:rPr>
          <w:rFonts w:asciiTheme="majorBidi" w:hAnsiTheme="majorBidi" w:cstheme="majorBidi"/>
          <w:noProof/>
          <w:sz w:val="24"/>
          <w:szCs w:val="24"/>
        </w:rPr>
        <w:t>(33, 34)</w:t>
      </w:r>
      <w:r w:rsidRPr="00314A76">
        <w:rPr>
          <w:rFonts w:asciiTheme="majorBidi" w:hAnsiTheme="majorBidi" w:cstheme="majorBidi"/>
          <w:sz w:val="24"/>
          <w:szCs w:val="24"/>
        </w:rPr>
        <w:t>. Previous studies in low</w:t>
      </w:r>
      <w:r>
        <w:rPr>
          <w:rFonts w:asciiTheme="majorBidi" w:hAnsiTheme="majorBidi" w:cstheme="majorBidi"/>
          <w:sz w:val="24"/>
          <w:szCs w:val="24"/>
        </w:rPr>
        <w:t>-</w:t>
      </w:r>
      <w:r w:rsidRPr="00314A76">
        <w:rPr>
          <w:rFonts w:asciiTheme="majorBidi" w:hAnsiTheme="majorBidi" w:cstheme="majorBidi"/>
          <w:sz w:val="24"/>
          <w:szCs w:val="24"/>
        </w:rPr>
        <w:t xml:space="preserve">income settings have described that pneumococcal acquisition occurs very early in life. </w:t>
      </w:r>
      <w:proofErr w:type="spellStart"/>
      <w:r w:rsidRPr="00314A76">
        <w:rPr>
          <w:rFonts w:asciiTheme="majorBidi" w:hAnsiTheme="majorBidi" w:cstheme="majorBidi"/>
          <w:sz w:val="24"/>
          <w:szCs w:val="24"/>
        </w:rPr>
        <w:t>Tigoi</w:t>
      </w:r>
      <w:proofErr w:type="spellEnd"/>
      <w:r>
        <w:rPr>
          <w:rFonts w:asciiTheme="majorBidi" w:hAnsiTheme="majorBidi" w:cstheme="majorBidi"/>
          <w:sz w:val="24"/>
          <w:szCs w:val="24"/>
        </w:rPr>
        <w:t xml:space="preserve"> </w:t>
      </w:r>
      <w:r w:rsidRPr="00211493">
        <w:rPr>
          <w:rFonts w:asciiTheme="majorBidi" w:hAnsiTheme="majorBidi" w:cstheme="majorBidi"/>
          <w:i/>
          <w:iCs/>
          <w:sz w:val="24"/>
          <w:szCs w:val="24"/>
        </w:rPr>
        <w:t>et al</w:t>
      </w:r>
      <w:r w:rsidRPr="00314A76">
        <w:rPr>
          <w:rFonts w:asciiTheme="majorBidi" w:hAnsiTheme="majorBidi" w:cstheme="majorBidi"/>
          <w:sz w:val="24"/>
          <w:szCs w:val="24"/>
        </w:rPr>
        <w:t xml:space="preserve"> </w:t>
      </w:r>
      <w:r>
        <w:rPr>
          <w:rFonts w:asciiTheme="majorBidi" w:hAnsiTheme="majorBidi" w:cstheme="majorBidi"/>
          <w:noProof/>
          <w:sz w:val="24"/>
          <w:szCs w:val="24"/>
        </w:rPr>
        <w:t>(35)</w:t>
      </w:r>
      <w:r>
        <w:rPr>
          <w:rFonts w:asciiTheme="majorBidi" w:hAnsiTheme="majorBidi" w:cstheme="majorBidi"/>
          <w:sz w:val="24"/>
          <w:szCs w:val="24"/>
        </w:rPr>
        <w:t xml:space="preserve"> </w:t>
      </w:r>
      <w:r w:rsidRPr="00314A76">
        <w:rPr>
          <w:rFonts w:asciiTheme="majorBidi" w:hAnsiTheme="majorBidi" w:cstheme="majorBidi"/>
          <w:sz w:val="24"/>
          <w:szCs w:val="24"/>
        </w:rPr>
        <w:t>showed that in Kilifi, Ken</w:t>
      </w:r>
      <w:r>
        <w:rPr>
          <w:rFonts w:asciiTheme="majorBidi" w:hAnsiTheme="majorBidi" w:cstheme="majorBidi"/>
          <w:sz w:val="24"/>
          <w:szCs w:val="24"/>
        </w:rPr>
        <w:t>y</w:t>
      </w:r>
      <w:r w:rsidRPr="00314A76">
        <w:rPr>
          <w:rFonts w:asciiTheme="majorBidi" w:hAnsiTheme="majorBidi" w:cstheme="majorBidi"/>
          <w:sz w:val="24"/>
          <w:szCs w:val="24"/>
        </w:rPr>
        <w:t>a the median time to acquisition was 38.5 days</w:t>
      </w:r>
      <w:r>
        <w:rPr>
          <w:rFonts w:asciiTheme="majorBidi" w:hAnsiTheme="majorBidi" w:cstheme="majorBidi"/>
          <w:sz w:val="24"/>
          <w:szCs w:val="24"/>
        </w:rPr>
        <w:t xml:space="preserve"> of life and </w:t>
      </w:r>
      <w:proofErr w:type="spellStart"/>
      <w:r w:rsidRPr="00314A76">
        <w:rPr>
          <w:rFonts w:asciiTheme="majorBidi" w:hAnsiTheme="majorBidi" w:cstheme="majorBidi"/>
          <w:sz w:val="24"/>
          <w:szCs w:val="24"/>
        </w:rPr>
        <w:t>Heinsbroek</w:t>
      </w:r>
      <w:proofErr w:type="spellEnd"/>
      <w:r>
        <w:rPr>
          <w:rFonts w:asciiTheme="majorBidi" w:hAnsiTheme="majorBidi" w:cstheme="majorBidi"/>
          <w:sz w:val="24"/>
          <w:szCs w:val="24"/>
        </w:rPr>
        <w:t xml:space="preserve"> </w:t>
      </w:r>
      <w:r w:rsidRPr="00211493">
        <w:rPr>
          <w:rFonts w:asciiTheme="majorBidi" w:hAnsiTheme="majorBidi" w:cstheme="majorBidi"/>
          <w:i/>
          <w:iCs/>
          <w:sz w:val="24"/>
          <w:szCs w:val="24"/>
        </w:rPr>
        <w:t>et al</w:t>
      </w:r>
      <w:r w:rsidRPr="00314A76">
        <w:rPr>
          <w:rFonts w:asciiTheme="majorBidi" w:hAnsiTheme="majorBidi" w:cstheme="majorBidi"/>
          <w:sz w:val="24"/>
          <w:szCs w:val="24"/>
        </w:rPr>
        <w:t xml:space="preserve"> </w:t>
      </w:r>
      <w:r>
        <w:rPr>
          <w:rFonts w:asciiTheme="majorBidi" w:hAnsiTheme="majorBidi" w:cstheme="majorBidi"/>
          <w:noProof/>
          <w:sz w:val="24"/>
          <w:szCs w:val="24"/>
        </w:rPr>
        <w:t>(25)</w:t>
      </w:r>
      <w:r w:rsidRPr="007A1CD3">
        <w:rPr>
          <w:rFonts w:ascii="Times New Roman" w:hAnsi="Times New Roman" w:cs="Times New Roman"/>
          <w:bCs/>
          <w:sz w:val="24"/>
          <w:szCs w:val="24"/>
          <w:lang w:val="en-US"/>
        </w:rPr>
        <w:t xml:space="preserve"> </w:t>
      </w:r>
      <w:r w:rsidRPr="00314A76">
        <w:rPr>
          <w:rFonts w:asciiTheme="majorBidi" w:hAnsiTheme="majorBidi" w:cstheme="majorBidi"/>
          <w:sz w:val="24"/>
          <w:szCs w:val="24"/>
        </w:rPr>
        <w:t xml:space="preserve">showed a median time to first acquisition of 59 days </w:t>
      </w:r>
      <w:r>
        <w:rPr>
          <w:rFonts w:asciiTheme="majorBidi" w:hAnsiTheme="majorBidi" w:cstheme="majorBidi"/>
          <w:sz w:val="24"/>
          <w:szCs w:val="24"/>
        </w:rPr>
        <w:t xml:space="preserve">of life </w:t>
      </w:r>
      <w:r w:rsidRPr="00314A76">
        <w:rPr>
          <w:rFonts w:asciiTheme="majorBidi" w:hAnsiTheme="majorBidi" w:cstheme="majorBidi"/>
          <w:sz w:val="24"/>
          <w:szCs w:val="24"/>
        </w:rPr>
        <w:t xml:space="preserve">in </w:t>
      </w:r>
      <w:r>
        <w:rPr>
          <w:rFonts w:asciiTheme="majorBidi" w:hAnsiTheme="majorBidi" w:cstheme="majorBidi"/>
          <w:sz w:val="24"/>
          <w:szCs w:val="24"/>
        </w:rPr>
        <w:t>n</w:t>
      </w:r>
      <w:r w:rsidRPr="00314A76">
        <w:rPr>
          <w:rFonts w:asciiTheme="majorBidi" w:hAnsiTheme="majorBidi" w:cstheme="majorBidi"/>
          <w:sz w:val="24"/>
          <w:szCs w:val="24"/>
        </w:rPr>
        <w:t>orthern Malawi</w:t>
      </w:r>
      <w:r>
        <w:rPr>
          <w:rFonts w:asciiTheme="majorBidi" w:hAnsiTheme="majorBidi" w:cstheme="majorBidi"/>
          <w:sz w:val="24"/>
          <w:szCs w:val="24"/>
        </w:rPr>
        <w:t>.</w:t>
      </w:r>
    </w:p>
    <w:p w14:paraId="52D1F594" w14:textId="77777777" w:rsidR="00FE10EE" w:rsidRPr="00314A76" w:rsidRDefault="00FE10EE" w:rsidP="00FE10EE">
      <w:pPr>
        <w:spacing w:line="480" w:lineRule="auto"/>
        <w:jc w:val="both"/>
        <w:rPr>
          <w:rFonts w:asciiTheme="majorBidi" w:hAnsiTheme="majorBidi" w:cstheme="majorBidi"/>
          <w:sz w:val="24"/>
          <w:szCs w:val="24"/>
        </w:rPr>
      </w:pPr>
      <w:r w:rsidRPr="00314A76">
        <w:rPr>
          <w:rFonts w:asciiTheme="majorBidi" w:hAnsiTheme="majorBidi" w:cstheme="majorBidi"/>
          <w:sz w:val="24"/>
          <w:szCs w:val="24"/>
        </w:rPr>
        <w:lastRenderedPageBreak/>
        <w:t xml:space="preserve">In our study, </w:t>
      </w:r>
      <w:r>
        <w:rPr>
          <w:rFonts w:asciiTheme="majorBidi" w:hAnsiTheme="majorBidi" w:cstheme="majorBidi"/>
          <w:sz w:val="24"/>
          <w:szCs w:val="24"/>
        </w:rPr>
        <w:t xml:space="preserve">36 (27.7%) </w:t>
      </w:r>
      <w:r w:rsidRPr="00314A76">
        <w:rPr>
          <w:rFonts w:asciiTheme="majorBidi" w:hAnsiTheme="majorBidi" w:cstheme="majorBidi"/>
          <w:sz w:val="24"/>
          <w:szCs w:val="24"/>
        </w:rPr>
        <w:t xml:space="preserve">of our cases occurred in the first 7 days of life with </w:t>
      </w:r>
      <w:r>
        <w:rPr>
          <w:rFonts w:asciiTheme="majorBidi" w:hAnsiTheme="majorBidi" w:cstheme="majorBidi"/>
          <w:sz w:val="24"/>
          <w:szCs w:val="24"/>
        </w:rPr>
        <w:t xml:space="preserve">17 of these (47.2%) </w:t>
      </w:r>
      <w:r w:rsidRPr="00314A76">
        <w:rPr>
          <w:rFonts w:asciiTheme="majorBidi" w:hAnsiTheme="majorBidi" w:cstheme="majorBidi"/>
          <w:sz w:val="24"/>
          <w:szCs w:val="24"/>
        </w:rPr>
        <w:t xml:space="preserve">occurring within the first </w:t>
      </w:r>
      <w:r>
        <w:rPr>
          <w:rFonts w:asciiTheme="majorBidi" w:hAnsiTheme="majorBidi" w:cstheme="majorBidi"/>
          <w:sz w:val="24"/>
          <w:szCs w:val="24"/>
        </w:rPr>
        <w:t xml:space="preserve">72 </w:t>
      </w:r>
      <w:r w:rsidRPr="00314A76">
        <w:rPr>
          <w:rFonts w:asciiTheme="majorBidi" w:hAnsiTheme="majorBidi" w:cstheme="majorBidi"/>
          <w:sz w:val="24"/>
          <w:szCs w:val="24"/>
        </w:rPr>
        <w:t>hours after birth</w:t>
      </w:r>
      <w:r>
        <w:rPr>
          <w:rFonts w:asciiTheme="majorBidi" w:hAnsiTheme="majorBidi" w:cstheme="majorBidi"/>
          <w:sz w:val="24"/>
          <w:szCs w:val="24"/>
        </w:rPr>
        <w:t xml:space="preserve">. Although horizontal transmission from the mother or other household members remains likely, this suggests potential perinatal transmission at the time of labour. </w:t>
      </w:r>
      <w:r w:rsidRPr="00314A76">
        <w:rPr>
          <w:rFonts w:asciiTheme="majorBidi" w:hAnsiTheme="majorBidi" w:cstheme="majorBidi"/>
          <w:sz w:val="24"/>
          <w:szCs w:val="24"/>
        </w:rPr>
        <w:t xml:space="preserve"> </w:t>
      </w:r>
      <w:r>
        <w:rPr>
          <w:rFonts w:asciiTheme="majorBidi" w:hAnsiTheme="majorBidi" w:cstheme="majorBidi"/>
          <w:sz w:val="24"/>
          <w:szCs w:val="24"/>
        </w:rPr>
        <w:t xml:space="preserve">Although </w:t>
      </w:r>
      <w:r w:rsidRPr="00314A76">
        <w:rPr>
          <w:rFonts w:asciiTheme="majorBidi" w:hAnsiTheme="majorBidi" w:cstheme="majorBidi"/>
          <w:i/>
          <w:iCs/>
          <w:sz w:val="24"/>
          <w:szCs w:val="24"/>
        </w:rPr>
        <w:t xml:space="preserve">Streptococcus pneumoniae </w:t>
      </w:r>
      <w:r w:rsidRPr="00314A76">
        <w:rPr>
          <w:rFonts w:asciiTheme="majorBidi" w:hAnsiTheme="majorBidi" w:cstheme="majorBidi"/>
          <w:sz w:val="24"/>
          <w:szCs w:val="24"/>
        </w:rPr>
        <w:t>is rarely isolated from the female genital tract</w:t>
      </w:r>
      <w:r>
        <w:rPr>
          <w:rFonts w:asciiTheme="majorBidi" w:hAnsiTheme="majorBidi" w:cstheme="majorBidi"/>
          <w:sz w:val="24"/>
          <w:szCs w:val="24"/>
        </w:rPr>
        <w:t>,</w:t>
      </w:r>
      <w:r w:rsidRPr="00314A76">
        <w:rPr>
          <w:rFonts w:asciiTheme="majorBidi" w:hAnsiTheme="majorBidi" w:cstheme="majorBidi"/>
          <w:sz w:val="24"/>
          <w:szCs w:val="24"/>
        </w:rPr>
        <w:t xml:space="preserve"> </w:t>
      </w:r>
      <w:r>
        <w:rPr>
          <w:rFonts w:asciiTheme="majorBidi" w:hAnsiTheme="majorBidi" w:cstheme="majorBidi"/>
          <w:sz w:val="24"/>
          <w:szCs w:val="24"/>
        </w:rPr>
        <w:t xml:space="preserve">it </w:t>
      </w:r>
      <w:r w:rsidRPr="00314A76">
        <w:rPr>
          <w:rFonts w:asciiTheme="majorBidi" w:hAnsiTheme="majorBidi" w:cstheme="majorBidi"/>
          <w:sz w:val="24"/>
          <w:szCs w:val="24"/>
        </w:rPr>
        <w:t>is responsible for 1-11% of cases of neonatal sepsis</w:t>
      </w:r>
      <w:r>
        <w:rPr>
          <w:rFonts w:asciiTheme="majorBidi" w:hAnsiTheme="majorBidi" w:cstheme="majorBidi"/>
          <w:sz w:val="24"/>
          <w:szCs w:val="24"/>
        </w:rPr>
        <w:t xml:space="preserve"> </w:t>
      </w:r>
      <w:r>
        <w:rPr>
          <w:rFonts w:asciiTheme="majorBidi" w:hAnsiTheme="majorBidi" w:cstheme="majorBidi"/>
          <w:noProof/>
          <w:sz w:val="24"/>
          <w:szCs w:val="24"/>
        </w:rPr>
        <w:t>(11, 36, 37)</w:t>
      </w:r>
      <w:r w:rsidRPr="00314A76">
        <w:rPr>
          <w:rFonts w:asciiTheme="majorBidi" w:hAnsiTheme="majorBidi" w:cstheme="majorBidi"/>
          <w:sz w:val="24"/>
          <w:szCs w:val="24"/>
        </w:rPr>
        <w:t xml:space="preserve">. This </w:t>
      </w:r>
      <w:r>
        <w:rPr>
          <w:rFonts w:asciiTheme="majorBidi" w:hAnsiTheme="majorBidi" w:cstheme="majorBidi"/>
          <w:sz w:val="24"/>
          <w:szCs w:val="24"/>
        </w:rPr>
        <w:t>suggests</w:t>
      </w:r>
      <w:r w:rsidRPr="00314A76">
        <w:rPr>
          <w:rFonts w:asciiTheme="majorBidi" w:hAnsiTheme="majorBidi" w:cstheme="majorBidi"/>
          <w:sz w:val="24"/>
          <w:szCs w:val="24"/>
        </w:rPr>
        <w:t xml:space="preserve"> that mothers colonized with </w:t>
      </w:r>
      <w:r w:rsidRPr="00314A76">
        <w:rPr>
          <w:rFonts w:asciiTheme="majorBidi" w:hAnsiTheme="majorBidi" w:cstheme="majorBidi"/>
          <w:i/>
          <w:iCs/>
          <w:sz w:val="24"/>
          <w:szCs w:val="24"/>
        </w:rPr>
        <w:t>Streptococcus pneumoniae</w:t>
      </w:r>
      <w:r w:rsidRPr="00314A76">
        <w:rPr>
          <w:rFonts w:asciiTheme="majorBidi" w:hAnsiTheme="majorBidi" w:cstheme="majorBidi"/>
          <w:sz w:val="24"/>
          <w:szCs w:val="24"/>
        </w:rPr>
        <w:t xml:space="preserve"> </w:t>
      </w:r>
      <w:r>
        <w:rPr>
          <w:rFonts w:asciiTheme="majorBidi" w:hAnsiTheme="majorBidi" w:cstheme="majorBidi"/>
          <w:sz w:val="24"/>
          <w:szCs w:val="24"/>
        </w:rPr>
        <w:t xml:space="preserve">in the genital tract </w:t>
      </w:r>
      <w:r w:rsidRPr="00314A76">
        <w:rPr>
          <w:rFonts w:asciiTheme="majorBidi" w:hAnsiTheme="majorBidi" w:cstheme="majorBidi"/>
          <w:sz w:val="24"/>
          <w:szCs w:val="24"/>
        </w:rPr>
        <w:t xml:space="preserve">have a high likelihood of transmitting the organism to their infants </w:t>
      </w:r>
      <w:r>
        <w:rPr>
          <w:rFonts w:asciiTheme="majorBidi" w:hAnsiTheme="majorBidi" w:cstheme="majorBidi"/>
          <w:sz w:val="24"/>
          <w:szCs w:val="24"/>
        </w:rPr>
        <w:t>at or very soon after birth</w:t>
      </w:r>
      <w:r w:rsidRPr="00314A76">
        <w:rPr>
          <w:rFonts w:asciiTheme="majorBidi" w:hAnsiTheme="majorBidi" w:cstheme="majorBidi"/>
          <w:sz w:val="24"/>
          <w:szCs w:val="24"/>
        </w:rPr>
        <w:t xml:space="preserve"> </w:t>
      </w:r>
      <w:r>
        <w:rPr>
          <w:rFonts w:asciiTheme="majorBidi" w:hAnsiTheme="majorBidi" w:cstheme="majorBidi"/>
          <w:noProof/>
          <w:sz w:val="24"/>
          <w:szCs w:val="24"/>
        </w:rPr>
        <w:t>(2, 3, 38)</w:t>
      </w:r>
      <w:r w:rsidRPr="00314A76">
        <w:rPr>
          <w:rFonts w:asciiTheme="majorBidi" w:hAnsiTheme="majorBidi" w:cstheme="majorBidi"/>
          <w:sz w:val="24"/>
          <w:szCs w:val="24"/>
        </w:rPr>
        <w:t>.</w:t>
      </w:r>
      <w:r w:rsidRPr="00314A76">
        <w:rPr>
          <w:rFonts w:asciiTheme="majorBidi" w:hAnsiTheme="majorBidi" w:cstheme="majorBidi"/>
          <w:bCs/>
          <w:sz w:val="24"/>
          <w:szCs w:val="24"/>
          <w:lang w:val="en-US"/>
        </w:rPr>
        <w:t xml:space="preserve"> </w:t>
      </w:r>
      <w:r w:rsidRPr="00314A76">
        <w:rPr>
          <w:rFonts w:asciiTheme="majorBidi" w:hAnsiTheme="majorBidi" w:cstheme="majorBidi"/>
          <w:sz w:val="24"/>
          <w:szCs w:val="24"/>
        </w:rPr>
        <w:t>Our results emphasize the need to prevent mother</w:t>
      </w:r>
      <w:r>
        <w:rPr>
          <w:rFonts w:asciiTheme="majorBidi" w:hAnsiTheme="majorBidi" w:cstheme="majorBidi"/>
          <w:sz w:val="24"/>
          <w:szCs w:val="24"/>
        </w:rPr>
        <w:t>-</w:t>
      </w:r>
      <w:r w:rsidRPr="00314A76">
        <w:rPr>
          <w:rFonts w:asciiTheme="majorBidi" w:hAnsiTheme="majorBidi" w:cstheme="majorBidi"/>
          <w:sz w:val="24"/>
          <w:szCs w:val="24"/>
        </w:rPr>
        <w:t>to</w:t>
      </w:r>
      <w:r>
        <w:rPr>
          <w:rFonts w:asciiTheme="majorBidi" w:hAnsiTheme="majorBidi" w:cstheme="majorBidi"/>
          <w:sz w:val="24"/>
          <w:szCs w:val="24"/>
        </w:rPr>
        <w:t>-</w:t>
      </w:r>
      <w:r w:rsidRPr="00314A76">
        <w:rPr>
          <w:rFonts w:asciiTheme="majorBidi" w:hAnsiTheme="majorBidi" w:cstheme="majorBidi"/>
          <w:sz w:val="24"/>
          <w:szCs w:val="24"/>
        </w:rPr>
        <w:t>child transmission and the importance of further research into preventative strategies such as maternal immunization.</w:t>
      </w:r>
    </w:p>
    <w:p w14:paraId="5BC70F7F" w14:textId="77777777" w:rsidR="00FE10EE" w:rsidRPr="009E34C6" w:rsidRDefault="00FE10EE" w:rsidP="00FE10EE">
      <w:pPr>
        <w:spacing w:line="480" w:lineRule="auto"/>
        <w:jc w:val="both"/>
        <w:rPr>
          <w:rFonts w:ascii="Times New Roman" w:hAnsi="Times New Roman" w:cs="Times New Roman"/>
          <w:bCs/>
          <w:sz w:val="24"/>
          <w:szCs w:val="24"/>
          <w:lang w:val="en-US"/>
        </w:rPr>
      </w:pPr>
      <w:r w:rsidRPr="00236CFC">
        <w:rPr>
          <w:rFonts w:asciiTheme="majorBidi" w:hAnsiTheme="majorBidi" w:cstheme="majorBidi"/>
          <w:sz w:val="24"/>
          <w:szCs w:val="24"/>
        </w:rPr>
        <w:t>Although this work provides a</w:t>
      </w:r>
      <w:r>
        <w:rPr>
          <w:rFonts w:asciiTheme="majorBidi" w:hAnsiTheme="majorBidi" w:cstheme="majorBidi"/>
          <w:sz w:val="24"/>
          <w:szCs w:val="24"/>
        </w:rPr>
        <w:t>n</w:t>
      </w:r>
      <w:r w:rsidRPr="00236CFC">
        <w:rPr>
          <w:rFonts w:asciiTheme="majorBidi" w:hAnsiTheme="majorBidi" w:cstheme="majorBidi"/>
          <w:sz w:val="24"/>
          <w:szCs w:val="24"/>
        </w:rPr>
        <w:t xml:space="preserve"> estimate of vaccine impact, it has several limitations. </w:t>
      </w:r>
      <w:r w:rsidRPr="00EE5FF9">
        <w:rPr>
          <w:rFonts w:asciiTheme="majorBidi" w:hAnsiTheme="majorBidi" w:cstheme="majorBidi"/>
          <w:sz w:val="24"/>
          <w:szCs w:val="24"/>
        </w:rPr>
        <w:t>We were unable to review clinical, follow</w:t>
      </w:r>
      <w:r>
        <w:rPr>
          <w:rFonts w:asciiTheme="majorBidi" w:hAnsiTheme="majorBidi" w:cstheme="majorBidi"/>
          <w:sz w:val="24"/>
          <w:szCs w:val="24"/>
        </w:rPr>
        <w:t>-</w:t>
      </w:r>
      <w:r w:rsidRPr="00EE5FF9">
        <w:rPr>
          <w:rFonts w:asciiTheme="majorBidi" w:hAnsiTheme="majorBidi" w:cstheme="majorBidi"/>
          <w:sz w:val="24"/>
          <w:szCs w:val="24"/>
        </w:rPr>
        <w:t xml:space="preserve">up and </w:t>
      </w:r>
      <w:r w:rsidRPr="00EE5FF9">
        <w:rPr>
          <w:rFonts w:asciiTheme="majorBidi" w:hAnsiTheme="majorBidi" w:cstheme="majorBidi"/>
          <w:sz w:val="24"/>
          <w:szCs w:val="24"/>
        </w:rPr>
        <w:lastRenderedPageBreak/>
        <w:t>outcome data</w:t>
      </w:r>
      <w:r>
        <w:rPr>
          <w:rFonts w:asciiTheme="majorBidi" w:hAnsiTheme="majorBidi" w:cstheme="majorBidi"/>
          <w:sz w:val="24"/>
          <w:szCs w:val="24"/>
        </w:rPr>
        <w:t xml:space="preserve"> for the cases and were not able to collect information on demographics and  vaccination status. O</w:t>
      </w:r>
      <w:r w:rsidRPr="00EE5FF9">
        <w:rPr>
          <w:rFonts w:asciiTheme="majorBidi" w:hAnsiTheme="majorBidi" w:cstheme="majorBidi"/>
          <w:sz w:val="24"/>
          <w:szCs w:val="24"/>
        </w:rPr>
        <w:t>ur</w:t>
      </w:r>
      <w:r w:rsidRPr="00314A76">
        <w:rPr>
          <w:rFonts w:asciiTheme="majorBidi" w:hAnsiTheme="majorBidi" w:cstheme="majorBidi"/>
          <w:sz w:val="24"/>
          <w:szCs w:val="24"/>
        </w:rPr>
        <w:t xml:space="preserve"> study </w:t>
      </w:r>
      <w:r>
        <w:rPr>
          <w:rFonts w:asciiTheme="majorBidi" w:hAnsiTheme="majorBidi" w:cstheme="majorBidi"/>
          <w:sz w:val="24"/>
          <w:szCs w:val="24"/>
        </w:rPr>
        <w:t>only r</w:t>
      </w:r>
      <w:r w:rsidRPr="00314A76">
        <w:rPr>
          <w:rFonts w:asciiTheme="majorBidi" w:hAnsiTheme="majorBidi" w:cstheme="majorBidi"/>
          <w:sz w:val="24"/>
          <w:szCs w:val="24"/>
        </w:rPr>
        <w:t xml:space="preserve">epresents children who presented to </w:t>
      </w:r>
      <w:r>
        <w:rPr>
          <w:rFonts w:asciiTheme="majorBidi" w:hAnsiTheme="majorBidi" w:cstheme="majorBidi"/>
          <w:sz w:val="24"/>
          <w:szCs w:val="24"/>
        </w:rPr>
        <w:t>hospital</w:t>
      </w:r>
      <w:r w:rsidRPr="00314A76">
        <w:rPr>
          <w:rFonts w:asciiTheme="majorBidi" w:hAnsiTheme="majorBidi" w:cstheme="majorBidi"/>
          <w:sz w:val="24"/>
          <w:szCs w:val="24"/>
        </w:rPr>
        <w:t xml:space="preserve"> and not those managed in </w:t>
      </w:r>
      <w:r>
        <w:rPr>
          <w:rFonts w:asciiTheme="majorBidi" w:hAnsiTheme="majorBidi" w:cstheme="majorBidi"/>
          <w:sz w:val="24"/>
          <w:szCs w:val="24"/>
        </w:rPr>
        <w:t xml:space="preserve">community </w:t>
      </w:r>
      <w:r w:rsidRPr="00314A76">
        <w:rPr>
          <w:rFonts w:asciiTheme="majorBidi" w:hAnsiTheme="majorBidi" w:cstheme="majorBidi"/>
          <w:sz w:val="24"/>
          <w:szCs w:val="24"/>
        </w:rPr>
        <w:t>health centres</w:t>
      </w:r>
      <w:r>
        <w:rPr>
          <w:rFonts w:asciiTheme="majorBidi" w:hAnsiTheme="majorBidi" w:cstheme="majorBidi"/>
          <w:sz w:val="24"/>
          <w:szCs w:val="24"/>
        </w:rPr>
        <w:t xml:space="preserve"> or at home, with a resulting risk of underestimation of true numbers. This is likely limited, given the clinical severity of IPD in infants and the fact that QECH is the only hospital in Blantyre District with inpatient paediatric facilities. There remains a further risk of underestimation of IPD due to the challenges with blood volumes for culture in small infants. To our benefit, a large longitudinal study on bloodstream infections in children admitted to QECH has shown that the total paediatric and neonatal admissions have remained broadly constant since 2005 </w:t>
      </w:r>
      <w:r w:rsidRPr="009E34C6">
        <w:rPr>
          <w:rFonts w:asciiTheme="majorBidi" w:hAnsiTheme="majorBidi" w:cstheme="majorBidi"/>
          <w:sz w:val="24"/>
          <w:szCs w:val="24"/>
        </w:rPr>
        <w:t>(24)</w:t>
      </w:r>
      <w:r>
        <w:rPr>
          <w:rFonts w:asciiTheme="majorBidi" w:hAnsiTheme="majorBidi" w:cstheme="majorBidi"/>
          <w:sz w:val="24"/>
          <w:szCs w:val="24"/>
        </w:rPr>
        <w:t>.</w:t>
      </w:r>
      <w:r w:rsidRPr="009E34C6">
        <w:rPr>
          <w:rFonts w:asciiTheme="majorBidi" w:hAnsiTheme="majorBidi" w:cstheme="majorBidi"/>
          <w:sz w:val="24"/>
          <w:szCs w:val="24"/>
        </w:rPr>
        <w:t xml:space="preserve"> </w:t>
      </w:r>
      <w:r>
        <w:rPr>
          <w:rFonts w:asciiTheme="majorBidi" w:hAnsiTheme="majorBidi" w:cstheme="majorBidi"/>
          <w:sz w:val="24"/>
          <w:szCs w:val="24"/>
        </w:rPr>
        <w:t xml:space="preserve">Furthermore, we </w:t>
      </w:r>
      <w:r w:rsidRPr="005361A1">
        <w:rPr>
          <w:rFonts w:asciiTheme="majorBidi" w:hAnsiTheme="majorBidi" w:cstheme="majorBidi"/>
          <w:sz w:val="24"/>
          <w:szCs w:val="24"/>
        </w:rPr>
        <w:t xml:space="preserve">estimated the population of infants &lt;90 days old by taking a </w:t>
      </w:r>
      <w:r>
        <w:rPr>
          <w:rFonts w:asciiTheme="majorBidi" w:hAnsiTheme="majorBidi" w:cstheme="majorBidi"/>
          <w:sz w:val="24"/>
          <w:szCs w:val="24"/>
        </w:rPr>
        <w:t xml:space="preserve">3/12 </w:t>
      </w:r>
      <w:r w:rsidRPr="005361A1">
        <w:rPr>
          <w:rFonts w:asciiTheme="majorBidi" w:hAnsiTheme="majorBidi" w:cstheme="majorBidi"/>
          <w:sz w:val="24"/>
          <w:szCs w:val="24"/>
        </w:rPr>
        <w:t>proportion of th</w:t>
      </w:r>
      <w:r>
        <w:rPr>
          <w:rFonts w:asciiTheme="majorBidi" w:hAnsiTheme="majorBidi" w:cstheme="majorBidi"/>
          <w:sz w:val="24"/>
          <w:szCs w:val="24"/>
        </w:rPr>
        <w:t xml:space="preserve">e children &lt;1 year old. This method will lead to a small underestimation of the denominator due to the high infant </w:t>
      </w:r>
      <w:r>
        <w:rPr>
          <w:rFonts w:asciiTheme="majorBidi" w:hAnsiTheme="majorBidi" w:cstheme="majorBidi"/>
          <w:sz w:val="24"/>
          <w:szCs w:val="24"/>
        </w:rPr>
        <w:lastRenderedPageBreak/>
        <w:t>mortality rates (IMR).</w:t>
      </w:r>
      <w:r w:rsidRPr="000D0058">
        <w:rPr>
          <w:rFonts w:asciiTheme="majorBidi" w:hAnsiTheme="majorBidi" w:cstheme="majorBidi"/>
          <w:sz w:val="24"/>
          <w:szCs w:val="24"/>
        </w:rPr>
        <w:t xml:space="preserve"> </w:t>
      </w:r>
      <w:r>
        <w:rPr>
          <w:rFonts w:asciiTheme="majorBidi" w:hAnsiTheme="majorBidi" w:cstheme="majorBidi"/>
          <w:sz w:val="24"/>
          <w:szCs w:val="24"/>
        </w:rPr>
        <w:t xml:space="preserve">This underestimation will change over time as a consequence of falling IMR. Although the fall in IMR is relatively substantial from about 70 to 40 per 1000 live births, in absolute terms this makes only marginal differences to the denominator population and we feel is an acceptable error in the context of these data. Though not </w:t>
      </w:r>
      <w:r w:rsidRPr="009E34C6">
        <w:rPr>
          <w:rFonts w:asciiTheme="majorBidi" w:hAnsiTheme="majorBidi" w:cstheme="majorBidi"/>
          <w:sz w:val="24"/>
          <w:szCs w:val="24"/>
        </w:rPr>
        <w:t xml:space="preserve">all isolates were </w:t>
      </w:r>
      <w:r>
        <w:rPr>
          <w:rFonts w:asciiTheme="majorBidi" w:hAnsiTheme="majorBidi" w:cstheme="majorBidi"/>
          <w:sz w:val="24"/>
          <w:szCs w:val="24"/>
        </w:rPr>
        <w:t>recoverable, a</w:t>
      </w:r>
      <w:r w:rsidRPr="009E34C6">
        <w:rPr>
          <w:rFonts w:asciiTheme="majorBidi" w:hAnsiTheme="majorBidi" w:cstheme="majorBidi"/>
          <w:sz w:val="24"/>
          <w:szCs w:val="24"/>
        </w:rPr>
        <w:t xml:space="preserve">nalysis of </w:t>
      </w:r>
      <w:r>
        <w:rPr>
          <w:rFonts w:asciiTheme="majorBidi" w:hAnsiTheme="majorBidi" w:cstheme="majorBidi"/>
          <w:sz w:val="24"/>
          <w:szCs w:val="24"/>
        </w:rPr>
        <w:t xml:space="preserve">those </w:t>
      </w:r>
      <w:r w:rsidRPr="009E34C6">
        <w:rPr>
          <w:rFonts w:asciiTheme="majorBidi" w:hAnsiTheme="majorBidi" w:cstheme="majorBidi"/>
          <w:sz w:val="24"/>
          <w:szCs w:val="24"/>
        </w:rPr>
        <w:t>that were and were not recoverable showed no statistically significant difference in age, gender, or sample type.</w:t>
      </w:r>
      <w:r>
        <w:rPr>
          <w:rFonts w:ascii="Times New Roman" w:hAnsi="Times New Roman" w:cs="Times New Roman"/>
          <w:bCs/>
          <w:sz w:val="24"/>
          <w:szCs w:val="24"/>
          <w:lang w:val="en-US"/>
        </w:rPr>
        <w:t xml:space="preserve"> </w:t>
      </w:r>
    </w:p>
    <w:p w14:paraId="7EAA6814" w14:textId="77777777" w:rsidR="00FE10EE" w:rsidRPr="001F6AFE" w:rsidRDefault="00FE10EE" w:rsidP="00FE10EE">
      <w:pPr>
        <w:spacing w:line="480" w:lineRule="auto"/>
        <w:jc w:val="both"/>
        <w:rPr>
          <w:rFonts w:asciiTheme="majorBidi" w:hAnsiTheme="majorBidi" w:cstheme="majorBidi"/>
          <w:sz w:val="24"/>
          <w:szCs w:val="24"/>
        </w:rPr>
      </w:pPr>
      <w:bookmarkStart w:id="3" w:name="_Hlk75097961"/>
      <w:r w:rsidRPr="001F6AFE">
        <w:rPr>
          <w:rFonts w:asciiTheme="majorBidi" w:hAnsiTheme="majorBidi" w:cstheme="majorBidi"/>
          <w:sz w:val="24"/>
          <w:szCs w:val="24"/>
        </w:rPr>
        <w:t>This study presents a unique set of data on the burden of IPD in infants less than 90 days old over a 14</w:t>
      </w:r>
      <w:r>
        <w:rPr>
          <w:rFonts w:asciiTheme="majorBidi" w:hAnsiTheme="majorBidi" w:cstheme="majorBidi"/>
          <w:sz w:val="24"/>
          <w:szCs w:val="24"/>
        </w:rPr>
        <w:t>-</w:t>
      </w:r>
      <w:r w:rsidRPr="001F6AFE">
        <w:rPr>
          <w:rFonts w:asciiTheme="majorBidi" w:hAnsiTheme="majorBidi" w:cstheme="majorBidi"/>
          <w:sz w:val="24"/>
          <w:szCs w:val="24"/>
        </w:rPr>
        <w:t xml:space="preserve">year period. The results are derived from one of the few large databases across Africa based on long-term </w:t>
      </w:r>
      <w:r>
        <w:rPr>
          <w:rFonts w:asciiTheme="majorBidi" w:hAnsiTheme="majorBidi" w:cstheme="majorBidi"/>
          <w:sz w:val="24"/>
          <w:szCs w:val="24"/>
        </w:rPr>
        <w:t xml:space="preserve">robust </w:t>
      </w:r>
      <w:r w:rsidRPr="001F6AFE">
        <w:rPr>
          <w:rFonts w:asciiTheme="majorBidi" w:hAnsiTheme="majorBidi" w:cstheme="majorBidi"/>
          <w:sz w:val="24"/>
          <w:szCs w:val="24"/>
        </w:rPr>
        <w:t>continuous prospective, systematic and reproducible surveillance. The Malawi-Liverpool-</w:t>
      </w:r>
      <w:proofErr w:type="spellStart"/>
      <w:r w:rsidRPr="001F6AFE">
        <w:rPr>
          <w:rFonts w:asciiTheme="majorBidi" w:hAnsiTheme="majorBidi" w:cstheme="majorBidi"/>
          <w:sz w:val="24"/>
          <w:szCs w:val="24"/>
        </w:rPr>
        <w:t>Wellcome</w:t>
      </w:r>
      <w:proofErr w:type="spellEnd"/>
      <w:r w:rsidRPr="001F6AFE">
        <w:rPr>
          <w:rFonts w:asciiTheme="majorBidi" w:hAnsiTheme="majorBidi" w:cstheme="majorBidi"/>
          <w:sz w:val="24"/>
          <w:szCs w:val="24"/>
        </w:rPr>
        <w:t xml:space="preserve"> Clinical Research Programme has provided routine, quality controlled, diagnostic blood culture service for paediatric patients with suspected severe </w:t>
      </w:r>
      <w:r w:rsidRPr="001F6AFE">
        <w:rPr>
          <w:rFonts w:asciiTheme="majorBidi" w:hAnsiTheme="majorBidi" w:cstheme="majorBidi"/>
          <w:sz w:val="24"/>
          <w:szCs w:val="24"/>
        </w:rPr>
        <w:lastRenderedPageBreak/>
        <w:t>bacterial infection admitted to QECH since 1998</w:t>
      </w:r>
      <w:r>
        <w:rPr>
          <w:rFonts w:asciiTheme="majorBidi" w:hAnsiTheme="majorBidi" w:cstheme="majorBidi"/>
          <w:sz w:val="24"/>
          <w:szCs w:val="24"/>
        </w:rPr>
        <w:t>. P</w:t>
      </w:r>
      <w:r w:rsidRPr="001F6AFE">
        <w:rPr>
          <w:rFonts w:asciiTheme="majorBidi" w:hAnsiTheme="majorBidi" w:cstheme="majorBidi"/>
          <w:sz w:val="24"/>
          <w:szCs w:val="24"/>
        </w:rPr>
        <w:t xml:space="preserve">reviously published </w:t>
      </w:r>
      <w:r>
        <w:rPr>
          <w:rFonts w:asciiTheme="majorBidi" w:hAnsiTheme="majorBidi" w:cstheme="majorBidi"/>
          <w:sz w:val="24"/>
          <w:szCs w:val="24"/>
        </w:rPr>
        <w:t xml:space="preserve">robust </w:t>
      </w:r>
      <w:r w:rsidRPr="001F6AFE">
        <w:rPr>
          <w:rFonts w:asciiTheme="majorBidi" w:hAnsiTheme="majorBidi" w:cstheme="majorBidi"/>
          <w:sz w:val="24"/>
          <w:szCs w:val="24"/>
        </w:rPr>
        <w:t xml:space="preserve">surveillance studies at this site have shown similar methodology and consistency </w:t>
      </w:r>
      <w:bookmarkEnd w:id="3"/>
      <w:r>
        <w:rPr>
          <w:rFonts w:asciiTheme="majorBidi" w:hAnsiTheme="majorBidi" w:cstheme="majorBidi"/>
          <w:noProof/>
          <w:sz w:val="24"/>
          <w:szCs w:val="24"/>
        </w:rPr>
        <w:t>(15, 26)</w:t>
      </w:r>
      <w:r w:rsidRPr="001F6AFE">
        <w:rPr>
          <w:rFonts w:asciiTheme="majorBidi" w:hAnsiTheme="majorBidi" w:cstheme="majorBidi"/>
          <w:sz w:val="24"/>
          <w:szCs w:val="24"/>
        </w:rPr>
        <w:t xml:space="preserve">. </w:t>
      </w:r>
    </w:p>
    <w:p w14:paraId="6A67CB83" w14:textId="77777777" w:rsidR="00FE10EE" w:rsidRPr="00DA415E" w:rsidRDefault="00FE10EE" w:rsidP="00FE10EE">
      <w:pPr>
        <w:pStyle w:val="Heading1"/>
        <w:spacing w:line="480" w:lineRule="auto"/>
        <w:rPr>
          <w:rFonts w:asciiTheme="majorBidi" w:hAnsiTheme="majorBidi"/>
          <w:color w:val="auto"/>
          <w:sz w:val="32"/>
          <w:szCs w:val="32"/>
        </w:rPr>
      </w:pPr>
      <w:r w:rsidRPr="00DA415E">
        <w:rPr>
          <w:rFonts w:asciiTheme="majorBidi" w:hAnsiTheme="majorBidi"/>
          <w:color w:val="auto"/>
          <w:sz w:val="32"/>
          <w:szCs w:val="32"/>
        </w:rPr>
        <w:t>Conclusion</w:t>
      </w:r>
    </w:p>
    <w:p w14:paraId="2AF7515C" w14:textId="77777777" w:rsidR="00FE10EE" w:rsidRPr="00314A76" w:rsidRDefault="00FE10EE" w:rsidP="00FE10EE">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Pr="00314A76">
        <w:rPr>
          <w:rFonts w:asciiTheme="majorBidi" w:hAnsiTheme="majorBidi" w:cstheme="majorBidi"/>
          <w:sz w:val="24"/>
          <w:szCs w:val="24"/>
        </w:rPr>
        <w:t xml:space="preserve">his study demonstrates that IPD incidence </w:t>
      </w:r>
      <w:r>
        <w:rPr>
          <w:rFonts w:asciiTheme="majorBidi" w:hAnsiTheme="majorBidi" w:cstheme="majorBidi"/>
          <w:sz w:val="24"/>
          <w:szCs w:val="24"/>
        </w:rPr>
        <w:t xml:space="preserve">among </w:t>
      </w:r>
      <w:r w:rsidRPr="00314A76">
        <w:rPr>
          <w:rFonts w:asciiTheme="majorBidi" w:hAnsiTheme="majorBidi" w:cstheme="majorBidi"/>
          <w:sz w:val="24"/>
          <w:szCs w:val="24"/>
        </w:rPr>
        <w:t>neonates and young infants has decline</w:t>
      </w:r>
      <w:r>
        <w:rPr>
          <w:rFonts w:asciiTheme="majorBidi" w:hAnsiTheme="majorBidi" w:cstheme="majorBidi"/>
          <w:sz w:val="24"/>
          <w:szCs w:val="24"/>
        </w:rPr>
        <w:t>d</w:t>
      </w:r>
      <w:r w:rsidRPr="00314A76">
        <w:rPr>
          <w:rFonts w:asciiTheme="majorBidi" w:hAnsiTheme="majorBidi" w:cstheme="majorBidi"/>
          <w:sz w:val="24"/>
          <w:szCs w:val="24"/>
        </w:rPr>
        <w:t xml:space="preserve"> </w:t>
      </w:r>
      <w:r>
        <w:rPr>
          <w:rFonts w:asciiTheme="majorBidi" w:hAnsiTheme="majorBidi" w:cstheme="majorBidi"/>
          <w:sz w:val="24"/>
          <w:szCs w:val="24"/>
        </w:rPr>
        <w:t xml:space="preserve">over the past decade in </w:t>
      </w:r>
      <w:r w:rsidRPr="00314A76">
        <w:rPr>
          <w:rFonts w:asciiTheme="majorBidi" w:hAnsiTheme="majorBidi" w:cstheme="majorBidi"/>
          <w:sz w:val="24"/>
          <w:szCs w:val="24"/>
        </w:rPr>
        <w:t xml:space="preserve">Blantyre, Malawi. </w:t>
      </w:r>
      <w:r>
        <w:rPr>
          <w:rFonts w:asciiTheme="majorBidi" w:hAnsiTheme="majorBidi" w:cstheme="majorBidi"/>
          <w:sz w:val="24"/>
          <w:szCs w:val="24"/>
        </w:rPr>
        <w:t>However, pneumococcal v</w:t>
      </w:r>
      <w:r w:rsidRPr="00314A76">
        <w:rPr>
          <w:rFonts w:asciiTheme="majorBidi" w:hAnsiTheme="majorBidi" w:cstheme="majorBidi"/>
          <w:sz w:val="24"/>
          <w:szCs w:val="24"/>
        </w:rPr>
        <w:t xml:space="preserve">accine serotypes were the main cause of IPD both before and after PCV13 introduction. </w:t>
      </w:r>
      <w:r>
        <w:rPr>
          <w:rFonts w:asciiTheme="majorBidi" w:hAnsiTheme="majorBidi" w:cstheme="majorBidi"/>
          <w:sz w:val="24"/>
          <w:szCs w:val="24"/>
        </w:rPr>
        <w:t xml:space="preserve">We believe that there is incomplete </w:t>
      </w:r>
      <w:r w:rsidRPr="00314A76">
        <w:rPr>
          <w:rFonts w:asciiTheme="majorBidi" w:hAnsiTheme="majorBidi" w:cstheme="majorBidi"/>
          <w:sz w:val="24"/>
          <w:szCs w:val="24"/>
        </w:rPr>
        <w:t xml:space="preserve">indirect protection in this </w:t>
      </w:r>
      <w:r>
        <w:rPr>
          <w:rFonts w:asciiTheme="majorBidi" w:hAnsiTheme="majorBidi" w:cstheme="majorBidi"/>
          <w:sz w:val="24"/>
          <w:szCs w:val="24"/>
        </w:rPr>
        <w:t>group , of which  most are</w:t>
      </w:r>
      <w:r w:rsidRPr="002A645F">
        <w:rPr>
          <w:rFonts w:asciiTheme="majorBidi" w:hAnsiTheme="majorBidi" w:cstheme="majorBidi"/>
          <w:sz w:val="24"/>
          <w:szCs w:val="24"/>
        </w:rPr>
        <w:t xml:space="preserve"> too young to </w:t>
      </w:r>
      <w:r>
        <w:rPr>
          <w:rFonts w:asciiTheme="majorBidi" w:hAnsiTheme="majorBidi" w:cstheme="majorBidi"/>
          <w:sz w:val="24"/>
          <w:szCs w:val="24"/>
        </w:rPr>
        <w:t>derive direct protection from vaccination</w:t>
      </w:r>
      <w:r w:rsidRPr="002A645F">
        <w:rPr>
          <w:rFonts w:asciiTheme="majorBidi" w:hAnsiTheme="majorBidi" w:cstheme="majorBidi"/>
          <w:sz w:val="24"/>
          <w:szCs w:val="24"/>
        </w:rPr>
        <w:t xml:space="preserve">. Strategies such as maternal or neonatal immunization or schedule change </w:t>
      </w:r>
      <w:r>
        <w:rPr>
          <w:rFonts w:asciiTheme="majorBidi" w:hAnsiTheme="majorBidi" w:cstheme="majorBidi"/>
          <w:sz w:val="24"/>
          <w:szCs w:val="24"/>
        </w:rPr>
        <w:t xml:space="preserve">with a </w:t>
      </w:r>
      <w:r w:rsidRPr="002A645F">
        <w:rPr>
          <w:rFonts w:asciiTheme="majorBidi" w:hAnsiTheme="majorBidi" w:cstheme="majorBidi"/>
          <w:sz w:val="24"/>
          <w:szCs w:val="24"/>
        </w:rPr>
        <w:t xml:space="preserve">booster dose to achieve greater reductions in </w:t>
      </w:r>
      <w:r>
        <w:rPr>
          <w:rFonts w:asciiTheme="majorBidi" w:hAnsiTheme="majorBidi" w:cstheme="majorBidi"/>
          <w:sz w:val="24"/>
          <w:szCs w:val="24"/>
        </w:rPr>
        <w:t xml:space="preserve">the </w:t>
      </w:r>
      <w:r w:rsidRPr="002A645F">
        <w:rPr>
          <w:rFonts w:asciiTheme="majorBidi" w:hAnsiTheme="majorBidi" w:cstheme="majorBidi"/>
          <w:sz w:val="24"/>
          <w:szCs w:val="24"/>
        </w:rPr>
        <w:t xml:space="preserve">general population </w:t>
      </w:r>
      <w:r>
        <w:rPr>
          <w:rFonts w:asciiTheme="majorBidi" w:hAnsiTheme="majorBidi" w:cstheme="majorBidi"/>
          <w:sz w:val="24"/>
          <w:szCs w:val="24"/>
        </w:rPr>
        <w:t>carriage</w:t>
      </w:r>
      <w:r w:rsidRPr="002A645F">
        <w:rPr>
          <w:rFonts w:asciiTheme="majorBidi" w:hAnsiTheme="majorBidi" w:cstheme="majorBidi"/>
          <w:sz w:val="24"/>
          <w:szCs w:val="24"/>
        </w:rPr>
        <w:t xml:space="preserve"> need to be considered to protect this vulnerable population.</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Further studies to evaluate schedule change in this setting are underway. </w:t>
      </w:r>
    </w:p>
    <w:p w14:paraId="6CF8F80F" w14:textId="77777777" w:rsidR="00FE10EE" w:rsidRPr="00A44A74" w:rsidRDefault="00FE10EE" w:rsidP="00FE10EE">
      <w:pPr>
        <w:pStyle w:val="Heading3"/>
        <w:spacing w:line="480" w:lineRule="auto"/>
        <w:rPr>
          <w:szCs w:val="32"/>
        </w:rPr>
      </w:pPr>
      <w:r w:rsidRPr="00A44A74">
        <w:rPr>
          <w:szCs w:val="32"/>
        </w:rPr>
        <w:t xml:space="preserve">Ethical approval </w:t>
      </w:r>
    </w:p>
    <w:p w14:paraId="265135C9" w14:textId="77777777" w:rsidR="00FE10EE" w:rsidRDefault="00FE10EE" w:rsidP="00FE10EE">
      <w:pPr>
        <w:spacing w:line="480" w:lineRule="auto"/>
        <w:jc w:val="both"/>
        <w:rPr>
          <w:rFonts w:asciiTheme="majorBidi" w:hAnsiTheme="majorBidi" w:cstheme="majorBidi"/>
          <w:sz w:val="24"/>
          <w:szCs w:val="24"/>
        </w:rPr>
      </w:pPr>
      <w:r w:rsidRPr="00314A76">
        <w:rPr>
          <w:rFonts w:asciiTheme="majorBidi" w:hAnsiTheme="majorBidi" w:cstheme="majorBidi"/>
          <w:sz w:val="24"/>
          <w:szCs w:val="24"/>
        </w:rPr>
        <w:t>Th</w:t>
      </w:r>
      <w:r>
        <w:rPr>
          <w:rFonts w:asciiTheme="majorBidi" w:hAnsiTheme="majorBidi" w:cstheme="majorBidi"/>
          <w:sz w:val="24"/>
          <w:szCs w:val="24"/>
        </w:rPr>
        <w:t xml:space="preserve">e </w:t>
      </w:r>
      <w:r w:rsidRPr="00314A76">
        <w:rPr>
          <w:rFonts w:asciiTheme="majorBidi" w:hAnsiTheme="majorBidi" w:cstheme="majorBidi"/>
          <w:sz w:val="24"/>
          <w:szCs w:val="24"/>
        </w:rPr>
        <w:t>study proposal was approved by the College of Medicine Research and Ethics Committee, University of Malawi (P.02/15/1677) and the Liverpool School of Tropical Medicine Research Ethics Committee (14.056).</w:t>
      </w:r>
    </w:p>
    <w:p w14:paraId="14892DDF" w14:textId="77777777" w:rsidR="00FE10EE" w:rsidRPr="00A44A74" w:rsidRDefault="00FE10EE" w:rsidP="00FE10EE">
      <w:pPr>
        <w:pStyle w:val="Heading3"/>
        <w:spacing w:line="480" w:lineRule="auto"/>
      </w:pPr>
      <w:r w:rsidRPr="00A44A74">
        <w:t>Funding</w:t>
      </w:r>
    </w:p>
    <w:p w14:paraId="6DB19349" w14:textId="77777777" w:rsidR="00FE10EE" w:rsidRPr="001670C5" w:rsidRDefault="00FE10EE" w:rsidP="00FE10EE">
      <w:pPr>
        <w:spacing w:line="480" w:lineRule="auto"/>
        <w:jc w:val="both"/>
        <w:rPr>
          <w:rFonts w:asciiTheme="majorBidi" w:hAnsiTheme="majorBidi" w:cstheme="majorBidi"/>
          <w:sz w:val="24"/>
          <w:szCs w:val="24"/>
        </w:rPr>
      </w:pPr>
      <w:r w:rsidRPr="00F1203F">
        <w:rPr>
          <w:rFonts w:asciiTheme="majorBidi" w:hAnsiTheme="majorBidi" w:cstheme="majorBidi"/>
          <w:sz w:val="24"/>
          <w:szCs w:val="24"/>
        </w:rPr>
        <w:t>This work was partly funded by Bill &amp; Melinda Gates Foundation</w:t>
      </w:r>
      <w:r>
        <w:rPr>
          <w:rFonts w:asciiTheme="majorBidi" w:hAnsiTheme="majorBidi" w:cstheme="majorBidi"/>
          <w:sz w:val="24"/>
          <w:szCs w:val="24"/>
        </w:rPr>
        <w:t xml:space="preserve"> [</w:t>
      </w:r>
      <w:r w:rsidRPr="00AF2198">
        <w:rPr>
          <w:rFonts w:asciiTheme="majorBidi" w:hAnsiTheme="majorBidi" w:cstheme="majorBidi"/>
          <w:sz w:val="24"/>
          <w:szCs w:val="24"/>
        </w:rPr>
        <w:t>OPP1117653</w:t>
      </w:r>
      <w:r>
        <w:rPr>
          <w:rFonts w:asciiTheme="majorBidi" w:hAnsiTheme="majorBidi" w:cstheme="majorBidi"/>
          <w:sz w:val="24"/>
          <w:szCs w:val="24"/>
        </w:rPr>
        <w:t>]</w:t>
      </w:r>
      <w:r w:rsidRPr="00F1203F">
        <w:rPr>
          <w:rFonts w:asciiTheme="majorBidi" w:hAnsiTheme="majorBidi" w:cstheme="majorBidi"/>
          <w:sz w:val="24"/>
          <w:szCs w:val="24"/>
        </w:rPr>
        <w:t xml:space="preserve">, a </w:t>
      </w:r>
      <w:proofErr w:type="spellStart"/>
      <w:r w:rsidRPr="00F1203F">
        <w:rPr>
          <w:rFonts w:asciiTheme="majorBidi" w:hAnsiTheme="majorBidi" w:cstheme="majorBidi"/>
          <w:sz w:val="24"/>
          <w:szCs w:val="24"/>
        </w:rPr>
        <w:t>Wellcome</w:t>
      </w:r>
      <w:proofErr w:type="spellEnd"/>
      <w:r w:rsidRPr="00F1203F">
        <w:rPr>
          <w:rFonts w:asciiTheme="majorBidi" w:hAnsiTheme="majorBidi" w:cstheme="majorBidi"/>
          <w:sz w:val="24"/>
          <w:szCs w:val="24"/>
        </w:rPr>
        <w:t xml:space="preserve"> Trust Programme Grant</w:t>
      </w:r>
      <w:r>
        <w:rPr>
          <w:rFonts w:asciiTheme="majorBidi" w:hAnsiTheme="majorBidi" w:cstheme="majorBidi"/>
          <w:sz w:val="24"/>
          <w:szCs w:val="24"/>
        </w:rPr>
        <w:t xml:space="preserve"> [</w:t>
      </w:r>
      <w:r w:rsidRPr="00AF2198">
        <w:rPr>
          <w:rFonts w:asciiTheme="majorBidi" w:hAnsiTheme="majorBidi" w:cstheme="majorBidi"/>
          <w:sz w:val="24"/>
          <w:szCs w:val="24"/>
        </w:rPr>
        <w:t>WT091909/B/10/Z</w:t>
      </w:r>
      <w:r>
        <w:rPr>
          <w:rFonts w:asciiTheme="majorBidi" w:hAnsiTheme="majorBidi" w:cstheme="majorBidi"/>
          <w:sz w:val="24"/>
          <w:szCs w:val="24"/>
        </w:rPr>
        <w:t xml:space="preserve">], the Medical Research Council, UK, and the </w:t>
      </w:r>
      <w:r w:rsidRPr="00F1203F">
        <w:rPr>
          <w:rFonts w:asciiTheme="majorBidi" w:hAnsiTheme="majorBidi" w:cstheme="majorBidi"/>
          <w:sz w:val="24"/>
          <w:szCs w:val="24"/>
        </w:rPr>
        <w:t>National Institute for Health Research (NIHR)</w:t>
      </w:r>
      <w:r>
        <w:rPr>
          <w:rFonts w:asciiTheme="majorBidi" w:hAnsiTheme="majorBidi" w:cstheme="majorBidi"/>
          <w:sz w:val="24"/>
          <w:szCs w:val="24"/>
        </w:rPr>
        <w:t xml:space="preserve"> </w:t>
      </w:r>
      <w:r w:rsidRPr="00F1203F">
        <w:rPr>
          <w:rFonts w:asciiTheme="majorBidi" w:hAnsiTheme="majorBidi" w:cstheme="majorBidi"/>
          <w:sz w:val="24"/>
          <w:szCs w:val="24"/>
        </w:rPr>
        <w:t xml:space="preserve">Global Health Research Unit on Mucosal Pathogens using UK aid from the UK Government </w:t>
      </w:r>
      <w:r>
        <w:rPr>
          <w:rFonts w:asciiTheme="majorBidi" w:hAnsiTheme="majorBidi" w:cstheme="majorBidi"/>
          <w:sz w:val="24"/>
          <w:szCs w:val="24"/>
        </w:rPr>
        <w:t>[</w:t>
      </w:r>
      <w:r w:rsidRPr="00F1203F">
        <w:rPr>
          <w:rFonts w:asciiTheme="majorBidi" w:hAnsiTheme="majorBidi" w:cstheme="majorBidi"/>
          <w:sz w:val="24"/>
          <w:szCs w:val="24"/>
        </w:rPr>
        <w:t>16/136/46</w:t>
      </w:r>
      <w:r>
        <w:rPr>
          <w:rFonts w:asciiTheme="majorBidi" w:hAnsiTheme="majorBidi" w:cstheme="majorBidi"/>
          <w:sz w:val="24"/>
          <w:szCs w:val="24"/>
        </w:rPr>
        <w:t xml:space="preserve">]. </w:t>
      </w:r>
      <w:r w:rsidRPr="00F1203F">
        <w:rPr>
          <w:rFonts w:asciiTheme="majorBidi" w:hAnsiTheme="majorBidi" w:cstheme="majorBidi"/>
          <w:sz w:val="24"/>
          <w:szCs w:val="24"/>
        </w:rPr>
        <w:t>The Malawi</w:t>
      </w:r>
      <w:r>
        <w:rPr>
          <w:rFonts w:asciiTheme="majorBidi" w:hAnsiTheme="majorBidi" w:cstheme="majorBidi"/>
          <w:sz w:val="24"/>
          <w:szCs w:val="24"/>
        </w:rPr>
        <w:t>-</w:t>
      </w:r>
      <w:r w:rsidRPr="00F1203F">
        <w:rPr>
          <w:rFonts w:asciiTheme="majorBidi" w:hAnsiTheme="majorBidi" w:cstheme="majorBidi"/>
          <w:sz w:val="24"/>
          <w:szCs w:val="24"/>
        </w:rPr>
        <w:t>Liverpool</w:t>
      </w:r>
      <w:r>
        <w:rPr>
          <w:rFonts w:asciiTheme="majorBidi" w:hAnsiTheme="majorBidi" w:cstheme="majorBidi"/>
          <w:sz w:val="24"/>
          <w:szCs w:val="24"/>
        </w:rPr>
        <w:t>-</w:t>
      </w:r>
      <w:proofErr w:type="spellStart"/>
      <w:r w:rsidRPr="00F1203F">
        <w:rPr>
          <w:rFonts w:asciiTheme="majorBidi" w:hAnsiTheme="majorBidi" w:cstheme="majorBidi"/>
          <w:sz w:val="24"/>
          <w:szCs w:val="24"/>
        </w:rPr>
        <w:t>Wellcome</w:t>
      </w:r>
      <w:proofErr w:type="spellEnd"/>
      <w:r w:rsidRPr="00F1203F">
        <w:rPr>
          <w:rFonts w:asciiTheme="majorBidi" w:hAnsiTheme="majorBidi" w:cstheme="majorBidi"/>
          <w:sz w:val="24"/>
          <w:szCs w:val="24"/>
        </w:rPr>
        <w:t xml:space="preserve"> Clinical </w:t>
      </w:r>
      <w:r w:rsidRPr="00F1203F">
        <w:rPr>
          <w:rFonts w:asciiTheme="majorBidi" w:hAnsiTheme="majorBidi" w:cstheme="majorBidi"/>
          <w:sz w:val="24"/>
          <w:szCs w:val="24"/>
        </w:rPr>
        <w:lastRenderedPageBreak/>
        <w:t xml:space="preserve">Research Programme is supported by a Strategic Award from the </w:t>
      </w:r>
      <w:proofErr w:type="spellStart"/>
      <w:r w:rsidRPr="00F1203F">
        <w:rPr>
          <w:rFonts w:asciiTheme="majorBidi" w:hAnsiTheme="majorBidi" w:cstheme="majorBidi"/>
          <w:sz w:val="24"/>
          <w:szCs w:val="24"/>
        </w:rPr>
        <w:t>Wellcome</w:t>
      </w:r>
      <w:proofErr w:type="spellEnd"/>
      <w:r w:rsidRPr="00F1203F">
        <w:rPr>
          <w:rFonts w:asciiTheme="majorBidi" w:hAnsiTheme="majorBidi" w:cstheme="majorBidi"/>
          <w:sz w:val="24"/>
          <w:szCs w:val="24"/>
        </w:rPr>
        <w:t xml:space="preserve"> Trust </w:t>
      </w:r>
      <w:r>
        <w:rPr>
          <w:rFonts w:asciiTheme="majorBidi" w:hAnsiTheme="majorBidi" w:cstheme="majorBidi"/>
          <w:sz w:val="24"/>
          <w:szCs w:val="24"/>
        </w:rPr>
        <w:t>[</w:t>
      </w:r>
      <w:r w:rsidRPr="00F1203F">
        <w:rPr>
          <w:rFonts w:asciiTheme="majorBidi" w:hAnsiTheme="majorBidi" w:cstheme="majorBidi"/>
          <w:sz w:val="24"/>
          <w:szCs w:val="24"/>
        </w:rPr>
        <w:t>206545/Z/17/Z</w:t>
      </w:r>
      <w:r>
        <w:rPr>
          <w:rFonts w:asciiTheme="majorBidi" w:hAnsiTheme="majorBidi" w:cstheme="majorBidi"/>
          <w:sz w:val="24"/>
          <w:szCs w:val="24"/>
        </w:rPr>
        <w:t>]</w:t>
      </w:r>
      <w:r w:rsidRPr="00F1203F">
        <w:rPr>
          <w:rFonts w:asciiTheme="majorBidi" w:hAnsiTheme="majorBidi" w:cstheme="majorBidi"/>
          <w:sz w:val="24"/>
          <w:szCs w:val="24"/>
        </w:rPr>
        <w:t>. The views expressed in this publication are those of the authors and not necessarily those of the NIHR or the Department of Health and Social Care</w:t>
      </w:r>
      <w:r w:rsidRPr="00BF4A9F">
        <w:rPr>
          <w:rFonts w:asciiTheme="majorBidi" w:hAnsiTheme="majorBidi" w:cstheme="majorBidi"/>
          <w:sz w:val="24"/>
          <w:szCs w:val="24"/>
        </w:rPr>
        <w:t>. The funders had no role in study design, collection, analysis, data interpretation, writing of the report or in the decision to submit the paper for publication. The corresponding author had full access to the study data and, together with the senior authors, had final responsibility for the decision to submit for publication.</w:t>
      </w:r>
    </w:p>
    <w:p w14:paraId="506C381A" w14:textId="77777777" w:rsidR="00FE10EE" w:rsidRPr="00FE10EE" w:rsidRDefault="00FE10EE" w:rsidP="00FE10EE">
      <w:pPr>
        <w:rPr>
          <w:b/>
          <w:bCs/>
        </w:rPr>
      </w:pPr>
      <w:r w:rsidRPr="00FE10EE">
        <w:rPr>
          <w:b/>
          <w:bCs/>
        </w:rPr>
        <w:t>Conflicts of Interest</w:t>
      </w:r>
    </w:p>
    <w:p w14:paraId="62B11C87" w14:textId="77777777" w:rsidR="00FE10EE" w:rsidRPr="00BF4A9F" w:rsidRDefault="00FE10EE" w:rsidP="00FE10EE">
      <w:pPr>
        <w:spacing w:line="480" w:lineRule="auto"/>
        <w:rPr>
          <w:rFonts w:asciiTheme="majorBidi" w:hAnsiTheme="majorBidi" w:cstheme="majorBidi"/>
          <w:b/>
          <w:bCs/>
          <w:sz w:val="24"/>
          <w:szCs w:val="24"/>
        </w:rPr>
      </w:pPr>
      <w:proofErr w:type="spellStart"/>
      <w:r w:rsidRPr="00BF4A9F">
        <w:rPr>
          <w:rFonts w:asciiTheme="majorBidi" w:hAnsiTheme="majorBidi" w:cstheme="majorBidi"/>
          <w:sz w:val="24"/>
          <w:szCs w:val="24"/>
        </w:rPr>
        <w:t>Dr.</w:t>
      </w:r>
      <w:proofErr w:type="spellEnd"/>
      <w:r w:rsidRPr="00BF4A9F">
        <w:rPr>
          <w:rFonts w:asciiTheme="majorBidi" w:hAnsiTheme="majorBidi" w:cstheme="majorBidi"/>
          <w:sz w:val="24"/>
          <w:szCs w:val="24"/>
        </w:rPr>
        <w:t xml:space="preserve"> Bar-</w:t>
      </w:r>
      <w:proofErr w:type="spellStart"/>
      <w:r w:rsidRPr="00BF4A9F">
        <w:rPr>
          <w:rFonts w:asciiTheme="majorBidi" w:hAnsiTheme="majorBidi" w:cstheme="majorBidi"/>
          <w:sz w:val="24"/>
          <w:szCs w:val="24"/>
        </w:rPr>
        <w:t>Zeev</w:t>
      </w:r>
      <w:proofErr w:type="spellEnd"/>
      <w:r w:rsidRPr="00BF4A9F">
        <w:rPr>
          <w:rFonts w:asciiTheme="majorBidi" w:hAnsiTheme="majorBidi" w:cstheme="majorBidi"/>
          <w:sz w:val="24"/>
          <w:szCs w:val="24"/>
        </w:rPr>
        <w:t xml:space="preserve"> reports investigator-initiated research grants from GlaxoSmithKline Biologicals and from Takeda Pharmaceuticals outside the submitted work. No other competing interests were reported by authors.</w:t>
      </w:r>
    </w:p>
    <w:p w14:paraId="3FA05424" w14:textId="77777777" w:rsidR="00FE10EE" w:rsidRPr="00FE10EE" w:rsidRDefault="00FE10EE" w:rsidP="00FE10EE">
      <w:pPr>
        <w:rPr>
          <w:b/>
          <w:bCs/>
        </w:rPr>
      </w:pPr>
      <w:r w:rsidRPr="00FE10EE">
        <w:rPr>
          <w:b/>
          <w:bCs/>
        </w:rPr>
        <w:lastRenderedPageBreak/>
        <w:t>Acknowledgments</w:t>
      </w:r>
    </w:p>
    <w:p w14:paraId="04C8AE8A" w14:textId="77777777" w:rsidR="00FE10EE" w:rsidRDefault="00FE10EE" w:rsidP="00FE10EE">
      <w:pPr>
        <w:spacing w:line="480" w:lineRule="auto"/>
        <w:rPr>
          <w:rFonts w:asciiTheme="majorBidi" w:hAnsiTheme="majorBidi" w:cstheme="majorBidi"/>
          <w:sz w:val="24"/>
          <w:szCs w:val="24"/>
        </w:rPr>
      </w:pPr>
      <w:r w:rsidRPr="00BF4A9F">
        <w:rPr>
          <w:rFonts w:asciiTheme="majorBidi" w:hAnsiTheme="majorBidi" w:cstheme="majorBidi"/>
          <w:sz w:val="24"/>
          <w:szCs w:val="24"/>
        </w:rPr>
        <w:t xml:space="preserve">We would like to thank the MLW laboratory management team (led by Brigitte Denis) and the MLW data management team (led by Clemens </w:t>
      </w:r>
      <w:proofErr w:type="spellStart"/>
      <w:r w:rsidRPr="00BF4A9F">
        <w:rPr>
          <w:rFonts w:asciiTheme="majorBidi" w:hAnsiTheme="majorBidi" w:cstheme="majorBidi"/>
          <w:sz w:val="24"/>
          <w:szCs w:val="24"/>
        </w:rPr>
        <w:t>Masesa</w:t>
      </w:r>
      <w:proofErr w:type="spellEnd"/>
      <w:r w:rsidRPr="00BF4A9F">
        <w:rPr>
          <w:rFonts w:asciiTheme="majorBidi" w:hAnsiTheme="majorBidi" w:cstheme="majorBidi"/>
          <w:sz w:val="24"/>
          <w:szCs w:val="24"/>
        </w:rPr>
        <w:t xml:space="preserve">). </w:t>
      </w:r>
      <w:r>
        <w:rPr>
          <w:rFonts w:asciiTheme="majorBidi" w:hAnsiTheme="majorBidi" w:cstheme="majorBidi"/>
          <w:sz w:val="24"/>
          <w:szCs w:val="24"/>
        </w:rPr>
        <w:t xml:space="preserve">Furthermore we would like to thank all the staff of the </w:t>
      </w:r>
      <w:proofErr w:type="spellStart"/>
      <w:r>
        <w:rPr>
          <w:rFonts w:asciiTheme="majorBidi" w:hAnsiTheme="majorBidi" w:cstheme="majorBidi"/>
          <w:sz w:val="24"/>
          <w:szCs w:val="24"/>
        </w:rPr>
        <w:t>Chatinkha</w:t>
      </w:r>
      <w:proofErr w:type="spellEnd"/>
      <w:r>
        <w:rPr>
          <w:rFonts w:asciiTheme="majorBidi" w:hAnsiTheme="majorBidi" w:cstheme="majorBidi"/>
          <w:sz w:val="24"/>
          <w:szCs w:val="24"/>
        </w:rPr>
        <w:t xml:space="preserve"> Neonatal Care Unit and the Paediatric Department at QECH for their efforts in caring for the most vulnerable infants and contributing to the collection of samples for this study. </w:t>
      </w:r>
    </w:p>
    <w:p w14:paraId="21DCA639" w14:textId="77777777" w:rsidR="00FE10EE" w:rsidRDefault="00FE10EE" w:rsidP="00FE10EE">
      <w:pPr>
        <w:spacing w:line="480" w:lineRule="auto"/>
        <w:rPr>
          <w:rFonts w:asciiTheme="majorBidi" w:hAnsiTheme="majorBidi" w:cstheme="majorBidi"/>
          <w:sz w:val="24"/>
          <w:szCs w:val="24"/>
        </w:rPr>
      </w:pPr>
    </w:p>
    <w:p w14:paraId="28E19420" w14:textId="77777777" w:rsidR="00FE10EE" w:rsidRPr="00D13820" w:rsidRDefault="00FE10EE" w:rsidP="00FE10EE">
      <w:pPr>
        <w:rPr>
          <w:rFonts w:asciiTheme="majorBidi" w:hAnsiTheme="majorBidi" w:cstheme="majorBidi"/>
          <w:b/>
          <w:bCs/>
          <w:sz w:val="24"/>
          <w:szCs w:val="24"/>
        </w:rPr>
      </w:pPr>
      <w:r>
        <w:rPr>
          <w:rFonts w:asciiTheme="majorBidi" w:hAnsiTheme="majorBidi" w:cstheme="majorBidi"/>
          <w:sz w:val="24"/>
          <w:szCs w:val="24"/>
        </w:rPr>
        <w:br w:type="page"/>
      </w:r>
      <w:r w:rsidRPr="00D13820">
        <w:rPr>
          <w:rFonts w:asciiTheme="majorBidi" w:hAnsiTheme="majorBidi" w:cstheme="majorBidi"/>
          <w:b/>
          <w:bCs/>
          <w:sz w:val="32"/>
          <w:szCs w:val="32"/>
        </w:rPr>
        <w:lastRenderedPageBreak/>
        <w:t>References</w:t>
      </w:r>
    </w:p>
    <w:p w14:paraId="70FC6B09"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1EA32930"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1.</w:t>
      </w:r>
      <w:r w:rsidRPr="00D13820">
        <w:rPr>
          <w:rFonts w:asciiTheme="majorBidi" w:hAnsiTheme="majorBidi" w:cstheme="majorBidi"/>
          <w:sz w:val="24"/>
          <w:szCs w:val="24"/>
        </w:rPr>
        <w:tab/>
        <w:t>Wahl B, O'Brien KL, Greenbaum A, Majumder A, Liu L, Chu Y, et al. Burden of Streptococcus pneumoniae and Haemophilus influenzae type b disease in children in the era of conjugate vaccines: global, regional, and national estimates for 2000–15. The Lancet Global Health. 2018;6(7):e744-e57.</w:t>
      </w:r>
    </w:p>
    <w:p w14:paraId="746FE615"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03DAB70F"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2.</w:t>
      </w:r>
      <w:r w:rsidRPr="00D13820">
        <w:rPr>
          <w:rFonts w:asciiTheme="majorBidi" w:hAnsiTheme="majorBidi" w:cstheme="majorBidi"/>
          <w:sz w:val="24"/>
          <w:szCs w:val="24"/>
        </w:rPr>
        <w:tab/>
        <w:t>Primhak RA, Tanner MS, Spencer RC. Pneumococcal infection in the newborn. Archives of disease in childhood. 1993;69(3 Spec No):317-8.</w:t>
      </w:r>
    </w:p>
    <w:p w14:paraId="78AD5EA3"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2E148927"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3.</w:t>
      </w:r>
      <w:r w:rsidRPr="00D13820">
        <w:rPr>
          <w:rFonts w:asciiTheme="majorBidi" w:hAnsiTheme="majorBidi" w:cstheme="majorBidi"/>
          <w:sz w:val="24"/>
          <w:szCs w:val="24"/>
        </w:rPr>
        <w:tab/>
        <w:t>Hoffman JA, Mason EO, Schutze GE, Tan TQ, Barson WJ, Givner LB, et al. Streptococcus pneumoniae infections in the neonate. Pediatrics. 2003;112(5):1095-102.</w:t>
      </w:r>
    </w:p>
    <w:p w14:paraId="64DE7369"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44FE5F9B"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4.</w:t>
      </w:r>
      <w:r w:rsidRPr="00D13820">
        <w:rPr>
          <w:rFonts w:asciiTheme="majorBidi" w:hAnsiTheme="majorBidi" w:cstheme="majorBidi"/>
          <w:sz w:val="24"/>
          <w:szCs w:val="24"/>
        </w:rPr>
        <w:tab/>
        <w:t>McAdams RM, Garza-Cox S, Yoder BA. Early-onset neonatal pneumococcal sepsis syndrome. Pediatric Critical Care Medicine. 2005;6(5):595-7.</w:t>
      </w:r>
    </w:p>
    <w:p w14:paraId="6DA69CB1"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2BD614E8"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5.</w:t>
      </w:r>
      <w:r w:rsidRPr="00D13820">
        <w:rPr>
          <w:rFonts w:asciiTheme="majorBidi" w:hAnsiTheme="majorBidi" w:cstheme="majorBidi"/>
          <w:sz w:val="24"/>
          <w:szCs w:val="24"/>
        </w:rPr>
        <w:tab/>
        <w:t>Malhotra A, Hunt RW, Doherty RR. Streptococcus pneumoniae sepsis in the newborn. Journal of paediatrics and child health. 2012;48(2):E79-E83.</w:t>
      </w:r>
    </w:p>
    <w:p w14:paraId="4EECE39E"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70E50E58"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6.</w:t>
      </w:r>
      <w:r w:rsidRPr="00D13820">
        <w:rPr>
          <w:rFonts w:asciiTheme="majorBidi" w:hAnsiTheme="majorBidi" w:cstheme="majorBidi"/>
          <w:sz w:val="24"/>
          <w:szCs w:val="24"/>
        </w:rPr>
        <w:tab/>
        <w:t>Rodriguez BF, Mascaraque LR, Fraile LR, Perez IC, Kuder K. Streptococcus pneumoniae: the forgotten microorganism in neonatal sepsis. Fetal and pediatric pathology. 2015;34(3):202-5.</w:t>
      </w:r>
    </w:p>
    <w:p w14:paraId="1E644008"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06F92257"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5B2729">
        <w:rPr>
          <w:rFonts w:asciiTheme="majorBidi" w:hAnsiTheme="majorBidi" w:cstheme="majorBidi"/>
          <w:sz w:val="24"/>
          <w:szCs w:val="24"/>
          <w:lang w:val="en-GB"/>
        </w:rPr>
        <w:lastRenderedPageBreak/>
        <w:t>7.</w:t>
      </w:r>
      <w:r w:rsidRPr="005B2729">
        <w:rPr>
          <w:rFonts w:asciiTheme="majorBidi" w:hAnsiTheme="majorBidi" w:cstheme="majorBidi"/>
          <w:sz w:val="24"/>
          <w:szCs w:val="24"/>
          <w:lang w:val="en-GB"/>
        </w:rPr>
        <w:tab/>
        <w:t xml:space="preserve">Billings ME, Deloria-Knoll M, O’Brien KL. </w:t>
      </w:r>
      <w:r w:rsidRPr="00D13820">
        <w:rPr>
          <w:rFonts w:asciiTheme="majorBidi" w:hAnsiTheme="majorBidi" w:cstheme="majorBidi"/>
          <w:sz w:val="24"/>
          <w:szCs w:val="24"/>
        </w:rPr>
        <w:t>Global Burden of Neonatal Invasive Pneumococcal Disease. The Pediatric infectious disease journal. 2016;35(2):172-9.</w:t>
      </w:r>
    </w:p>
    <w:p w14:paraId="1EA71642"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0B0DB3BA"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8.</w:t>
      </w:r>
      <w:r w:rsidRPr="00D13820">
        <w:rPr>
          <w:rFonts w:asciiTheme="majorBidi" w:hAnsiTheme="majorBidi" w:cstheme="majorBidi"/>
          <w:sz w:val="24"/>
          <w:szCs w:val="24"/>
        </w:rPr>
        <w:tab/>
        <w:t>Kanyuka M, Ndawala J, Mleme T, Chisesa L, Makwemba M, Amouzou A, et al. Malawi and Millennium Development Goal 4: a Countdown to 2015 country case study. The Lancet Global Health. 2016;4(3):e201-e14.</w:t>
      </w:r>
    </w:p>
    <w:p w14:paraId="27B4A091" w14:textId="77777777" w:rsidR="00FE10EE" w:rsidRDefault="00FE10EE" w:rsidP="00FE10EE">
      <w:pPr>
        <w:pStyle w:val="EndNoteBibliography"/>
        <w:spacing w:line="480" w:lineRule="auto"/>
        <w:rPr>
          <w:rFonts w:asciiTheme="majorBidi" w:hAnsiTheme="majorBidi" w:cstheme="majorBidi"/>
          <w:sz w:val="24"/>
          <w:szCs w:val="24"/>
        </w:rPr>
      </w:pPr>
    </w:p>
    <w:p w14:paraId="5780A4C7" w14:textId="77777777" w:rsidR="00FE10EE" w:rsidRPr="00D13820" w:rsidRDefault="00FE10EE" w:rsidP="00FE10EE">
      <w:pPr>
        <w:pStyle w:val="EndNoteBibliography"/>
        <w:spacing w:line="480" w:lineRule="auto"/>
        <w:rPr>
          <w:rFonts w:asciiTheme="majorBidi" w:hAnsiTheme="majorBidi" w:cstheme="majorBidi"/>
          <w:sz w:val="24"/>
          <w:szCs w:val="24"/>
        </w:rPr>
      </w:pPr>
      <w:r w:rsidRPr="00D13820">
        <w:rPr>
          <w:rFonts w:asciiTheme="majorBidi" w:hAnsiTheme="majorBidi" w:cstheme="majorBidi"/>
          <w:sz w:val="24"/>
          <w:szCs w:val="24"/>
        </w:rPr>
        <w:t>9.</w:t>
      </w:r>
      <w:r w:rsidRPr="00D13820">
        <w:rPr>
          <w:rFonts w:asciiTheme="majorBidi" w:hAnsiTheme="majorBidi" w:cstheme="majorBidi"/>
          <w:sz w:val="24"/>
          <w:szCs w:val="24"/>
        </w:rPr>
        <w:tab/>
        <w:t>UNICEF</w:t>
      </w:r>
      <w:r>
        <w:rPr>
          <w:rFonts w:asciiTheme="majorBidi" w:hAnsiTheme="majorBidi" w:cstheme="majorBidi"/>
          <w:sz w:val="24"/>
          <w:szCs w:val="24"/>
        </w:rPr>
        <w:t xml:space="preserve">, WHO, </w:t>
      </w:r>
      <w:r w:rsidRPr="00D13820">
        <w:rPr>
          <w:rFonts w:asciiTheme="majorBidi" w:hAnsiTheme="majorBidi" w:cstheme="majorBidi"/>
          <w:sz w:val="24"/>
          <w:szCs w:val="24"/>
        </w:rPr>
        <w:t>World</w:t>
      </w:r>
      <w:r>
        <w:rPr>
          <w:rFonts w:asciiTheme="majorBidi" w:hAnsiTheme="majorBidi" w:cstheme="majorBidi"/>
          <w:sz w:val="24"/>
          <w:szCs w:val="24"/>
        </w:rPr>
        <w:t xml:space="preserve"> Bank Group</w:t>
      </w:r>
      <w:r w:rsidRPr="00D13820">
        <w:rPr>
          <w:rFonts w:asciiTheme="majorBidi" w:hAnsiTheme="majorBidi" w:cstheme="majorBidi"/>
          <w:sz w:val="24"/>
          <w:szCs w:val="24"/>
        </w:rPr>
        <w:t xml:space="preserve">, </w:t>
      </w:r>
      <w:r>
        <w:rPr>
          <w:rFonts w:asciiTheme="majorBidi" w:hAnsiTheme="majorBidi" w:cstheme="majorBidi"/>
          <w:sz w:val="24"/>
          <w:szCs w:val="24"/>
        </w:rPr>
        <w:t xml:space="preserve">United </w:t>
      </w:r>
      <w:r w:rsidRPr="00D13820">
        <w:rPr>
          <w:rFonts w:asciiTheme="majorBidi" w:hAnsiTheme="majorBidi" w:cstheme="majorBidi"/>
          <w:sz w:val="24"/>
          <w:szCs w:val="24"/>
        </w:rPr>
        <w:t>Nations. Levels and trends in</w:t>
      </w:r>
      <w:r>
        <w:rPr>
          <w:rFonts w:asciiTheme="majorBidi" w:hAnsiTheme="majorBidi" w:cstheme="majorBidi"/>
          <w:sz w:val="24"/>
          <w:szCs w:val="24"/>
        </w:rPr>
        <w:t xml:space="preserve"> </w:t>
      </w:r>
      <w:r w:rsidRPr="00D13820">
        <w:rPr>
          <w:rFonts w:asciiTheme="majorBidi" w:hAnsiTheme="majorBidi" w:cstheme="majorBidi"/>
          <w:sz w:val="24"/>
          <w:szCs w:val="24"/>
        </w:rPr>
        <w:t>child mortality 2020. New York, USA</w:t>
      </w:r>
      <w:r>
        <w:rPr>
          <w:rFonts w:asciiTheme="majorBidi" w:hAnsiTheme="majorBidi" w:cstheme="majorBidi"/>
          <w:sz w:val="24"/>
          <w:szCs w:val="24"/>
        </w:rPr>
        <w:t xml:space="preserve"> </w:t>
      </w:r>
      <w:r w:rsidRPr="00D13820">
        <w:rPr>
          <w:rFonts w:asciiTheme="majorBidi" w:hAnsiTheme="majorBidi" w:cstheme="majorBidi"/>
          <w:sz w:val="24"/>
          <w:szCs w:val="24"/>
        </w:rPr>
        <w:t>2020.</w:t>
      </w:r>
    </w:p>
    <w:p w14:paraId="7D3E58C8"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5BE0DF79"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5B2729">
        <w:rPr>
          <w:rFonts w:asciiTheme="majorBidi" w:hAnsiTheme="majorBidi" w:cstheme="majorBidi"/>
          <w:sz w:val="24"/>
          <w:szCs w:val="24"/>
        </w:rPr>
        <w:t>10.</w:t>
      </w:r>
      <w:r w:rsidRPr="005B2729">
        <w:rPr>
          <w:rFonts w:asciiTheme="majorBidi" w:hAnsiTheme="majorBidi" w:cstheme="majorBidi"/>
          <w:sz w:val="24"/>
          <w:szCs w:val="24"/>
        </w:rPr>
        <w:tab/>
        <w:t xml:space="preserve">Seale AC, Blencowe H, Manu AA, Nair H, Bahl R, Qazi SA, et al. </w:t>
      </w:r>
      <w:r w:rsidRPr="00D13820">
        <w:rPr>
          <w:rFonts w:asciiTheme="majorBidi" w:hAnsiTheme="majorBidi" w:cstheme="majorBidi"/>
          <w:sz w:val="24"/>
          <w:szCs w:val="24"/>
        </w:rPr>
        <w:t xml:space="preserve">Estimates of possible severe bacterial infection in neonates in sub-Saharan Africa, south Asia, and Latin America for 2012: a </w:t>
      </w:r>
      <w:r w:rsidRPr="00D13820">
        <w:rPr>
          <w:rFonts w:asciiTheme="majorBidi" w:hAnsiTheme="majorBidi" w:cstheme="majorBidi"/>
          <w:sz w:val="24"/>
          <w:szCs w:val="24"/>
        </w:rPr>
        <w:lastRenderedPageBreak/>
        <w:t>systematic review and meta-analysis. The Lancet infectious diseases. 2014;14(8):731-41.</w:t>
      </w:r>
    </w:p>
    <w:p w14:paraId="5CEA17AC"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1B9AFED9"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11.</w:t>
      </w:r>
      <w:r w:rsidRPr="00D13820">
        <w:rPr>
          <w:rFonts w:asciiTheme="majorBidi" w:hAnsiTheme="majorBidi" w:cstheme="majorBidi"/>
          <w:sz w:val="24"/>
          <w:szCs w:val="24"/>
        </w:rPr>
        <w:tab/>
        <w:t>Milledge J, Calis JCJ, Graham SM, Phiri A, Wilson LK, Soko D, et al. Aetiology of neonatal sepsis in Blantyre, Malawi: 1996–2001. Annals of tropical paediatrics. 2005;25(2):101-10.</w:t>
      </w:r>
    </w:p>
    <w:p w14:paraId="242F8ABF"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4EEA98E7"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12.</w:t>
      </w:r>
      <w:r w:rsidRPr="00D13820">
        <w:rPr>
          <w:rFonts w:asciiTheme="majorBidi" w:hAnsiTheme="majorBidi" w:cstheme="majorBidi"/>
          <w:sz w:val="24"/>
          <w:szCs w:val="24"/>
        </w:rPr>
        <w:tab/>
        <w:t>Swarthout TD, Fronterre C, Lourenço J, Obolski U, Gori A, Bar-Zeev N, et al. High residual carriage of vaccine-serotype Streptococcus pneumoniae after introduction of pneumococcal conjugate vaccine in Malawi. Nature communications. 2020;11(1):1-12.</w:t>
      </w:r>
    </w:p>
    <w:p w14:paraId="18F8B5C1"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18616CCE" w14:textId="77777777" w:rsidR="00FE10EE" w:rsidRPr="00B4450C" w:rsidRDefault="00FE10EE" w:rsidP="00FE10EE">
      <w:pPr>
        <w:pStyle w:val="EndNoteBibliography"/>
        <w:spacing w:after="0" w:line="480" w:lineRule="auto"/>
        <w:rPr>
          <w:rFonts w:asciiTheme="majorBidi" w:hAnsiTheme="majorBidi" w:cstheme="majorBidi"/>
          <w:sz w:val="24"/>
          <w:szCs w:val="24"/>
          <w:lang w:val="en-GB"/>
        </w:rPr>
      </w:pPr>
      <w:r w:rsidRPr="00D13820">
        <w:rPr>
          <w:rFonts w:asciiTheme="majorBidi" w:hAnsiTheme="majorBidi" w:cstheme="majorBidi"/>
          <w:sz w:val="24"/>
          <w:szCs w:val="24"/>
        </w:rPr>
        <w:t>13.</w:t>
      </w:r>
      <w:r w:rsidRPr="00D13820">
        <w:rPr>
          <w:rFonts w:asciiTheme="majorBidi" w:hAnsiTheme="majorBidi" w:cstheme="majorBidi"/>
          <w:sz w:val="24"/>
          <w:szCs w:val="24"/>
        </w:rPr>
        <w:tab/>
      </w:r>
      <w:r>
        <w:rPr>
          <w:rFonts w:asciiTheme="majorBidi" w:hAnsiTheme="majorBidi" w:cstheme="majorBidi"/>
          <w:sz w:val="24"/>
          <w:szCs w:val="24"/>
        </w:rPr>
        <w:t xml:space="preserve">The World </w:t>
      </w:r>
      <w:r w:rsidRPr="00D13820">
        <w:rPr>
          <w:rFonts w:asciiTheme="majorBidi" w:hAnsiTheme="majorBidi" w:cstheme="majorBidi"/>
          <w:sz w:val="24"/>
          <w:szCs w:val="24"/>
        </w:rPr>
        <w:t xml:space="preserve">Bank. Malawi Overview. [Available from: </w:t>
      </w:r>
      <w:hyperlink r:id="rId5" w:history="1">
        <w:r w:rsidRPr="00FF5583">
          <w:rPr>
            <w:rStyle w:val="Hyperlink"/>
            <w:rFonts w:asciiTheme="majorBidi" w:hAnsiTheme="majorBidi" w:cstheme="majorBidi"/>
            <w:sz w:val="24"/>
            <w:szCs w:val="24"/>
          </w:rPr>
          <w:t>www.worldbank.org/en/country/malawi/overview</w:t>
        </w:r>
      </w:hyperlink>
      <w:r w:rsidRPr="00D13820">
        <w:rPr>
          <w:rFonts w:asciiTheme="majorBidi" w:hAnsiTheme="majorBidi" w:cstheme="majorBidi"/>
          <w:sz w:val="24"/>
          <w:szCs w:val="24"/>
        </w:rPr>
        <w:t>.</w:t>
      </w:r>
      <w:r>
        <w:rPr>
          <w:rFonts w:asciiTheme="majorBidi" w:hAnsiTheme="majorBidi" w:cstheme="majorBidi"/>
          <w:sz w:val="24"/>
          <w:szCs w:val="24"/>
        </w:rPr>
        <w:t xml:space="preserve"> ]</w:t>
      </w:r>
    </w:p>
    <w:p w14:paraId="6C97DD72" w14:textId="77777777" w:rsidR="00FE10EE" w:rsidRPr="00B4450C" w:rsidRDefault="00FE10EE" w:rsidP="00FE10EE">
      <w:pPr>
        <w:pStyle w:val="EndNoteBibliography"/>
        <w:spacing w:after="0" w:line="480" w:lineRule="auto"/>
        <w:rPr>
          <w:rFonts w:asciiTheme="majorBidi" w:hAnsiTheme="majorBidi" w:cstheme="majorBidi"/>
          <w:sz w:val="24"/>
          <w:szCs w:val="24"/>
          <w:lang w:val="en-GB"/>
        </w:rPr>
      </w:pPr>
    </w:p>
    <w:p w14:paraId="19174A9D" w14:textId="77777777" w:rsidR="00FE10EE"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14.</w:t>
      </w:r>
      <w:r w:rsidRPr="00D13820">
        <w:rPr>
          <w:rFonts w:asciiTheme="majorBidi" w:hAnsiTheme="majorBidi" w:cstheme="majorBidi"/>
          <w:sz w:val="24"/>
          <w:szCs w:val="24"/>
        </w:rPr>
        <w:tab/>
        <w:t>Bar-Zeev N, Swarthout TD, Everett DB, Alaerts M, Msefula J, Brown C, et al. Impact and effectiveness of 13-valent pneumococcal conjugate vaccine on population incidence of vaccine and non-vaccine serotype invasive pneumococcal disease in Blantyre, Malawi, 2006–18: prospective observational time-series and case-control studies. The Lancet Global Health. 2021;9(7):e989-e98.</w:t>
      </w:r>
    </w:p>
    <w:p w14:paraId="2D96279A"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747A0C1E"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15.</w:t>
      </w:r>
      <w:r w:rsidRPr="00D13820">
        <w:rPr>
          <w:rFonts w:asciiTheme="majorBidi" w:hAnsiTheme="majorBidi" w:cstheme="majorBidi"/>
          <w:sz w:val="24"/>
          <w:szCs w:val="24"/>
        </w:rPr>
        <w:tab/>
        <w:t>Musicha P, Cornick JE, Bar-Zeev N, French N, Masesa C, Denis B, et al. Trends in antimicrobial resistance in bloodstream infection isolates at a large urban hospital in Malawi (1998–2016): a surveillance study. The Lancet infectious diseases. 2017;17(10):1042-52.</w:t>
      </w:r>
    </w:p>
    <w:p w14:paraId="092FDE8D"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0C79803F"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lastRenderedPageBreak/>
        <w:t>16.</w:t>
      </w:r>
      <w:r w:rsidRPr="00D13820">
        <w:rPr>
          <w:rFonts w:asciiTheme="majorBidi" w:hAnsiTheme="majorBidi" w:cstheme="majorBidi"/>
          <w:sz w:val="24"/>
          <w:szCs w:val="24"/>
        </w:rPr>
        <w:tab/>
        <w:t>Wall EC, Everett DB, Mukaka M, Bar-Zeev N, Feasey N, Jahn A, et al. Bacterial meningitis in Malawian adults, adolescents, and children during the era of antiretroviral scale-up and Haemophilus influenzae type b vaccination, 2000–2012. Clinical Infectious Diseases. 2014;58(10):e137-e45.</w:t>
      </w:r>
    </w:p>
    <w:p w14:paraId="2C39AD21"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3BB3A654"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17.</w:t>
      </w:r>
      <w:r w:rsidRPr="00D13820">
        <w:rPr>
          <w:rFonts w:asciiTheme="majorBidi" w:hAnsiTheme="majorBidi" w:cstheme="majorBidi"/>
          <w:sz w:val="24"/>
          <w:szCs w:val="24"/>
        </w:rPr>
        <w:tab/>
        <w:t>Satzke C, Dunne EM, Porter BD, Klugman KP, Mulholland EK, PneuCarriage Project G. The PneuCarriage project: a multi-centre comparative study to identify the best serotyping methods for examining pneumococcal carriage in vaccine evaluation studies. PLoS medicine. 2015;12(11):e1001903.</w:t>
      </w:r>
    </w:p>
    <w:p w14:paraId="7600A819"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123DC125"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18.</w:t>
      </w:r>
      <w:r w:rsidRPr="00D13820">
        <w:rPr>
          <w:rFonts w:asciiTheme="majorBidi" w:hAnsiTheme="majorBidi" w:cstheme="majorBidi"/>
          <w:sz w:val="24"/>
          <w:szCs w:val="24"/>
        </w:rPr>
        <w:tab/>
        <w:t xml:space="preserve">Swarthout TD, Gori A, Bar-Zeev N, Kamng’ona AW, Mwalukomo TS, Bonomali F, et al. Evaluation of pneumococcal serotyping of nasopharyngeal-carriage isolates by latex </w:t>
      </w:r>
      <w:r w:rsidRPr="00D13820">
        <w:rPr>
          <w:rFonts w:asciiTheme="majorBidi" w:hAnsiTheme="majorBidi" w:cstheme="majorBidi"/>
          <w:sz w:val="24"/>
          <w:szCs w:val="24"/>
        </w:rPr>
        <w:lastRenderedPageBreak/>
        <w:t>agglutination, whole-genome sequencing (PneumoCaT), and DNA microarray in a high-pneumococcal-carriage-prevalence population in Malawi. Journal of clinical microbiology. 2020;59(1):e02103-20.</w:t>
      </w:r>
    </w:p>
    <w:p w14:paraId="662757DE"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0E62DF08"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19.</w:t>
      </w:r>
      <w:r w:rsidRPr="00D13820">
        <w:rPr>
          <w:rFonts w:asciiTheme="majorBidi" w:hAnsiTheme="majorBidi" w:cstheme="majorBidi"/>
          <w:sz w:val="24"/>
          <w:szCs w:val="24"/>
        </w:rPr>
        <w:tab/>
      </w:r>
      <w:r>
        <w:rPr>
          <w:rFonts w:asciiTheme="majorBidi" w:hAnsiTheme="majorBidi" w:cstheme="majorBidi"/>
          <w:sz w:val="24"/>
          <w:szCs w:val="24"/>
        </w:rPr>
        <w:t xml:space="preserve">Malawi </w:t>
      </w:r>
      <w:r w:rsidRPr="00D13820">
        <w:rPr>
          <w:rFonts w:asciiTheme="majorBidi" w:hAnsiTheme="majorBidi" w:cstheme="majorBidi"/>
          <w:sz w:val="24"/>
          <w:szCs w:val="24"/>
        </w:rPr>
        <w:t>National Statistical Office</w:t>
      </w:r>
      <w:r>
        <w:rPr>
          <w:rFonts w:asciiTheme="majorBidi" w:hAnsiTheme="majorBidi" w:cstheme="majorBidi"/>
          <w:sz w:val="24"/>
          <w:szCs w:val="24"/>
        </w:rPr>
        <w:t>, ICF</w:t>
      </w:r>
      <w:r w:rsidRPr="00D13820">
        <w:rPr>
          <w:rFonts w:asciiTheme="majorBidi" w:hAnsiTheme="majorBidi" w:cstheme="majorBidi"/>
          <w:sz w:val="24"/>
          <w:szCs w:val="24"/>
        </w:rPr>
        <w:t xml:space="preserve">. 1998 </w:t>
      </w:r>
      <w:r>
        <w:rPr>
          <w:rFonts w:asciiTheme="majorBidi" w:hAnsiTheme="majorBidi" w:cstheme="majorBidi"/>
          <w:sz w:val="24"/>
          <w:szCs w:val="24"/>
        </w:rPr>
        <w:t xml:space="preserve">Malawi </w:t>
      </w:r>
      <w:r w:rsidRPr="00D13820">
        <w:rPr>
          <w:rFonts w:asciiTheme="majorBidi" w:hAnsiTheme="majorBidi" w:cstheme="majorBidi"/>
          <w:sz w:val="24"/>
          <w:szCs w:val="24"/>
        </w:rPr>
        <w:t>Population and Housing Census.</w:t>
      </w:r>
      <w:r>
        <w:rPr>
          <w:rFonts w:asciiTheme="majorBidi" w:hAnsiTheme="majorBidi" w:cstheme="majorBidi"/>
          <w:sz w:val="24"/>
          <w:szCs w:val="24"/>
        </w:rPr>
        <w:t xml:space="preserve"> </w:t>
      </w:r>
      <w:r w:rsidRPr="00D13820">
        <w:rPr>
          <w:rFonts w:asciiTheme="majorBidi" w:hAnsiTheme="majorBidi" w:cstheme="majorBidi"/>
          <w:sz w:val="24"/>
          <w:szCs w:val="24"/>
        </w:rPr>
        <w:t>Zomba 1998.</w:t>
      </w:r>
    </w:p>
    <w:p w14:paraId="0212E14B"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2959B43E"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20.</w:t>
      </w:r>
      <w:r w:rsidRPr="00D13820">
        <w:rPr>
          <w:rFonts w:asciiTheme="majorBidi" w:hAnsiTheme="majorBidi" w:cstheme="majorBidi"/>
          <w:sz w:val="24"/>
          <w:szCs w:val="24"/>
        </w:rPr>
        <w:tab/>
      </w:r>
      <w:r>
        <w:rPr>
          <w:rFonts w:asciiTheme="majorBidi" w:hAnsiTheme="majorBidi" w:cstheme="majorBidi"/>
          <w:sz w:val="24"/>
          <w:szCs w:val="24"/>
        </w:rPr>
        <w:t xml:space="preserve">Malawi </w:t>
      </w:r>
      <w:r w:rsidRPr="00D13820">
        <w:rPr>
          <w:rFonts w:asciiTheme="majorBidi" w:hAnsiTheme="majorBidi" w:cstheme="majorBidi"/>
          <w:sz w:val="24"/>
          <w:szCs w:val="24"/>
        </w:rPr>
        <w:t xml:space="preserve">National </w:t>
      </w:r>
      <w:r>
        <w:rPr>
          <w:rFonts w:asciiTheme="majorBidi" w:hAnsiTheme="majorBidi" w:cstheme="majorBidi"/>
          <w:sz w:val="24"/>
          <w:szCs w:val="24"/>
        </w:rPr>
        <w:t xml:space="preserve">Statistical </w:t>
      </w:r>
      <w:r w:rsidRPr="00D13820">
        <w:rPr>
          <w:rFonts w:asciiTheme="majorBidi" w:hAnsiTheme="majorBidi" w:cstheme="majorBidi"/>
          <w:sz w:val="24"/>
          <w:szCs w:val="24"/>
        </w:rPr>
        <w:t>Office. 2018 Malawi Population and Housing Census. Zomba 2019.</w:t>
      </w:r>
    </w:p>
    <w:p w14:paraId="716478A1"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36749B9F"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21.</w:t>
      </w:r>
      <w:r w:rsidRPr="00D13820">
        <w:rPr>
          <w:rFonts w:asciiTheme="majorBidi" w:hAnsiTheme="majorBidi" w:cstheme="majorBidi"/>
          <w:sz w:val="24"/>
          <w:szCs w:val="24"/>
        </w:rPr>
        <w:tab/>
        <w:t>Pilishvili T, Lexau C, Farley MM, Hadler J, Harrison LH, Bennett NM, et al. Sustained reductions in invasive pneumococcal disease in the era of conjugate vaccine. The Journal of infectious diseases. 2010;201(1):32-41.</w:t>
      </w:r>
    </w:p>
    <w:p w14:paraId="3282E23A"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622D9F23"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22.</w:t>
      </w:r>
      <w:r w:rsidRPr="00D13820">
        <w:rPr>
          <w:rFonts w:asciiTheme="majorBidi" w:hAnsiTheme="majorBidi" w:cstheme="majorBidi"/>
          <w:sz w:val="24"/>
          <w:szCs w:val="24"/>
        </w:rPr>
        <w:tab/>
        <w:t>Ladhani SN, Andrews NJ, Waight P, Borrow R, Slack MPE, Miller E. Impact of the 7-valent pneumococcal conjugate vaccine on invasive pneumococcal disease in infants younger than 90 days in England and Wales. Clinical infectious diseases. 2013;56(5):633-40.</w:t>
      </w:r>
    </w:p>
    <w:p w14:paraId="0B3EFA47"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0A14333D"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23.</w:t>
      </w:r>
      <w:r w:rsidRPr="00D13820">
        <w:rPr>
          <w:rFonts w:asciiTheme="majorBidi" w:hAnsiTheme="majorBidi" w:cstheme="majorBidi"/>
          <w:sz w:val="24"/>
          <w:szCs w:val="24"/>
        </w:rPr>
        <w:tab/>
        <w:t>Poehling KA, Talbot TR, Griffin MR, Craig AS, Whitney CG, Zell E, et al. Invasive pneumococcal disease among infants before and after introduction of pneumococcal conjugate vaccine. Jama. 2006;295(14):1668-74.</w:t>
      </w:r>
    </w:p>
    <w:p w14:paraId="43FE5C8A"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1030E883"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5B2729">
        <w:rPr>
          <w:rFonts w:asciiTheme="majorBidi" w:hAnsiTheme="majorBidi" w:cstheme="majorBidi"/>
          <w:sz w:val="24"/>
          <w:szCs w:val="24"/>
        </w:rPr>
        <w:t>24.</w:t>
      </w:r>
      <w:r w:rsidRPr="005B2729">
        <w:rPr>
          <w:rFonts w:asciiTheme="majorBidi" w:hAnsiTheme="majorBidi" w:cstheme="majorBidi"/>
          <w:sz w:val="24"/>
          <w:szCs w:val="24"/>
        </w:rPr>
        <w:tab/>
        <w:t xml:space="preserve">Olarte L, Ampofo K, Stockmann C, Mason EO, Daly JA, Pavia AT, et al. </w:t>
      </w:r>
      <w:r w:rsidRPr="00D13820">
        <w:rPr>
          <w:rFonts w:asciiTheme="majorBidi" w:hAnsiTheme="majorBidi" w:cstheme="majorBidi"/>
          <w:sz w:val="24"/>
          <w:szCs w:val="24"/>
        </w:rPr>
        <w:t xml:space="preserve">Invasive pneumococcal disease in infants younger </w:t>
      </w:r>
      <w:r w:rsidRPr="00D13820">
        <w:rPr>
          <w:rFonts w:asciiTheme="majorBidi" w:hAnsiTheme="majorBidi" w:cstheme="majorBidi"/>
          <w:sz w:val="24"/>
          <w:szCs w:val="24"/>
        </w:rPr>
        <w:lastRenderedPageBreak/>
        <w:t>than 90 days before and after introduction of PCV7. Pediatrics. 2013;132(1):e17-e24.</w:t>
      </w:r>
    </w:p>
    <w:p w14:paraId="3F549CEB"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2C14A71C"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25.</w:t>
      </w:r>
      <w:r w:rsidRPr="00D13820">
        <w:rPr>
          <w:rFonts w:asciiTheme="majorBidi" w:hAnsiTheme="majorBidi" w:cstheme="majorBidi"/>
          <w:sz w:val="24"/>
          <w:szCs w:val="24"/>
        </w:rPr>
        <w:tab/>
        <w:t>Heinsbroek E, Tafatatha T, Chisambo C, Phiri A, Mwiba O, Ngwira B, et al. Pneumococcal acquisition among infants exposed to HIV in rural Malawi: a longitudinal household study. American journal of epidemiology. 2016;183(1):70-8.</w:t>
      </w:r>
    </w:p>
    <w:p w14:paraId="2F5B9871"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67F3F486"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26.</w:t>
      </w:r>
      <w:r w:rsidRPr="00D13820">
        <w:rPr>
          <w:rFonts w:asciiTheme="majorBidi" w:hAnsiTheme="majorBidi" w:cstheme="majorBidi"/>
          <w:sz w:val="24"/>
          <w:szCs w:val="24"/>
        </w:rPr>
        <w:tab/>
        <w:t>Iroh Tam P-Y, Musicha P, Kawaza K, Cornick J, Denis B, Freyne B, et al. Emerging resistance to empiric antimicrobial regimens for pediatric bloodstream infections in Malawi (1998–2017). Clinical Infectious Diseases. 2019;69(1):61-8.</w:t>
      </w:r>
    </w:p>
    <w:p w14:paraId="14F8B1D7"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23CB53EF" w14:textId="77777777" w:rsidR="00FE10EE"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27.</w:t>
      </w:r>
      <w:r w:rsidRPr="00D13820">
        <w:rPr>
          <w:rFonts w:asciiTheme="majorBidi" w:hAnsiTheme="majorBidi" w:cstheme="majorBidi"/>
          <w:sz w:val="24"/>
          <w:szCs w:val="24"/>
        </w:rPr>
        <w:tab/>
        <w:t xml:space="preserve">Harries AD, Ford N, Jahn A, Schouten EJ, Libamba E, Chimbwandira F, et al. Act local, think global: how the Malawi </w:t>
      </w:r>
      <w:r w:rsidRPr="00D13820">
        <w:rPr>
          <w:rFonts w:asciiTheme="majorBidi" w:hAnsiTheme="majorBidi" w:cstheme="majorBidi"/>
          <w:sz w:val="24"/>
          <w:szCs w:val="24"/>
        </w:rPr>
        <w:lastRenderedPageBreak/>
        <w:t>experience of scaling up antiretroviral treatment has informed global policy. BMC public health. 2016;16(1):1-9.</w:t>
      </w:r>
    </w:p>
    <w:p w14:paraId="4A5FAE99"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53B9F4F4"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28.</w:t>
      </w:r>
      <w:r w:rsidRPr="00D13820">
        <w:rPr>
          <w:rFonts w:asciiTheme="majorBidi" w:hAnsiTheme="majorBidi" w:cstheme="majorBidi"/>
          <w:sz w:val="24"/>
          <w:szCs w:val="24"/>
        </w:rPr>
        <w:tab/>
        <w:t>Kobayashi M, Conklin LM, Bigogo G, Jagero G, Hampton L, Fleming-Dutra KE, et al. Pneumococcal carriage and antibiotic susceptibility patterns from two cross-sectional colonization surveys among children aged&lt; 5 years prior to the introduction of 10-valent pneumococcal conjugate vaccine—Kenya, 2009–2010. BMC infectious diseases. 2017;17(1):1-12.</w:t>
      </w:r>
    </w:p>
    <w:p w14:paraId="1FF71886"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65748506"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29.</w:t>
      </w:r>
      <w:r w:rsidRPr="00D13820">
        <w:rPr>
          <w:rFonts w:asciiTheme="majorBidi" w:hAnsiTheme="majorBidi" w:cstheme="majorBidi"/>
          <w:sz w:val="24"/>
          <w:szCs w:val="24"/>
        </w:rPr>
        <w:tab/>
        <w:t>Usuf E, Badji H, Bojang A, Jarju S, Ikumapayi UN, Antonio M, et al. Pneumococcal carriage in rural Gambia prior to the introduction of pneumococcal conjugate vaccine: a population‐based survey. Tropical medicine &amp; international health. 2015;20(7):871-9.</w:t>
      </w:r>
    </w:p>
    <w:p w14:paraId="422027CC"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66A3972C" w14:textId="77777777" w:rsidR="00FE10EE" w:rsidRPr="00D13820" w:rsidRDefault="00FE10EE" w:rsidP="00FE10EE">
      <w:pPr>
        <w:pStyle w:val="EndNoteBibliography"/>
        <w:spacing w:after="0" w:line="480" w:lineRule="auto"/>
        <w:rPr>
          <w:rFonts w:asciiTheme="majorBidi" w:hAnsiTheme="majorBidi" w:cstheme="majorBidi"/>
          <w:sz w:val="24"/>
          <w:szCs w:val="24"/>
        </w:rPr>
      </w:pPr>
      <w:r>
        <w:rPr>
          <w:rFonts w:asciiTheme="majorBidi" w:hAnsiTheme="majorBidi" w:cstheme="majorBidi"/>
          <w:sz w:val="24"/>
          <w:szCs w:val="24"/>
        </w:rPr>
        <w:br w:type="column"/>
      </w:r>
      <w:r w:rsidRPr="00D13820">
        <w:rPr>
          <w:rFonts w:asciiTheme="majorBidi" w:hAnsiTheme="majorBidi" w:cstheme="majorBidi"/>
          <w:sz w:val="24"/>
          <w:szCs w:val="24"/>
        </w:rPr>
        <w:lastRenderedPageBreak/>
        <w:t>30.</w:t>
      </w:r>
      <w:r w:rsidRPr="00D13820">
        <w:rPr>
          <w:rFonts w:asciiTheme="majorBidi" w:hAnsiTheme="majorBidi" w:cstheme="majorBidi"/>
          <w:sz w:val="24"/>
          <w:szCs w:val="24"/>
        </w:rPr>
        <w:tab/>
        <w:t>Heinsbroek E, Tafatatha T, Phiri A, Swarthout TD, Alaerts M, Crampin AC, et al. Pneumococcal carriage in households in Karonga District, Malawi, before and after introduction of 13-valent pneumococcal conjugate vaccination. Vaccine. 2018;36(48):7369-76.</w:t>
      </w:r>
    </w:p>
    <w:p w14:paraId="2CEB5990"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5BD7B656"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31.</w:t>
      </w:r>
      <w:r w:rsidRPr="00D13820">
        <w:rPr>
          <w:rFonts w:asciiTheme="majorBidi" w:hAnsiTheme="majorBidi" w:cstheme="majorBidi"/>
          <w:sz w:val="24"/>
          <w:szCs w:val="24"/>
        </w:rPr>
        <w:tab/>
        <w:t>Johnson HL, Deloria-Knoll M, Levine OS, Stoszek SK, Freimanis Hance L, Reithinger R, et al. Systematic evaluation of serotypes causing invasive pneumococcal disease among children under five: the pneumococcal global serotype project. PLoS medicine. 2010;7(10):e1000348.</w:t>
      </w:r>
    </w:p>
    <w:p w14:paraId="7D7AF6F3"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7160D630"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32.</w:t>
      </w:r>
      <w:r w:rsidRPr="00D13820">
        <w:rPr>
          <w:rFonts w:asciiTheme="majorBidi" w:hAnsiTheme="majorBidi" w:cstheme="majorBidi"/>
          <w:sz w:val="24"/>
          <w:szCs w:val="24"/>
        </w:rPr>
        <w:tab/>
        <w:t xml:space="preserve">Lourenço J, Obolski U, Swarthout TD, Gori A, Bar-Zeev N, Everett D, et al. Determinants of high residual post-PCV13 </w:t>
      </w:r>
      <w:r w:rsidRPr="00D13820">
        <w:rPr>
          <w:rFonts w:asciiTheme="majorBidi" w:hAnsiTheme="majorBidi" w:cstheme="majorBidi"/>
          <w:sz w:val="24"/>
          <w:szCs w:val="24"/>
        </w:rPr>
        <w:lastRenderedPageBreak/>
        <w:t>pneumococcal vaccine-type carriage in Blantyre, Malawi: a modelling study. BMC medicine. 2019;17(1):1-11.</w:t>
      </w:r>
    </w:p>
    <w:p w14:paraId="2B05F0D7"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1DF53642"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5B2729">
        <w:rPr>
          <w:rFonts w:asciiTheme="majorBidi" w:hAnsiTheme="majorBidi" w:cstheme="majorBidi"/>
          <w:sz w:val="24"/>
          <w:szCs w:val="24"/>
          <w:lang w:val="en-GB"/>
        </w:rPr>
        <w:t>33.</w:t>
      </w:r>
      <w:r w:rsidRPr="005B2729">
        <w:rPr>
          <w:rFonts w:asciiTheme="majorBidi" w:hAnsiTheme="majorBidi" w:cstheme="majorBidi"/>
          <w:sz w:val="24"/>
          <w:szCs w:val="24"/>
          <w:lang w:val="en-GB"/>
        </w:rPr>
        <w:tab/>
        <w:t xml:space="preserve">Melegaro A, Gay NJ, Medley GF. </w:t>
      </w:r>
      <w:r w:rsidRPr="00D13820">
        <w:rPr>
          <w:rFonts w:asciiTheme="majorBidi" w:hAnsiTheme="majorBidi" w:cstheme="majorBidi"/>
          <w:sz w:val="24"/>
          <w:szCs w:val="24"/>
        </w:rPr>
        <w:t>Estimating the transmission parameters of pneumococcal carriage in households. Epidemiology &amp; Infection. 2004;132(3):433-41.</w:t>
      </w:r>
    </w:p>
    <w:p w14:paraId="632F46C2"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27BA76F1"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34.</w:t>
      </w:r>
      <w:r w:rsidRPr="00D13820">
        <w:rPr>
          <w:rFonts w:asciiTheme="majorBidi" w:hAnsiTheme="majorBidi" w:cstheme="majorBidi"/>
          <w:sz w:val="24"/>
          <w:szCs w:val="24"/>
        </w:rPr>
        <w:tab/>
        <w:t>Hill PC, Townend J, Antonio M, Akisanya B, Ebruke C, Lahai G, et al. Transmission of Streptococcus pneumoniae in rural Gambian villages: a longitudinal study. Clinical Infectious Diseases. 2010;50(11):1468-76.</w:t>
      </w:r>
    </w:p>
    <w:p w14:paraId="3771B5B2"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205445B5"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5B2729">
        <w:rPr>
          <w:rFonts w:asciiTheme="majorBidi" w:hAnsiTheme="majorBidi" w:cstheme="majorBidi"/>
          <w:sz w:val="24"/>
          <w:szCs w:val="24"/>
        </w:rPr>
        <w:t>35.</w:t>
      </w:r>
      <w:r w:rsidRPr="005B2729">
        <w:rPr>
          <w:rFonts w:asciiTheme="majorBidi" w:hAnsiTheme="majorBidi" w:cstheme="majorBidi"/>
          <w:sz w:val="24"/>
          <w:szCs w:val="24"/>
        </w:rPr>
        <w:tab/>
        <w:t xml:space="preserve">Tigoi CC, Gatakaa H, Karani A, Mugo D, Kungu S, Wanjiru E, et al. </w:t>
      </w:r>
      <w:r w:rsidRPr="00D13820">
        <w:rPr>
          <w:rFonts w:asciiTheme="majorBidi" w:hAnsiTheme="majorBidi" w:cstheme="majorBidi"/>
          <w:sz w:val="24"/>
          <w:szCs w:val="24"/>
        </w:rPr>
        <w:t xml:space="preserve">Rates of acquisition of pneumococcal colonization and transmission probabilities, by serotype, among newborn infants in </w:t>
      </w:r>
      <w:r w:rsidRPr="00D13820">
        <w:rPr>
          <w:rFonts w:asciiTheme="majorBidi" w:hAnsiTheme="majorBidi" w:cstheme="majorBidi"/>
          <w:sz w:val="24"/>
          <w:szCs w:val="24"/>
        </w:rPr>
        <w:lastRenderedPageBreak/>
        <w:t>Kilifi District, Kenya. Clinical infectious diseases. 2012;55(2):180-8.</w:t>
      </w:r>
    </w:p>
    <w:p w14:paraId="5C02F4A3"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787000C8"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D13820">
        <w:rPr>
          <w:rFonts w:asciiTheme="majorBidi" w:hAnsiTheme="majorBidi" w:cstheme="majorBidi"/>
          <w:sz w:val="24"/>
          <w:szCs w:val="24"/>
        </w:rPr>
        <w:t>36.</w:t>
      </w:r>
      <w:r w:rsidRPr="00D13820">
        <w:rPr>
          <w:rFonts w:asciiTheme="majorBidi" w:hAnsiTheme="majorBidi" w:cstheme="majorBidi"/>
          <w:sz w:val="24"/>
          <w:szCs w:val="24"/>
        </w:rPr>
        <w:tab/>
        <w:t>Kaplan M, Rudensky B, Beck A. Perinatal infections with Streptococcus pneumoniae. American journal of perinatology. 1993;10(01):1-4.</w:t>
      </w:r>
    </w:p>
    <w:p w14:paraId="7BDAE440" w14:textId="77777777" w:rsidR="00FE10EE" w:rsidRPr="00D13820" w:rsidRDefault="00FE10EE" w:rsidP="00FE10EE">
      <w:pPr>
        <w:pStyle w:val="EndNoteBibliography"/>
        <w:spacing w:after="0" w:line="480" w:lineRule="auto"/>
        <w:rPr>
          <w:rFonts w:asciiTheme="majorBidi" w:hAnsiTheme="majorBidi" w:cstheme="majorBidi"/>
          <w:sz w:val="24"/>
          <w:szCs w:val="24"/>
        </w:rPr>
      </w:pPr>
    </w:p>
    <w:p w14:paraId="17736529" w14:textId="77777777" w:rsidR="00FE10EE" w:rsidRPr="00D13820" w:rsidRDefault="00FE10EE" w:rsidP="00FE10EE">
      <w:pPr>
        <w:pStyle w:val="EndNoteBibliography"/>
        <w:spacing w:after="0" w:line="480" w:lineRule="auto"/>
        <w:rPr>
          <w:rFonts w:asciiTheme="majorBidi" w:hAnsiTheme="majorBidi" w:cstheme="majorBidi"/>
          <w:sz w:val="24"/>
          <w:szCs w:val="24"/>
        </w:rPr>
      </w:pPr>
      <w:r w:rsidRPr="005B2729">
        <w:rPr>
          <w:rFonts w:asciiTheme="majorBidi" w:hAnsiTheme="majorBidi" w:cstheme="majorBidi"/>
          <w:sz w:val="24"/>
          <w:szCs w:val="24"/>
        </w:rPr>
        <w:t>37.</w:t>
      </w:r>
      <w:r w:rsidRPr="005B2729">
        <w:rPr>
          <w:rFonts w:asciiTheme="majorBidi" w:hAnsiTheme="majorBidi" w:cstheme="majorBidi"/>
          <w:sz w:val="24"/>
          <w:szCs w:val="24"/>
        </w:rPr>
        <w:tab/>
        <w:t xml:space="preserve">Gladstone IM, Ehrenkranz RA, Edberg SC, Baltimore RS. </w:t>
      </w:r>
      <w:r w:rsidRPr="00D13820">
        <w:rPr>
          <w:rFonts w:asciiTheme="majorBidi" w:hAnsiTheme="majorBidi" w:cstheme="majorBidi"/>
          <w:sz w:val="24"/>
          <w:szCs w:val="24"/>
        </w:rPr>
        <w:t>A ten-year review of neonatal sepsis and comparison with the previous fifty-year experience. The Pediatric infectious disease journal. 1990;9(11):819-25.</w:t>
      </w:r>
    </w:p>
    <w:p w14:paraId="40FC9DC0" w14:textId="77777777" w:rsidR="00FE10EE" w:rsidRPr="00D13820" w:rsidRDefault="00FE10EE" w:rsidP="00FE10EE">
      <w:pPr>
        <w:pStyle w:val="EndNoteBibliography"/>
        <w:spacing w:line="480" w:lineRule="auto"/>
        <w:rPr>
          <w:rFonts w:asciiTheme="majorBidi" w:hAnsiTheme="majorBidi" w:cstheme="majorBidi"/>
          <w:sz w:val="24"/>
          <w:szCs w:val="24"/>
        </w:rPr>
      </w:pPr>
    </w:p>
    <w:p w14:paraId="363CB002" w14:textId="77777777" w:rsidR="00FE10EE" w:rsidRPr="00D13820" w:rsidRDefault="00FE10EE" w:rsidP="00FE10EE">
      <w:pPr>
        <w:pStyle w:val="EndNoteBibliography"/>
        <w:spacing w:line="480" w:lineRule="auto"/>
        <w:rPr>
          <w:rFonts w:asciiTheme="majorBidi" w:hAnsiTheme="majorBidi" w:cstheme="majorBidi"/>
          <w:sz w:val="24"/>
          <w:szCs w:val="24"/>
        </w:rPr>
      </w:pPr>
      <w:r w:rsidRPr="00D13820">
        <w:rPr>
          <w:rFonts w:asciiTheme="majorBidi" w:hAnsiTheme="majorBidi" w:cstheme="majorBidi"/>
          <w:sz w:val="24"/>
          <w:szCs w:val="24"/>
        </w:rPr>
        <w:t>38.</w:t>
      </w:r>
      <w:r w:rsidRPr="00D13820">
        <w:rPr>
          <w:rFonts w:asciiTheme="majorBidi" w:hAnsiTheme="majorBidi" w:cstheme="majorBidi"/>
          <w:sz w:val="24"/>
          <w:szCs w:val="24"/>
        </w:rPr>
        <w:tab/>
        <w:t xml:space="preserve">Gomez M, Alter S, Kumar ML, Murphy S, Rathore MH. Neonatal Streptococcus pneumoniae infection: case reports and </w:t>
      </w:r>
      <w:r w:rsidRPr="00D13820">
        <w:rPr>
          <w:rFonts w:asciiTheme="majorBidi" w:hAnsiTheme="majorBidi" w:cstheme="majorBidi"/>
          <w:sz w:val="24"/>
          <w:szCs w:val="24"/>
        </w:rPr>
        <w:lastRenderedPageBreak/>
        <w:t>review of the literature. The Pediatric infectious disease journal. 1999;18(11):1014-8.</w:t>
      </w:r>
    </w:p>
    <w:p w14:paraId="51390DB9" w14:textId="77777777" w:rsidR="00FE10EE" w:rsidRPr="00D13820" w:rsidRDefault="00FE10EE" w:rsidP="00FE10EE">
      <w:pPr>
        <w:pStyle w:val="NormalWeb"/>
        <w:spacing w:line="480" w:lineRule="auto"/>
        <w:rPr>
          <w:rFonts w:asciiTheme="majorBidi" w:hAnsiTheme="majorBidi" w:cstheme="majorBidi"/>
        </w:rPr>
      </w:pPr>
    </w:p>
    <w:p w14:paraId="14D0599C" w14:textId="77777777" w:rsidR="00FE10EE" w:rsidRPr="00BF4A9F" w:rsidRDefault="00FE10EE" w:rsidP="00FE10EE">
      <w:pPr>
        <w:spacing w:line="480" w:lineRule="auto"/>
        <w:rPr>
          <w:rFonts w:asciiTheme="majorBidi" w:hAnsiTheme="majorBidi" w:cstheme="majorBidi"/>
          <w:sz w:val="24"/>
          <w:szCs w:val="24"/>
        </w:rPr>
      </w:pPr>
    </w:p>
    <w:p w14:paraId="180A82A0" w14:textId="77777777" w:rsidR="00FE10EE" w:rsidRPr="009A3166" w:rsidRDefault="00FE10EE" w:rsidP="00FE10EE">
      <w:pPr>
        <w:pStyle w:val="NormalWeb"/>
        <w:spacing w:line="480" w:lineRule="auto"/>
        <w:rPr>
          <w:rFonts w:asciiTheme="majorBidi" w:hAnsiTheme="majorBidi" w:cstheme="majorBidi"/>
          <w:b/>
          <w:bCs/>
          <w:sz w:val="32"/>
          <w:szCs w:val="32"/>
        </w:rPr>
      </w:pPr>
      <w:r>
        <w:br w:type="column"/>
      </w:r>
      <w:r w:rsidRPr="009A3166">
        <w:rPr>
          <w:rFonts w:asciiTheme="majorBidi" w:hAnsiTheme="majorBidi" w:cstheme="majorBidi"/>
          <w:b/>
          <w:bCs/>
          <w:sz w:val="32"/>
          <w:szCs w:val="32"/>
        </w:rPr>
        <w:lastRenderedPageBreak/>
        <w:t xml:space="preserve"> Figure legend</w:t>
      </w:r>
    </w:p>
    <w:p w14:paraId="6641FC81" w14:textId="77777777" w:rsidR="00FE10EE" w:rsidRDefault="00FE10EE" w:rsidP="00FE10EE">
      <w:pPr>
        <w:pStyle w:val="Caption"/>
        <w:spacing w:line="480" w:lineRule="auto"/>
        <w:rPr>
          <w:rFonts w:asciiTheme="majorBidi" w:hAnsiTheme="majorBidi" w:cstheme="majorBidi"/>
          <w:i w:val="0"/>
          <w:iCs w:val="0"/>
          <w:color w:val="auto"/>
          <w:sz w:val="24"/>
          <w:szCs w:val="24"/>
        </w:rPr>
      </w:pPr>
      <w:r w:rsidRPr="009A3166">
        <w:rPr>
          <w:rFonts w:asciiTheme="majorBidi" w:hAnsiTheme="majorBidi" w:cstheme="majorBidi"/>
          <w:b/>
          <w:bCs/>
          <w:i w:val="0"/>
          <w:iCs w:val="0"/>
          <w:color w:val="auto"/>
          <w:sz w:val="24"/>
          <w:szCs w:val="24"/>
        </w:rPr>
        <w:t xml:space="preserve">Figure </w:t>
      </w:r>
      <w:r>
        <w:rPr>
          <w:rFonts w:asciiTheme="majorBidi" w:hAnsiTheme="majorBidi" w:cstheme="majorBidi"/>
          <w:b/>
          <w:bCs/>
          <w:i w:val="0"/>
          <w:iCs w:val="0"/>
          <w:noProof/>
          <w:color w:val="auto"/>
          <w:sz w:val="24"/>
          <w:szCs w:val="24"/>
        </w:rPr>
        <w:t>1</w:t>
      </w:r>
      <w:r>
        <w:rPr>
          <w:rFonts w:asciiTheme="majorBidi" w:hAnsiTheme="majorBidi" w:cstheme="majorBidi"/>
          <w:b/>
          <w:bCs/>
          <w:i w:val="0"/>
          <w:iCs w:val="0"/>
          <w:color w:val="auto"/>
          <w:sz w:val="24"/>
          <w:szCs w:val="24"/>
        </w:rPr>
        <w:t>.</w:t>
      </w:r>
      <w:r w:rsidRPr="009A3166">
        <w:rPr>
          <w:rFonts w:asciiTheme="majorBidi" w:hAnsiTheme="majorBidi" w:cstheme="majorBidi"/>
          <w:i w:val="0"/>
          <w:iCs w:val="0"/>
          <w:color w:val="auto"/>
          <w:sz w:val="24"/>
          <w:szCs w:val="24"/>
        </w:rPr>
        <w:t xml:space="preserve"> </w:t>
      </w:r>
      <w:r>
        <w:rPr>
          <w:rFonts w:asciiTheme="majorBidi" w:hAnsiTheme="majorBidi" w:cstheme="majorBidi"/>
          <w:i w:val="0"/>
          <w:iCs w:val="0"/>
          <w:color w:val="auto"/>
          <w:sz w:val="24"/>
          <w:szCs w:val="24"/>
        </w:rPr>
        <w:t>I</w:t>
      </w:r>
      <w:r w:rsidRPr="009A3166">
        <w:rPr>
          <w:rFonts w:asciiTheme="majorBidi" w:hAnsiTheme="majorBidi" w:cstheme="majorBidi"/>
          <w:i w:val="0"/>
          <w:iCs w:val="0"/>
          <w:color w:val="auto"/>
          <w:sz w:val="24"/>
          <w:szCs w:val="24"/>
        </w:rPr>
        <w:t>ncidence of invasive pneumococcal disease (IPD) in infants &lt;90 days old (per 100,000 children &lt;90 days old) in Blantyre, 2005 – 2018</w:t>
      </w:r>
    </w:p>
    <w:p w14:paraId="0C80CC8A" w14:textId="77777777" w:rsidR="00FE10EE" w:rsidRPr="00AF067B" w:rsidRDefault="00FE10EE" w:rsidP="00FE10EE">
      <w:pPr>
        <w:pStyle w:val="Caption"/>
        <w:spacing w:line="480" w:lineRule="auto"/>
        <w:rPr>
          <w:rFonts w:asciiTheme="majorBidi" w:hAnsiTheme="majorBidi" w:cstheme="majorBidi"/>
        </w:rPr>
      </w:pPr>
      <w:r w:rsidRPr="0010566E">
        <w:rPr>
          <w:rFonts w:asciiTheme="majorBidi" w:hAnsiTheme="majorBidi" w:cstheme="majorBidi"/>
          <w:color w:val="auto"/>
          <w:sz w:val="24"/>
          <w:szCs w:val="24"/>
        </w:rPr>
        <w:t xml:space="preserve">Abbreviations: </w:t>
      </w:r>
      <w:r>
        <w:rPr>
          <w:rFonts w:asciiTheme="majorBidi" w:hAnsiTheme="majorBidi" w:cstheme="majorBidi"/>
          <w:color w:val="auto"/>
          <w:sz w:val="24"/>
          <w:szCs w:val="24"/>
        </w:rPr>
        <w:t xml:space="preserve">IPD, invasive pneumococcal disease; </w:t>
      </w:r>
      <w:r w:rsidRPr="0010566E">
        <w:rPr>
          <w:rFonts w:asciiTheme="majorBidi" w:hAnsiTheme="majorBidi" w:cstheme="majorBidi"/>
          <w:color w:val="auto"/>
          <w:sz w:val="24"/>
          <w:szCs w:val="24"/>
        </w:rPr>
        <w:t xml:space="preserve">VT, vaccine type; NVT, non-vaccine type. </w:t>
      </w:r>
      <w:r w:rsidRPr="00AF067B">
        <w:rPr>
          <w:rFonts w:asciiTheme="majorBidi" w:hAnsiTheme="majorBidi" w:cstheme="majorBidi"/>
          <w:color w:val="auto"/>
          <w:sz w:val="24"/>
          <w:szCs w:val="24"/>
        </w:rPr>
        <w:t>Dashed line indicates date of PCV13 introduction. Refer to Supplementary Table 1 for incidence per year.</w:t>
      </w:r>
    </w:p>
    <w:p w14:paraId="44337E48" w14:textId="4328005D" w:rsidR="00FE10EE" w:rsidRPr="009A3166" w:rsidRDefault="00FE10EE" w:rsidP="00FE10EE">
      <w:pPr>
        <w:pStyle w:val="NormalWeb"/>
        <w:spacing w:line="480" w:lineRule="auto"/>
        <w:jc w:val="center"/>
        <w:rPr>
          <w:rFonts w:asciiTheme="majorBidi" w:hAnsiTheme="majorBidi" w:cstheme="majorBidi"/>
          <w:b/>
          <w:bCs/>
          <w:sz w:val="32"/>
          <w:szCs w:val="32"/>
        </w:rPr>
      </w:pPr>
      <w:r>
        <w:rPr>
          <w:noProof/>
        </w:rPr>
        <mc:AlternateContent>
          <mc:Choice Requires="wpg">
            <w:drawing>
              <wp:anchor distT="0" distB="0" distL="114300" distR="114300" simplePos="0" relativeHeight="251661312" behindDoc="1" locked="0" layoutInCell="1" allowOverlap="1" wp14:anchorId="70A2C9D9" wp14:editId="3026876A">
                <wp:simplePos x="0" y="0"/>
                <wp:positionH relativeFrom="column">
                  <wp:posOffset>0</wp:posOffset>
                </wp:positionH>
                <wp:positionV relativeFrom="paragraph">
                  <wp:posOffset>-635</wp:posOffset>
                </wp:positionV>
                <wp:extent cx="5711825" cy="2590800"/>
                <wp:effectExtent l="0" t="0" r="3175" b="0"/>
                <wp:wrapNone/>
                <wp:docPr id="7" name="Group 7"/>
                <wp:cNvGraphicFramePr/>
                <a:graphic xmlns:a="http://schemas.openxmlformats.org/drawingml/2006/main">
                  <a:graphicData uri="http://schemas.microsoft.com/office/word/2010/wordprocessingGroup">
                    <wpg:wgp>
                      <wpg:cNvGrpSpPr/>
                      <wpg:grpSpPr>
                        <a:xfrm>
                          <a:off x="0" y="0"/>
                          <a:ext cx="5711825" cy="2590800"/>
                          <a:chOff x="0" y="0"/>
                          <a:chExt cx="5711825" cy="2590800"/>
                        </a:xfrm>
                      </wpg:grpSpPr>
                      <wpg:graphicFrame>
                        <wpg:cNvPr id="1" name="Chart 1">
                          <a:extLst>
                            <a:ext uri="{FF2B5EF4-FFF2-40B4-BE49-F238E27FC236}">
                              <a16:creationId xmlns:a16="http://schemas.microsoft.com/office/drawing/2014/main" id="{9094F65E-2AFF-4137-8CEA-B84B75DB1B82}"/>
                            </a:ext>
                          </a:extLst>
                        </wpg:cNvPr>
                        <wpg:cNvFrPr/>
                        <wpg:xfrm>
                          <a:off x="0" y="0"/>
                          <a:ext cx="5711825" cy="2590800"/>
                        </wpg:xfrm>
                        <a:graphic>
                          <a:graphicData uri="http://schemas.openxmlformats.org/drawingml/2006/chart">
                            <c:chart xmlns:c="http://schemas.openxmlformats.org/drawingml/2006/chart" xmlns:r="http://schemas.openxmlformats.org/officeDocument/2006/relationships" r:id="rId6"/>
                          </a:graphicData>
                        </a:graphic>
                      </wpg:graphicFrame>
                      <wps:wsp>
                        <wps:cNvPr id="4" name="Straight Connector 4"/>
                        <wps:cNvCnPr/>
                        <wps:spPr>
                          <a:xfrm>
                            <a:off x="3241569" y="151678"/>
                            <a:ext cx="3175" cy="18510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6458247A" id="Group 7" o:spid="_x0000_s1026" style="position:absolute;margin-left:0;margin-top:-.05pt;width:449.75pt;height:204pt;z-index:-251655168" coordsize="57118,2590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60;top:-60;width:57240;height:26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">
                  <v:imagedata r:id="rId7" o:title=""/>
                  <o:lock v:ext="edit" aspectratio="f"/>
                </v:shape>
                <v:line id="Straight Connector 4" o:spid="_x0000_s1028" style="position:absolute;visibility:visible;mso-wrap-style:square" from="32415,1516" to="32447,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" strokecolor="black [3200]">
                  <v:stroke dashstyle="dash"/>
                </v:line>
              </v:group>
            </w:pict>
          </mc:Fallback>
        </mc:AlternateContent>
      </w:r>
    </w:p>
    <w:p w14:paraId="06807A2F" w14:textId="77777777" w:rsidR="00FE10EE" w:rsidRPr="00314A76" w:rsidRDefault="00FE10EE" w:rsidP="00FE10EE">
      <w:pPr>
        <w:keepNext/>
        <w:spacing w:line="480" w:lineRule="auto"/>
        <w:rPr>
          <w:rFonts w:asciiTheme="majorBidi" w:hAnsiTheme="majorBidi" w:cstheme="majorBidi"/>
          <w:sz w:val="24"/>
          <w:szCs w:val="24"/>
        </w:rPr>
      </w:pPr>
    </w:p>
    <w:p w14:paraId="09DC1161" w14:textId="77777777" w:rsidR="00FE10EE" w:rsidRPr="00314A76" w:rsidRDefault="00FE10EE" w:rsidP="00FE10EE">
      <w:pPr>
        <w:spacing w:line="480" w:lineRule="auto"/>
        <w:rPr>
          <w:rFonts w:asciiTheme="majorBidi" w:hAnsiTheme="majorBidi" w:cstheme="majorBidi"/>
          <w:sz w:val="24"/>
          <w:szCs w:val="24"/>
        </w:rPr>
      </w:pPr>
    </w:p>
    <w:p w14:paraId="5A936178" w14:textId="77777777" w:rsidR="00FE10EE" w:rsidRDefault="00FE10EE" w:rsidP="00FE10EE">
      <w:pPr>
        <w:pStyle w:val="NormalWeb"/>
        <w:spacing w:line="480" w:lineRule="auto"/>
        <w:rPr>
          <w:rFonts w:asciiTheme="majorBidi" w:hAnsiTheme="majorBidi" w:cstheme="majorBidi"/>
        </w:rPr>
      </w:pPr>
    </w:p>
    <w:p w14:paraId="630F3160" w14:textId="77777777" w:rsidR="00FE10EE" w:rsidRDefault="00FE10EE" w:rsidP="00FE10EE">
      <w:pPr>
        <w:pStyle w:val="NormalWeb"/>
        <w:spacing w:line="480" w:lineRule="auto"/>
        <w:rPr>
          <w:rFonts w:asciiTheme="majorBidi" w:hAnsiTheme="majorBidi" w:cstheme="majorBidi"/>
        </w:rPr>
      </w:pPr>
    </w:p>
    <w:p w14:paraId="05639653" w14:textId="7B1A7281" w:rsidR="00FE10EE" w:rsidRDefault="00FE10EE">
      <w:pPr>
        <w:spacing w:after="160" w:line="259" w:lineRule="auto"/>
      </w:pPr>
      <w:r>
        <w:br w:type="page"/>
      </w:r>
    </w:p>
    <w:p w14:paraId="4315269C" w14:textId="77777777" w:rsidR="00FE10EE" w:rsidRDefault="00FE10EE" w:rsidP="00FE10EE">
      <w:pPr>
        <w:pStyle w:val="Caption"/>
        <w:spacing w:line="480" w:lineRule="auto"/>
        <w:rPr>
          <w:rFonts w:asciiTheme="majorBidi" w:hAnsiTheme="majorBidi" w:cstheme="majorBidi"/>
          <w:b/>
          <w:bCs/>
          <w:i w:val="0"/>
          <w:iCs w:val="0"/>
          <w:color w:val="auto"/>
          <w:sz w:val="24"/>
          <w:szCs w:val="24"/>
        </w:rPr>
      </w:pPr>
      <w:r w:rsidRPr="00193738">
        <w:rPr>
          <w:rFonts w:asciiTheme="majorBidi" w:hAnsiTheme="majorBidi" w:cstheme="majorBidi"/>
          <w:b/>
          <w:bCs/>
          <w:i w:val="0"/>
          <w:iCs w:val="0"/>
          <w:color w:val="auto"/>
          <w:sz w:val="24"/>
          <w:szCs w:val="24"/>
        </w:rPr>
        <w:t xml:space="preserve">Table 1: Early vs late onset disease in the </w:t>
      </w:r>
      <w:r>
        <w:rPr>
          <w:rFonts w:asciiTheme="majorBidi" w:hAnsiTheme="majorBidi" w:cstheme="majorBidi"/>
          <w:b/>
          <w:bCs/>
          <w:i w:val="0"/>
          <w:iCs w:val="0"/>
          <w:color w:val="auto"/>
          <w:sz w:val="24"/>
          <w:szCs w:val="24"/>
        </w:rPr>
        <w:t>P</w:t>
      </w:r>
      <w:r w:rsidRPr="00193738">
        <w:rPr>
          <w:rFonts w:asciiTheme="majorBidi" w:hAnsiTheme="majorBidi" w:cstheme="majorBidi"/>
          <w:b/>
          <w:bCs/>
          <w:i w:val="0"/>
          <w:iCs w:val="0"/>
          <w:color w:val="auto"/>
          <w:sz w:val="24"/>
          <w:szCs w:val="24"/>
        </w:rPr>
        <w:t>re</w:t>
      </w:r>
      <w:r>
        <w:rPr>
          <w:rFonts w:asciiTheme="majorBidi" w:hAnsiTheme="majorBidi" w:cstheme="majorBidi"/>
          <w:b/>
          <w:bCs/>
          <w:i w:val="0"/>
          <w:iCs w:val="0"/>
          <w:color w:val="auto"/>
          <w:sz w:val="24"/>
          <w:szCs w:val="24"/>
        </w:rPr>
        <w:t>-</w:t>
      </w:r>
      <w:r w:rsidRPr="00193738">
        <w:rPr>
          <w:rFonts w:asciiTheme="majorBidi" w:hAnsiTheme="majorBidi" w:cstheme="majorBidi"/>
          <w:b/>
          <w:bCs/>
          <w:i w:val="0"/>
          <w:iCs w:val="0"/>
          <w:color w:val="auto"/>
          <w:sz w:val="24"/>
          <w:szCs w:val="24"/>
        </w:rPr>
        <w:t xml:space="preserve"> and </w:t>
      </w:r>
      <w:r>
        <w:rPr>
          <w:rFonts w:asciiTheme="majorBidi" w:hAnsiTheme="majorBidi" w:cstheme="majorBidi"/>
          <w:b/>
          <w:bCs/>
          <w:i w:val="0"/>
          <w:iCs w:val="0"/>
          <w:color w:val="auto"/>
          <w:sz w:val="24"/>
          <w:szCs w:val="24"/>
        </w:rPr>
        <w:t>P</w:t>
      </w:r>
      <w:r w:rsidRPr="00193738">
        <w:rPr>
          <w:rFonts w:asciiTheme="majorBidi" w:hAnsiTheme="majorBidi" w:cstheme="majorBidi"/>
          <w:b/>
          <w:bCs/>
          <w:i w:val="0"/>
          <w:iCs w:val="0"/>
          <w:color w:val="auto"/>
          <w:sz w:val="24"/>
          <w:szCs w:val="24"/>
        </w:rPr>
        <w:t>ost</w:t>
      </w:r>
      <w:r>
        <w:rPr>
          <w:rFonts w:asciiTheme="majorBidi" w:hAnsiTheme="majorBidi" w:cstheme="majorBidi"/>
          <w:b/>
          <w:bCs/>
          <w:i w:val="0"/>
          <w:iCs w:val="0"/>
          <w:color w:val="auto"/>
          <w:sz w:val="24"/>
          <w:szCs w:val="24"/>
        </w:rPr>
        <w:t>-</w:t>
      </w:r>
      <w:r w:rsidRPr="00193738">
        <w:rPr>
          <w:rFonts w:asciiTheme="majorBidi" w:hAnsiTheme="majorBidi" w:cstheme="majorBidi"/>
          <w:b/>
          <w:bCs/>
          <w:i w:val="0"/>
          <w:iCs w:val="0"/>
          <w:color w:val="auto"/>
          <w:sz w:val="24"/>
          <w:szCs w:val="24"/>
        </w:rPr>
        <w:t>PCV</w:t>
      </w:r>
      <w:r>
        <w:rPr>
          <w:rFonts w:asciiTheme="majorBidi" w:hAnsiTheme="majorBidi" w:cstheme="majorBidi"/>
          <w:b/>
          <w:bCs/>
          <w:i w:val="0"/>
          <w:iCs w:val="0"/>
          <w:color w:val="auto"/>
          <w:sz w:val="24"/>
          <w:szCs w:val="24"/>
        </w:rPr>
        <w:t>13</w:t>
      </w:r>
      <w:r w:rsidRPr="00193738">
        <w:rPr>
          <w:rFonts w:asciiTheme="majorBidi" w:hAnsiTheme="majorBidi" w:cstheme="majorBidi"/>
          <w:b/>
          <w:bCs/>
          <w:i w:val="0"/>
          <w:iCs w:val="0"/>
          <w:color w:val="auto"/>
          <w:sz w:val="24"/>
          <w:szCs w:val="24"/>
        </w:rPr>
        <w:t xml:space="preserve"> </w:t>
      </w:r>
      <w:r>
        <w:rPr>
          <w:rFonts w:asciiTheme="majorBidi" w:hAnsiTheme="majorBidi" w:cstheme="majorBidi"/>
          <w:b/>
          <w:bCs/>
          <w:i w:val="0"/>
          <w:iCs w:val="0"/>
          <w:color w:val="auto"/>
          <w:sz w:val="24"/>
          <w:szCs w:val="24"/>
        </w:rPr>
        <w:t>periods</w:t>
      </w:r>
    </w:p>
    <w:tbl>
      <w:tblPr>
        <w:tblStyle w:val="PlainTable4"/>
        <w:tblW w:w="7938" w:type="dxa"/>
        <w:tblLayout w:type="fixed"/>
        <w:tblLook w:val="04A0" w:firstRow="1" w:lastRow="0" w:firstColumn="1" w:lastColumn="0" w:noHBand="0" w:noVBand="1"/>
      </w:tblPr>
      <w:tblGrid>
        <w:gridCol w:w="2694"/>
        <w:gridCol w:w="850"/>
        <w:gridCol w:w="709"/>
        <w:gridCol w:w="277"/>
        <w:gridCol w:w="857"/>
        <w:gridCol w:w="709"/>
        <w:gridCol w:w="236"/>
        <w:gridCol w:w="898"/>
        <w:gridCol w:w="708"/>
      </w:tblGrid>
      <w:tr w:rsidR="00FE10EE" w:rsidRPr="00FD087D" w14:paraId="6F0C126D" w14:textId="77777777" w:rsidTr="00E95E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shd w:val="clear" w:color="auto" w:fill="FFFFFF" w:themeFill="background1"/>
            <w:noWrap/>
            <w:hideMark/>
          </w:tcPr>
          <w:p w14:paraId="1D770345" w14:textId="77777777" w:rsidR="00FE10EE" w:rsidRPr="00FD087D" w:rsidRDefault="00FE10EE" w:rsidP="00E95EB7">
            <w:pPr>
              <w:spacing w:line="480" w:lineRule="auto"/>
              <w:jc w:val="both"/>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Clinical Syndrome</w:t>
            </w:r>
          </w:p>
        </w:tc>
        <w:tc>
          <w:tcPr>
            <w:tcW w:w="1559" w:type="dxa"/>
            <w:gridSpan w:val="2"/>
            <w:tcBorders>
              <w:top w:val="single" w:sz="4" w:space="0" w:color="auto"/>
            </w:tcBorders>
            <w:shd w:val="clear" w:color="auto" w:fill="FFFFFF" w:themeFill="background1"/>
            <w:noWrap/>
            <w:hideMark/>
          </w:tcPr>
          <w:p w14:paraId="79C52450" w14:textId="77777777" w:rsidR="00FE10EE" w:rsidRPr="00FD087D" w:rsidRDefault="00FE10EE" w:rsidP="00E95EB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Total</w:t>
            </w:r>
          </w:p>
        </w:tc>
        <w:tc>
          <w:tcPr>
            <w:tcW w:w="277" w:type="dxa"/>
            <w:tcBorders>
              <w:top w:val="single" w:sz="4" w:space="0" w:color="auto"/>
            </w:tcBorders>
            <w:shd w:val="clear" w:color="auto" w:fill="FFFFFF" w:themeFill="background1"/>
          </w:tcPr>
          <w:p w14:paraId="1B0EFE63" w14:textId="77777777" w:rsidR="00FE10EE" w:rsidRPr="00FD087D" w:rsidRDefault="00FE10EE" w:rsidP="00E95EB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en-GB"/>
              </w:rPr>
            </w:pPr>
          </w:p>
        </w:tc>
        <w:tc>
          <w:tcPr>
            <w:tcW w:w="1566" w:type="dxa"/>
            <w:gridSpan w:val="2"/>
            <w:tcBorders>
              <w:top w:val="single" w:sz="4" w:space="0" w:color="auto"/>
            </w:tcBorders>
            <w:shd w:val="clear" w:color="auto" w:fill="FFFFFF" w:themeFill="background1"/>
            <w:noWrap/>
            <w:hideMark/>
          </w:tcPr>
          <w:p w14:paraId="2941D00B" w14:textId="77777777" w:rsidR="00FE10EE" w:rsidRPr="00FD087D" w:rsidRDefault="00FE10EE" w:rsidP="00E95EB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Pre-PCV</w:t>
            </w:r>
            <w:r>
              <w:rPr>
                <w:rFonts w:ascii="Times New Roman" w:eastAsia="Times New Roman" w:hAnsi="Times New Roman" w:cs="Times New Roman"/>
                <w:b w:val="0"/>
                <w:bCs w:val="0"/>
                <w:sz w:val="18"/>
                <w:szCs w:val="18"/>
                <w:lang w:eastAsia="en-GB"/>
              </w:rPr>
              <w:t>13</w:t>
            </w:r>
          </w:p>
        </w:tc>
        <w:tc>
          <w:tcPr>
            <w:tcW w:w="236" w:type="dxa"/>
            <w:tcBorders>
              <w:top w:val="single" w:sz="4" w:space="0" w:color="auto"/>
            </w:tcBorders>
            <w:shd w:val="clear" w:color="auto" w:fill="FFFFFF" w:themeFill="background1"/>
          </w:tcPr>
          <w:p w14:paraId="5CD6F2B0" w14:textId="77777777" w:rsidR="00FE10EE" w:rsidRPr="00FD087D" w:rsidRDefault="00FE10EE" w:rsidP="00E95EB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en-GB"/>
              </w:rPr>
            </w:pPr>
          </w:p>
        </w:tc>
        <w:tc>
          <w:tcPr>
            <w:tcW w:w="1606" w:type="dxa"/>
            <w:gridSpan w:val="2"/>
            <w:tcBorders>
              <w:top w:val="single" w:sz="4" w:space="0" w:color="auto"/>
            </w:tcBorders>
            <w:shd w:val="clear" w:color="auto" w:fill="FFFFFF" w:themeFill="background1"/>
            <w:noWrap/>
            <w:hideMark/>
          </w:tcPr>
          <w:p w14:paraId="3D2928B9" w14:textId="77777777" w:rsidR="00FE10EE" w:rsidRPr="00FD087D" w:rsidRDefault="00FE10EE" w:rsidP="00E95EB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Post-PCV</w:t>
            </w:r>
            <w:r>
              <w:rPr>
                <w:rFonts w:ascii="Times New Roman" w:eastAsia="Times New Roman" w:hAnsi="Times New Roman" w:cs="Times New Roman"/>
                <w:b w:val="0"/>
                <w:bCs w:val="0"/>
                <w:sz w:val="18"/>
                <w:szCs w:val="18"/>
                <w:lang w:eastAsia="en-GB"/>
              </w:rPr>
              <w:t>13</w:t>
            </w:r>
          </w:p>
        </w:tc>
      </w:tr>
      <w:tr w:rsidR="00FE10EE" w:rsidRPr="00FD087D" w14:paraId="08FF010E" w14:textId="77777777" w:rsidTr="00E95E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shd w:val="clear" w:color="auto" w:fill="FFFFFF" w:themeFill="background1"/>
            <w:noWrap/>
            <w:hideMark/>
          </w:tcPr>
          <w:p w14:paraId="3D2BDBE7" w14:textId="77777777" w:rsidR="00FE10EE" w:rsidRPr="00FD087D" w:rsidRDefault="00FE10EE" w:rsidP="00E95EB7">
            <w:pPr>
              <w:spacing w:line="480" w:lineRule="auto"/>
              <w:jc w:val="right"/>
              <w:rPr>
                <w:rFonts w:ascii="Times New Roman" w:eastAsia="Times New Roman" w:hAnsi="Times New Roman" w:cs="Times New Roman"/>
                <w:b w:val="0"/>
                <w:bCs w:val="0"/>
                <w:i/>
                <w:iCs/>
                <w:sz w:val="18"/>
                <w:szCs w:val="18"/>
                <w:lang w:eastAsia="en-GB"/>
              </w:rPr>
            </w:pPr>
          </w:p>
        </w:tc>
        <w:tc>
          <w:tcPr>
            <w:tcW w:w="850" w:type="dxa"/>
            <w:tcBorders>
              <w:bottom w:val="single" w:sz="4" w:space="0" w:color="auto"/>
            </w:tcBorders>
            <w:shd w:val="clear" w:color="auto" w:fill="FFFFFF" w:themeFill="background1"/>
            <w:noWrap/>
            <w:hideMark/>
          </w:tcPr>
          <w:p w14:paraId="56A013F1"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n</w:t>
            </w:r>
          </w:p>
        </w:tc>
        <w:tc>
          <w:tcPr>
            <w:tcW w:w="709" w:type="dxa"/>
            <w:tcBorders>
              <w:bottom w:val="single" w:sz="4" w:space="0" w:color="auto"/>
            </w:tcBorders>
            <w:shd w:val="clear" w:color="auto" w:fill="FFFFFF" w:themeFill="background1"/>
          </w:tcPr>
          <w:p w14:paraId="5629FB63"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w:t>
            </w:r>
          </w:p>
        </w:tc>
        <w:tc>
          <w:tcPr>
            <w:tcW w:w="277" w:type="dxa"/>
            <w:shd w:val="clear" w:color="auto" w:fill="FFFFFF" w:themeFill="background1"/>
          </w:tcPr>
          <w:p w14:paraId="239DE1F4"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p>
        </w:tc>
        <w:tc>
          <w:tcPr>
            <w:tcW w:w="857" w:type="dxa"/>
            <w:tcBorders>
              <w:bottom w:val="single" w:sz="4" w:space="0" w:color="auto"/>
            </w:tcBorders>
            <w:shd w:val="clear" w:color="auto" w:fill="FFFFFF" w:themeFill="background1"/>
            <w:noWrap/>
            <w:hideMark/>
          </w:tcPr>
          <w:p w14:paraId="7AF21113"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n</w:t>
            </w:r>
          </w:p>
        </w:tc>
        <w:tc>
          <w:tcPr>
            <w:tcW w:w="709" w:type="dxa"/>
            <w:tcBorders>
              <w:bottom w:val="single" w:sz="4" w:space="0" w:color="auto"/>
            </w:tcBorders>
            <w:shd w:val="clear" w:color="auto" w:fill="FFFFFF" w:themeFill="background1"/>
          </w:tcPr>
          <w:p w14:paraId="3385F206"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w:t>
            </w:r>
          </w:p>
        </w:tc>
        <w:tc>
          <w:tcPr>
            <w:tcW w:w="236" w:type="dxa"/>
            <w:shd w:val="clear" w:color="auto" w:fill="FFFFFF" w:themeFill="background1"/>
          </w:tcPr>
          <w:p w14:paraId="34A2AE37"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p>
        </w:tc>
        <w:tc>
          <w:tcPr>
            <w:tcW w:w="898" w:type="dxa"/>
            <w:tcBorders>
              <w:bottom w:val="single" w:sz="4" w:space="0" w:color="auto"/>
            </w:tcBorders>
            <w:shd w:val="clear" w:color="auto" w:fill="FFFFFF" w:themeFill="background1"/>
            <w:noWrap/>
            <w:hideMark/>
          </w:tcPr>
          <w:p w14:paraId="60024C3F"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n</w:t>
            </w:r>
          </w:p>
        </w:tc>
        <w:tc>
          <w:tcPr>
            <w:tcW w:w="708" w:type="dxa"/>
            <w:tcBorders>
              <w:bottom w:val="single" w:sz="4" w:space="0" w:color="auto"/>
            </w:tcBorders>
            <w:shd w:val="clear" w:color="auto" w:fill="FFFFFF" w:themeFill="background1"/>
          </w:tcPr>
          <w:p w14:paraId="5333E5AD"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w:t>
            </w:r>
          </w:p>
        </w:tc>
      </w:tr>
      <w:tr w:rsidR="00FE10EE" w:rsidRPr="00FD087D" w14:paraId="16E567CB" w14:textId="77777777" w:rsidTr="00E95EB7">
        <w:trPr>
          <w:trHeight w:hRule="exact" w:val="3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shd w:val="clear" w:color="auto" w:fill="FFFFFF" w:themeFill="background1"/>
            <w:noWrap/>
          </w:tcPr>
          <w:p w14:paraId="39D83C72" w14:textId="77777777" w:rsidR="00FE10EE" w:rsidRPr="00FD087D" w:rsidRDefault="00FE10EE" w:rsidP="00E95EB7">
            <w:pPr>
              <w:spacing w:line="480" w:lineRule="auto"/>
              <w:jc w:val="both"/>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Total</w:t>
            </w:r>
          </w:p>
        </w:tc>
        <w:tc>
          <w:tcPr>
            <w:tcW w:w="850" w:type="dxa"/>
            <w:tcBorders>
              <w:top w:val="single" w:sz="4" w:space="0" w:color="auto"/>
            </w:tcBorders>
            <w:shd w:val="clear" w:color="auto" w:fill="FFFFFF" w:themeFill="background1"/>
            <w:noWrap/>
          </w:tcPr>
          <w:p w14:paraId="3793AA65"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130</w:t>
            </w:r>
          </w:p>
        </w:tc>
        <w:tc>
          <w:tcPr>
            <w:tcW w:w="709" w:type="dxa"/>
            <w:shd w:val="clear" w:color="auto" w:fill="FFFFFF" w:themeFill="background1"/>
          </w:tcPr>
          <w:p w14:paraId="36FCBB62"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277" w:type="dxa"/>
            <w:shd w:val="clear" w:color="auto" w:fill="FFFFFF" w:themeFill="background1"/>
          </w:tcPr>
          <w:p w14:paraId="18AD7E83"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857" w:type="dxa"/>
            <w:shd w:val="clear" w:color="auto" w:fill="FFFFFF" w:themeFill="background1"/>
            <w:noWrap/>
          </w:tcPr>
          <w:p w14:paraId="52DB2E3F"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104</w:t>
            </w:r>
          </w:p>
        </w:tc>
        <w:tc>
          <w:tcPr>
            <w:tcW w:w="709" w:type="dxa"/>
            <w:shd w:val="clear" w:color="auto" w:fill="FFFFFF" w:themeFill="background1"/>
          </w:tcPr>
          <w:p w14:paraId="3D8A0BBE"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236" w:type="dxa"/>
            <w:shd w:val="clear" w:color="auto" w:fill="FFFFFF" w:themeFill="background1"/>
          </w:tcPr>
          <w:p w14:paraId="73F13E3A"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898" w:type="dxa"/>
            <w:tcBorders>
              <w:top w:val="single" w:sz="4" w:space="0" w:color="auto"/>
            </w:tcBorders>
            <w:shd w:val="clear" w:color="auto" w:fill="FFFFFF" w:themeFill="background1"/>
            <w:noWrap/>
          </w:tcPr>
          <w:p w14:paraId="08ED3ED8"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26</w:t>
            </w:r>
          </w:p>
        </w:tc>
        <w:tc>
          <w:tcPr>
            <w:tcW w:w="708" w:type="dxa"/>
            <w:tcBorders>
              <w:top w:val="single" w:sz="4" w:space="0" w:color="auto"/>
            </w:tcBorders>
            <w:shd w:val="clear" w:color="auto" w:fill="FFFFFF" w:themeFill="background1"/>
          </w:tcPr>
          <w:p w14:paraId="10909D0B"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r>
      <w:tr w:rsidR="00FE10EE" w:rsidRPr="00FD087D" w14:paraId="419082AA" w14:textId="77777777" w:rsidTr="00E95E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noWrap/>
          </w:tcPr>
          <w:p w14:paraId="79CBA472" w14:textId="77777777" w:rsidR="00FE10EE" w:rsidRPr="00FD087D" w:rsidRDefault="00FE10EE" w:rsidP="00E95EB7">
            <w:pPr>
              <w:spacing w:line="480" w:lineRule="auto"/>
              <w:jc w:val="both"/>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 xml:space="preserve">     Meningitis</w:t>
            </w:r>
          </w:p>
        </w:tc>
        <w:tc>
          <w:tcPr>
            <w:tcW w:w="850" w:type="dxa"/>
            <w:shd w:val="clear" w:color="auto" w:fill="FFFFFF" w:themeFill="background1"/>
            <w:noWrap/>
          </w:tcPr>
          <w:p w14:paraId="1470911E"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93</w:t>
            </w:r>
          </w:p>
        </w:tc>
        <w:tc>
          <w:tcPr>
            <w:tcW w:w="709" w:type="dxa"/>
            <w:shd w:val="clear" w:color="auto" w:fill="FFFFFF" w:themeFill="background1"/>
          </w:tcPr>
          <w:p w14:paraId="3D7BEE5C"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(71.5)</w:t>
            </w:r>
          </w:p>
        </w:tc>
        <w:tc>
          <w:tcPr>
            <w:tcW w:w="277" w:type="dxa"/>
            <w:shd w:val="clear" w:color="auto" w:fill="FFFFFF" w:themeFill="background1"/>
          </w:tcPr>
          <w:p w14:paraId="56741DAE"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p>
        </w:tc>
        <w:tc>
          <w:tcPr>
            <w:tcW w:w="857" w:type="dxa"/>
            <w:shd w:val="clear" w:color="auto" w:fill="FFFFFF" w:themeFill="background1"/>
            <w:noWrap/>
          </w:tcPr>
          <w:p w14:paraId="3FA38962"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74</w:t>
            </w:r>
          </w:p>
        </w:tc>
        <w:tc>
          <w:tcPr>
            <w:tcW w:w="709" w:type="dxa"/>
            <w:shd w:val="clear" w:color="auto" w:fill="FFFFFF" w:themeFill="background1"/>
          </w:tcPr>
          <w:p w14:paraId="7FDA4106"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(71.2)</w:t>
            </w:r>
          </w:p>
        </w:tc>
        <w:tc>
          <w:tcPr>
            <w:tcW w:w="236" w:type="dxa"/>
            <w:shd w:val="clear" w:color="auto" w:fill="FFFFFF" w:themeFill="background1"/>
          </w:tcPr>
          <w:p w14:paraId="72FD8DDF"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p>
        </w:tc>
        <w:tc>
          <w:tcPr>
            <w:tcW w:w="898" w:type="dxa"/>
            <w:shd w:val="clear" w:color="auto" w:fill="FFFFFF" w:themeFill="background1"/>
            <w:noWrap/>
          </w:tcPr>
          <w:p w14:paraId="0438863F"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19</w:t>
            </w:r>
          </w:p>
        </w:tc>
        <w:tc>
          <w:tcPr>
            <w:tcW w:w="708" w:type="dxa"/>
            <w:shd w:val="clear" w:color="auto" w:fill="FFFFFF" w:themeFill="background1"/>
          </w:tcPr>
          <w:p w14:paraId="0782D776"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(73.1)</w:t>
            </w:r>
          </w:p>
        </w:tc>
      </w:tr>
      <w:tr w:rsidR="00FE10EE" w:rsidRPr="00FD087D" w14:paraId="1B5EEB5E" w14:textId="77777777" w:rsidTr="00E95EB7">
        <w:trPr>
          <w:trHeight w:hRule="exact" w:val="34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noWrap/>
          </w:tcPr>
          <w:p w14:paraId="5FF18175" w14:textId="77777777" w:rsidR="00FE10EE" w:rsidRPr="00FD087D" w:rsidRDefault="00FE10EE" w:rsidP="00E95EB7">
            <w:pPr>
              <w:spacing w:line="480" w:lineRule="auto"/>
              <w:jc w:val="both"/>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 xml:space="preserve">     Bacteraemia</w:t>
            </w:r>
          </w:p>
        </w:tc>
        <w:tc>
          <w:tcPr>
            <w:tcW w:w="850" w:type="dxa"/>
            <w:shd w:val="clear" w:color="auto" w:fill="FFFFFF" w:themeFill="background1"/>
            <w:noWrap/>
          </w:tcPr>
          <w:p w14:paraId="4F004D34"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37</w:t>
            </w:r>
          </w:p>
        </w:tc>
        <w:tc>
          <w:tcPr>
            <w:tcW w:w="709" w:type="dxa"/>
            <w:shd w:val="clear" w:color="auto" w:fill="FFFFFF" w:themeFill="background1"/>
          </w:tcPr>
          <w:p w14:paraId="599EACB7"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(28.5)</w:t>
            </w:r>
          </w:p>
        </w:tc>
        <w:tc>
          <w:tcPr>
            <w:tcW w:w="277" w:type="dxa"/>
            <w:shd w:val="clear" w:color="auto" w:fill="FFFFFF" w:themeFill="background1"/>
          </w:tcPr>
          <w:p w14:paraId="3754C6BE"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857" w:type="dxa"/>
            <w:shd w:val="clear" w:color="auto" w:fill="FFFFFF" w:themeFill="background1"/>
            <w:noWrap/>
          </w:tcPr>
          <w:p w14:paraId="4A592DD5"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30</w:t>
            </w:r>
          </w:p>
        </w:tc>
        <w:tc>
          <w:tcPr>
            <w:tcW w:w="709" w:type="dxa"/>
            <w:shd w:val="clear" w:color="auto" w:fill="FFFFFF" w:themeFill="background1"/>
          </w:tcPr>
          <w:p w14:paraId="5A4010CE"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(28.8)</w:t>
            </w:r>
          </w:p>
        </w:tc>
        <w:tc>
          <w:tcPr>
            <w:tcW w:w="236" w:type="dxa"/>
            <w:shd w:val="clear" w:color="auto" w:fill="FFFFFF" w:themeFill="background1"/>
          </w:tcPr>
          <w:p w14:paraId="66D1932A"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898" w:type="dxa"/>
            <w:shd w:val="clear" w:color="auto" w:fill="FFFFFF" w:themeFill="background1"/>
            <w:noWrap/>
          </w:tcPr>
          <w:p w14:paraId="1107946B"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w:t>
            </w:r>
          </w:p>
        </w:tc>
        <w:tc>
          <w:tcPr>
            <w:tcW w:w="708" w:type="dxa"/>
            <w:shd w:val="clear" w:color="auto" w:fill="FFFFFF" w:themeFill="background1"/>
          </w:tcPr>
          <w:p w14:paraId="6AD57E65"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(26.9)</w:t>
            </w:r>
          </w:p>
        </w:tc>
      </w:tr>
      <w:tr w:rsidR="00FE10EE" w:rsidRPr="00FD087D" w14:paraId="3638A8F7" w14:textId="77777777" w:rsidTr="00E95E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noWrap/>
            <w:hideMark/>
          </w:tcPr>
          <w:p w14:paraId="23784699" w14:textId="77777777" w:rsidR="00FE10EE" w:rsidRPr="00FD087D" w:rsidRDefault="00FE10EE" w:rsidP="00E95EB7">
            <w:pPr>
              <w:spacing w:line="480" w:lineRule="auto"/>
              <w:jc w:val="both"/>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 xml:space="preserve">Early onset (0-7 days) </w:t>
            </w:r>
          </w:p>
        </w:tc>
        <w:tc>
          <w:tcPr>
            <w:tcW w:w="850" w:type="dxa"/>
            <w:shd w:val="clear" w:color="auto" w:fill="FFFFFF" w:themeFill="background1"/>
            <w:noWrap/>
            <w:hideMark/>
          </w:tcPr>
          <w:p w14:paraId="58392011"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36</w:t>
            </w:r>
          </w:p>
        </w:tc>
        <w:tc>
          <w:tcPr>
            <w:tcW w:w="709" w:type="dxa"/>
            <w:shd w:val="clear" w:color="auto" w:fill="FFFFFF" w:themeFill="background1"/>
          </w:tcPr>
          <w:p w14:paraId="229006C4"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(27.7)</w:t>
            </w:r>
          </w:p>
        </w:tc>
        <w:tc>
          <w:tcPr>
            <w:tcW w:w="277" w:type="dxa"/>
            <w:shd w:val="clear" w:color="auto" w:fill="FFFFFF" w:themeFill="background1"/>
          </w:tcPr>
          <w:p w14:paraId="0A6057D6"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p>
        </w:tc>
        <w:tc>
          <w:tcPr>
            <w:tcW w:w="857" w:type="dxa"/>
            <w:shd w:val="clear" w:color="auto" w:fill="FFFFFF" w:themeFill="background1"/>
            <w:noWrap/>
            <w:hideMark/>
          </w:tcPr>
          <w:p w14:paraId="2D165CEC"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25</w:t>
            </w:r>
          </w:p>
        </w:tc>
        <w:tc>
          <w:tcPr>
            <w:tcW w:w="709" w:type="dxa"/>
            <w:shd w:val="clear" w:color="auto" w:fill="FFFFFF" w:themeFill="background1"/>
          </w:tcPr>
          <w:p w14:paraId="4DF79BB5"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(24.0)</w:t>
            </w:r>
          </w:p>
        </w:tc>
        <w:tc>
          <w:tcPr>
            <w:tcW w:w="236" w:type="dxa"/>
            <w:shd w:val="clear" w:color="auto" w:fill="FFFFFF" w:themeFill="background1"/>
          </w:tcPr>
          <w:p w14:paraId="2F1D3DA8"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p>
        </w:tc>
        <w:tc>
          <w:tcPr>
            <w:tcW w:w="898" w:type="dxa"/>
            <w:shd w:val="clear" w:color="auto" w:fill="FFFFFF" w:themeFill="background1"/>
            <w:noWrap/>
            <w:hideMark/>
          </w:tcPr>
          <w:p w14:paraId="0FD313C7"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11</w:t>
            </w:r>
          </w:p>
        </w:tc>
        <w:tc>
          <w:tcPr>
            <w:tcW w:w="708" w:type="dxa"/>
            <w:shd w:val="clear" w:color="auto" w:fill="FFFFFF" w:themeFill="background1"/>
          </w:tcPr>
          <w:p w14:paraId="2FAA602F"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(42.3)</w:t>
            </w:r>
          </w:p>
        </w:tc>
      </w:tr>
      <w:tr w:rsidR="00FE10EE" w:rsidRPr="00FD087D" w14:paraId="0FF57D87" w14:textId="77777777" w:rsidTr="00E95EB7">
        <w:trPr>
          <w:trHeight w:hRule="exact" w:val="34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noWrap/>
            <w:hideMark/>
          </w:tcPr>
          <w:p w14:paraId="36B6E6EB" w14:textId="77777777" w:rsidR="00FE10EE" w:rsidRPr="00FD087D" w:rsidRDefault="00FE10EE" w:rsidP="00E95EB7">
            <w:pPr>
              <w:spacing w:line="480" w:lineRule="auto"/>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 xml:space="preserve">     Meningitis</w:t>
            </w:r>
          </w:p>
        </w:tc>
        <w:tc>
          <w:tcPr>
            <w:tcW w:w="850" w:type="dxa"/>
            <w:shd w:val="clear" w:color="auto" w:fill="FFFFFF" w:themeFill="background1"/>
            <w:noWrap/>
            <w:hideMark/>
          </w:tcPr>
          <w:p w14:paraId="21C5A163"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21</w:t>
            </w:r>
          </w:p>
        </w:tc>
        <w:tc>
          <w:tcPr>
            <w:tcW w:w="709" w:type="dxa"/>
            <w:shd w:val="clear" w:color="auto" w:fill="FFFFFF" w:themeFill="background1"/>
          </w:tcPr>
          <w:p w14:paraId="35CD088A"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(58.3)</w:t>
            </w:r>
          </w:p>
        </w:tc>
        <w:tc>
          <w:tcPr>
            <w:tcW w:w="277" w:type="dxa"/>
            <w:shd w:val="clear" w:color="auto" w:fill="FFFFFF" w:themeFill="background1"/>
          </w:tcPr>
          <w:p w14:paraId="15CD6B1B"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857" w:type="dxa"/>
            <w:shd w:val="clear" w:color="auto" w:fill="FFFFFF" w:themeFill="background1"/>
            <w:noWrap/>
            <w:hideMark/>
          </w:tcPr>
          <w:p w14:paraId="04929D8A"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13</w:t>
            </w:r>
          </w:p>
        </w:tc>
        <w:tc>
          <w:tcPr>
            <w:tcW w:w="709" w:type="dxa"/>
            <w:shd w:val="clear" w:color="auto" w:fill="FFFFFF" w:themeFill="background1"/>
          </w:tcPr>
          <w:p w14:paraId="07B2697D"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(52.0)</w:t>
            </w:r>
          </w:p>
        </w:tc>
        <w:tc>
          <w:tcPr>
            <w:tcW w:w="236" w:type="dxa"/>
            <w:shd w:val="clear" w:color="auto" w:fill="FFFFFF" w:themeFill="background1"/>
          </w:tcPr>
          <w:p w14:paraId="62859648"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898" w:type="dxa"/>
            <w:shd w:val="clear" w:color="auto" w:fill="FFFFFF" w:themeFill="background1"/>
            <w:noWrap/>
            <w:hideMark/>
          </w:tcPr>
          <w:p w14:paraId="39E33900"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8</w:t>
            </w:r>
          </w:p>
        </w:tc>
        <w:tc>
          <w:tcPr>
            <w:tcW w:w="708" w:type="dxa"/>
            <w:shd w:val="clear" w:color="auto" w:fill="FFFFFF" w:themeFill="background1"/>
          </w:tcPr>
          <w:p w14:paraId="5D0E7D9B"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(72.7)</w:t>
            </w:r>
          </w:p>
        </w:tc>
      </w:tr>
      <w:tr w:rsidR="00FE10EE" w:rsidRPr="00FD087D" w14:paraId="2AAF6E74" w14:textId="77777777" w:rsidTr="00E95E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noWrap/>
            <w:hideMark/>
          </w:tcPr>
          <w:p w14:paraId="57DD4BD4" w14:textId="77777777" w:rsidR="00FE10EE" w:rsidRPr="00FD087D" w:rsidRDefault="00FE10EE" w:rsidP="00E95EB7">
            <w:pPr>
              <w:spacing w:line="480" w:lineRule="auto"/>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 xml:space="preserve">     Bacteraemia</w:t>
            </w:r>
          </w:p>
        </w:tc>
        <w:tc>
          <w:tcPr>
            <w:tcW w:w="850" w:type="dxa"/>
            <w:shd w:val="clear" w:color="auto" w:fill="FFFFFF" w:themeFill="background1"/>
            <w:noWrap/>
            <w:hideMark/>
          </w:tcPr>
          <w:p w14:paraId="5FB2EF29"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15</w:t>
            </w:r>
          </w:p>
        </w:tc>
        <w:tc>
          <w:tcPr>
            <w:tcW w:w="709" w:type="dxa"/>
            <w:shd w:val="clear" w:color="auto" w:fill="FFFFFF" w:themeFill="background1"/>
          </w:tcPr>
          <w:p w14:paraId="6E8DEE5B"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(41.7)</w:t>
            </w:r>
          </w:p>
        </w:tc>
        <w:tc>
          <w:tcPr>
            <w:tcW w:w="277" w:type="dxa"/>
            <w:shd w:val="clear" w:color="auto" w:fill="FFFFFF" w:themeFill="background1"/>
          </w:tcPr>
          <w:p w14:paraId="55FDF991"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p>
        </w:tc>
        <w:tc>
          <w:tcPr>
            <w:tcW w:w="857" w:type="dxa"/>
            <w:shd w:val="clear" w:color="auto" w:fill="FFFFFF" w:themeFill="background1"/>
            <w:noWrap/>
            <w:hideMark/>
          </w:tcPr>
          <w:p w14:paraId="0B5C07B8"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12</w:t>
            </w:r>
          </w:p>
        </w:tc>
        <w:tc>
          <w:tcPr>
            <w:tcW w:w="709" w:type="dxa"/>
            <w:shd w:val="clear" w:color="auto" w:fill="FFFFFF" w:themeFill="background1"/>
          </w:tcPr>
          <w:p w14:paraId="64A0E1BA"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(48.0)</w:t>
            </w:r>
          </w:p>
        </w:tc>
        <w:tc>
          <w:tcPr>
            <w:tcW w:w="236" w:type="dxa"/>
            <w:shd w:val="clear" w:color="auto" w:fill="FFFFFF" w:themeFill="background1"/>
          </w:tcPr>
          <w:p w14:paraId="0B008C24"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p>
        </w:tc>
        <w:tc>
          <w:tcPr>
            <w:tcW w:w="898" w:type="dxa"/>
            <w:shd w:val="clear" w:color="auto" w:fill="FFFFFF" w:themeFill="background1"/>
            <w:noWrap/>
            <w:hideMark/>
          </w:tcPr>
          <w:p w14:paraId="2F0D0650"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3</w:t>
            </w:r>
          </w:p>
        </w:tc>
        <w:tc>
          <w:tcPr>
            <w:tcW w:w="708" w:type="dxa"/>
            <w:shd w:val="clear" w:color="auto" w:fill="FFFFFF" w:themeFill="background1"/>
          </w:tcPr>
          <w:p w14:paraId="21B7FE9C"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(27.3)</w:t>
            </w:r>
          </w:p>
        </w:tc>
      </w:tr>
      <w:tr w:rsidR="00FE10EE" w:rsidRPr="00FD087D" w14:paraId="07AD6676" w14:textId="77777777" w:rsidTr="00E95EB7">
        <w:trPr>
          <w:trHeight w:hRule="exact" w:val="34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noWrap/>
            <w:hideMark/>
          </w:tcPr>
          <w:p w14:paraId="272D326E" w14:textId="77777777" w:rsidR="00FE10EE" w:rsidRPr="00FD087D" w:rsidRDefault="00FE10EE" w:rsidP="00E95EB7">
            <w:pPr>
              <w:spacing w:line="480" w:lineRule="auto"/>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 xml:space="preserve">Late onset (8-89 days) </w:t>
            </w:r>
          </w:p>
        </w:tc>
        <w:tc>
          <w:tcPr>
            <w:tcW w:w="850" w:type="dxa"/>
            <w:shd w:val="clear" w:color="auto" w:fill="FFFFFF" w:themeFill="background1"/>
            <w:noWrap/>
            <w:hideMark/>
          </w:tcPr>
          <w:p w14:paraId="0BF47B15"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94</w:t>
            </w:r>
          </w:p>
        </w:tc>
        <w:tc>
          <w:tcPr>
            <w:tcW w:w="709" w:type="dxa"/>
            <w:shd w:val="clear" w:color="auto" w:fill="FFFFFF" w:themeFill="background1"/>
          </w:tcPr>
          <w:p w14:paraId="3D22954B"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(72.3)</w:t>
            </w:r>
          </w:p>
        </w:tc>
        <w:tc>
          <w:tcPr>
            <w:tcW w:w="277" w:type="dxa"/>
            <w:shd w:val="clear" w:color="auto" w:fill="FFFFFF" w:themeFill="background1"/>
          </w:tcPr>
          <w:p w14:paraId="72C62EB7"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857" w:type="dxa"/>
            <w:shd w:val="clear" w:color="auto" w:fill="FFFFFF" w:themeFill="background1"/>
            <w:noWrap/>
            <w:hideMark/>
          </w:tcPr>
          <w:p w14:paraId="37FB25D5"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79</w:t>
            </w:r>
          </w:p>
        </w:tc>
        <w:tc>
          <w:tcPr>
            <w:tcW w:w="709" w:type="dxa"/>
            <w:shd w:val="clear" w:color="auto" w:fill="FFFFFF" w:themeFill="background1"/>
          </w:tcPr>
          <w:p w14:paraId="38E71FE4"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(76.0)</w:t>
            </w:r>
          </w:p>
        </w:tc>
        <w:tc>
          <w:tcPr>
            <w:tcW w:w="236" w:type="dxa"/>
            <w:shd w:val="clear" w:color="auto" w:fill="FFFFFF" w:themeFill="background1"/>
          </w:tcPr>
          <w:p w14:paraId="15BF3A8F"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898" w:type="dxa"/>
            <w:shd w:val="clear" w:color="auto" w:fill="FFFFFF" w:themeFill="background1"/>
            <w:noWrap/>
            <w:hideMark/>
          </w:tcPr>
          <w:p w14:paraId="6436336C"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15</w:t>
            </w:r>
          </w:p>
        </w:tc>
        <w:tc>
          <w:tcPr>
            <w:tcW w:w="708" w:type="dxa"/>
            <w:shd w:val="clear" w:color="auto" w:fill="FFFFFF" w:themeFill="background1"/>
          </w:tcPr>
          <w:p w14:paraId="0E5FAE46"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(57.7)</w:t>
            </w:r>
          </w:p>
        </w:tc>
      </w:tr>
      <w:tr w:rsidR="00FE10EE" w:rsidRPr="00FD087D" w14:paraId="2548F229" w14:textId="77777777" w:rsidTr="00E95E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noWrap/>
            <w:hideMark/>
          </w:tcPr>
          <w:p w14:paraId="224064BB" w14:textId="77777777" w:rsidR="00FE10EE" w:rsidRPr="00FD087D" w:rsidRDefault="00FE10EE" w:rsidP="00E95EB7">
            <w:pPr>
              <w:spacing w:line="480" w:lineRule="auto"/>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 xml:space="preserve">     Meningitis</w:t>
            </w:r>
          </w:p>
        </w:tc>
        <w:tc>
          <w:tcPr>
            <w:tcW w:w="850" w:type="dxa"/>
            <w:shd w:val="clear" w:color="auto" w:fill="FFFFFF" w:themeFill="background1"/>
            <w:noWrap/>
            <w:hideMark/>
          </w:tcPr>
          <w:p w14:paraId="1B6525B0"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72</w:t>
            </w:r>
          </w:p>
        </w:tc>
        <w:tc>
          <w:tcPr>
            <w:tcW w:w="709" w:type="dxa"/>
            <w:shd w:val="clear" w:color="auto" w:fill="FFFFFF" w:themeFill="background1"/>
          </w:tcPr>
          <w:p w14:paraId="12639CEB"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(76.6)</w:t>
            </w:r>
          </w:p>
        </w:tc>
        <w:tc>
          <w:tcPr>
            <w:tcW w:w="277" w:type="dxa"/>
            <w:shd w:val="clear" w:color="auto" w:fill="FFFFFF" w:themeFill="background1"/>
          </w:tcPr>
          <w:p w14:paraId="12879DE5"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p>
        </w:tc>
        <w:tc>
          <w:tcPr>
            <w:tcW w:w="857" w:type="dxa"/>
            <w:shd w:val="clear" w:color="auto" w:fill="FFFFFF" w:themeFill="background1"/>
            <w:noWrap/>
            <w:hideMark/>
          </w:tcPr>
          <w:p w14:paraId="77C10858"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61</w:t>
            </w:r>
          </w:p>
        </w:tc>
        <w:tc>
          <w:tcPr>
            <w:tcW w:w="709" w:type="dxa"/>
            <w:shd w:val="clear" w:color="auto" w:fill="FFFFFF" w:themeFill="background1"/>
          </w:tcPr>
          <w:p w14:paraId="436A13FA"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(77.2)</w:t>
            </w:r>
          </w:p>
        </w:tc>
        <w:tc>
          <w:tcPr>
            <w:tcW w:w="236" w:type="dxa"/>
            <w:shd w:val="clear" w:color="auto" w:fill="FFFFFF" w:themeFill="background1"/>
          </w:tcPr>
          <w:p w14:paraId="578D28F9"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p>
        </w:tc>
        <w:tc>
          <w:tcPr>
            <w:tcW w:w="898" w:type="dxa"/>
            <w:shd w:val="clear" w:color="auto" w:fill="FFFFFF" w:themeFill="background1"/>
            <w:noWrap/>
            <w:hideMark/>
          </w:tcPr>
          <w:p w14:paraId="5D69B96A"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11</w:t>
            </w:r>
          </w:p>
        </w:tc>
        <w:tc>
          <w:tcPr>
            <w:tcW w:w="708" w:type="dxa"/>
            <w:shd w:val="clear" w:color="auto" w:fill="FFFFFF" w:themeFill="background1"/>
          </w:tcPr>
          <w:p w14:paraId="3BFAF2FF" w14:textId="77777777" w:rsidR="00FE10EE" w:rsidRPr="00FD087D" w:rsidRDefault="00FE10EE" w:rsidP="00E95EB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(73.3)</w:t>
            </w:r>
          </w:p>
        </w:tc>
      </w:tr>
      <w:tr w:rsidR="00FE10EE" w:rsidRPr="00FD087D" w14:paraId="6DB45731" w14:textId="77777777" w:rsidTr="00E95EB7">
        <w:trPr>
          <w:trHeight w:hRule="exact" w:val="34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shd w:val="clear" w:color="auto" w:fill="FFFFFF" w:themeFill="background1"/>
            <w:noWrap/>
            <w:hideMark/>
          </w:tcPr>
          <w:p w14:paraId="7A7EDA58" w14:textId="77777777" w:rsidR="00FE10EE" w:rsidRPr="00FD087D" w:rsidRDefault="00FE10EE" w:rsidP="00E95EB7">
            <w:pPr>
              <w:spacing w:line="480" w:lineRule="auto"/>
              <w:rPr>
                <w:rFonts w:ascii="Times New Roman" w:eastAsia="Times New Roman" w:hAnsi="Times New Roman" w:cs="Times New Roman"/>
                <w:b w:val="0"/>
                <w:bCs w:val="0"/>
                <w:sz w:val="18"/>
                <w:szCs w:val="18"/>
                <w:lang w:eastAsia="en-GB"/>
              </w:rPr>
            </w:pPr>
            <w:r w:rsidRPr="00FD087D">
              <w:rPr>
                <w:rFonts w:ascii="Times New Roman" w:eastAsia="Times New Roman" w:hAnsi="Times New Roman" w:cs="Times New Roman"/>
                <w:b w:val="0"/>
                <w:bCs w:val="0"/>
                <w:sz w:val="18"/>
                <w:szCs w:val="18"/>
                <w:lang w:eastAsia="en-GB"/>
              </w:rPr>
              <w:t xml:space="preserve">     Bacteraemia</w:t>
            </w:r>
          </w:p>
        </w:tc>
        <w:tc>
          <w:tcPr>
            <w:tcW w:w="850" w:type="dxa"/>
            <w:tcBorders>
              <w:bottom w:val="single" w:sz="4" w:space="0" w:color="auto"/>
            </w:tcBorders>
            <w:shd w:val="clear" w:color="auto" w:fill="FFFFFF" w:themeFill="background1"/>
            <w:noWrap/>
            <w:hideMark/>
          </w:tcPr>
          <w:p w14:paraId="6F8B5ECC"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22</w:t>
            </w:r>
          </w:p>
        </w:tc>
        <w:tc>
          <w:tcPr>
            <w:tcW w:w="709" w:type="dxa"/>
            <w:tcBorders>
              <w:bottom w:val="single" w:sz="4" w:space="0" w:color="auto"/>
            </w:tcBorders>
            <w:shd w:val="clear" w:color="auto" w:fill="FFFFFF" w:themeFill="background1"/>
          </w:tcPr>
          <w:p w14:paraId="50C0A9A0"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(23.4)</w:t>
            </w:r>
          </w:p>
        </w:tc>
        <w:tc>
          <w:tcPr>
            <w:tcW w:w="277" w:type="dxa"/>
            <w:tcBorders>
              <w:bottom w:val="single" w:sz="4" w:space="0" w:color="auto"/>
            </w:tcBorders>
            <w:shd w:val="clear" w:color="auto" w:fill="FFFFFF" w:themeFill="background1"/>
          </w:tcPr>
          <w:p w14:paraId="0A384029"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857" w:type="dxa"/>
            <w:tcBorders>
              <w:bottom w:val="single" w:sz="4" w:space="0" w:color="auto"/>
            </w:tcBorders>
            <w:shd w:val="clear" w:color="auto" w:fill="FFFFFF" w:themeFill="background1"/>
            <w:noWrap/>
            <w:hideMark/>
          </w:tcPr>
          <w:p w14:paraId="2B0220FD"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18</w:t>
            </w:r>
          </w:p>
        </w:tc>
        <w:tc>
          <w:tcPr>
            <w:tcW w:w="709" w:type="dxa"/>
            <w:tcBorders>
              <w:bottom w:val="single" w:sz="4" w:space="0" w:color="auto"/>
            </w:tcBorders>
            <w:shd w:val="clear" w:color="auto" w:fill="FFFFFF" w:themeFill="background1"/>
          </w:tcPr>
          <w:p w14:paraId="0BB85751"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(22.8)</w:t>
            </w:r>
          </w:p>
        </w:tc>
        <w:tc>
          <w:tcPr>
            <w:tcW w:w="236" w:type="dxa"/>
            <w:tcBorders>
              <w:bottom w:val="single" w:sz="4" w:space="0" w:color="auto"/>
            </w:tcBorders>
            <w:shd w:val="clear" w:color="auto" w:fill="FFFFFF" w:themeFill="background1"/>
          </w:tcPr>
          <w:p w14:paraId="39FA63E4"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p>
        </w:tc>
        <w:tc>
          <w:tcPr>
            <w:tcW w:w="898" w:type="dxa"/>
            <w:tcBorders>
              <w:bottom w:val="single" w:sz="4" w:space="0" w:color="auto"/>
            </w:tcBorders>
            <w:shd w:val="clear" w:color="auto" w:fill="FFFFFF" w:themeFill="background1"/>
            <w:noWrap/>
            <w:hideMark/>
          </w:tcPr>
          <w:p w14:paraId="55D6F4C6"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4</w:t>
            </w:r>
          </w:p>
        </w:tc>
        <w:tc>
          <w:tcPr>
            <w:tcW w:w="708" w:type="dxa"/>
            <w:tcBorders>
              <w:bottom w:val="single" w:sz="4" w:space="0" w:color="auto"/>
            </w:tcBorders>
            <w:shd w:val="clear" w:color="auto" w:fill="FFFFFF" w:themeFill="background1"/>
          </w:tcPr>
          <w:p w14:paraId="32792CB1" w14:textId="77777777" w:rsidR="00FE10EE" w:rsidRPr="00FD087D" w:rsidRDefault="00FE10EE" w:rsidP="00E95EB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D087D">
              <w:rPr>
                <w:rFonts w:ascii="Times New Roman" w:eastAsia="Times New Roman" w:hAnsi="Times New Roman" w:cs="Times New Roman"/>
                <w:sz w:val="18"/>
                <w:szCs w:val="18"/>
                <w:lang w:eastAsia="en-GB"/>
              </w:rPr>
              <w:t>(26.7)</w:t>
            </w:r>
          </w:p>
        </w:tc>
      </w:tr>
    </w:tbl>
    <w:p w14:paraId="3A81EB49" w14:textId="77777777" w:rsidR="00FE10EE" w:rsidRPr="00AF067B" w:rsidRDefault="00FE10EE" w:rsidP="00FE10EE">
      <w:pPr>
        <w:pStyle w:val="Caption"/>
        <w:spacing w:line="480" w:lineRule="auto"/>
        <w:rPr>
          <w:rFonts w:asciiTheme="majorBidi" w:hAnsiTheme="majorBidi" w:cstheme="majorBidi"/>
        </w:rPr>
      </w:pPr>
      <w:r w:rsidRPr="00B32313">
        <w:rPr>
          <w:rFonts w:asciiTheme="majorBidi" w:hAnsiTheme="majorBidi" w:cstheme="majorBidi"/>
          <w:i w:val="0"/>
          <w:iCs w:val="0"/>
          <w:color w:val="auto"/>
          <w:sz w:val="20"/>
          <w:szCs w:val="20"/>
        </w:rPr>
        <w:t>Pre-PCV</w:t>
      </w:r>
      <w:r>
        <w:rPr>
          <w:rFonts w:asciiTheme="majorBidi" w:hAnsiTheme="majorBidi" w:cstheme="majorBidi"/>
          <w:i w:val="0"/>
          <w:iCs w:val="0"/>
          <w:color w:val="auto"/>
          <w:sz w:val="20"/>
          <w:szCs w:val="20"/>
        </w:rPr>
        <w:t>13</w:t>
      </w:r>
      <w:r w:rsidRPr="00B32313">
        <w:rPr>
          <w:rFonts w:asciiTheme="majorBidi" w:hAnsiTheme="majorBidi" w:cstheme="majorBidi"/>
          <w:i w:val="0"/>
          <w:iCs w:val="0"/>
          <w:color w:val="auto"/>
          <w:sz w:val="20"/>
          <w:szCs w:val="20"/>
        </w:rPr>
        <w:t xml:space="preserve"> period, 1 January 2005-11 November 2011; Post-PCV</w:t>
      </w:r>
      <w:r>
        <w:rPr>
          <w:rFonts w:asciiTheme="majorBidi" w:hAnsiTheme="majorBidi" w:cstheme="majorBidi"/>
          <w:i w:val="0"/>
          <w:iCs w:val="0"/>
          <w:color w:val="auto"/>
          <w:sz w:val="20"/>
          <w:szCs w:val="20"/>
        </w:rPr>
        <w:t>13</w:t>
      </w:r>
      <w:r w:rsidRPr="00B32313">
        <w:rPr>
          <w:rFonts w:asciiTheme="majorBidi" w:hAnsiTheme="majorBidi" w:cstheme="majorBidi"/>
          <w:i w:val="0"/>
          <w:iCs w:val="0"/>
          <w:color w:val="auto"/>
          <w:sz w:val="20"/>
          <w:szCs w:val="20"/>
        </w:rPr>
        <w:t xml:space="preserve"> period 1 January 2012-31 December 2018. Abbreviations: PCV, pneumococcal conjugate vaccine</w:t>
      </w:r>
    </w:p>
    <w:p w14:paraId="252C2C5C" w14:textId="196B699D" w:rsidR="00FE10EE" w:rsidRDefault="00FE10EE">
      <w:pPr>
        <w:spacing w:after="160" w:line="259" w:lineRule="auto"/>
      </w:pPr>
      <w:r>
        <w:br w:type="page"/>
      </w:r>
    </w:p>
    <w:p w14:paraId="138EC2EE" w14:textId="77777777" w:rsidR="00FE10EE" w:rsidRPr="008026CE" w:rsidRDefault="00FE10EE" w:rsidP="00FE10EE">
      <w:pPr>
        <w:pStyle w:val="Caption"/>
        <w:spacing w:line="480" w:lineRule="auto"/>
        <w:rPr>
          <w:rFonts w:asciiTheme="majorBidi" w:hAnsiTheme="majorBidi" w:cstheme="majorBidi"/>
          <w:b/>
          <w:bCs/>
          <w:i w:val="0"/>
          <w:iCs w:val="0"/>
          <w:color w:val="auto"/>
          <w:sz w:val="24"/>
          <w:szCs w:val="24"/>
        </w:rPr>
      </w:pPr>
      <w:r w:rsidRPr="00ED7FE1">
        <w:rPr>
          <w:rFonts w:asciiTheme="majorBidi" w:hAnsiTheme="majorBidi" w:cstheme="majorBidi"/>
          <w:b/>
          <w:bCs/>
          <w:i w:val="0"/>
          <w:iCs w:val="0"/>
          <w:color w:val="auto"/>
          <w:sz w:val="24"/>
          <w:szCs w:val="24"/>
        </w:rPr>
        <w:t xml:space="preserve">Table </w:t>
      </w:r>
      <w:r>
        <w:rPr>
          <w:rFonts w:asciiTheme="majorBidi" w:hAnsiTheme="majorBidi" w:cstheme="majorBidi"/>
          <w:b/>
          <w:bCs/>
          <w:i w:val="0"/>
          <w:iCs w:val="0"/>
          <w:color w:val="auto"/>
          <w:sz w:val="24"/>
          <w:szCs w:val="24"/>
        </w:rPr>
        <w:t>2</w:t>
      </w:r>
      <w:r w:rsidRPr="00ED7FE1">
        <w:rPr>
          <w:rFonts w:asciiTheme="majorBidi" w:hAnsiTheme="majorBidi" w:cstheme="majorBidi"/>
          <w:b/>
          <w:bCs/>
          <w:i w:val="0"/>
          <w:iCs w:val="0"/>
          <w:color w:val="auto"/>
          <w:sz w:val="24"/>
          <w:szCs w:val="24"/>
        </w:rPr>
        <w:t>: Serotype distribution in infants &lt;90 days in the pre-PCV and post-PCV</w:t>
      </w:r>
      <w:r>
        <w:rPr>
          <w:rFonts w:asciiTheme="majorBidi" w:hAnsiTheme="majorBidi" w:cstheme="majorBidi"/>
          <w:b/>
          <w:bCs/>
          <w:i w:val="0"/>
          <w:iCs w:val="0"/>
          <w:color w:val="auto"/>
          <w:sz w:val="24"/>
          <w:szCs w:val="24"/>
        </w:rPr>
        <w:t xml:space="preserve"> </w:t>
      </w:r>
      <w:r w:rsidRPr="00ED7FE1">
        <w:rPr>
          <w:rFonts w:asciiTheme="majorBidi" w:hAnsiTheme="majorBidi" w:cstheme="majorBidi"/>
          <w:b/>
          <w:bCs/>
          <w:i w:val="0"/>
          <w:iCs w:val="0"/>
          <w:color w:val="auto"/>
          <w:sz w:val="24"/>
          <w:szCs w:val="24"/>
        </w:rPr>
        <w:t>period</w:t>
      </w:r>
      <w:r>
        <w:rPr>
          <w:rFonts w:asciiTheme="majorBidi" w:hAnsiTheme="majorBidi" w:cstheme="majorBidi"/>
          <w:b/>
          <w:bCs/>
          <w:i w:val="0"/>
          <w:iCs w:val="0"/>
          <w:color w:val="auto"/>
          <w:sz w:val="24"/>
          <w:szCs w:val="24"/>
        </w:rPr>
        <w:t>s</w:t>
      </w:r>
    </w:p>
    <w:tbl>
      <w:tblPr>
        <w:tblW w:w="7650" w:type="dxa"/>
        <w:tblLayout w:type="fixed"/>
        <w:tblLook w:val="04A0" w:firstRow="1" w:lastRow="0" w:firstColumn="1" w:lastColumn="0" w:noHBand="0" w:noVBand="1"/>
      </w:tblPr>
      <w:tblGrid>
        <w:gridCol w:w="1324"/>
        <w:gridCol w:w="798"/>
        <w:gridCol w:w="850"/>
        <w:gridCol w:w="838"/>
        <w:gridCol w:w="721"/>
        <w:gridCol w:w="853"/>
        <w:gridCol w:w="707"/>
        <w:gridCol w:w="850"/>
        <w:gridCol w:w="709"/>
      </w:tblGrid>
      <w:tr w:rsidR="00FE10EE" w:rsidRPr="000C642C" w14:paraId="652DBF30" w14:textId="77777777" w:rsidTr="00E95EB7">
        <w:trPr>
          <w:trHeight w:hRule="exact" w:val="815"/>
        </w:trPr>
        <w:tc>
          <w:tcPr>
            <w:tcW w:w="1324" w:type="dxa"/>
            <w:tcBorders>
              <w:right w:val="single" w:sz="4" w:space="0" w:color="auto"/>
            </w:tcBorders>
          </w:tcPr>
          <w:p w14:paraId="66D8EF03" w14:textId="77777777" w:rsidR="00FE10EE" w:rsidRPr="00D7374F" w:rsidRDefault="00FE10EE" w:rsidP="00E95EB7">
            <w:pPr>
              <w:pStyle w:val="NoSpacing"/>
              <w:rPr>
                <w:rFonts w:asciiTheme="majorBidi" w:hAnsiTheme="majorBidi" w:cstheme="majorBidi"/>
                <w:b/>
                <w:bCs/>
                <w:sz w:val="20"/>
                <w:szCs w:val="20"/>
              </w:rPr>
            </w:pPr>
            <w:r w:rsidRPr="00D7374F">
              <w:rPr>
                <w:rFonts w:asciiTheme="majorBidi" w:hAnsiTheme="majorBidi" w:cstheme="majorBidi"/>
                <w:b/>
                <w:bCs/>
                <w:sz w:val="20"/>
                <w:szCs w:val="20"/>
              </w:rPr>
              <w:t>Serotype</w:t>
            </w:r>
          </w:p>
          <w:p w14:paraId="2B563C07" w14:textId="77777777" w:rsidR="00FE10EE" w:rsidRPr="00D7374F" w:rsidRDefault="00FE10EE" w:rsidP="00E95EB7">
            <w:pPr>
              <w:pStyle w:val="NoSpacing"/>
              <w:jc w:val="center"/>
              <w:rPr>
                <w:rFonts w:asciiTheme="majorBidi" w:hAnsiTheme="majorBidi" w:cstheme="majorBidi"/>
                <w:b/>
                <w:bCs/>
                <w:sz w:val="20"/>
                <w:szCs w:val="20"/>
              </w:rPr>
            </w:pPr>
          </w:p>
          <w:p w14:paraId="2649AEA3" w14:textId="77777777" w:rsidR="00FE10EE" w:rsidRPr="00D7374F" w:rsidRDefault="00FE10EE" w:rsidP="00E95EB7">
            <w:pPr>
              <w:pStyle w:val="NoSpacing"/>
              <w:jc w:val="center"/>
              <w:rPr>
                <w:rFonts w:asciiTheme="majorBidi" w:hAnsiTheme="majorBidi" w:cstheme="majorBidi"/>
                <w:b/>
                <w:bCs/>
                <w:sz w:val="20"/>
                <w:szCs w:val="20"/>
              </w:rPr>
            </w:pPr>
          </w:p>
        </w:tc>
        <w:tc>
          <w:tcPr>
            <w:tcW w:w="1648" w:type="dxa"/>
            <w:gridSpan w:val="2"/>
            <w:tcBorders>
              <w:left w:val="single" w:sz="4" w:space="0" w:color="auto"/>
              <w:right w:val="single" w:sz="4" w:space="0" w:color="auto"/>
            </w:tcBorders>
          </w:tcPr>
          <w:p w14:paraId="73BD71BD" w14:textId="77777777" w:rsidR="00FE10EE" w:rsidRPr="00D7374F" w:rsidRDefault="00FE10EE" w:rsidP="00E95EB7">
            <w:pPr>
              <w:pStyle w:val="NoSpacing"/>
              <w:jc w:val="center"/>
              <w:rPr>
                <w:rFonts w:asciiTheme="majorBidi" w:hAnsiTheme="majorBidi" w:cstheme="majorBidi"/>
                <w:b/>
                <w:bCs/>
                <w:sz w:val="20"/>
                <w:szCs w:val="20"/>
              </w:rPr>
            </w:pPr>
            <w:r w:rsidRPr="00D7374F">
              <w:rPr>
                <w:rFonts w:asciiTheme="majorBidi" w:hAnsiTheme="majorBidi" w:cstheme="majorBidi"/>
                <w:b/>
                <w:bCs/>
                <w:sz w:val="20"/>
                <w:szCs w:val="20"/>
              </w:rPr>
              <w:t>Total IPD</w:t>
            </w:r>
          </w:p>
        </w:tc>
        <w:tc>
          <w:tcPr>
            <w:tcW w:w="1559" w:type="dxa"/>
            <w:gridSpan w:val="2"/>
            <w:tcBorders>
              <w:left w:val="single" w:sz="4" w:space="0" w:color="auto"/>
              <w:right w:val="single" w:sz="4" w:space="0" w:color="auto"/>
            </w:tcBorders>
          </w:tcPr>
          <w:p w14:paraId="45C14749" w14:textId="77777777" w:rsidR="00FE10EE" w:rsidRPr="00D7374F" w:rsidRDefault="00FE10EE" w:rsidP="00E95EB7">
            <w:pPr>
              <w:pStyle w:val="NoSpacing"/>
              <w:jc w:val="center"/>
              <w:rPr>
                <w:rFonts w:asciiTheme="majorBidi" w:hAnsiTheme="majorBidi" w:cstheme="majorBidi"/>
                <w:b/>
                <w:bCs/>
                <w:sz w:val="20"/>
                <w:szCs w:val="20"/>
              </w:rPr>
            </w:pPr>
            <w:r w:rsidRPr="00D7374F">
              <w:rPr>
                <w:rFonts w:asciiTheme="majorBidi" w:hAnsiTheme="majorBidi" w:cstheme="majorBidi"/>
                <w:b/>
                <w:bCs/>
                <w:sz w:val="20"/>
                <w:szCs w:val="20"/>
              </w:rPr>
              <w:t>2005-2011</w:t>
            </w:r>
          </w:p>
          <w:p w14:paraId="22D89D74" w14:textId="77777777" w:rsidR="00FE10EE" w:rsidRPr="00D7374F" w:rsidRDefault="00FE10EE" w:rsidP="00E95EB7">
            <w:pPr>
              <w:pStyle w:val="NoSpacing"/>
              <w:jc w:val="center"/>
              <w:rPr>
                <w:rFonts w:asciiTheme="majorBidi" w:hAnsiTheme="majorBidi" w:cstheme="majorBidi"/>
                <w:b/>
                <w:bCs/>
                <w:sz w:val="20"/>
                <w:szCs w:val="20"/>
              </w:rPr>
            </w:pPr>
            <w:r>
              <w:rPr>
                <w:rFonts w:asciiTheme="majorBidi" w:hAnsiTheme="majorBidi" w:cstheme="majorBidi"/>
                <w:b/>
                <w:bCs/>
                <w:sz w:val="20"/>
                <w:szCs w:val="20"/>
              </w:rPr>
              <w:t>(Pre-PCV13)</w:t>
            </w:r>
          </w:p>
          <w:p w14:paraId="6B1D2E20" w14:textId="77777777" w:rsidR="00FE10EE" w:rsidRPr="00D7374F" w:rsidRDefault="00FE10EE" w:rsidP="00E95EB7">
            <w:pPr>
              <w:pStyle w:val="NoSpacing"/>
              <w:jc w:val="center"/>
              <w:rPr>
                <w:rFonts w:asciiTheme="majorBidi" w:hAnsiTheme="majorBidi" w:cstheme="majorBidi"/>
                <w:b/>
                <w:bCs/>
                <w:sz w:val="20"/>
                <w:szCs w:val="20"/>
              </w:rPr>
            </w:pPr>
          </w:p>
        </w:tc>
        <w:tc>
          <w:tcPr>
            <w:tcW w:w="1560" w:type="dxa"/>
            <w:gridSpan w:val="2"/>
            <w:tcBorders>
              <w:left w:val="single" w:sz="4" w:space="0" w:color="auto"/>
              <w:right w:val="single" w:sz="4" w:space="0" w:color="auto"/>
            </w:tcBorders>
          </w:tcPr>
          <w:p w14:paraId="597F6A4C" w14:textId="77777777" w:rsidR="00FE10EE" w:rsidRDefault="00FE10EE" w:rsidP="00E95EB7">
            <w:pPr>
              <w:pStyle w:val="NoSpacing"/>
              <w:jc w:val="center"/>
              <w:rPr>
                <w:rFonts w:asciiTheme="majorBidi" w:hAnsiTheme="majorBidi" w:cstheme="majorBidi"/>
                <w:b/>
                <w:bCs/>
                <w:sz w:val="20"/>
                <w:szCs w:val="20"/>
              </w:rPr>
            </w:pPr>
            <w:r w:rsidRPr="00D7374F">
              <w:rPr>
                <w:rFonts w:asciiTheme="majorBidi" w:hAnsiTheme="majorBidi" w:cstheme="majorBidi"/>
                <w:b/>
                <w:bCs/>
                <w:sz w:val="20"/>
                <w:szCs w:val="20"/>
              </w:rPr>
              <w:t>2012-2015</w:t>
            </w:r>
          </w:p>
          <w:p w14:paraId="081DDC60" w14:textId="77777777" w:rsidR="00FE10EE" w:rsidRPr="00D7374F" w:rsidRDefault="00FE10EE" w:rsidP="00E95EB7">
            <w:pPr>
              <w:pStyle w:val="NoSpacing"/>
              <w:jc w:val="center"/>
              <w:rPr>
                <w:rFonts w:asciiTheme="majorBidi" w:hAnsiTheme="majorBidi" w:cstheme="majorBidi"/>
                <w:b/>
                <w:bCs/>
                <w:sz w:val="20"/>
                <w:szCs w:val="20"/>
              </w:rPr>
            </w:pPr>
            <w:r>
              <w:rPr>
                <w:rFonts w:asciiTheme="majorBidi" w:hAnsiTheme="majorBidi" w:cstheme="majorBidi"/>
                <w:b/>
                <w:bCs/>
                <w:sz w:val="20"/>
                <w:szCs w:val="20"/>
              </w:rPr>
              <w:t>(Post-PCV13)</w:t>
            </w:r>
          </w:p>
        </w:tc>
        <w:tc>
          <w:tcPr>
            <w:tcW w:w="1559" w:type="dxa"/>
            <w:gridSpan w:val="2"/>
            <w:tcBorders>
              <w:left w:val="single" w:sz="4" w:space="0" w:color="auto"/>
            </w:tcBorders>
          </w:tcPr>
          <w:p w14:paraId="7C9BFE87" w14:textId="77777777" w:rsidR="00FE10EE" w:rsidRPr="00D7374F" w:rsidRDefault="00FE10EE" w:rsidP="00E95EB7">
            <w:pPr>
              <w:pStyle w:val="NoSpacing"/>
              <w:jc w:val="center"/>
              <w:rPr>
                <w:rFonts w:asciiTheme="majorBidi" w:hAnsiTheme="majorBidi" w:cstheme="majorBidi"/>
                <w:b/>
                <w:bCs/>
                <w:sz w:val="20"/>
                <w:szCs w:val="20"/>
              </w:rPr>
            </w:pPr>
            <w:r w:rsidRPr="00D7374F">
              <w:rPr>
                <w:rFonts w:asciiTheme="majorBidi" w:hAnsiTheme="majorBidi" w:cstheme="majorBidi"/>
                <w:b/>
                <w:bCs/>
                <w:sz w:val="20"/>
                <w:szCs w:val="20"/>
              </w:rPr>
              <w:t>2016-2018</w:t>
            </w:r>
          </w:p>
          <w:p w14:paraId="07806EF7" w14:textId="77777777" w:rsidR="00FE10EE" w:rsidRPr="00D7374F" w:rsidRDefault="00FE10EE" w:rsidP="00E95EB7">
            <w:pPr>
              <w:pStyle w:val="NoSpacing"/>
              <w:jc w:val="center"/>
              <w:rPr>
                <w:rFonts w:asciiTheme="majorBidi" w:hAnsiTheme="majorBidi" w:cstheme="majorBidi"/>
                <w:b/>
                <w:bCs/>
                <w:sz w:val="20"/>
                <w:szCs w:val="20"/>
              </w:rPr>
            </w:pPr>
            <w:r>
              <w:rPr>
                <w:rFonts w:asciiTheme="majorBidi" w:hAnsiTheme="majorBidi" w:cstheme="majorBidi"/>
                <w:b/>
                <w:bCs/>
                <w:sz w:val="20"/>
                <w:szCs w:val="20"/>
              </w:rPr>
              <w:t>(Post-PCV13)</w:t>
            </w:r>
          </w:p>
        </w:tc>
      </w:tr>
      <w:tr w:rsidR="00FE10EE" w:rsidRPr="000C642C" w14:paraId="3264160D" w14:textId="77777777" w:rsidTr="00E95EB7">
        <w:trPr>
          <w:trHeight w:hRule="exact" w:val="340"/>
        </w:trPr>
        <w:tc>
          <w:tcPr>
            <w:tcW w:w="1324" w:type="dxa"/>
            <w:tcBorders>
              <w:bottom w:val="single" w:sz="4" w:space="0" w:color="auto"/>
              <w:right w:val="single" w:sz="4" w:space="0" w:color="auto"/>
            </w:tcBorders>
          </w:tcPr>
          <w:p w14:paraId="270C7CE4" w14:textId="77777777" w:rsidR="00FE10EE" w:rsidRPr="00D7374F" w:rsidRDefault="00FE10EE" w:rsidP="00E95EB7">
            <w:pPr>
              <w:spacing w:line="480" w:lineRule="auto"/>
              <w:rPr>
                <w:rFonts w:asciiTheme="majorBidi" w:hAnsiTheme="majorBidi" w:cstheme="majorBidi"/>
                <w:b/>
                <w:bCs/>
                <w:sz w:val="20"/>
                <w:szCs w:val="20"/>
              </w:rPr>
            </w:pPr>
          </w:p>
        </w:tc>
        <w:tc>
          <w:tcPr>
            <w:tcW w:w="798" w:type="dxa"/>
            <w:tcBorders>
              <w:left w:val="single" w:sz="4" w:space="0" w:color="auto"/>
              <w:bottom w:val="single" w:sz="4" w:space="0" w:color="auto"/>
            </w:tcBorders>
          </w:tcPr>
          <w:p w14:paraId="251FF240" w14:textId="77777777" w:rsidR="00FE10EE" w:rsidRPr="00D7374F" w:rsidRDefault="00FE10EE" w:rsidP="00E95EB7">
            <w:pPr>
              <w:spacing w:line="480" w:lineRule="auto"/>
              <w:jc w:val="center"/>
              <w:rPr>
                <w:rFonts w:asciiTheme="majorBidi" w:hAnsiTheme="majorBidi" w:cstheme="majorBidi"/>
                <w:b/>
                <w:bCs/>
                <w:sz w:val="20"/>
                <w:szCs w:val="20"/>
              </w:rPr>
            </w:pPr>
            <w:r w:rsidRPr="00D7374F">
              <w:rPr>
                <w:rFonts w:asciiTheme="majorBidi" w:hAnsiTheme="majorBidi" w:cstheme="majorBidi"/>
                <w:b/>
                <w:bCs/>
                <w:sz w:val="20"/>
                <w:szCs w:val="20"/>
              </w:rPr>
              <w:t>n</w:t>
            </w:r>
          </w:p>
        </w:tc>
        <w:tc>
          <w:tcPr>
            <w:tcW w:w="850" w:type="dxa"/>
            <w:tcBorders>
              <w:bottom w:val="single" w:sz="4" w:space="0" w:color="auto"/>
              <w:right w:val="single" w:sz="4" w:space="0" w:color="auto"/>
            </w:tcBorders>
          </w:tcPr>
          <w:p w14:paraId="559D364C" w14:textId="77777777" w:rsidR="00FE10EE" w:rsidRPr="00D7374F" w:rsidRDefault="00FE10EE" w:rsidP="00E95EB7">
            <w:pPr>
              <w:spacing w:line="480" w:lineRule="auto"/>
              <w:jc w:val="center"/>
              <w:rPr>
                <w:rFonts w:asciiTheme="majorBidi" w:hAnsiTheme="majorBidi" w:cstheme="majorBidi"/>
                <w:b/>
                <w:bCs/>
                <w:i/>
                <w:iCs/>
                <w:sz w:val="20"/>
                <w:szCs w:val="20"/>
              </w:rPr>
            </w:pPr>
            <w:r w:rsidRPr="00D7374F">
              <w:rPr>
                <w:rFonts w:asciiTheme="majorBidi" w:hAnsiTheme="majorBidi" w:cstheme="majorBidi"/>
                <w:b/>
                <w:bCs/>
                <w:i/>
                <w:iCs/>
                <w:sz w:val="20"/>
                <w:szCs w:val="20"/>
              </w:rPr>
              <w:t>(%)</w:t>
            </w:r>
          </w:p>
        </w:tc>
        <w:tc>
          <w:tcPr>
            <w:tcW w:w="838" w:type="dxa"/>
            <w:tcBorders>
              <w:left w:val="single" w:sz="4" w:space="0" w:color="auto"/>
              <w:bottom w:val="single" w:sz="4" w:space="0" w:color="auto"/>
            </w:tcBorders>
          </w:tcPr>
          <w:p w14:paraId="0B38F288" w14:textId="77777777" w:rsidR="00FE10EE" w:rsidRPr="00D7374F" w:rsidRDefault="00FE10EE" w:rsidP="00E95EB7">
            <w:pPr>
              <w:spacing w:line="480" w:lineRule="auto"/>
              <w:jc w:val="center"/>
              <w:rPr>
                <w:rFonts w:asciiTheme="majorBidi" w:hAnsiTheme="majorBidi" w:cstheme="majorBidi"/>
                <w:b/>
                <w:bCs/>
                <w:sz w:val="20"/>
                <w:szCs w:val="20"/>
              </w:rPr>
            </w:pPr>
            <w:r w:rsidRPr="00D7374F">
              <w:rPr>
                <w:rFonts w:asciiTheme="majorBidi" w:hAnsiTheme="majorBidi" w:cstheme="majorBidi"/>
                <w:b/>
                <w:bCs/>
                <w:sz w:val="20"/>
                <w:szCs w:val="20"/>
              </w:rPr>
              <w:t>n</w:t>
            </w:r>
          </w:p>
        </w:tc>
        <w:tc>
          <w:tcPr>
            <w:tcW w:w="721" w:type="dxa"/>
            <w:tcBorders>
              <w:bottom w:val="single" w:sz="4" w:space="0" w:color="auto"/>
              <w:right w:val="single" w:sz="4" w:space="0" w:color="auto"/>
            </w:tcBorders>
          </w:tcPr>
          <w:p w14:paraId="22BCF49E" w14:textId="77777777" w:rsidR="00FE10EE" w:rsidRPr="00D7374F" w:rsidRDefault="00FE10EE" w:rsidP="00E95EB7">
            <w:pPr>
              <w:spacing w:line="480" w:lineRule="auto"/>
              <w:jc w:val="center"/>
              <w:rPr>
                <w:rFonts w:asciiTheme="majorBidi" w:hAnsiTheme="majorBidi" w:cstheme="majorBidi"/>
                <w:b/>
                <w:bCs/>
                <w:i/>
                <w:iCs/>
                <w:sz w:val="20"/>
                <w:szCs w:val="20"/>
              </w:rPr>
            </w:pPr>
            <w:r w:rsidRPr="00D7374F">
              <w:rPr>
                <w:rFonts w:asciiTheme="majorBidi" w:hAnsiTheme="majorBidi" w:cstheme="majorBidi"/>
                <w:b/>
                <w:bCs/>
                <w:i/>
                <w:iCs/>
                <w:sz w:val="20"/>
                <w:szCs w:val="20"/>
              </w:rPr>
              <w:t>(%)</w:t>
            </w:r>
          </w:p>
        </w:tc>
        <w:tc>
          <w:tcPr>
            <w:tcW w:w="853" w:type="dxa"/>
            <w:tcBorders>
              <w:left w:val="single" w:sz="4" w:space="0" w:color="auto"/>
              <w:bottom w:val="single" w:sz="4" w:space="0" w:color="auto"/>
            </w:tcBorders>
          </w:tcPr>
          <w:p w14:paraId="4601277E" w14:textId="77777777" w:rsidR="00FE10EE" w:rsidRPr="00D7374F" w:rsidRDefault="00FE10EE" w:rsidP="00E95EB7">
            <w:pPr>
              <w:spacing w:line="480" w:lineRule="auto"/>
              <w:jc w:val="center"/>
              <w:rPr>
                <w:rFonts w:asciiTheme="majorBidi" w:hAnsiTheme="majorBidi" w:cstheme="majorBidi"/>
                <w:b/>
                <w:bCs/>
                <w:sz w:val="20"/>
                <w:szCs w:val="20"/>
              </w:rPr>
            </w:pPr>
            <w:r w:rsidRPr="00D7374F">
              <w:rPr>
                <w:rFonts w:asciiTheme="majorBidi" w:hAnsiTheme="majorBidi" w:cstheme="majorBidi"/>
                <w:b/>
                <w:bCs/>
                <w:sz w:val="20"/>
                <w:szCs w:val="20"/>
              </w:rPr>
              <w:t>n</w:t>
            </w:r>
          </w:p>
        </w:tc>
        <w:tc>
          <w:tcPr>
            <w:tcW w:w="707" w:type="dxa"/>
            <w:tcBorders>
              <w:bottom w:val="single" w:sz="4" w:space="0" w:color="auto"/>
              <w:right w:val="single" w:sz="4" w:space="0" w:color="auto"/>
            </w:tcBorders>
          </w:tcPr>
          <w:p w14:paraId="3554DB4D" w14:textId="77777777" w:rsidR="00FE10EE" w:rsidRPr="00D7374F" w:rsidRDefault="00FE10EE" w:rsidP="00E95EB7">
            <w:pPr>
              <w:spacing w:line="480" w:lineRule="auto"/>
              <w:jc w:val="center"/>
              <w:rPr>
                <w:rFonts w:asciiTheme="majorBidi" w:hAnsiTheme="majorBidi" w:cstheme="majorBidi"/>
                <w:b/>
                <w:bCs/>
                <w:i/>
                <w:iCs/>
                <w:sz w:val="20"/>
                <w:szCs w:val="20"/>
              </w:rPr>
            </w:pPr>
            <w:r w:rsidRPr="00D7374F">
              <w:rPr>
                <w:rFonts w:asciiTheme="majorBidi" w:hAnsiTheme="majorBidi" w:cstheme="majorBidi"/>
                <w:b/>
                <w:bCs/>
                <w:i/>
                <w:iCs/>
                <w:sz w:val="20"/>
                <w:szCs w:val="20"/>
              </w:rPr>
              <w:t>(%)</w:t>
            </w:r>
          </w:p>
        </w:tc>
        <w:tc>
          <w:tcPr>
            <w:tcW w:w="850" w:type="dxa"/>
            <w:tcBorders>
              <w:left w:val="single" w:sz="4" w:space="0" w:color="auto"/>
              <w:bottom w:val="single" w:sz="4" w:space="0" w:color="auto"/>
            </w:tcBorders>
          </w:tcPr>
          <w:p w14:paraId="136DDA3D" w14:textId="77777777" w:rsidR="00FE10EE" w:rsidRPr="00D7374F" w:rsidRDefault="00FE10EE" w:rsidP="00E95EB7">
            <w:pPr>
              <w:spacing w:line="480" w:lineRule="auto"/>
              <w:jc w:val="center"/>
              <w:rPr>
                <w:rFonts w:asciiTheme="majorBidi" w:hAnsiTheme="majorBidi" w:cstheme="majorBidi"/>
                <w:b/>
                <w:bCs/>
                <w:sz w:val="20"/>
                <w:szCs w:val="20"/>
              </w:rPr>
            </w:pPr>
            <w:r w:rsidRPr="00D7374F">
              <w:rPr>
                <w:rFonts w:asciiTheme="majorBidi" w:hAnsiTheme="majorBidi" w:cstheme="majorBidi"/>
                <w:b/>
                <w:bCs/>
                <w:sz w:val="20"/>
                <w:szCs w:val="20"/>
              </w:rPr>
              <w:t>n</w:t>
            </w:r>
          </w:p>
        </w:tc>
        <w:tc>
          <w:tcPr>
            <w:tcW w:w="709" w:type="dxa"/>
            <w:tcBorders>
              <w:bottom w:val="single" w:sz="4" w:space="0" w:color="auto"/>
            </w:tcBorders>
          </w:tcPr>
          <w:p w14:paraId="785A11A6" w14:textId="77777777" w:rsidR="00FE10EE" w:rsidRPr="00D7374F" w:rsidRDefault="00FE10EE" w:rsidP="00E95EB7">
            <w:pPr>
              <w:spacing w:line="480" w:lineRule="auto"/>
              <w:jc w:val="center"/>
              <w:rPr>
                <w:rFonts w:asciiTheme="majorBidi" w:hAnsiTheme="majorBidi" w:cstheme="majorBidi"/>
                <w:b/>
                <w:bCs/>
                <w:i/>
                <w:iCs/>
                <w:sz w:val="20"/>
                <w:szCs w:val="20"/>
              </w:rPr>
            </w:pPr>
            <w:r w:rsidRPr="00D7374F">
              <w:rPr>
                <w:rFonts w:asciiTheme="majorBidi" w:hAnsiTheme="majorBidi" w:cstheme="majorBidi"/>
                <w:b/>
                <w:bCs/>
                <w:i/>
                <w:iCs/>
                <w:sz w:val="20"/>
                <w:szCs w:val="20"/>
              </w:rPr>
              <w:t>(%)</w:t>
            </w:r>
          </w:p>
        </w:tc>
      </w:tr>
      <w:tr w:rsidR="00FE10EE" w:rsidRPr="000C642C" w14:paraId="0AC9BAB1" w14:textId="77777777" w:rsidTr="00E95EB7">
        <w:trPr>
          <w:trHeight w:hRule="exact" w:val="340"/>
        </w:trPr>
        <w:tc>
          <w:tcPr>
            <w:tcW w:w="1324" w:type="dxa"/>
            <w:tcBorders>
              <w:top w:val="single" w:sz="4" w:space="0" w:color="auto"/>
              <w:right w:val="single" w:sz="4" w:space="0" w:color="auto"/>
            </w:tcBorders>
          </w:tcPr>
          <w:p w14:paraId="44AEB73B"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1</w:t>
            </w:r>
          </w:p>
        </w:tc>
        <w:tc>
          <w:tcPr>
            <w:tcW w:w="798" w:type="dxa"/>
            <w:tcBorders>
              <w:top w:val="single" w:sz="4" w:space="0" w:color="auto"/>
              <w:left w:val="single" w:sz="4" w:space="0" w:color="auto"/>
            </w:tcBorders>
          </w:tcPr>
          <w:p w14:paraId="7DB82959"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14 </w:t>
            </w:r>
          </w:p>
        </w:tc>
        <w:tc>
          <w:tcPr>
            <w:tcW w:w="850" w:type="dxa"/>
            <w:tcBorders>
              <w:top w:val="single" w:sz="4" w:space="0" w:color="auto"/>
              <w:right w:val="single" w:sz="4" w:space="0" w:color="auto"/>
            </w:tcBorders>
          </w:tcPr>
          <w:p w14:paraId="1D173026"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(15.6)</w:t>
            </w:r>
          </w:p>
        </w:tc>
        <w:tc>
          <w:tcPr>
            <w:tcW w:w="838" w:type="dxa"/>
            <w:tcBorders>
              <w:top w:val="single" w:sz="4" w:space="0" w:color="auto"/>
              <w:left w:val="single" w:sz="4" w:space="0" w:color="auto"/>
            </w:tcBorders>
          </w:tcPr>
          <w:p w14:paraId="1D9EDC2D"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11 </w:t>
            </w:r>
          </w:p>
        </w:tc>
        <w:tc>
          <w:tcPr>
            <w:tcW w:w="721" w:type="dxa"/>
            <w:tcBorders>
              <w:top w:val="single" w:sz="4" w:space="0" w:color="auto"/>
              <w:right w:val="single" w:sz="4" w:space="0" w:color="auto"/>
            </w:tcBorders>
          </w:tcPr>
          <w:p w14:paraId="727170ED"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(16.4)</w:t>
            </w:r>
          </w:p>
        </w:tc>
        <w:tc>
          <w:tcPr>
            <w:tcW w:w="853" w:type="dxa"/>
            <w:tcBorders>
              <w:top w:val="single" w:sz="4" w:space="0" w:color="auto"/>
              <w:left w:val="single" w:sz="4" w:space="0" w:color="auto"/>
            </w:tcBorders>
          </w:tcPr>
          <w:p w14:paraId="0506385A"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3</w:t>
            </w:r>
          </w:p>
        </w:tc>
        <w:tc>
          <w:tcPr>
            <w:tcW w:w="707" w:type="dxa"/>
            <w:tcBorders>
              <w:top w:val="single" w:sz="4" w:space="0" w:color="auto"/>
              <w:right w:val="single" w:sz="4" w:space="0" w:color="auto"/>
            </w:tcBorders>
          </w:tcPr>
          <w:p w14:paraId="5AAC78BC"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(18.8)</w:t>
            </w:r>
          </w:p>
        </w:tc>
        <w:tc>
          <w:tcPr>
            <w:tcW w:w="850" w:type="dxa"/>
            <w:tcBorders>
              <w:top w:val="single" w:sz="4" w:space="0" w:color="auto"/>
              <w:left w:val="single" w:sz="4" w:space="0" w:color="auto"/>
            </w:tcBorders>
          </w:tcPr>
          <w:p w14:paraId="25A0AC4D"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9" w:type="dxa"/>
            <w:tcBorders>
              <w:top w:val="single" w:sz="4" w:space="0" w:color="auto"/>
            </w:tcBorders>
          </w:tcPr>
          <w:p w14:paraId="1FFEBDF2"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r>
      <w:tr w:rsidR="00FE10EE" w:rsidRPr="000C642C" w14:paraId="66D70C11" w14:textId="77777777" w:rsidTr="00E95EB7">
        <w:trPr>
          <w:trHeight w:hRule="exact" w:val="340"/>
        </w:trPr>
        <w:tc>
          <w:tcPr>
            <w:tcW w:w="1324" w:type="dxa"/>
            <w:tcBorders>
              <w:right w:val="single" w:sz="4" w:space="0" w:color="auto"/>
            </w:tcBorders>
          </w:tcPr>
          <w:p w14:paraId="780BE09A"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3</w:t>
            </w:r>
          </w:p>
        </w:tc>
        <w:tc>
          <w:tcPr>
            <w:tcW w:w="798" w:type="dxa"/>
            <w:tcBorders>
              <w:left w:val="single" w:sz="4" w:space="0" w:color="auto"/>
            </w:tcBorders>
          </w:tcPr>
          <w:p w14:paraId="7AB47F02"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2 </w:t>
            </w:r>
          </w:p>
        </w:tc>
        <w:tc>
          <w:tcPr>
            <w:tcW w:w="850" w:type="dxa"/>
            <w:tcBorders>
              <w:right w:val="single" w:sz="4" w:space="0" w:color="auto"/>
            </w:tcBorders>
          </w:tcPr>
          <w:p w14:paraId="797974B9"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(2.2)</w:t>
            </w:r>
          </w:p>
        </w:tc>
        <w:tc>
          <w:tcPr>
            <w:tcW w:w="838" w:type="dxa"/>
            <w:tcBorders>
              <w:left w:val="single" w:sz="4" w:space="0" w:color="auto"/>
            </w:tcBorders>
          </w:tcPr>
          <w:p w14:paraId="437FC6EE"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2 </w:t>
            </w:r>
          </w:p>
        </w:tc>
        <w:tc>
          <w:tcPr>
            <w:tcW w:w="721" w:type="dxa"/>
            <w:tcBorders>
              <w:right w:val="single" w:sz="4" w:space="0" w:color="auto"/>
            </w:tcBorders>
          </w:tcPr>
          <w:p w14:paraId="17FF7DB1"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(3.0)</w:t>
            </w:r>
          </w:p>
        </w:tc>
        <w:tc>
          <w:tcPr>
            <w:tcW w:w="853" w:type="dxa"/>
            <w:tcBorders>
              <w:left w:val="single" w:sz="4" w:space="0" w:color="auto"/>
            </w:tcBorders>
          </w:tcPr>
          <w:p w14:paraId="3F85B1FD"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7" w:type="dxa"/>
            <w:tcBorders>
              <w:right w:val="single" w:sz="4" w:space="0" w:color="auto"/>
            </w:tcBorders>
          </w:tcPr>
          <w:p w14:paraId="070A03B7"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0" w:type="dxa"/>
            <w:tcBorders>
              <w:left w:val="single" w:sz="4" w:space="0" w:color="auto"/>
            </w:tcBorders>
          </w:tcPr>
          <w:p w14:paraId="263D3DED"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9" w:type="dxa"/>
          </w:tcPr>
          <w:p w14:paraId="167D7AA7"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r>
      <w:tr w:rsidR="00FE10EE" w:rsidRPr="000C642C" w14:paraId="2D230C02" w14:textId="77777777" w:rsidTr="00E95EB7">
        <w:trPr>
          <w:trHeight w:hRule="exact" w:val="340"/>
        </w:trPr>
        <w:tc>
          <w:tcPr>
            <w:tcW w:w="1324" w:type="dxa"/>
            <w:tcBorders>
              <w:right w:val="single" w:sz="4" w:space="0" w:color="auto"/>
            </w:tcBorders>
          </w:tcPr>
          <w:p w14:paraId="62F6D93E"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4</w:t>
            </w:r>
          </w:p>
        </w:tc>
        <w:tc>
          <w:tcPr>
            <w:tcW w:w="798" w:type="dxa"/>
            <w:tcBorders>
              <w:left w:val="single" w:sz="4" w:space="0" w:color="auto"/>
            </w:tcBorders>
          </w:tcPr>
          <w:p w14:paraId="32F8FD09"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1</w:t>
            </w:r>
          </w:p>
        </w:tc>
        <w:tc>
          <w:tcPr>
            <w:tcW w:w="850" w:type="dxa"/>
            <w:tcBorders>
              <w:right w:val="single" w:sz="4" w:space="0" w:color="auto"/>
            </w:tcBorders>
          </w:tcPr>
          <w:p w14:paraId="1510101F"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(1.1)</w:t>
            </w:r>
          </w:p>
        </w:tc>
        <w:tc>
          <w:tcPr>
            <w:tcW w:w="838" w:type="dxa"/>
            <w:tcBorders>
              <w:left w:val="single" w:sz="4" w:space="0" w:color="auto"/>
            </w:tcBorders>
          </w:tcPr>
          <w:p w14:paraId="2447448A"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1 </w:t>
            </w:r>
          </w:p>
        </w:tc>
        <w:tc>
          <w:tcPr>
            <w:tcW w:w="721" w:type="dxa"/>
            <w:tcBorders>
              <w:right w:val="single" w:sz="4" w:space="0" w:color="auto"/>
            </w:tcBorders>
          </w:tcPr>
          <w:p w14:paraId="5D1D1C5A"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(1.5)</w:t>
            </w:r>
          </w:p>
        </w:tc>
        <w:tc>
          <w:tcPr>
            <w:tcW w:w="853" w:type="dxa"/>
            <w:tcBorders>
              <w:left w:val="single" w:sz="4" w:space="0" w:color="auto"/>
            </w:tcBorders>
          </w:tcPr>
          <w:p w14:paraId="40D587B4"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7" w:type="dxa"/>
            <w:tcBorders>
              <w:right w:val="single" w:sz="4" w:space="0" w:color="auto"/>
            </w:tcBorders>
          </w:tcPr>
          <w:p w14:paraId="5AC3EA84"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0" w:type="dxa"/>
            <w:tcBorders>
              <w:left w:val="single" w:sz="4" w:space="0" w:color="auto"/>
            </w:tcBorders>
          </w:tcPr>
          <w:p w14:paraId="2908B9E6"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9" w:type="dxa"/>
          </w:tcPr>
          <w:p w14:paraId="4ED06E44"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r>
      <w:tr w:rsidR="00FE10EE" w:rsidRPr="000C642C" w14:paraId="36BAA6DD" w14:textId="77777777" w:rsidTr="00E95EB7">
        <w:trPr>
          <w:trHeight w:hRule="exact" w:val="340"/>
        </w:trPr>
        <w:tc>
          <w:tcPr>
            <w:tcW w:w="1324" w:type="dxa"/>
            <w:tcBorders>
              <w:right w:val="single" w:sz="4" w:space="0" w:color="auto"/>
            </w:tcBorders>
          </w:tcPr>
          <w:p w14:paraId="34907262"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5</w:t>
            </w:r>
          </w:p>
        </w:tc>
        <w:tc>
          <w:tcPr>
            <w:tcW w:w="798" w:type="dxa"/>
            <w:tcBorders>
              <w:left w:val="single" w:sz="4" w:space="0" w:color="auto"/>
            </w:tcBorders>
          </w:tcPr>
          <w:p w14:paraId="2480E249"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25 </w:t>
            </w:r>
          </w:p>
        </w:tc>
        <w:tc>
          <w:tcPr>
            <w:tcW w:w="850" w:type="dxa"/>
            <w:tcBorders>
              <w:right w:val="single" w:sz="4" w:space="0" w:color="auto"/>
            </w:tcBorders>
          </w:tcPr>
          <w:p w14:paraId="7F75C556"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(27.8)</w:t>
            </w:r>
          </w:p>
        </w:tc>
        <w:tc>
          <w:tcPr>
            <w:tcW w:w="838" w:type="dxa"/>
            <w:tcBorders>
              <w:left w:val="single" w:sz="4" w:space="0" w:color="auto"/>
            </w:tcBorders>
          </w:tcPr>
          <w:p w14:paraId="642064A2"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21 </w:t>
            </w:r>
          </w:p>
        </w:tc>
        <w:tc>
          <w:tcPr>
            <w:tcW w:w="721" w:type="dxa"/>
            <w:tcBorders>
              <w:right w:val="single" w:sz="4" w:space="0" w:color="auto"/>
            </w:tcBorders>
          </w:tcPr>
          <w:p w14:paraId="49C18660"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(31.3)</w:t>
            </w:r>
          </w:p>
        </w:tc>
        <w:tc>
          <w:tcPr>
            <w:tcW w:w="853" w:type="dxa"/>
            <w:tcBorders>
              <w:left w:val="single" w:sz="4" w:space="0" w:color="auto"/>
            </w:tcBorders>
          </w:tcPr>
          <w:p w14:paraId="204CDD74"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2</w:t>
            </w:r>
          </w:p>
        </w:tc>
        <w:tc>
          <w:tcPr>
            <w:tcW w:w="707" w:type="dxa"/>
            <w:tcBorders>
              <w:right w:val="single" w:sz="4" w:space="0" w:color="auto"/>
            </w:tcBorders>
          </w:tcPr>
          <w:p w14:paraId="3FD8770B"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(12.5)</w:t>
            </w:r>
          </w:p>
        </w:tc>
        <w:tc>
          <w:tcPr>
            <w:tcW w:w="850" w:type="dxa"/>
            <w:tcBorders>
              <w:left w:val="single" w:sz="4" w:space="0" w:color="auto"/>
            </w:tcBorders>
          </w:tcPr>
          <w:p w14:paraId="6E5BBAE8"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2</w:t>
            </w:r>
          </w:p>
        </w:tc>
        <w:tc>
          <w:tcPr>
            <w:tcW w:w="709" w:type="dxa"/>
          </w:tcPr>
          <w:p w14:paraId="501E5549"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(28.6)</w:t>
            </w:r>
          </w:p>
        </w:tc>
      </w:tr>
      <w:tr w:rsidR="00FE10EE" w:rsidRPr="000C642C" w14:paraId="55BF5B67" w14:textId="77777777" w:rsidTr="00E95EB7">
        <w:trPr>
          <w:trHeight w:hRule="exact" w:val="340"/>
        </w:trPr>
        <w:tc>
          <w:tcPr>
            <w:tcW w:w="1324" w:type="dxa"/>
            <w:tcBorders>
              <w:right w:val="single" w:sz="4" w:space="0" w:color="auto"/>
            </w:tcBorders>
          </w:tcPr>
          <w:p w14:paraId="31A041DB"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6A/B</w:t>
            </w:r>
          </w:p>
        </w:tc>
        <w:tc>
          <w:tcPr>
            <w:tcW w:w="798" w:type="dxa"/>
            <w:tcBorders>
              <w:left w:val="single" w:sz="4" w:space="0" w:color="auto"/>
            </w:tcBorders>
          </w:tcPr>
          <w:p w14:paraId="6C0B32AB"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4 </w:t>
            </w:r>
          </w:p>
        </w:tc>
        <w:tc>
          <w:tcPr>
            <w:tcW w:w="850" w:type="dxa"/>
            <w:tcBorders>
              <w:bottom w:val="single" w:sz="4" w:space="0" w:color="FFFFFF" w:themeColor="background1"/>
              <w:right w:val="single" w:sz="4" w:space="0" w:color="auto"/>
            </w:tcBorders>
          </w:tcPr>
          <w:p w14:paraId="04A3A83C"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(4.4)</w:t>
            </w:r>
          </w:p>
        </w:tc>
        <w:tc>
          <w:tcPr>
            <w:tcW w:w="838" w:type="dxa"/>
            <w:tcBorders>
              <w:left w:val="single" w:sz="4" w:space="0" w:color="auto"/>
            </w:tcBorders>
          </w:tcPr>
          <w:p w14:paraId="1579BEAC"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3 </w:t>
            </w:r>
          </w:p>
        </w:tc>
        <w:tc>
          <w:tcPr>
            <w:tcW w:w="721" w:type="dxa"/>
            <w:tcBorders>
              <w:right w:val="single" w:sz="4" w:space="0" w:color="auto"/>
            </w:tcBorders>
          </w:tcPr>
          <w:p w14:paraId="7A947AC9"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(4.5)</w:t>
            </w:r>
          </w:p>
        </w:tc>
        <w:tc>
          <w:tcPr>
            <w:tcW w:w="853" w:type="dxa"/>
            <w:tcBorders>
              <w:left w:val="single" w:sz="4" w:space="0" w:color="auto"/>
            </w:tcBorders>
          </w:tcPr>
          <w:p w14:paraId="2D377AF7"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7" w:type="dxa"/>
            <w:tcBorders>
              <w:bottom w:val="single" w:sz="4" w:space="0" w:color="FFFFFF" w:themeColor="background1"/>
              <w:right w:val="single" w:sz="4" w:space="0" w:color="auto"/>
            </w:tcBorders>
          </w:tcPr>
          <w:p w14:paraId="447518A4"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0" w:type="dxa"/>
            <w:tcBorders>
              <w:left w:val="single" w:sz="4" w:space="0" w:color="auto"/>
            </w:tcBorders>
          </w:tcPr>
          <w:p w14:paraId="5B3F2D49"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1</w:t>
            </w:r>
          </w:p>
        </w:tc>
        <w:tc>
          <w:tcPr>
            <w:tcW w:w="709" w:type="dxa"/>
          </w:tcPr>
          <w:p w14:paraId="21B91DF7"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(14.3)</w:t>
            </w:r>
          </w:p>
        </w:tc>
      </w:tr>
      <w:tr w:rsidR="00FE10EE" w:rsidRPr="000C642C" w14:paraId="20827B08" w14:textId="77777777" w:rsidTr="00E95EB7">
        <w:trPr>
          <w:trHeight w:hRule="exact" w:val="340"/>
        </w:trPr>
        <w:tc>
          <w:tcPr>
            <w:tcW w:w="1324" w:type="dxa"/>
            <w:tcBorders>
              <w:right w:val="single" w:sz="4" w:space="0" w:color="auto"/>
            </w:tcBorders>
          </w:tcPr>
          <w:p w14:paraId="292273FB"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7F</w:t>
            </w:r>
          </w:p>
        </w:tc>
        <w:tc>
          <w:tcPr>
            <w:tcW w:w="798" w:type="dxa"/>
            <w:tcBorders>
              <w:left w:val="single" w:sz="4" w:space="0" w:color="auto"/>
            </w:tcBorders>
          </w:tcPr>
          <w:p w14:paraId="29C83DCD"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5 </w:t>
            </w:r>
          </w:p>
        </w:tc>
        <w:tc>
          <w:tcPr>
            <w:tcW w:w="850" w:type="dxa"/>
            <w:tcBorders>
              <w:top w:val="single" w:sz="4" w:space="0" w:color="FFFFFF" w:themeColor="background1"/>
              <w:right w:val="single" w:sz="4" w:space="0" w:color="auto"/>
            </w:tcBorders>
          </w:tcPr>
          <w:p w14:paraId="01F79E3E"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(5.6)</w:t>
            </w:r>
          </w:p>
        </w:tc>
        <w:tc>
          <w:tcPr>
            <w:tcW w:w="838" w:type="dxa"/>
            <w:tcBorders>
              <w:left w:val="single" w:sz="4" w:space="0" w:color="auto"/>
            </w:tcBorders>
          </w:tcPr>
          <w:p w14:paraId="137E6FEA"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4 </w:t>
            </w:r>
          </w:p>
        </w:tc>
        <w:tc>
          <w:tcPr>
            <w:tcW w:w="721" w:type="dxa"/>
            <w:tcBorders>
              <w:right w:val="single" w:sz="4" w:space="0" w:color="auto"/>
            </w:tcBorders>
          </w:tcPr>
          <w:p w14:paraId="7498311C"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(6</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3" w:type="dxa"/>
            <w:tcBorders>
              <w:left w:val="single" w:sz="4" w:space="0" w:color="auto"/>
            </w:tcBorders>
          </w:tcPr>
          <w:p w14:paraId="0DA0EC7F"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1 </w:t>
            </w:r>
          </w:p>
        </w:tc>
        <w:tc>
          <w:tcPr>
            <w:tcW w:w="707" w:type="dxa"/>
            <w:tcBorders>
              <w:top w:val="single" w:sz="4" w:space="0" w:color="FFFFFF" w:themeColor="background1"/>
              <w:right w:val="single" w:sz="4" w:space="0" w:color="auto"/>
            </w:tcBorders>
          </w:tcPr>
          <w:p w14:paraId="719D7836"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(6.3)</w:t>
            </w:r>
          </w:p>
        </w:tc>
        <w:tc>
          <w:tcPr>
            <w:tcW w:w="850" w:type="dxa"/>
            <w:tcBorders>
              <w:left w:val="single" w:sz="4" w:space="0" w:color="auto"/>
            </w:tcBorders>
          </w:tcPr>
          <w:p w14:paraId="411992AC"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9" w:type="dxa"/>
          </w:tcPr>
          <w:p w14:paraId="0D1CAF6C"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r>
      <w:tr w:rsidR="00FE10EE" w:rsidRPr="000C642C" w14:paraId="652F03EB" w14:textId="77777777" w:rsidTr="00E95EB7">
        <w:trPr>
          <w:trHeight w:hRule="exact" w:val="340"/>
        </w:trPr>
        <w:tc>
          <w:tcPr>
            <w:tcW w:w="1324" w:type="dxa"/>
            <w:tcBorders>
              <w:right w:val="single" w:sz="4" w:space="0" w:color="auto"/>
            </w:tcBorders>
          </w:tcPr>
          <w:p w14:paraId="48B6AF9B"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9V</w:t>
            </w:r>
          </w:p>
        </w:tc>
        <w:tc>
          <w:tcPr>
            <w:tcW w:w="798" w:type="dxa"/>
            <w:tcBorders>
              <w:left w:val="single" w:sz="4" w:space="0" w:color="auto"/>
            </w:tcBorders>
          </w:tcPr>
          <w:p w14:paraId="237BB503"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1</w:t>
            </w:r>
          </w:p>
        </w:tc>
        <w:tc>
          <w:tcPr>
            <w:tcW w:w="850" w:type="dxa"/>
            <w:tcBorders>
              <w:right w:val="single" w:sz="4" w:space="0" w:color="auto"/>
            </w:tcBorders>
          </w:tcPr>
          <w:p w14:paraId="5BDBF68D"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(1.1)</w:t>
            </w:r>
          </w:p>
        </w:tc>
        <w:tc>
          <w:tcPr>
            <w:tcW w:w="838" w:type="dxa"/>
            <w:tcBorders>
              <w:left w:val="single" w:sz="4" w:space="0" w:color="auto"/>
            </w:tcBorders>
          </w:tcPr>
          <w:p w14:paraId="208E5D7C"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1</w:t>
            </w:r>
          </w:p>
        </w:tc>
        <w:tc>
          <w:tcPr>
            <w:tcW w:w="721" w:type="dxa"/>
            <w:tcBorders>
              <w:right w:val="single" w:sz="4" w:space="0" w:color="auto"/>
            </w:tcBorders>
          </w:tcPr>
          <w:p w14:paraId="10A524DB"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(1.5)</w:t>
            </w:r>
          </w:p>
        </w:tc>
        <w:tc>
          <w:tcPr>
            <w:tcW w:w="853" w:type="dxa"/>
            <w:tcBorders>
              <w:left w:val="single" w:sz="4" w:space="0" w:color="auto"/>
            </w:tcBorders>
          </w:tcPr>
          <w:p w14:paraId="2A83B1FD"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7" w:type="dxa"/>
            <w:tcBorders>
              <w:right w:val="single" w:sz="4" w:space="0" w:color="auto"/>
            </w:tcBorders>
          </w:tcPr>
          <w:p w14:paraId="194FF4E1"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0" w:type="dxa"/>
            <w:tcBorders>
              <w:left w:val="single" w:sz="4" w:space="0" w:color="auto"/>
            </w:tcBorders>
          </w:tcPr>
          <w:p w14:paraId="2B721788"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9" w:type="dxa"/>
          </w:tcPr>
          <w:p w14:paraId="52FD944C"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r>
      <w:tr w:rsidR="00FE10EE" w:rsidRPr="000C642C" w14:paraId="1BEC314B" w14:textId="77777777" w:rsidTr="00E95EB7">
        <w:trPr>
          <w:trHeight w:hRule="exact" w:val="340"/>
        </w:trPr>
        <w:tc>
          <w:tcPr>
            <w:tcW w:w="1324" w:type="dxa"/>
            <w:tcBorders>
              <w:right w:val="single" w:sz="4" w:space="0" w:color="auto"/>
            </w:tcBorders>
          </w:tcPr>
          <w:p w14:paraId="57B6462E"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14</w:t>
            </w:r>
          </w:p>
        </w:tc>
        <w:tc>
          <w:tcPr>
            <w:tcW w:w="798" w:type="dxa"/>
            <w:tcBorders>
              <w:left w:val="single" w:sz="4" w:space="0" w:color="auto"/>
            </w:tcBorders>
          </w:tcPr>
          <w:p w14:paraId="06AF3D90"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2 </w:t>
            </w:r>
          </w:p>
        </w:tc>
        <w:tc>
          <w:tcPr>
            <w:tcW w:w="850" w:type="dxa"/>
            <w:tcBorders>
              <w:right w:val="single" w:sz="4" w:space="0" w:color="auto"/>
            </w:tcBorders>
          </w:tcPr>
          <w:p w14:paraId="0BD9718B"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(2.2)</w:t>
            </w:r>
          </w:p>
        </w:tc>
        <w:tc>
          <w:tcPr>
            <w:tcW w:w="838" w:type="dxa"/>
            <w:tcBorders>
              <w:left w:val="single" w:sz="4" w:space="0" w:color="auto"/>
            </w:tcBorders>
          </w:tcPr>
          <w:p w14:paraId="2FE585C3"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0 </w:t>
            </w:r>
          </w:p>
        </w:tc>
        <w:tc>
          <w:tcPr>
            <w:tcW w:w="721" w:type="dxa"/>
            <w:tcBorders>
              <w:right w:val="single" w:sz="4" w:space="0" w:color="auto"/>
            </w:tcBorders>
          </w:tcPr>
          <w:p w14:paraId="13496063"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3" w:type="dxa"/>
            <w:tcBorders>
              <w:left w:val="single" w:sz="4" w:space="0" w:color="auto"/>
            </w:tcBorders>
          </w:tcPr>
          <w:p w14:paraId="01036194"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1</w:t>
            </w:r>
          </w:p>
        </w:tc>
        <w:tc>
          <w:tcPr>
            <w:tcW w:w="707" w:type="dxa"/>
            <w:tcBorders>
              <w:right w:val="single" w:sz="4" w:space="0" w:color="auto"/>
            </w:tcBorders>
          </w:tcPr>
          <w:p w14:paraId="79C3134C"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(6.3)</w:t>
            </w:r>
          </w:p>
        </w:tc>
        <w:tc>
          <w:tcPr>
            <w:tcW w:w="850" w:type="dxa"/>
            <w:tcBorders>
              <w:left w:val="single" w:sz="4" w:space="0" w:color="auto"/>
            </w:tcBorders>
          </w:tcPr>
          <w:p w14:paraId="4BC85514"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1</w:t>
            </w:r>
          </w:p>
        </w:tc>
        <w:tc>
          <w:tcPr>
            <w:tcW w:w="709" w:type="dxa"/>
          </w:tcPr>
          <w:p w14:paraId="5F74B90E"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(14.3)</w:t>
            </w:r>
          </w:p>
        </w:tc>
      </w:tr>
      <w:tr w:rsidR="00FE10EE" w:rsidRPr="000C642C" w14:paraId="10DDA30D" w14:textId="77777777" w:rsidTr="00E95EB7">
        <w:trPr>
          <w:trHeight w:hRule="exact" w:val="340"/>
        </w:trPr>
        <w:tc>
          <w:tcPr>
            <w:tcW w:w="1324" w:type="dxa"/>
            <w:tcBorders>
              <w:right w:val="single" w:sz="4" w:space="0" w:color="auto"/>
            </w:tcBorders>
          </w:tcPr>
          <w:p w14:paraId="4F2BD09A"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18C</w:t>
            </w:r>
          </w:p>
        </w:tc>
        <w:tc>
          <w:tcPr>
            <w:tcW w:w="798" w:type="dxa"/>
            <w:tcBorders>
              <w:left w:val="single" w:sz="4" w:space="0" w:color="auto"/>
            </w:tcBorders>
          </w:tcPr>
          <w:p w14:paraId="5EEE934A"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3 </w:t>
            </w:r>
          </w:p>
        </w:tc>
        <w:tc>
          <w:tcPr>
            <w:tcW w:w="850" w:type="dxa"/>
            <w:tcBorders>
              <w:right w:val="single" w:sz="4" w:space="0" w:color="auto"/>
            </w:tcBorders>
          </w:tcPr>
          <w:p w14:paraId="01955494"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(3.3)</w:t>
            </w:r>
          </w:p>
        </w:tc>
        <w:tc>
          <w:tcPr>
            <w:tcW w:w="838" w:type="dxa"/>
            <w:tcBorders>
              <w:left w:val="single" w:sz="4" w:space="0" w:color="auto"/>
            </w:tcBorders>
          </w:tcPr>
          <w:p w14:paraId="58DA6B4F"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3 </w:t>
            </w:r>
          </w:p>
        </w:tc>
        <w:tc>
          <w:tcPr>
            <w:tcW w:w="721" w:type="dxa"/>
            <w:tcBorders>
              <w:right w:val="single" w:sz="4" w:space="0" w:color="auto"/>
            </w:tcBorders>
          </w:tcPr>
          <w:p w14:paraId="4E53A2B8"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(4.5)</w:t>
            </w:r>
          </w:p>
        </w:tc>
        <w:tc>
          <w:tcPr>
            <w:tcW w:w="853" w:type="dxa"/>
            <w:tcBorders>
              <w:left w:val="single" w:sz="4" w:space="0" w:color="auto"/>
            </w:tcBorders>
          </w:tcPr>
          <w:p w14:paraId="79965D28"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0 </w:t>
            </w:r>
          </w:p>
        </w:tc>
        <w:tc>
          <w:tcPr>
            <w:tcW w:w="707" w:type="dxa"/>
            <w:tcBorders>
              <w:right w:val="single" w:sz="4" w:space="0" w:color="auto"/>
            </w:tcBorders>
          </w:tcPr>
          <w:p w14:paraId="1880D273"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0" w:type="dxa"/>
            <w:tcBorders>
              <w:left w:val="single" w:sz="4" w:space="0" w:color="auto"/>
            </w:tcBorders>
          </w:tcPr>
          <w:p w14:paraId="211656A1"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9" w:type="dxa"/>
          </w:tcPr>
          <w:p w14:paraId="71061196"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r>
      <w:tr w:rsidR="00FE10EE" w:rsidRPr="000C642C" w14:paraId="2CC46E83" w14:textId="77777777" w:rsidTr="00E95EB7">
        <w:trPr>
          <w:trHeight w:hRule="exact" w:val="340"/>
        </w:trPr>
        <w:tc>
          <w:tcPr>
            <w:tcW w:w="1324" w:type="dxa"/>
            <w:tcBorders>
              <w:right w:val="single" w:sz="4" w:space="0" w:color="auto"/>
            </w:tcBorders>
          </w:tcPr>
          <w:p w14:paraId="21C4F16E"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19A</w:t>
            </w:r>
          </w:p>
        </w:tc>
        <w:tc>
          <w:tcPr>
            <w:tcW w:w="798" w:type="dxa"/>
            <w:tcBorders>
              <w:left w:val="single" w:sz="4" w:space="0" w:color="auto"/>
            </w:tcBorders>
          </w:tcPr>
          <w:p w14:paraId="1B6EDC49"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850" w:type="dxa"/>
            <w:tcBorders>
              <w:right w:val="single" w:sz="4" w:space="0" w:color="auto"/>
            </w:tcBorders>
          </w:tcPr>
          <w:p w14:paraId="07058F66"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38" w:type="dxa"/>
            <w:tcBorders>
              <w:left w:val="single" w:sz="4" w:space="0" w:color="auto"/>
            </w:tcBorders>
          </w:tcPr>
          <w:p w14:paraId="7B5AFC57"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21" w:type="dxa"/>
            <w:tcBorders>
              <w:right w:val="single" w:sz="4" w:space="0" w:color="auto"/>
            </w:tcBorders>
          </w:tcPr>
          <w:p w14:paraId="6C8F8FF6"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3" w:type="dxa"/>
            <w:tcBorders>
              <w:left w:val="single" w:sz="4" w:space="0" w:color="auto"/>
            </w:tcBorders>
          </w:tcPr>
          <w:p w14:paraId="5A92C208"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7" w:type="dxa"/>
            <w:tcBorders>
              <w:right w:val="single" w:sz="4" w:space="0" w:color="auto"/>
            </w:tcBorders>
          </w:tcPr>
          <w:p w14:paraId="4B2A9BE0"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0" w:type="dxa"/>
            <w:tcBorders>
              <w:left w:val="single" w:sz="4" w:space="0" w:color="auto"/>
            </w:tcBorders>
          </w:tcPr>
          <w:p w14:paraId="3CAABA97"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9" w:type="dxa"/>
          </w:tcPr>
          <w:p w14:paraId="7CC50101"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r>
      <w:tr w:rsidR="00FE10EE" w:rsidRPr="000C642C" w14:paraId="4E2B6AF0" w14:textId="77777777" w:rsidTr="00E95EB7">
        <w:trPr>
          <w:trHeight w:hRule="exact" w:val="340"/>
        </w:trPr>
        <w:tc>
          <w:tcPr>
            <w:tcW w:w="1324" w:type="dxa"/>
            <w:tcBorders>
              <w:right w:val="single" w:sz="4" w:space="0" w:color="auto"/>
            </w:tcBorders>
          </w:tcPr>
          <w:p w14:paraId="06D067D8"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19F</w:t>
            </w:r>
          </w:p>
        </w:tc>
        <w:tc>
          <w:tcPr>
            <w:tcW w:w="798" w:type="dxa"/>
            <w:tcBorders>
              <w:left w:val="single" w:sz="4" w:space="0" w:color="auto"/>
            </w:tcBorders>
          </w:tcPr>
          <w:p w14:paraId="042C6B31"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850" w:type="dxa"/>
            <w:tcBorders>
              <w:right w:val="single" w:sz="4" w:space="0" w:color="auto"/>
            </w:tcBorders>
          </w:tcPr>
          <w:p w14:paraId="3718E03D"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38" w:type="dxa"/>
            <w:tcBorders>
              <w:left w:val="single" w:sz="4" w:space="0" w:color="auto"/>
            </w:tcBorders>
          </w:tcPr>
          <w:p w14:paraId="505F48CB"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21" w:type="dxa"/>
            <w:tcBorders>
              <w:right w:val="single" w:sz="4" w:space="0" w:color="auto"/>
            </w:tcBorders>
          </w:tcPr>
          <w:p w14:paraId="72787C45"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3" w:type="dxa"/>
            <w:tcBorders>
              <w:left w:val="single" w:sz="4" w:space="0" w:color="auto"/>
            </w:tcBorders>
          </w:tcPr>
          <w:p w14:paraId="13444BD2"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7" w:type="dxa"/>
            <w:tcBorders>
              <w:right w:val="single" w:sz="4" w:space="0" w:color="auto"/>
            </w:tcBorders>
          </w:tcPr>
          <w:p w14:paraId="3E1D685E"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c>
          <w:tcPr>
            <w:tcW w:w="850" w:type="dxa"/>
            <w:tcBorders>
              <w:left w:val="single" w:sz="4" w:space="0" w:color="auto"/>
            </w:tcBorders>
          </w:tcPr>
          <w:p w14:paraId="0939B704"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9" w:type="dxa"/>
          </w:tcPr>
          <w:p w14:paraId="062ED844"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r>
      <w:tr w:rsidR="00FE10EE" w:rsidRPr="000C642C" w14:paraId="72DE9BC2" w14:textId="77777777" w:rsidTr="00E95EB7">
        <w:trPr>
          <w:trHeight w:hRule="exact" w:val="340"/>
        </w:trPr>
        <w:tc>
          <w:tcPr>
            <w:tcW w:w="1324" w:type="dxa"/>
            <w:tcBorders>
              <w:bottom w:val="single" w:sz="4" w:space="0" w:color="auto"/>
              <w:right w:val="single" w:sz="4" w:space="0" w:color="auto"/>
            </w:tcBorders>
          </w:tcPr>
          <w:p w14:paraId="72B268E7"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23F</w:t>
            </w:r>
          </w:p>
        </w:tc>
        <w:tc>
          <w:tcPr>
            <w:tcW w:w="798" w:type="dxa"/>
            <w:tcBorders>
              <w:left w:val="single" w:sz="4" w:space="0" w:color="auto"/>
              <w:bottom w:val="single" w:sz="4" w:space="0" w:color="auto"/>
            </w:tcBorders>
          </w:tcPr>
          <w:p w14:paraId="416F5F74"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4 </w:t>
            </w:r>
          </w:p>
        </w:tc>
        <w:tc>
          <w:tcPr>
            <w:tcW w:w="850" w:type="dxa"/>
            <w:tcBorders>
              <w:bottom w:val="single" w:sz="4" w:space="0" w:color="auto"/>
              <w:right w:val="single" w:sz="4" w:space="0" w:color="auto"/>
            </w:tcBorders>
          </w:tcPr>
          <w:p w14:paraId="68ADB097"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(4.4)</w:t>
            </w:r>
          </w:p>
        </w:tc>
        <w:tc>
          <w:tcPr>
            <w:tcW w:w="838" w:type="dxa"/>
            <w:tcBorders>
              <w:left w:val="single" w:sz="4" w:space="0" w:color="auto"/>
              <w:bottom w:val="single" w:sz="4" w:space="0" w:color="auto"/>
            </w:tcBorders>
          </w:tcPr>
          <w:p w14:paraId="6A5C8DAF"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2 </w:t>
            </w:r>
          </w:p>
        </w:tc>
        <w:tc>
          <w:tcPr>
            <w:tcW w:w="721" w:type="dxa"/>
            <w:tcBorders>
              <w:bottom w:val="single" w:sz="4" w:space="0" w:color="auto"/>
              <w:right w:val="single" w:sz="4" w:space="0" w:color="auto"/>
            </w:tcBorders>
          </w:tcPr>
          <w:p w14:paraId="7BB463F0"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(3.0)</w:t>
            </w:r>
          </w:p>
        </w:tc>
        <w:tc>
          <w:tcPr>
            <w:tcW w:w="853" w:type="dxa"/>
            <w:tcBorders>
              <w:left w:val="single" w:sz="4" w:space="0" w:color="auto"/>
              <w:bottom w:val="single" w:sz="4" w:space="0" w:color="auto"/>
            </w:tcBorders>
          </w:tcPr>
          <w:p w14:paraId="526AE792"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2 </w:t>
            </w:r>
          </w:p>
        </w:tc>
        <w:tc>
          <w:tcPr>
            <w:tcW w:w="707" w:type="dxa"/>
            <w:tcBorders>
              <w:bottom w:val="single" w:sz="4" w:space="0" w:color="auto"/>
              <w:right w:val="single" w:sz="4" w:space="0" w:color="auto"/>
            </w:tcBorders>
          </w:tcPr>
          <w:p w14:paraId="6A42AFC4"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(12.5)</w:t>
            </w:r>
          </w:p>
        </w:tc>
        <w:tc>
          <w:tcPr>
            <w:tcW w:w="850" w:type="dxa"/>
            <w:tcBorders>
              <w:left w:val="single" w:sz="4" w:space="0" w:color="auto"/>
              <w:bottom w:val="single" w:sz="4" w:space="0" w:color="auto"/>
            </w:tcBorders>
          </w:tcPr>
          <w:p w14:paraId="1B5DE957"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9" w:type="dxa"/>
            <w:tcBorders>
              <w:bottom w:val="single" w:sz="4" w:space="0" w:color="auto"/>
            </w:tcBorders>
          </w:tcPr>
          <w:p w14:paraId="7CCD8119"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(0</w:t>
            </w:r>
            <w:r>
              <w:rPr>
                <w:rFonts w:asciiTheme="majorBidi" w:hAnsiTheme="majorBidi" w:cstheme="majorBidi"/>
                <w:i/>
                <w:iCs/>
                <w:sz w:val="20"/>
                <w:szCs w:val="20"/>
              </w:rPr>
              <w:t>.0</w:t>
            </w:r>
            <w:r w:rsidRPr="00D7374F">
              <w:rPr>
                <w:rFonts w:asciiTheme="majorBidi" w:hAnsiTheme="majorBidi" w:cstheme="majorBidi"/>
                <w:i/>
                <w:iCs/>
                <w:sz w:val="20"/>
                <w:szCs w:val="20"/>
              </w:rPr>
              <w:t>)</w:t>
            </w:r>
          </w:p>
        </w:tc>
      </w:tr>
      <w:tr w:rsidR="00FE10EE" w:rsidRPr="000C642C" w14:paraId="4BE476CF" w14:textId="77777777" w:rsidTr="00E95EB7">
        <w:trPr>
          <w:trHeight w:hRule="exact" w:val="340"/>
        </w:trPr>
        <w:tc>
          <w:tcPr>
            <w:tcW w:w="1324" w:type="dxa"/>
            <w:tcBorders>
              <w:top w:val="single" w:sz="4" w:space="0" w:color="auto"/>
              <w:right w:val="single" w:sz="4" w:space="0" w:color="auto"/>
            </w:tcBorders>
          </w:tcPr>
          <w:p w14:paraId="610A4F18"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VT Total</w:t>
            </w:r>
          </w:p>
        </w:tc>
        <w:tc>
          <w:tcPr>
            <w:tcW w:w="798" w:type="dxa"/>
            <w:tcBorders>
              <w:top w:val="single" w:sz="4" w:space="0" w:color="auto"/>
              <w:left w:val="single" w:sz="4" w:space="0" w:color="auto"/>
            </w:tcBorders>
          </w:tcPr>
          <w:p w14:paraId="63894207"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61 </w:t>
            </w:r>
          </w:p>
        </w:tc>
        <w:tc>
          <w:tcPr>
            <w:tcW w:w="850" w:type="dxa"/>
            <w:tcBorders>
              <w:top w:val="single" w:sz="4" w:space="0" w:color="auto"/>
              <w:right w:val="single" w:sz="4" w:space="0" w:color="auto"/>
            </w:tcBorders>
          </w:tcPr>
          <w:p w14:paraId="23B6FF7B"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(67.8)</w:t>
            </w:r>
          </w:p>
        </w:tc>
        <w:tc>
          <w:tcPr>
            <w:tcW w:w="838" w:type="dxa"/>
            <w:tcBorders>
              <w:top w:val="single" w:sz="4" w:space="0" w:color="auto"/>
              <w:left w:val="single" w:sz="4" w:space="0" w:color="auto"/>
            </w:tcBorders>
          </w:tcPr>
          <w:p w14:paraId="3E73CB9B"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48 </w:t>
            </w:r>
          </w:p>
        </w:tc>
        <w:tc>
          <w:tcPr>
            <w:tcW w:w="721" w:type="dxa"/>
            <w:tcBorders>
              <w:top w:val="single" w:sz="4" w:space="0" w:color="auto"/>
              <w:right w:val="single" w:sz="4" w:space="0" w:color="auto"/>
            </w:tcBorders>
          </w:tcPr>
          <w:p w14:paraId="7B56BC71"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(71.6)</w:t>
            </w:r>
          </w:p>
        </w:tc>
        <w:tc>
          <w:tcPr>
            <w:tcW w:w="853" w:type="dxa"/>
            <w:tcBorders>
              <w:top w:val="single" w:sz="4" w:space="0" w:color="auto"/>
              <w:left w:val="single" w:sz="4" w:space="0" w:color="auto"/>
            </w:tcBorders>
          </w:tcPr>
          <w:p w14:paraId="498831A9"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9</w:t>
            </w:r>
          </w:p>
        </w:tc>
        <w:tc>
          <w:tcPr>
            <w:tcW w:w="707" w:type="dxa"/>
            <w:tcBorders>
              <w:top w:val="single" w:sz="4" w:space="0" w:color="auto"/>
              <w:right w:val="single" w:sz="4" w:space="0" w:color="auto"/>
            </w:tcBorders>
          </w:tcPr>
          <w:p w14:paraId="08E60EEB"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(56.2)</w:t>
            </w:r>
          </w:p>
        </w:tc>
        <w:tc>
          <w:tcPr>
            <w:tcW w:w="850" w:type="dxa"/>
            <w:tcBorders>
              <w:top w:val="single" w:sz="4" w:space="0" w:color="auto"/>
              <w:left w:val="single" w:sz="4" w:space="0" w:color="auto"/>
            </w:tcBorders>
          </w:tcPr>
          <w:p w14:paraId="7CD6FDC5"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4</w:t>
            </w:r>
          </w:p>
        </w:tc>
        <w:tc>
          <w:tcPr>
            <w:tcW w:w="709" w:type="dxa"/>
            <w:tcBorders>
              <w:top w:val="single" w:sz="4" w:space="0" w:color="auto"/>
            </w:tcBorders>
          </w:tcPr>
          <w:p w14:paraId="5ED27BCE"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(57.1)</w:t>
            </w:r>
          </w:p>
        </w:tc>
      </w:tr>
      <w:tr w:rsidR="00FE10EE" w:rsidRPr="000C642C" w14:paraId="3E155227" w14:textId="77777777" w:rsidTr="00E95EB7">
        <w:trPr>
          <w:trHeight w:hRule="exact" w:val="340"/>
        </w:trPr>
        <w:tc>
          <w:tcPr>
            <w:tcW w:w="1324" w:type="dxa"/>
            <w:tcBorders>
              <w:right w:val="single" w:sz="4" w:space="0" w:color="auto"/>
            </w:tcBorders>
          </w:tcPr>
          <w:p w14:paraId="16AECF66"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NVT Total</w:t>
            </w:r>
          </w:p>
        </w:tc>
        <w:tc>
          <w:tcPr>
            <w:tcW w:w="798" w:type="dxa"/>
            <w:tcBorders>
              <w:left w:val="single" w:sz="4" w:space="0" w:color="auto"/>
            </w:tcBorders>
          </w:tcPr>
          <w:p w14:paraId="4B573A9F"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29 </w:t>
            </w:r>
          </w:p>
        </w:tc>
        <w:tc>
          <w:tcPr>
            <w:tcW w:w="850" w:type="dxa"/>
            <w:tcBorders>
              <w:right w:val="single" w:sz="4" w:space="0" w:color="auto"/>
            </w:tcBorders>
          </w:tcPr>
          <w:p w14:paraId="6C70B2EF"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(32.2)</w:t>
            </w:r>
          </w:p>
        </w:tc>
        <w:tc>
          <w:tcPr>
            <w:tcW w:w="838" w:type="dxa"/>
            <w:tcBorders>
              <w:left w:val="single" w:sz="4" w:space="0" w:color="auto"/>
            </w:tcBorders>
          </w:tcPr>
          <w:p w14:paraId="3A8D7E79"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19</w:t>
            </w:r>
          </w:p>
        </w:tc>
        <w:tc>
          <w:tcPr>
            <w:tcW w:w="721" w:type="dxa"/>
            <w:tcBorders>
              <w:right w:val="single" w:sz="4" w:space="0" w:color="auto"/>
            </w:tcBorders>
          </w:tcPr>
          <w:p w14:paraId="6139C757"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(28.4)</w:t>
            </w:r>
          </w:p>
        </w:tc>
        <w:tc>
          <w:tcPr>
            <w:tcW w:w="853" w:type="dxa"/>
            <w:tcBorders>
              <w:left w:val="single" w:sz="4" w:space="0" w:color="auto"/>
            </w:tcBorders>
          </w:tcPr>
          <w:p w14:paraId="00A13737"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7 </w:t>
            </w:r>
          </w:p>
        </w:tc>
        <w:tc>
          <w:tcPr>
            <w:tcW w:w="707" w:type="dxa"/>
            <w:tcBorders>
              <w:right w:val="single" w:sz="4" w:space="0" w:color="auto"/>
            </w:tcBorders>
          </w:tcPr>
          <w:p w14:paraId="43CFEDF4"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(43.8)</w:t>
            </w:r>
          </w:p>
        </w:tc>
        <w:tc>
          <w:tcPr>
            <w:tcW w:w="850" w:type="dxa"/>
            <w:tcBorders>
              <w:left w:val="single" w:sz="4" w:space="0" w:color="auto"/>
            </w:tcBorders>
          </w:tcPr>
          <w:p w14:paraId="1AE89398"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3</w:t>
            </w:r>
          </w:p>
        </w:tc>
        <w:tc>
          <w:tcPr>
            <w:tcW w:w="709" w:type="dxa"/>
          </w:tcPr>
          <w:p w14:paraId="6772E703" w14:textId="77777777" w:rsidR="00FE10EE" w:rsidRPr="00D7374F" w:rsidRDefault="00FE10EE" w:rsidP="00E95EB7">
            <w:pPr>
              <w:spacing w:line="480" w:lineRule="auto"/>
              <w:jc w:val="center"/>
              <w:rPr>
                <w:rFonts w:asciiTheme="majorBidi" w:hAnsiTheme="majorBidi" w:cstheme="majorBidi"/>
                <w:i/>
                <w:iCs/>
                <w:sz w:val="20"/>
                <w:szCs w:val="20"/>
              </w:rPr>
            </w:pPr>
            <w:r w:rsidRPr="00D7374F">
              <w:rPr>
                <w:rFonts w:asciiTheme="majorBidi" w:hAnsiTheme="majorBidi" w:cstheme="majorBidi"/>
                <w:i/>
                <w:iCs/>
                <w:sz w:val="20"/>
                <w:szCs w:val="20"/>
              </w:rPr>
              <w:t>(42.9)</w:t>
            </w:r>
          </w:p>
        </w:tc>
      </w:tr>
      <w:tr w:rsidR="00FE10EE" w:rsidRPr="000C642C" w14:paraId="437EA989" w14:textId="77777777" w:rsidTr="00E95EB7">
        <w:trPr>
          <w:trHeight w:hRule="exact" w:val="340"/>
        </w:trPr>
        <w:tc>
          <w:tcPr>
            <w:tcW w:w="1324" w:type="dxa"/>
            <w:tcBorders>
              <w:bottom w:val="single" w:sz="4" w:space="0" w:color="auto"/>
              <w:right w:val="single" w:sz="4" w:space="0" w:color="auto"/>
            </w:tcBorders>
          </w:tcPr>
          <w:p w14:paraId="52FD89DE"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Unrecovered</w:t>
            </w:r>
          </w:p>
        </w:tc>
        <w:tc>
          <w:tcPr>
            <w:tcW w:w="798" w:type="dxa"/>
            <w:tcBorders>
              <w:left w:val="single" w:sz="4" w:space="0" w:color="auto"/>
              <w:bottom w:val="single" w:sz="4" w:space="0" w:color="auto"/>
            </w:tcBorders>
          </w:tcPr>
          <w:p w14:paraId="639EF279"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40 </w:t>
            </w:r>
          </w:p>
        </w:tc>
        <w:tc>
          <w:tcPr>
            <w:tcW w:w="850" w:type="dxa"/>
            <w:tcBorders>
              <w:bottom w:val="single" w:sz="4" w:space="0" w:color="auto"/>
              <w:right w:val="single" w:sz="4" w:space="0" w:color="auto"/>
            </w:tcBorders>
          </w:tcPr>
          <w:p w14:paraId="63C8EA37"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w:t>
            </w:r>
          </w:p>
        </w:tc>
        <w:tc>
          <w:tcPr>
            <w:tcW w:w="838" w:type="dxa"/>
            <w:tcBorders>
              <w:left w:val="single" w:sz="4" w:space="0" w:color="auto"/>
              <w:bottom w:val="single" w:sz="4" w:space="0" w:color="auto"/>
            </w:tcBorders>
          </w:tcPr>
          <w:p w14:paraId="2DCE2D27"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37 </w:t>
            </w:r>
          </w:p>
        </w:tc>
        <w:tc>
          <w:tcPr>
            <w:tcW w:w="721" w:type="dxa"/>
            <w:tcBorders>
              <w:bottom w:val="single" w:sz="4" w:space="0" w:color="auto"/>
              <w:right w:val="single" w:sz="4" w:space="0" w:color="auto"/>
            </w:tcBorders>
          </w:tcPr>
          <w:p w14:paraId="59A6FD98"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w:t>
            </w:r>
          </w:p>
        </w:tc>
        <w:tc>
          <w:tcPr>
            <w:tcW w:w="853" w:type="dxa"/>
            <w:tcBorders>
              <w:left w:val="single" w:sz="4" w:space="0" w:color="auto"/>
              <w:bottom w:val="single" w:sz="4" w:space="0" w:color="auto"/>
            </w:tcBorders>
          </w:tcPr>
          <w:p w14:paraId="765B948B"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 xml:space="preserve">3 </w:t>
            </w:r>
          </w:p>
        </w:tc>
        <w:tc>
          <w:tcPr>
            <w:tcW w:w="707" w:type="dxa"/>
            <w:tcBorders>
              <w:bottom w:val="single" w:sz="4" w:space="0" w:color="auto"/>
              <w:right w:val="single" w:sz="4" w:space="0" w:color="auto"/>
            </w:tcBorders>
          </w:tcPr>
          <w:p w14:paraId="325EA104"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w:t>
            </w:r>
          </w:p>
        </w:tc>
        <w:tc>
          <w:tcPr>
            <w:tcW w:w="850" w:type="dxa"/>
            <w:tcBorders>
              <w:left w:val="single" w:sz="4" w:space="0" w:color="auto"/>
              <w:bottom w:val="single" w:sz="4" w:space="0" w:color="auto"/>
            </w:tcBorders>
          </w:tcPr>
          <w:p w14:paraId="7353EE7E"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0</w:t>
            </w:r>
          </w:p>
        </w:tc>
        <w:tc>
          <w:tcPr>
            <w:tcW w:w="709" w:type="dxa"/>
            <w:tcBorders>
              <w:bottom w:val="single" w:sz="4" w:space="0" w:color="auto"/>
            </w:tcBorders>
          </w:tcPr>
          <w:p w14:paraId="75F14205"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w:t>
            </w:r>
          </w:p>
        </w:tc>
      </w:tr>
      <w:tr w:rsidR="00FE10EE" w:rsidRPr="000C642C" w14:paraId="38A53B23" w14:textId="77777777" w:rsidTr="00E95EB7">
        <w:trPr>
          <w:trHeight w:hRule="exact" w:val="340"/>
        </w:trPr>
        <w:tc>
          <w:tcPr>
            <w:tcW w:w="1324" w:type="dxa"/>
            <w:tcBorders>
              <w:top w:val="single" w:sz="4" w:space="0" w:color="auto"/>
              <w:right w:val="single" w:sz="4" w:space="0" w:color="auto"/>
            </w:tcBorders>
          </w:tcPr>
          <w:p w14:paraId="6D3AC003" w14:textId="77777777" w:rsidR="00FE10EE" w:rsidRPr="00D7374F" w:rsidRDefault="00FE10EE" w:rsidP="00E95EB7">
            <w:pPr>
              <w:spacing w:line="480" w:lineRule="auto"/>
              <w:rPr>
                <w:rFonts w:asciiTheme="majorBidi" w:hAnsiTheme="majorBidi" w:cstheme="majorBidi"/>
                <w:b/>
                <w:bCs/>
                <w:sz w:val="20"/>
                <w:szCs w:val="20"/>
              </w:rPr>
            </w:pPr>
            <w:r w:rsidRPr="00D7374F">
              <w:rPr>
                <w:rFonts w:asciiTheme="majorBidi" w:hAnsiTheme="majorBidi" w:cstheme="majorBidi"/>
                <w:sz w:val="20"/>
                <w:szCs w:val="20"/>
              </w:rPr>
              <w:t>Total</w:t>
            </w:r>
          </w:p>
        </w:tc>
        <w:tc>
          <w:tcPr>
            <w:tcW w:w="798" w:type="dxa"/>
            <w:tcBorders>
              <w:top w:val="single" w:sz="4" w:space="0" w:color="auto"/>
              <w:left w:val="single" w:sz="4" w:space="0" w:color="auto"/>
            </w:tcBorders>
          </w:tcPr>
          <w:p w14:paraId="01E52BBB"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130</w:t>
            </w:r>
          </w:p>
        </w:tc>
        <w:tc>
          <w:tcPr>
            <w:tcW w:w="850" w:type="dxa"/>
            <w:tcBorders>
              <w:top w:val="single" w:sz="4" w:space="0" w:color="auto"/>
              <w:right w:val="single" w:sz="4" w:space="0" w:color="auto"/>
            </w:tcBorders>
          </w:tcPr>
          <w:p w14:paraId="4FCB4321"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w:t>
            </w:r>
          </w:p>
        </w:tc>
        <w:tc>
          <w:tcPr>
            <w:tcW w:w="838" w:type="dxa"/>
            <w:tcBorders>
              <w:top w:val="single" w:sz="4" w:space="0" w:color="auto"/>
              <w:left w:val="single" w:sz="4" w:space="0" w:color="auto"/>
            </w:tcBorders>
          </w:tcPr>
          <w:p w14:paraId="43DB2A8C" w14:textId="77777777" w:rsidR="00FE10EE" w:rsidRPr="00D7374F" w:rsidRDefault="00FE10EE" w:rsidP="00E95EB7">
            <w:pPr>
              <w:spacing w:line="480" w:lineRule="auto"/>
              <w:jc w:val="center"/>
              <w:rPr>
                <w:rFonts w:asciiTheme="majorBidi" w:hAnsiTheme="majorBidi" w:cstheme="majorBidi"/>
                <w:sz w:val="20"/>
                <w:szCs w:val="20"/>
              </w:rPr>
            </w:pPr>
            <w:r w:rsidRPr="00D7374F">
              <w:rPr>
                <w:rFonts w:asciiTheme="majorBidi" w:hAnsiTheme="majorBidi" w:cstheme="majorBidi"/>
                <w:sz w:val="20"/>
                <w:szCs w:val="20"/>
              </w:rPr>
              <w:t>104</w:t>
            </w:r>
          </w:p>
        </w:tc>
        <w:tc>
          <w:tcPr>
            <w:tcW w:w="721" w:type="dxa"/>
            <w:tcBorders>
              <w:top w:val="single" w:sz="4" w:space="0" w:color="auto"/>
              <w:right w:val="single" w:sz="4" w:space="0" w:color="auto"/>
            </w:tcBorders>
          </w:tcPr>
          <w:p w14:paraId="49FC1A5F" w14:textId="77777777" w:rsidR="00FE10EE" w:rsidRPr="00D7374F" w:rsidRDefault="00FE10EE" w:rsidP="00E95EB7">
            <w:pPr>
              <w:keepNext/>
              <w:spacing w:line="480" w:lineRule="auto"/>
              <w:jc w:val="center"/>
              <w:rPr>
                <w:rFonts w:asciiTheme="majorBidi" w:hAnsiTheme="majorBidi" w:cstheme="majorBidi"/>
                <w:sz w:val="20"/>
                <w:szCs w:val="20"/>
              </w:rPr>
            </w:pPr>
            <w:r w:rsidRPr="00D7374F">
              <w:rPr>
                <w:rFonts w:asciiTheme="majorBidi" w:hAnsiTheme="majorBidi" w:cstheme="majorBidi"/>
                <w:sz w:val="20"/>
                <w:szCs w:val="20"/>
              </w:rPr>
              <w:t>--</w:t>
            </w:r>
          </w:p>
        </w:tc>
        <w:tc>
          <w:tcPr>
            <w:tcW w:w="853" w:type="dxa"/>
            <w:tcBorders>
              <w:top w:val="single" w:sz="4" w:space="0" w:color="auto"/>
              <w:left w:val="single" w:sz="4" w:space="0" w:color="auto"/>
            </w:tcBorders>
          </w:tcPr>
          <w:p w14:paraId="678C7C5C" w14:textId="77777777" w:rsidR="00FE10EE" w:rsidRPr="00D7374F" w:rsidRDefault="00FE10EE" w:rsidP="00E95EB7">
            <w:pPr>
              <w:keepNext/>
              <w:spacing w:line="480" w:lineRule="auto"/>
              <w:jc w:val="center"/>
              <w:rPr>
                <w:rFonts w:asciiTheme="majorBidi" w:hAnsiTheme="majorBidi" w:cstheme="majorBidi"/>
                <w:sz w:val="20"/>
                <w:szCs w:val="20"/>
              </w:rPr>
            </w:pPr>
            <w:r w:rsidRPr="00D7374F">
              <w:rPr>
                <w:rFonts w:asciiTheme="majorBidi" w:hAnsiTheme="majorBidi" w:cstheme="majorBidi"/>
                <w:sz w:val="20"/>
                <w:szCs w:val="20"/>
              </w:rPr>
              <w:t>19</w:t>
            </w:r>
          </w:p>
        </w:tc>
        <w:tc>
          <w:tcPr>
            <w:tcW w:w="707" w:type="dxa"/>
            <w:tcBorders>
              <w:top w:val="single" w:sz="4" w:space="0" w:color="auto"/>
              <w:right w:val="single" w:sz="4" w:space="0" w:color="auto"/>
            </w:tcBorders>
          </w:tcPr>
          <w:p w14:paraId="138BCB10" w14:textId="77777777" w:rsidR="00FE10EE" w:rsidRPr="00D7374F" w:rsidRDefault="00FE10EE" w:rsidP="00E95EB7">
            <w:pPr>
              <w:keepNext/>
              <w:spacing w:line="480" w:lineRule="auto"/>
              <w:jc w:val="center"/>
              <w:rPr>
                <w:rFonts w:asciiTheme="majorBidi" w:hAnsiTheme="majorBidi" w:cstheme="majorBidi"/>
                <w:sz w:val="20"/>
                <w:szCs w:val="20"/>
              </w:rPr>
            </w:pPr>
            <w:r w:rsidRPr="00D7374F">
              <w:rPr>
                <w:rFonts w:asciiTheme="majorBidi" w:hAnsiTheme="majorBidi" w:cstheme="majorBidi"/>
                <w:sz w:val="20"/>
                <w:szCs w:val="20"/>
              </w:rPr>
              <w:t>--</w:t>
            </w:r>
          </w:p>
        </w:tc>
        <w:tc>
          <w:tcPr>
            <w:tcW w:w="850" w:type="dxa"/>
            <w:tcBorders>
              <w:top w:val="single" w:sz="4" w:space="0" w:color="auto"/>
              <w:left w:val="single" w:sz="4" w:space="0" w:color="auto"/>
            </w:tcBorders>
          </w:tcPr>
          <w:p w14:paraId="74F9DF07" w14:textId="77777777" w:rsidR="00FE10EE" w:rsidRPr="00D7374F" w:rsidRDefault="00FE10EE" w:rsidP="00E95EB7">
            <w:pPr>
              <w:keepNext/>
              <w:spacing w:line="480" w:lineRule="auto"/>
              <w:jc w:val="center"/>
              <w:rPr>
                <w:rFonts w:asciiTheme="majorBidi" w:hAnsiTheme="majorBidi" w:cstheme="majorBidi"/>
                <w:sz w:val="20"/>
                <w:szCs w:val="20"/>
              </w:rPr>
            </w:pPr>
            <w:r w:rsidRPr="00D7374F">
              <w:rPr>
                <w:rFonts w:asciiTheme="majorBidi" w:hAnsiTheme="majorBidi" w:cstheme="majorBidi"/>
                <w:sz w:val="20"/>
                <w:szCs w:val="20"/>
              </w:rPr>
              <w:t>7</w:t>
            </w:r>
          </w:p>
        </w:tc>
        <w:tc>
          <w:tcPr>
            <w:tcW w:w="709" w:type="dxa"/>
            <w:tcBorders>
              <w:top w:val="single" w:sz="4" w:space="0" w:color="auto"/>
            </w:tcBorders>
          </w:tcPr>
          <w:p w14:paraId="30EE14EB" w14:textId="77777777" w:rsidR="00FE10EE" w:rsidRPr="00D7374F" w:rsidRDefault="00FE10EE" w:rsidP="00E95EB7">
            <w:pPr>
              <w:keepNext/>
              <w:spacing w:line="480" w:lineRule="auto"/>
              <w:jc w:val="center"/>
              <w:rPr>
                <w:rFonts w:asciiTheme="majorBidi" w:hAnsiTheme="majorBidi" w:cstheme="majorBidi"/>
                <w:sz w:val="20"/>
                <w:szCs w:val="20"/>
              </w:rPr>
            </w:pPr>
            <w:r w:rsidRPr="00D7374F">
              <w:rPr>
                <w:rFonts w:asciiTheme="majorBidi" w:hAnsiTheme="majorBidi" w:cstheme="majorBidi"/>
                <w:sz w:val="20"/>
                <w:szCs w:val="20"/>
              </w:rPr>
              <w:t>--</w:t>
            </w:r>
          </w:p>
        </w:tc>
      </w:tr>
    </w:tbl>
    <w:p w14:paraId="35DA774C" w14:textId="77777777" w:rsidR="00FE10EE" w:rsidRDefault="00FE10EE" w:rsidP="00FE10EE">
      <w:pPr>
        <w:pStyle w:val="Caption"/>
        <w:spacing w:line="480" w:lineRule="auto"/>
        <w:rPr>
          <w:rFonts w:asciiTheme="majorBidi" w:hAnsiTheme="majorBidi" w:cstheme="majorBidi"/>
          <w:i w:val="0"/>
          <w:iCs w:val="0"/>
          <w:color w:val="auto"/>
          <w:sz w:val="20"/>
          <w:szCs w:val="20"/>
        </w:rPr>
      </w:pPr>
    </w:p>
    <w:p w14:paraId="191F6053" w14:textId="77777777" w:rsidR="00FE10EE" w:rsidRDefault="00FE10EE" w:rsidP="00FE10EE">
      <w:pPr>
        <w:pStyle w:val="Caption"/>
        <w:spacing w:line="480" w:lineRule="auto"/>
        <w:rPr>
          <w:rFonts w:asciiTheme="majorBidi" w:hAnsiTheme="majorBidi" w:cstheme="majorBidi"/>
          <w:i w:val="0"/>
          <w:iCs w:val="0"/>
          <w:color w:val="auto"/>
          <w:sz w:val="20"/>
          <w:szCs w:val="20"/>
        </w:rPr>
      </w:pPr>
      <w:r w:rsidRPr="00A06E39">
        <w:rPr>
          <w:rFonts w:asciiTheme="majorBidi" w:hAnsiTheme="majorBidi" w:cstheme="majorBidi"/>
          <w:i w:val="0"/>
          <w:iCs w:val="0"/>
          <w:color w:val="auto"/>
          <w:sz w:val="20"/>
          <w:szCs w:val="20"/>
        </w:rPr>
        <w:t>Abbreviations: PCV, pneumococcal conjugate vaccine; VT, vaccine serotype; NVT, non-vaccine serotype.</w:t>
      </w:r>
    </w:p>
    <w:p w14:paraId="63BF0F17" w14:textId="77777777" w:rsidR="00FE10EE" w:rsidRDefault="00FE10EE" w:rsidP="00FE10EE"/>
    <w:p w14:paraId="33B2D560" w14:textId="77777777" w:rsidR="00FE10EE" w:rsidRDefault="00FE10EE" w:rsidP="00FE10EE"/>
    <w:p w14:paraId="6EB08C8E" w14:textId="73E4D20C" w:rsidR="00FE10EE" w:rsidRDefault="00FE10EE" w:rsidP="00FE10EE"/>
    <w:p w14:paraId="2DC03DF2" w14:textId="77777777" w:rsidR="00FE10EE" w:rsidRDefault="00FE10EE"/>
    <w:sectPr w:rsidR="00FE1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LancetPro">
    <w:altName w:val="ScalaLancetPro"/>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EE"/>
    <w:rsid w:val="00FE10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C663"/>
  <w15:chartTrackingRefBased/>
  <w15:docId w15:val="{8C23715A-4270-400B-84D5-E652B2E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EE"/>
    <w:pPr>
      <w:spacing w:after="200" w:line="276" w:lineRule="auto"/>
    </w:pPr>
  </w:style>
  <w:style w:type="paragraph" w:styleId="Heading1">
    <w:name w:val="heading 1"/>
    <w:basedOn w:val="Normal"/>
    <w:next w:val="Normal"/>
    <w:link w:val="Heading1Char"/>
    <w:uiPriority w:val="9"/>
    <w:qFormat/>
    <w:rsid w:val="00FE10E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E10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E10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0E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E10EE"/>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FE10EE"/>
    <w:pPr>
      <w:spacing w:after="0" w:line="240" w:lineRule="auto"/>
    </w:pPr>
  </w:style>
  <w:style w:type="character" w:styleId="Hyperlink">
    <w:name w:val="Hyperlink"/>
    <w:basedOn w:val="DefaultParagraphFont"/>
    <w:uiPriority w:val="99"/>
    <w:unhideWhenUsed/>
    <w:rsid w:val="00FE10EE"/>
    <w:rPr>
      <w:color w:val="0563C1" w:themeColor="hyperlink"/>
      <w:u w:val="single"/>
    </w:rPr>
  </w:style>
  <w:style w:type="character" w:customStyle="1" w:styleId="label">
    <w:name w:val="label"/>
    <w:basedOn w:val="DefaultParagraphFont"/>
    <w:rsid w:val="00FE10EE"/>
  </w:style>
  <w:style w:type="character" w:customStyle="1" w:styleId="Heading3Char">
    <w:name w:val="Heading 3 Char"/>
    <w:basedOn w:val="DefaultParagraphFont"/>
    <w:link w:val="Heading3"/>
    <w:uiPriority w:val="9"/>
    <w:semiHidden/>
    <w:rsid w:val="00FE10E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E10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FE10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E10EE"/>
    <w:rPr>
      <w:rFonts w:ascii="Calibri" w:hAnsi="Calibri" w:cs="Calibri"/>
      <w:noProof/>
      <w:lang w:val="en-US"/>
    </w:rPr>
  </w:style>
  <w:style w:type="paragraph" w:styleId="Caption">
    <w:name w:val="caption"/>
    <w:basedOn w:val="Normal"/>
    <w:next w:val="Normal"/>
    <w:uiPriority w:val="35"/>
    <w:unhideWhenUsed/>
    <w:qFormat/>
    <w:rsid w:val="00FE10EE"/>
    <w:pPr>
      <w:spacing w:line="240" w:lineRule="auto"/>
    </w:pPr>
    <w:rPr>
      <w:i/>
      <w:iCs/>
      <w:color w:val="44546A" w:themeColor="text2"/>
      <w:sz w:val="18"/>
      <w:szCs w:val="18"/>
    </w:rPr>
  </w:style>
  <w:style w:type="table" w:styleId="PlainTable4">
    <w:name w:val="Plain Table 4"/>
    <w:basedOn w:val="TableNormal"/>
    <w:uiPriority w:val="44"/>
    <w:rsid w:val="00FE10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worldbank.org/en/country/malawi/overview" TargetMode="External"/><Relationship Id="rId4" Type="http://schemas.openxmlformats.org/officeDocument/2006/relationships/hyperlink" Target="mailto:Koenraads.m@gmail.com"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oenr\Documents\Academic\Malawi\IPD\Publication\Final%20Data\Final%20IPD%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81917338153744"/>
          <c:y val="5.3921568627450983E-2"/>
          <c:w val="0.7954993369019534"/>
          <c:h val="0.72022850084915857"/>
        </c:manualLayout>
      </c:layout>
      <c:lineChart>
        <c:grouping val="standard"/>
        <c:varyColors val="0"/>
        <c:ser>
          <c:idx val="0"/>
          <c:order val="0"/>
          <c:tx>
            <c:strRef>
              <c:f>Sheet2!$B$1</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Sheet2!$B$2:$B$15</c:f>
              <c:numCache>
                <c:formatCode>0.0</c:formatCode>
                <c:ptCount val="14"/>
                <c:pt idx="0">
                  <c:v>469.42715915536627</c:v>
                </c:pt>
                <c:pt idx="1">
                  <c:v>307.80054524668003</c:v>
                </c:pt>
                <c:pt idx="2">
                  <c:v>540.74368478969109</c:v>
                </c:pt>
                <c:pt idx="3">
                  <c:v>191.56578422242907</c:v>
                </c:pt>
                <c:pt idx="4">
                  <c:v>188.56114749933866</c:v>
                </c:pt>
                <c:pt idx="5">
                  <c:v>288.78781315428478</c:v>
                </c:pt>
                <c:pt idx="6">
                  <c:v>243.76804454860999</c:v>
                </c:pt>
                <c:pt idx="7">
                  <c:v>140.06793294747945</c:v>
                </c:pt>
                <c:pt idx="8">
                  <c:v>39.428775613302264</c:v>
                </c:pt>
                <c:pt idx="9">
                  <c:v>58.282983311639072</c:v>
                </c:pt>
                <c:pt idx="10">
                  <c:v>134.04408614247444</c:v>
                </c:pt>
                <c:pt idx="11">
                  <c:v>56.635564302603782</c:v>
                </c:pt>
                <c:pt idx="12">
                  <c:v>18.615430795972539</c:v>
                </c:pt>
                <c:pt idx="13">
                  <c:v>55.078716665901652</c:v>
                </c:pt>
              </c:numCache>
            </c:numRef>
          </c:val>
          <c:smooth val="0"/>
          <c:extLst>
            <c:ext xmlns:c16="http://schemas.microsoft.com/office/drawing/2014/chart" uri="{C3380CC4-5D6E-409C-BE32-E72D297353CC}">
              <c16:uniqueId val="{00000000-64B6-4D70-BCB3-EF9A50B2B7F2}"/>
            </c:ext>
          </c:extLst>
        </c:ser>
        <c:ser>
          <c:idx val="1"/>
          <c:order val="1"/>
          <c:tx>
            <c:strRef>
              <c:f>Sheet2!$C$1</c:f>
              <c:strCache>
                <c:ptCount val="1"/>
                <c:pt idx="0">
                  <c:v>VT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Sheet2!$C$2:$C$15</c:f>
              <c:numCache>
                <c:formatCode>0.0</c:formatCode>
                <c:ptCount val="14"/>
                <c:pt idx="0">
                  <c:v>268.24409094592363</c:v>
                </c:pt>
                <c:pt idx="1">
                  <c:v>131.91451939143431</c:v>
                </c:pt>
                <c:pt idx="2">
                  <c:v>367.70570565698995</c:v>
                </c:pt>
                <c:pt idx="3">
                  <c:v>21.285087135825453</c:v>
                </c:pt>
                <c:pt idx="4">
                  <c:v>20.951238611037628</c:v>
                </c:pt>
                <c:pt idx="5">
                  <c:v>103.13850469795885</c:v>
                </c:pt>
                <c:pt idx="6">
                  <c:v>121.884022274305</c:v>
                </c:pt>
                <c:pt idx="7">
                  <c:v>40.019409413565555</c:v>
                </c:pt>
                <c:pt idx="8">
                  <c:v>19.714387806651132</c:v>
                </c:pt>
                <c:pt idx="9">
                  <c:v>38.855322207759386</c:v>
                </c:pt>
                <c:pt idx="10">
                  <c:v>76.596620652842532</c:v>
                </c:pt>
                <c:pt idx="11">
                  <c:v>37.757042868402522</c:v>
                </c:pt>
                <c:pt idx="12">
                  <c:v>0</c:v>
                </c:pt>
                <c:pt idx="13">
                  <c:v>36.719144443934432</c:v>
                </c:pt>
              </c:numCache>
            </c:numRef>
          </c:val>
          <c:smooth val="0"/>
          <c:extLst>
            <c:ext xmlns:c16="http://schemas.microsoft.com/office/drawing/2014/chart" uri="{C3380CC4-5D6E-409C-BE32-E72D297353CC}">
              <c16:uniqueId val="{00000001-64B6-4D70-BCB3-EF9A50B2B7F2}"/>
            </c:ext>
          </c:extLst>
        </c:ser>
        <c:ser>
          <c:idx val="2"/>
          <c:order val="2"/>
          <c:tx>
            <c:strRef>
              <c:f>Sheet2!$D$1</c:f>
              <c:strCache>
                <c:ptCount val="1"/>
                <c:pt idx="0">
                  <c:v>NVT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Sheet2!$A$2:$A$15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Sheet2!$D$2:$D$15</c:f>
              <c:numCache>
                <c:formatCode>0.0</c:formatCode>
                <c:ptCount val="14"/>
                <c:pt idx="0">
                  <c:v>111.76837122746817</c:v>
                </c:pt>
                <c:pt idx="1">
                  <c:v>21.985753231905719</c:v>
                </c:pt>
                <c:pt idx="2">
                  <c:v>64.889242174762927</c:v>
                </c:pt>
                <c:pt idx="3">
                  <c:v>42.570174271650906</c:v>
                </c:pt>
                <c:pt idx="4">
                  <c:v>20.951238611037628</c:v>
                </c:pt>
                <c:pt idx="5">
                  <c:v>41.255401879183538</c:v>
                </c:pt>
                <c:pt idx="6">
                  <c:v>101.57001856192083</c:v>
                </c:pt>
                <c:pt idx="7">
                  <c:v>40.019409413565555</c:v>
                </c:pt>
                <c:pt idx="8">
                  <c:v>19.714387806651132</c:v>
                </c:pt>
                <c:pt idx="9">
                  <c:v>19.427661103879693</c:v>
                </c:pt>
                <c:pt idx="10">
                  <c:v>57.447465489631895</c:v>
                </c:pt>
                <c:pt idx="11">
                  <c:v>18.878521434201261</c:v>
                </c:pt>
                <c:pt idx="12">
                  <c:v>18.615430795972539</c:v>
                </c:pt>
                <c:pt idx="13">
                  <c:v>18.359572221967216</c:v>
                </c:pt>
              </c:numCache>
            </c:numRef>
          </c:val>
          <c:smooth val="0"/>
          <c:extLst>
            <c:ext xmlns:c16="http://schemas.microsoft.com/office/drawing/2014/chart" uri="{C3380CC4-5D6E-409C-BE32-E72D297353CC}">
              <c16:uniqueId val="{00000002-64B6-4D70-BCB3-EF9A50B2B7F2}"/>
            </c:ext>
          </c:extLst>
        </c:ser>
        <c:dLbls>
          <c:showLegendKey val="0"/>
          <c:showVal val="0"/>
          <c:showCatName val="0"/>
          <c:showSerName val="0"/>
          <c:showPercent val="0"/>
          <c:showBubbleSize val="0"/>
        </c:dLbls>
        <c:marker val="1"/>
        <c:smooth val="0"/>
        <c:axId val="1969781072"/>
        <c:axId val="1969489120"/>
      </c:lineChart>
      <c:catAx>
        <c:axId val="1969781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969489120"/>
        <c:crosses val="autoZero"/>
        <c:auto val="1"/>
        <c:lblAlgn val="ctr"/>
        <c:lblOffset val="100"/>
        <c:noMultiLvlLbl val="0"/>
      </c:catAx>
      <c:valAx>
        <c:axId val="1969489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a:t>IPD incidence per 100,000 </a:t>
                </a:r>
              </a:p>
              <a:p>
                <a:pPr>
                  <a:defRPr/>
                </a:pPr>
                <a:r>
                  <a:rPr lang="en-GB"/>
                  <a:t>infants &lt;90 days old</a:t>
                </a:r>
              </a:p>
              <a:p>
                <a:pPr>
                  <a:defRPr/>
                </a:pPr>
                <a:endParaRPr lang="en-GB"/>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96978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5156</Words>
  <Characters>29392</Characters>
  <Application>Microsoft Office Word</Application>
  <DocSecurity>0</DocSecurity>
  <Lines>244</Lines>
  <Paragraphs>68</Paragraphs>
  <ScaleCrop>false</ScaleCrop>
  <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koenraads.m@gmail.com</dc:creator>
  <cp:keywords/>
  <dc:description/>
  <cp:lastModifiedBy>koenraads.m@gmail.com</cp:lastModifiedBy>
  <cp:revision>1</cp:revision>
  <dcterms:created xsi:type="dcterms:W3CDTF">2022-06-27T10:51:00Z</dcterms:created>
  <dcterms:modified xsi:type="dcterms:W3CDTF">2022-06-27T10:58:00Z</dcterms:modified>
</cp:coreProperties>
</file>