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0ADA" w14:textId="77777777" w:rsidR="00210107" w:rsidRPr="00210107" w:rsidRDefault="00210107" w:rsidP="00210107">
      <w:pPr>
        <w:jc w:val="both"/>
        <w:rPr>
          <w:color w:val="000000"/>
        </w:rPr>
      </w:pPr>
      <w:r w:rsidRPr="00210107">
        <w:rPr>
          <w:b/>
          <w:bCs/>
          <w:color w:val="000000"/>
        </w:rPr>
        <w:t>The Primacy of Union Law over Incompatible National Measures: Beyond Disapplication and Towards a Remedy of Nullity?</w:t>
      </w:r>
    </w:p>
    <w:p w14:paraId="3F9B9EB1" w14:textId="5023D1C1" w:rsidR="008748B2" w:rsidRPr="007A58EA" w:rsidRDefault="008748B2" w:rsidP="00391EA9">
      <w:pPr>
        <w:jc w:val="both"/>
        <w:rPr>
          <w:color w:val="000000" w:themeColor="text1"/>
        </w:rPr>
      </w:pPr>
    </w:p>
    <w:p w14:paraId="0932B0B5" w14:textId="66EC5F63" w:rsidR="008748B2" w:rsidRPr="007A58EA" w:rsidRDefault="008748B2" w:rsidP="00391EA9">
      <w:pPr>
        <w:jc w:val="both"/>
        <w:rPr>
          <w:i/>
          <w:iCs/>
          <w:color w:val="000000" w:themeColor="text1"/>
        </w:rPr>
      </w:pPr>
      <w:r w:rsidRPr="007A58EA">
        <w:rPr>
          <w:i/>
          <w:iCs/>
          <w:color w:val="000000" w:themeColor="text1"/>
        </w:rPr>
        <w:t>Michael Dougan*</w:t>
      </w:r>
    </w:p>
    <w:p w14:paraId="3DEFEB24" w14:textId="5D58878E" w:rsidR="008748B2" w:rsidRPr="007A58EA" w:rsidRDefault="008748B2" w:rsidP="00391EA9">
      <w:pPr>
        <w:jc w:val="both"/>
        <w:rPr>
          <w:color w:val="000000" w:themeColor="text1"/>
        </w:rPr>
      </w:pPr>
    </w:p>
    <w:p w14:paraId="28552EAD" w14:textId="77777777" w:rsidR="008748B2" w:rsidRPr="007A58EA" w:rsidRDefault="008748B2" w:rsidP="00391EA9">
      <w:pPr>
        <w:jc w:val="both"/>
        <w:rPr>
          <w:color w:val="000000" w:themeColor="text1"/>
        </w:rPr>
      </w:pPr>
    </w:p>
    <w:p w14:paraId="4FB9E59A" w14:textId="524B64F6" w:rsidR="008748B2" w:rsidRPr="007A58EA" w:rsidRDefault="008748B2" w:rsidP="00391EA9">
      <w:pPr>
        <w:jc w:val="both"/>
        <w:rPr>
          <w:b/>
          <w:bCs/>
          <w:color w:val="000000" w:themeColor="text1"/>
        </w:rPr>
      </w:pPr>
      <w:r w:rsidRPr="007A58EA">
        <w:rPr>
          <w:b/>
          <w:bCs/>
          <w:color w:val="000000" w:themeColor="text1"/>
        </w:rPr>
        <w:t>1.  Introduction</w:t>
      </w:r>
    </w:p>
    <w:p w14:paraId="7F8E29A0" w14:textId="77777777" w:rsidR="008748B2" w:rsidRPr="007A58EA" w:rsidRDefault="008748B2" w:rsidP="00391EA9">
      <w:pPr>
        <w:jc w:val="both"/>
        <w:rPr>
          <w:color w:val="000000" w:themeColor="text1"/>
        </w:rPr>
      </w:pPr>
    </w:p>
    <w:p w14:paraId="2E398604" w14:textId="77777777" w:rsidR="00495C73" w:rsidRDefault="00F7112B" w:rsidP="00495C73">
      <w:pPr>
        <w:jc w:val="both"/>
        <w:rPr>
          <w:color w:val="000000" w:themeColor="text1"/>
        </w:rPr>
      </w:pPr>
      <w:r w:rsidRPr="007A58EA">
        <w:rPr>
          <w:color w:val="000000" w:themeColor="text1"/>
        </w:rPr>
        <w:t xml:space="preserve">This paper </w:t>
      </w:r>
      <w:r w:rsidR="00AE4312" w:rsidRPr="007A58EA">
        <w:rPr>
          <w:color w:val="000000" w:themeColor="text1"/>
        </w:rPr>
        <w:t>examines</w:t>
      </w:r>
      <w:r w:rsidRPr="007A58EA">
        <w:rPr>
          <w:color w:val="000000" w:themeColor="text1"/>
        </w:rPr>
        <w:t xml:space="preserve"> how far recent caselaw suggests </w:t>
      </w:r>
      <w:r w:rsidR="003E3DC6">
        <w:rPr>
          <w:color w:val="000000" w:themeColor="text1"/>
        </w:rPr>
        <w:t xml:space="preserve">that </w:t>
      </w:r>
      <w:r w:rsidRPr="007A58EA">
        <w:rPr>
          <w:color w:val="000000" w:themeColor="text1"/>
        </w:rPr>
        <w:t>the CJEU is taking a more robust and interventionist approach to</w:t>
      </w:r>
      <w:r w:rsidR="00AE4312" w:rsidRPr="007A58EA">
        <w:rPr>
          <w:color w:val="000000" w:themeColor="text1"/>
        </w:rPr>
        <w:t>wards</w:t>
      </w:r>
      <w:r w:rsidRPr="007A58EA">
        <w:rPr>
          <w:color w:val="000000" w:themeColor="text1"/>
        </w:rPr>
        <w:t xml:space="preserve"> </w:t>
      </w:r>
      <w:r w:rsidR="00AE4312" w:rsidRPr="007A58EA">
        <w:rPr>
          <w:color w:val="000000" w:themeColor="text1"/>
        </w:rPr>
        <w:t xml:space="preserve">its own jurisdiction in relation to the legal status and effects of national measures </w:t>
      </w:r>
      <w:r w:rsidRPr="007A58EA">
        <w:rPr>
          <w:color w:val="000000" w:themeColor="text1"/>
        </w:rPr>
        <w:t>found to be incompatible with the Treaties</w:t>
      </w:r>
      <w:r w:rsidR="00AE4312" w:rsidRPr="007A58EA">
        <w:rPr>
          <w:color w:val="000000" w:themeColor="text1"/>
        </w:rPr>
        <w:t xml:space="preserve"> – including the possible emergence, through the principle of primacy, of a new “remedy of nullity”, in addition to the traditional expectation of disapplication</w:t>
      </w:r>
      <w:r w:rsidRPr="007A58EA">
        <w:rPr>
          <w:color w:val="000000" w:themeColor="text1"/>
        </w:rPr>
        <w:t>.</w:t>
      </w:r>
      <w:r w:rsidR="00AE4312" w:rsidRPr="007A58EA">
        <w:rPr>
          <w:color w:val="000000" w:themeColor="text1"/>
        </w:rPr>
        <w:t xml:space="preserve">  </w:t>
      </w:r>
    </w:p>
    <w:p w14:paraId="258DDC51" w14:textId="254DA181" w:rsidR="007E0CDE" w:rsidRDefault="00AE4312" w:rsidP="00495C73">
      <w:pPr>
        <w:ind w:firstLine="720"/>
        <w:jc w:val="both"/>
        <w:rPr>
          <w:color w:val="000000" w:themeColor="text1"/>
        </w:rPr>
      </w:pPr>
      <w:r w:rsidRPr="007A58EA">
        <w:rPr>
          <w:color w:val="000000" w:themeColor="text1"/>
        </w:rPr>
        <w:t xml:space="preserve">After </w:t>
      </w:r>
      <w:r w:rsidR="003E3DC6">
        <w:rPr>
          <w:color w:val="000000" w:themeColor="text1"/>
        </w:rPr>
        <w:t xml:space="preserve">briefly </w:t>
      </w:r>
      <w:r w:rsidRPr="007A58EA">
        <w:rPr>
          <w:color w:val="000000" w:themeColor="text1"/>
        </w:rPr>
        <w:t>recalling the well</w:t>
      </w:r>
      <w:r w:rsidR="001344E7" w:rsidRPr="007A58EA">
        <w:rPr>
          <w:color w:val="000000" w:themeColor="text1"/>
        </w:rPr>
        <w:t>-</w:t>
      </w:r>
      <w:r w:rsidRPr="007A58EA">
        <w:rPr>
          <w:color w:val="000000" w:themeColor="text1"/>
        </w:rPr>
        <w:t>established caselaw on decentralised enforcement</w:t>
      </w:r>
      <w:r w:rsidR="008748B2" w:rsidRPr="007A58EA">
        <w:rPr>
          <w:color w:val="000000" w:themeColor="text1"/>
        </w:rPr>
        <w:t xml:space="preserve"> (Section 2)</w:t>
      </w:r>
      <w:r w:rsidRPr="007A58EA">
        <w:rPr>
          <w:color w:val="000000" w:themeColor="text1"/>
        </w:rPr>
        <w:t xml:space="preserve">, we will consider a series of </w:t>
      </w:r>
      <w:r w:rsidR="008748B2" w:rsidRPr="007A58EA">
        <w:rPr>
          <w:color w:val="000000" w:themeColor="text1"/>
        </w:rPr>
        <w:t xml:space="preserve">major </w:t>
      </w:r>
      <w:r w:rsidRPr="007A58EA">
        <w:rPr>
          <w:color w:val="000000" w:themeColor="text1"/>
        </w:rPr>
        <w:t xml:space="preserve">rulings </w:t>
      </w:r>
      <w:r w:rsidR="008748B2" w:rsidRPr="007A58EA">
        <w:rPr>
          <w:color w:val="000000" w:themeColor="text1"/>
        </w:rPr>
        <w:t xml:space="preserve">– </w:t>
      </w:r>
      <w:r w:rsidR="008748B2" w:rsidRPr="007A58EA">
        <w:rPr>
          <w:i/>
          <w:iCs/>
          <w:color w:val="000000" w:themeColor="text1"/>
        </w:rPr>
        <w:t>Berlusconi</w:t>
      </w:r>
      <w:r w:rsidR="008748B2" w:rsidRPr="007A58EA">
        <w:rPr>
          <w:color w:val="000000" w:themeColor="text1"/>
        </w:rPr>
        <w:t xml:space="preserve"> (2018),</w:t>
      </w:r>
      <w:r w:rsidR="008748B2" w:rsidRPr="007A58EA">
        <w:rPr>
          <w:rStyle w:val="FootnoteReference"/>
          <w:color w:val="000000" w:themeColor="text1"/>
        </w:rPr>
        <w:footnoteReference w:id="1"/>
      </w:r>
      <w:r w:rsidR="008748B2" w:rsidRPr="007A58EA">
        <w:rPr>
          <w:color w:val="000000" w:themeColor="text1"/>
        </w:rPr>
        <w:t xml:space="preserve"> </w:t>
      </w:r>
      <w:r w:rsidR="008748B2" w:rsidRPr="007A58EA">
        <w:rPr>
          <w:i/>
          <w:iCs/>
          <w:color w:val="000000" w:themeColor="text1"/>
        </w:rPr>
        <w:t>Rimšēvičs</w:t>
      </w:r>
      <w:r w:rsidR="008748B2" w:rsidRPr="007A58EA">
        <w:rPr>
          <w:color w:val="000000" w:themeColor="text1"/>
        </w:rPr>
        <w:t xml:space="preserve"> (2019),</w:t>
      </w:r>
      <w:r w:rsidR="008748B2" w:rsidRPr="007A58EA">
        <w:rPr>
          <w:rStyle w:val="FootnoteReference"/>
          <w:color w:val="000000" w:themeColor="text1"/>
        </w:rPr>
        <w:footnoteReference w:id="2"/>
      </w:r>
      <w:r w:rsidR="008748B2" w:rsidRPr="007A58EA">
        <w:rPr>
          <w:color w:val="000000" w:themeColor="text1"/>
        </w:rPr>
        <w:t xml:space="preserve"> and </w:t>
      </w:r>
      <w:r w:rsidR="008748B2" w:rsidRPr="007A58EA">
        <w:rPr>
          <w:i/>
          <w:iCs/>
          <w:color w:val="000000" w:themeColor="text1"/>
        </w:rPr>
        <w:t>W.Ż.</w:t>
      </w:r>
      <w:r w:rsidR="008748B2" w:rsidRPr="007A58EA">
        <w:rPr>
          <w:color w:val="000000" w:themeColor="text1"/>
        </w:rPr>
        <w:t xml:space="preserve"> (2021)</w:t>
      </w:r>
      <w:r w:rsidR="008748B2" w:rsidRPr="007A58EA">
        <w:rPr>
          <w:rStyle w:val="FootnoteReference"/>
          <w:color w:val="000000" w:themeColor="text1"/>
        </w:rPr>
        <w:footnoteReference w:id="3"/>
      </w:r>
      <w:r w:rsidR="008748B2" w:rsidRPr="007A58EA">
        <w:rPr>
          <w:color w:val="000000" w:themeColor="text1"/>
        </w:rPr>
        <w:t xml:space="preserve"> – that arguably step beyond those familiar frameworks and predictable principles (Sections 3-5).  But our evaluation concludes that the Court’s </w:t>
      </w:r>
      <w:r w:rsidR="00F13892" w:rsidRPr="007A58EA">
        <w:rPr>
          <w:color w:val="000000" w:themeColor="text1"/>
        </w:rPr>
        <w:t xml:space="preserve">recent assertion </w:t>
      </w:r>
      <w:r w:rsidR="004F241B" w:rsidRPr="007A58EA">
        <w:rPr>
          <w:color w:val="000000" w:themeColor="text1"/>
        </w:rPr>
        <w:t xml:space="preserve">(particularly in </w:t>
      </w:r>
      <w:r w:rsidR="004F241B" w:rsidRPr="007A58EA">
        <w:rPr>
          <w:i/>
          <w:iCs/>
          <w:color w:val="000000" w:themeColor="text1"/>
        </w:rPr>
        <w:t>Rimšēvičs</w:t>
      </w:r>
      <w:r w:rsidR="004F241B" w:rsidRPr="007A58EA">
        <w:rPr>
          <w:color w:val="000000" w:themeColor="text1"/>
        </w:rPr>
        <w:t xml:space="preserve">) </w:t>
      </w:r>
      <w:r w:rsidR="00F13892" w:rsidRPr="007A58EA">
        <w:rPr>
          <w:color w:val="000000" w:themeColor="text1"/>
        </w:rPr>
        <w:t xml:space="preserve">of direct </w:t>
      </w:r>
      <w:r w:rsidR="008748B2" w:rsidRPr="007A58EA">
        <w:rPr>
          <w:color w:val="000000" w:themeColor="text1"/>
        </w:rPr>
        <w:t xml:space="preserve">jurisdiction </w:t>
      </w:r>
      <w:r w:rsidR="00F13892" w:rsidRPr="007A58EA">
        <w:rPr>
          <w:color w:val="000000" w:themeColor="text1"/>
        </w:rPr>
        <w:t>over the lawfulness of certain national measures</w:t>
      </w:r>
      <w:r w:rsidR="00001A93" w:rsidRPr="007A58EA">
        <w:rPr>
          <w:color w:val="000000" w:themeColor="text1"/>
        </w:rPr>
        <w:t>, while no doubt radical,</w:t>
      </w:r>
      <w:r w:rsidR="00F13892" w:rsidRPr="007A58EA">
        <w:rPr>
          <w:color w:val="000000" w:themeColor="text1"/>
        </w:rPr>
        <w:t xml:space="preserve"> </w:t>
      </w:r>
      <w:r w:rsidR="00001A93" w:rsidRPr="007A58EA">
        <w:rPr>
          <w:color w:val="000000" w:themeColor="text1"/>
        </w:rPr>
        <w:t xml:space="preserve">is nevertheless </w:t>
      </w:r>
      <w:r w:rsidR="008748B2" w:rsidRPr="007A58EA">
        <w:rPr>
          <w:color w:val="000000" w:themeColor="text1"/>
        </w:rPr>
        <w:t>confined to quite exceptional circumstances</w:t>
      </w:r>
      <w:r w:rsidR="00001A93" w:rsidRPr="007A58EA">
        <w:rPr>
          <w:color w:val="000000" w:themeColor="text1"/>
        </w:rPr>
        <w:t xml:space="preserve">.  </w:t>
      </w:r>
      <w:r w:rsidR="003E3DC6">
        <w:rPr>
          <w:color w:val="000000" w:themeColor="text1"/>
        </w:rPr>
        <w:t xml:space="preserve">By contrast, </w:t>
      </w:r>
      <w:r w:rsidR="00001A93" w:rsidRPr="007A58EA">
        <w:rPr>
          <w:color w:val="000000" w:themeColor="text1"/>
        </w:rPr>
        <w:t xml:space="preserve">the Court’s </w:t>
      </w:r>
      <w:r w:rsidR="008748B2" w:rsidRPr="007A58EA">
        <w:rPr>
          <w:color w:val="000000" w:themeColor="text1"/>
        </w:rPr>
        <w:t xml:space="preserve">novel instructions </w:t>
      </w:r>
      <w:r w:rsidR="004F241B" w:rsidRPr="007A58EA">
        <w:rPr>
          <w:color w:val="000000" w:themeColor="text1"/>
        </w:rPr>
        <w:t xml:space="preserve">(particularly in </w:t>
      </w:r>
      <w:r w:rsidR="004F241B" w:rsidRPr="007A58EA">
        <w:rPr>
          <w:i/>
          <w:iCs/>
          <w:color w:val="000000" w:themeColor="text1"/>
        </w:rPr>
        <w:t>W.Ż.</w:t>
      </w:r>
      <w:r w:rsidR="004F241B" w:rsidRPr="007A58EA">
        <w:rPr>
          <w:color w:val="000000" w:themeColor="text1"/>
        </w:rPr>
        <w:t xml:space="preserve">) </w:t>
      </w:r>
      <w:r w:rsidR="008748B2" w:rsidRPr="007A58EA">
        <w:rPr>
          <w:color w:val="000000" w:themeColor="text1"/>
        </w:rPr>
        <w:t xml:space="preserve">about </w:t>
      </w:r>
      <w:r w:rsidR="003E3DC6">
        <w:rPr>
          <w:color w:val="000000" w:themeColor="text1"/>
        </w:rPr>
        <w:t xml:space="preserve">when national courts should treat certain </w:t>
      </w:r>
      <w:r w:rsidR="00001A93" w:rsidRPr="007A58EA">
        <w:rPr>
          <w:color w:val="000000" w:themeColor="text1"/>
        </w:rPr>
        <w:t xml:space="preserve">domestic measures </w:t>
      </w:r>
      <w:r w:rsidR="003E3DC6">
        <w:rPr>
          <w:color w:val="000000" w:themeColor="text1"/>
        </w:rPr>
        <w:t xml:space="preserve">as null and void </w:t>
      </w:r>
      <w:r w:rsidR="00D77400" w:rsidRPr="007A58EA">
        <w:rPr>
          <w:color w:val="000000" w:themeColor="text1"/>
        </w:rPr>
        <w:t xml:space="preserve">are both potentially more far-reaching and yet still </w:t>
      </w:r>
      <w:r w:rsidR="008748B2" w:rsidRPr="007A58EA">
        <w:rPr>
          <w:color w:val="000000" w:themeColor="text1"/>
        </w:rPr>
        <w:t xml:space="preserve">possible to reconcile </w:t>
      </w:r>
      <w:r w:rsidR="00B02112" w:rsidRPr="007A58EA">
        <w:rPr>
          <w:color w:val="000000" w:themeColor="text1"/>
        </w:rPr>
        <w:t xml:space="preserve">comfortably </w:t>
      </w:r>
      <w:r w:rsidR="008748B2" w:rsidRPr="007A58EA">
        <w:rPr>
          <w:color w:val="000000" w:themeColor="text1"/>
        </w:rPr>
        <w:t>with the existing paradigms of the primacy caselaw</w:t>
      </w:r>
      <w:r w:rsidR="003E3DC6">
        <w:rPr>
          <w:color w:val="000000" w:themeColor="text1"/>
        </w:rPr>
        <w:t xml:space="preserve">.  Nevertheless, </w:t>
      </w:r>
      <w:r w:rsidR="00F66E2F" w:rsidRPr="007A58EA">
        <w:rPr>
          <w:color w:val="000000" w:themeColor="text1"/>
        </w:rPr>
        <w:t xml:space="preserve">the criteria for determining when Union law might </w:t>
      </w:r>
      <w:r w:rsidR="00001A93" w:rsidRPr="007A58EA">
        <w:rPr>
          <w:color w:val="000000" w:themeColor="text1"/>
        </w:rPr>
        <w:t xml:space="preserve">in practice </w:t>
      </w:r>
      <w:r w:rsidR="00F66E2F" w:rsidRPr="007A58EA">
        <w:rPr>
          <w:color w:val="000000" w:themeColor="text1"/>
        </w:rPr>
        <w:t xml:space="preserve">require the annulment (rather than mere disapplication) of incompatible national acts remain deeply unclear </w:t>
      </w:r>
      <w:r w:rsidR="008748B2" w:rsidRPr="007A58EA">
        <w:rPr>
          <w:color w:val="000000" w:themeColor="text1"/>
        </w:rPr>
        <w:t>(Section</w:t>
      </w:r>
      <w:r w:rsidR="00001A93" w:rsidRPr="007A58EA">
        <w:rPr>
          <w:color w:val="000000" w:themeColor="text1"/>
        </w:rPr>
        <w:t>s</w:t>
      </w:r>
      <w:r w:rsidR="008748B2" w:rsidRPr="007A58EA">
        <w:rPr>
          <w:color w:val="000000" w:themeColor="text1"/>
        </w:rPr>
        <w:t xml:space="preserve"> 6</w:t>
      </w:r>
      <w:r w:rsidR="00001A93" w:rsidRPr="007A58EA">
        <w:rPr>
          <w:color w:val="000000" w:themeColor="text1"/>
        </w:rPr>
        <w:t>-7</w:t>
      </w:r>
      <w:r w:rsidR="008748B2" w:rsidRPr="007A58EA">
        <w:rPr>
          <w:color w:val="000000" w:themeColor="text1"/>
        </w:rPr>
        <w:t>).</w:t>
      </w:r>
    </w:p>
    <w:p w14:paraId="7AB6EFF8" w14:textId="30605006" w:rsidR="00F83EA1" w:rsidRDefault="00066F22" w:rsidP="007E0CDE">
      <w:pPr>
        <w:ind w:firstLine="720"/>
        <w:jc w:val="both"/>
        <w:rPr>
          <w:color w:val="000000" w:themeColor="text1"/>
        </w:rPr>
      </w:pPr>
      <w:r>
        <w:rPr>
          <w:color w:val="000000" w:themeColor="text1"/>
        </w:rPr>
        <w:t>Three</w:t>
      </w:r>
      <w:r w:rsidR="00D6656D" w:rsidRPr="007A58EA">
        <w:rPr>
          <w:color w:val="000000" w:themeColor="text1"/>
        </w:rPr>
        <w:t xml:space="preserve"> quick point</w:t>
      </w:r>
      <w:r w:rsidR="007E591D">
        <w:rPr>
          <w:color w:val="000000" w:themeColor="text1"/>
        </w:rPr>
        <w:t>s</w:t>
      </w:r>
      <w:r w:rsidR="00D6656D" w:rsidRPr="007A58EA">
        <w:rPr>
          <w:color w:val="000000" w:themeColor="text1"/>
        </w:rPr>
        <w:t xml:space="preserve"> of clarification, before we proceed further.  </w:t>
      </w:r>
      <w:r w:rsidR="007E591D">
        <w:rPr>
          <w:color w:val="000000" w:themeColor="text1"/>
        </w:rPr>
        <w:t xml:space="preserve">First, in </w:t>
      </w:r>
      <w:r w:rsidR="00FA5F40" w:rsidRPr="007A58EA">
        <w:rPr>
          <w:color w:val="000000" w:themeColor="text1"/>
        </w:rPr>
        <w:t xml:space="preserve">these days when European cooperation and integration are so often framed and portrayed in terms of </w:t>
      </w:r>
      <w:r w:rsidR="00626062" w:rsidRPr="007A58EA">
        <w:rPr>
          <w:color w:val="000000" w:themeColor="text1"/>
        </w:rPr>
        <w:t xml:space="preserve">some </w:t>
      </w:r>
      <w:r w:rsidR="00FA5F40" w:rsidRPr="007A58EA">
        <w:rPr>
          <w:color w:val="000000" w:themeColor="text1"/>
        </w:rPr>
        <w:t>unquenchable tension between the Union and its Member States</w:t>
      </w:r>
      <w:r w:rsidR="00D6656D" w:rsidRPr="007A58EA">
        <w:rPr>
          <w:color w:val="000000" w:themeColor="text1"/>
        </w:rPr>
        <w:t xml:space="preserve">, </w:t>
      </w:r>
      <w:r w:rsidR="00626062" w:rsidRPr="007A58EA">
        <w:rPr>
          <w:color w:val="000000" w:themeColor="text1"/>
        </w:rPr>
        <w:t xml:space="preserve">it feels sadly necessary </w:t>
      </w:r>
      <w:r w:rsidR="006B498B" w:rsidRPr="007A58EA">
        <w:rPr>
          <w:color w:val="000000" w:themeColor="text1"/>
        </w:rPr>
        <w:t xml:space="preserve">to stress that </w:t>
      </w:r>
      <w:r w:rsidR="00FA5F40" w:rsidRPr="007A58EA">
        <w:rPr>
          <w:color w:val="000000" w:themeColor="text1"/>
        </w:rPr>
        <w:t xml:space="preserve">this analysis neither adopts nor implies any such conflictual or antagonistic understanding of relations between the EU and national legal systems.  Our </w:t>
      </w:r>
      <w:r w:rsidR="00F83EA1">
        <w:rPr>
          <w:color w:val="000000" w:themeColor="text1"/>
        </w:rPr>
        <w:t xml:space="preserve">main </w:t>
      </w:r>
      <w:r w:rsidR="00FA5F40" w:rsidRPr="007A58EA">
        <w:rPr>
          <w:color w:val="000000" w:themeColor="text1"/>
        </w:rPr>
        <w:t xml:space="preserve">role is to articulate and </w:t>
      </w:r>
      <w:r w:rsidR="00626062" w:rsidRPr="007A58EA">
        <w:rPr>
          <w:color w:val="000000" w:themeColor="text1"/>
        </w:rPr>
        <w:t xml:space="preserve">explore </w:t>
      </w:r>
      <w:r w:rsidR="00FA5F40" w:rsidRPr="007A58EA">
        <w:rPr>
          <w:color w:val="000000" w:themeColor="text1"/>
        </w:rPr>
        <w:t xml:space="preserve">the </w:t>
      </w:r>
      <w:r w:rsidR="006B498B" w:rsidRPr="007A58EA">
        <w:rPr>
          <w:color w:val="000000" w:themeColor="text1"/>
        </w:rPr>
        <w:t xml:space="preserve">evolving </w:t>
      </w:r>
      <w:r w:rsidR="00626062" w:rsidRPr="007A58EA">
        <w:rPr>
          <w:color w:val="000000" w:themeColor="text1"/>
        </w:rPr>
        <w:t xml:space="preserve">interpretation of </w:t>
      </w:r>
      <w:r w:rsidR="00D6656D" w:rsidRPr="007A58EA">
        <w:rPr>
          <w:color w:val="000000" w:themeColor="text1"/>
        </w:rPr>
        <w:t xml:space="preserve">core </w:t>
      </w:r>
      <w:r w:rsidR="00626062" w:rsidRPr="007A58EA">
        <w:rPr>
          <w:color w:val="000000" w:themeColor="text1"/>
        </w:rPr>
        <w:t xml:space="preserve">Union </w:t>
      </w:r>
      <w:r w:rsidR="005235E3">
        <w:rPr>
          <w:color w:val="000000" w:themeColor="text1"/>
        </w:rPr>
        <w:t>law</w:t>
      </w:r>
      <w:r w:rsidR="00626062" w:rsidRPr="007A58EA">
        <w:rPr>
          <w:color w:val="000000" w:themeColor="text1"/>
        </w:rPr>
        <w:t xml:space="preserve"> principles by the CJEU, in particular, as regards the duties expected of domestic judges in their capacity </w:t>
      </w:r>
      <w:r w:rsidR="00626062" w:rsidRPr="007A58EA">
        <w:rPr>
          <w:i/>
          <w:iCs/>
          <w:color w:val="000000" w:themeColor="text1"/>
        </w:rPr>
        <w:t>qua</w:t>
      </w:r>
      <w:r w:rsidR="00626062" w:rsidRPr="007A58EA">
        <w:rPr>
          <w:color w:val="000000" w:themeColor="text1"/>
        </w:rPr>
        <w:t xml:space="preserve"> the </w:t>
      </w:r>
      <w:r w:rsidR="006B498B" w:rsidRPr="007A58EA">
        <w:rPr>
          <w:color w:val="000000" w:themeColor="text1"/>
        </w:rPr>
        <w:t xml:space="preserve">Union’s </w:t>
      </w:r>
      <w:r w:rsidR="00626062" w:rsidRPr="007A58EA">
        <w:rPr>
          <w:color w:val="000000" w:themeColor="text1"/>
        </w:rPr>
        <w:t>ordinary courts</w:t>
      </w:r>
      <w:r w:rsidR="006B498B" w:rsidRPr="007A58EA">
        <w:rPr>
          <w:color w:val="000000" w:themeColor="text1"/>
        </w:rPr>
        <w:t>.</w:t>
      </w:r>
      <w:r w:rsidR="006B498B" w:rsidRPr="007A58EA">
        <w:rPr>
          <w:rStyle w:val="FootnoteReference"/>
          <w:color w:val="000000" w:themeColor="text1"/>
        </w:rPr>
        <w:footnoteReference w:id="4"/>
      </w:r>
      <w:r w:rsidR="006B498B" w:rsidRPr="007A58EA">
        <w:rPr>
          <w:color w:val="000000" w:themeColor="text1"/>
        </w:rPr>
        <w:t xml:space="preserve">  </w:t>
      </w:r>
      <w:r w:rsidR="000B6EF9">
        <w:rPr>
          <w:color w:val="000000" w:themeColor="text1"/>
        </w:rPr>
        <w:t xml:space="preserve">That is not to deny that the Court’s caselaw can sometimes raise difficult </w:t>
      </w:r>
      <w:r w:rsidR="00FE7F47">
        <w:rPr>
          <w:color w:val="000000" w:themeColor="text1"/>
        </w:rPr>
        <w:t xml:space="preserve">challenges </w:t>
      </w:r>
      <w:r w:rsidR="000B6EF9">
        <w:rPr>
          <w:color w:val="000000" w:themeColor="text1"/>
        </w:rPr>
        <w:t>and even controversial issues for the national legal systems –</w:t>
      </w:r>
      <w:r w:rsidR="00F83EA1">
        <w:rPr>
          <w:color w:val="000000" w:themeColor="text1"/>
        </w:rPr>
        <w:t xml:space="preserve"> merely to recall that not every legal problem should be </w:t>
      </w:r>
      <w:r w:rsidR="00FE7F47">
        <w:rPr>
          <w:color w:val="000000" w:themeColor="text1"/>
        </w:rPr>
        <w:t xml:space="preserve">seized upon as fresh evidence of </w:t>
      </w:r>
      <w:r w:rsidR="00F83EA1">
        <w:rPr>
          <w:color w:val="000000" w:themeColor="text1"/>
        </w:rPr>
        <w:t>some contrived constitutional maelstrom</w:t>
      </w:r>
      <w:r w:rsidR="00FE7F47">
        <w:rPr>
          <w:color w:val="000000" w:themeColor="text1"/>
        </w:rPr>
        <w:t xml:space="preserve"> pitting power</w:t>
      </w:r>
      <w:r w:rsidR="001725D1">
        <w:rPr>
          <w:color w:val="000000" w:themeColor="text1"/>
        </w:rPr>
        <w:t>-</w:t>
      </w:r>
      <w:r w:rsidR="00FE7F47">
        <w:rPr>
          <w:color w:val="000000" w:themeColor="text1"/>
        </w:rPr>
        <w:t>grabbing winners against sovereignty losers.</w:t>
      </w:r>
    </w:p>
    <w:p w14:paraId="253DD9FB" w14:textId="06CFABD2" w:rsidR="00F83EA1" w:rsidRDefault="007E591D" w:rsidP="007E0CDE">
      <w:pPr>
        <w:ind w:firstLine="720"/>
        <w:jc w:val="both"/>
        <w:rPr>
          <w:color w:val="000000" w:themeColor="text1"/>
        </w:rPr>
      </w:pPr>
      <w:r>
        <w:rPr>
          <w:color w:val="000000" w:themeColor="text1"/>
        </w:rPr>
        <w:t xml:space="preserve">Secondly, </w:t>
      </w:r>
      <w:r w:rsidR="0064138F">
        <w:rPr>
          <w:color w:val="000000" w:themeColor="text1"/>
        </w:rPr>
        <w:t xml:space="preserve">when </w:t>
      </w:r>
      <w:r>
        <w:rPr>
          <w:color w:val="000000" w:themeColor="text1"/>
        </w:rPr>
        <w:t xml:space="preserve">we talk about the potential implications of primacy in terms of “nullity” and “voidness”, </w:t>
      </w:r>
      <w:r w:rsidR="0064138F">
        <w:rPr>
          <w:color w:val="000000" w:themeColor="text1"/>
        </w:rPr>
        <w:t xml:space="preserve">it is </w:t>
      </w:r>
      <w:r>
        <w:rPr>
          <w:color w:val="000000" w:themeColor="text1"/>
        </w:rPr>
        <w:t xml:space="preserve">essentially </w:t>
      </w:r>
      <w:r w:rsidR="000D2D27">
        <w:rPr>
          <w:color w:val="000000" w:themeColor="text1"/>
        </w:rPr>
        <w:t xml:space="preserve">as a means of </w:t>
      </w:r>
      <w:r>
        <w:rPr>
          <w:color w:val="000000" w:themeColor="text1"/>
        </w:rPr>
        <w:t>contrast</w:t>
      </w:r>
      <w:r w:rsidR="000D2D27">
        <w:rPr>
          <w:color w:val="000000" w:themeColor="text1"/>
        </w:rPr>
        <w:t>ing</w:t>
      </w:r>
      <w:r>
        <w:rPr>
          <w:color w:val="000000" w:themeColor="text1"/>
        </w:rPr>
        <w:t xml:space="preserve"> </w:t>
      </w:r>
      <w:r w:rsidR="000D2D27">
        <w:rPr>
          <w:color w:val="000000" w:themeColor="text1"/>
        </w:rPr>
        <w:t xml:space="preserve">the Court’s recent caselaw with its </w:t>
      </w:r>
      <w:r w:rsidR="0064138F">
        <w:rPr>
          <w:color w:val="000000" w:themeColor="text1"/>
        </w:rPr>
        <w:t xml:space="preserve">more </w:t>
      </w:r>
      <w:r w:rsidR="000D2D27">
        <w:rPr>
          <w:color w:val="000000" w:themeColor="text1"/>
        </w:rPr>
        <w:t xml:space="preserve">established jurisprudence on the </w:t>
      </w:r>
      <w:r>
        <w:rPr>
          <w:color w:val="000000" w:themeColor="text1"/>
        </w:rPr>
        <w:t>traditional remedy of disapplication</w:t>
      </w:r>
      <w:r w:rsidR="0064138F">
        <w:rPr>
          <w:color w:val="000000" w:themeColor="text1"/>
        </w:rPr>
        <w:t xml:space="preserve"> – </w:t>
      </w:r>
      <w:r>
        <w:rPr>
          <w:color w:val="000000" w:themeColor="text1"/>
        </w:rPr>
        <w:t xml:space="preserve">without </w:t>
      </w:r>
      <w:r w:rsidR="0064138F">
        <w:rPr>
          <w:color w:val="000000" w:themeColor="text1"/>
        </w:rPr>
        <w:t xml:space="preserve">intending to </w:t>
      </w:r>
      <w:r>
        <w:rPr>
          <w:color w:val="000000" w:themeColor="text1"/>
        </w:rPr>
        <w:t>engag</w:t>
      </w:r>
      <w:r w:rsidR="0064138F">
        <w:rPr>
          <w:color w:val="000000" w:themeColor="text1"/>
        </w:rPr>
        <w:t>e</w:t>
      </w:r>
      <w:r>
        <w:rPr>
          <w:color w:val="000000" w:themeColor="text1"/>
        </w:rPr>
        <w:t xml:space="preserve"> in any more detailed theoretical or doctrinal debate about the different types of nullity or voidness that might exist within</w:t>
      </w:r>
      <w:r w:rsidR="001725D1">
        <w:rPr>
          <w:color w:val="000000" w:themeColor="text1"/>
        </w:rPr>
        <w:t xml:space="preserve"> (</w:t>
      </w:r>
      <w:r w:rsidR="005849DE">
        <w:rPr>
          <w:color w:val="000000" w:themeColor="text1"/>
        </w:rPr>
        <w:t xml:space="preserve">or be </w:t>
      </w:r>
      <w:r w:rsidR="001725D1">
        <w:rPr>
          <w:color w:val="000000" w:themeColor="text1"/>
        </w:rPr>
        <w:t xml:space="preserve">entirely </w:t>
      </w:r>
      <w:r w:rsidR="005849DE">
        <w:rPr>
          <w:color w:val="000000" w:themeColor="text1"/>
        </w:rPr>
        <w:t>alien to</w:t>
      </w:r>
      <w:r w:rsidR="001725D1">
        <w:rPr>
          <w:color w:val="000000" w:themeColor="text1"/>
        </w:rPr>
        <w:t>)</w:t>
      </w:r>
      <w:r w:rsidR="005849DE">
        <w:rPr>
          <w:color w:val="000000" w:themeColor="text1"/>
        </w:rPr>
        <w:t xml:space="preserve"> </w:t>
      </w:r>
      <w:r>
        <w:rPr>
          <w:color w:val="000000" w:themeColor="text1"/>
        </w:rPr>
        <w:t>any given legal system</w:t>
      </w:r>
      <w:r w:rsidR="008B7FD9">
        <w:rPr>
          <w:color w:val="000000" w:themeColor="text1"/>
        </w:rPr>
        <w:t xml:space="preserve">.  For the purposes of our discussion, the key question is how far the Court might increasingly conceive of primacy as a </w:t>
      </w:r>
      <w:r w:rsidR="000D2D27">
        <w:rPr>
          <w:color w:val="000000" w:themeColor="text1"/>
        </w:rPr>
        <w:t xml:space="preserve">Union law </w:t>
      </w:r>
      <w:r w:rsidR="008B7FD9">
        <w:rPr>
          <w:color w:val="000000" w:themeColor="text1"/>
        </w:rPr>
        <w:t xml:space="preserve">vehicle for rendering incompatible national acts </w:t>
      </w:r>
      <w:r w:rsidR="00495C73">
        <w:rPr>
          <w:color w:val="000000" w:themeColor="text1"/>
        </w:rPr>
        <w:t xml:space="preserve">not just inapplicable </w:t>
      </w:r>
      <w:r w:rsidR="00495C73">
        <w:rPr>
          <w:color w:val="000000" w:themeColor="text1"/>
        </w:rPr>
        <w:lastRenderedPageBreak/>
        <w:t xml:space="preserve">but </w:t>
      </w:r>
      <w:r w:rsidR="008B7FD9">
        <w:rPr>
          <w:color w:val="000000" w:themeColor="text1"/>
        </w:rPr>
        <w:t>non-existent</w:t>
      </w:r>
      <w:r w:rsidR="000D2D27">
        <w:rPr>
          <w:color w:val="000000" w:themeColor="text1"/>
        </w:rPr>
        <w:t xml:space="preserve"> within the domestic legal system </w:t>
      </w:r>
      <w:r w:rsidR="008B7FD9">
        <w:rPr>
          <w:color w:val="000000" w:themeColor="text1"/>
        </w:rPr>
        <w:t xml:space="preserve">– without us </w:t>
      </w:r>
      <w:r w:rsidR="0064138F">
        <w:rPr>
          <w:color w:val="000000" w:themeColor="text1"/>
        </w:rPr>
        <w:t>be</w:t>
      </w:r>
      <w:r w:rsidR="00066F22">
        <w:rPr>
          <w:color w:val="000000" w:themeColor="text1"/>
        </w:rPr>
        <w:t>ing</w:t>
      </w:r>
      <w:r w:rsidR="0064138F">
        <w:rPr>
          <w:color w:val="000000" w:themeColor="text1"/>
        </w:rPr>
        <w:t xml:space="preserve"> overly concerned</w:t>
      </w:r>
      <w:r w:rsidR="00495C73">
        <w:rPr>
          <w:color w:val="000000" w:themeColor="text1"/>
        </w:rPr>
        <w:t xml:space="preserve"> (</w:t>
      </w:r>
      <w:r w:rsidR="0064138F">
        <w:rPr>
          <w:color w:val="000000" w:themeColor="text1"/>
        </w:rPr>
        <w:t>for example</w:t>
      </w:r>
      <w:r w:rsidR="00495C73">
        <w:rPr>
          <w:color w:val="000000" w:themeColor="text1"/>
        </w:rPr>
        <w:t>)</w:t>
      </w:r>
      <w:r w:rsidR="0064138F">
        <w:rPr>
          <w:color w:val="000000" w:themeColor="text1"/>
        </w:rPr>
        <w:t xml:space="preserve"> with </w:t>
      </w:r>
      <w:r w:rsidR="008B7FD9">
        <w:rPr>
          <w:color w:val="000000" w:themeColor="text1"/>
        </w:rPr>
        <w:t xml:space="preserve">whether such non-existence </w:t>
      </w:r>
      <w:r w:rsidR="0064138F">
        <w:rPr>
          <w:color w:val="000000" w:themeColor="text1"/>
        </w:rPr>
        <w:t xml:space="preserve">should </w:t>
      </w:r>
      <w:r w:rsidR="008B7FD9">
        <w:rPr>
          <w:color w:val="000000" w:themeColor="text1"/>
        </w:rPr>
        <w:t xml:space="preserve">arise </w:t>
      </w:r>
      <w:r w:rsidR="000D2D27">
        <w:rPr>
          <w:color w:val="000000" w:themeColor="text1"/>
        </w:rPr>
        <w:t xml:space="preserve">automatically </w:t>
      </w:r>
      <w:r w:rsidR="0064138F">
        <w:rPr>
          <w:color w:val="000000" w:themeColor="text1"/>
        </w:rPr>
        <w:t xml:space="preserve">by </w:t>
      </w:r>
      <w:r w:rsidR="000D2D27">
        <w:rPr>
          <w:color w:val="000000" w:themeColor="text1"/>
        </w:rPr>
        <w:t xml:space="preserve">force of law or only after a </w:t>
      </w:r>
      <w:r w:rsidR="0064138F">
        <w:rPr>
          <w:color w:val="000000" w:themeColor="text1"/>
        </w:rPr>
        <w:t xml:space="preserve">positive </w:t>
      </w:r>
      <w:r w:rsidR="000D2D27">
        <w:rPr>
          <w:color w:val="000000" w:themeColor="text1"/>
        </w:rPr>
        <w:t>declaration from the competent judicial authorities</w:t>
      </w:r>
      <w:r w:rsidR="0064138F">
        <w:rPr>
          <w:color w:val="000000" w:themeColor="text1"/>
        </w:rPr>
        <w:t>;</w:t>
      </w:r>
      <w:r w:rsidR="000D2D27">
        <w:rPr>
          <w:color w:val="000000" w:themeColor="text1"/>
        </w:rPr>
        <w:t xml:space="preserve"> </w:t>
      </w:r>
      <w:r w:rsidR="005D612C">
        <w:rPr>
          <w:color w:val="000000" w:themeColor="text1"/>
        </w:rPr>
        <w:t xml:space="preserve">about the knock-on consequences of any non-existence for derivative or subsidiarity acts or for the rights and interests of third parties; </w:t>
      </w:r>
      <w:r w:rsidR="000D2D27">
        <w:rPr>
          <w:color w:val="000000" w:themeColor="text1"/>
        </w:rPr>
        <w:t xml:space="preserve">or indeed </w:t>
      </w:r>
      <w:r w:rsidR="00066F22">
        <w:rPr>
          <w:color w:val="000000" w:themeColor="text1"/>
        </w:rPr>
        <w:t xml:space="preserve">about </w:t>
      </w:r>
      <w:r w:rsidR="000D2D27">
        <w:rPr>
          <w:color w:val="000000" w:themeColor="text1"/>
        </w:rPr>
        <w:t xml:space="preserve">whether the </w:t>
      </w:r>
      <w:r w:rsidR="00066F22">
        <w:rPr>
          <w:color w:val="000000" w:themeColor="text1"/>
        </w:rPr>
        <w:t xml:space="preserve">more </w:t>
      </w:r>
      <w:r w:rsidR="000D2D27">
        <w:rPr>
          <w:color w:val="000000" w:themeColor="text1"/>
        </w:rPr>
        <w:t xml:space="preserve">detailed mechanics of </w:t>
      </w:r>
      <w:r w:rsidR="00066F22">
        <w:rPr>
          <w:color w:val="000000" w:themeColor="text1"/>
        </w:rPr>
        <w:t xml:space="preserve">primacy-induced </w:t>
      </w:r>
      <w:r w:rsidR="000D2D27">
        <w:rPr>
          <w:color w:val="000000" w:themeColor="text1"/>
        </w:rPr>
        <w:t xml:space="preserve">nullity / voidness </w:t>
      </w:r>
      <w:r w:rsidR="00066F22">
        <w:rPr>
          <w:color w:val="000000" w:themeColor="text1"/>
        </w:rPr>
        <w:t xml:space="preserve">should be governed by a </w:t>
      </w:r>
      <w:r w:rsidR="000D2D27">
        <w:rPr>
          <w:color w:val="000000" w:themeColor="text1"/>
        </w:rPr>
        <w:t xml:space="preserve">common approach developed under Union law or </w:t>
      </w:r>
      <w:r w:rsidR="0064138F">
        <w:rPr>
          <w:color w:val="000000" w:themeColor="text1"/>
        </w:rPr>
        <w:t xml:space="preserve">would </w:t>
      </w:r>
      <w:r w:rsidR="000D2D27">
        <w:rPr>
          <w:color w:val="000000" w:themeColor="text1"/>
        </w:rPr>
        <w:t xml:space="preserve">instead </w:t>
      </w:r>
      <w:r w:rsidR="0064138F">
        <w:rPr>
          <w:color w:val="000000" w:themeColor="text1"/>
        </w:rPr>
        <w:t xml:space="preserve">be </w:t>
      </w:r>
      <w:r w:rsidR="000D2D27">
        <w:rPr>
          <w:color w:val="000000" w:themeColor="text1"/>
        </w:rPr>
        <w:t>best left to the more detailed conceptual and procedural structures of each Member State.</w:t>
      </w:r>
      <w:r w:rsidR="0064138F">
        <w:rPr>
          <w:rStyle w:val="FootnoteReference"/>
          <w:color w:val="000000" w:themeColor="text1"/>
        </w:rPr>
        <w:footnoteReference w:id="5"/>
      </w:r>
      <w:r w:rsidR="00066F22">
        <w:rPr>
          <w:color w:val="000000" w:themeColor="text1"/>
        </w:rPr>
        <w:t xml:space="preserve">  </w:t>
      </w:r>
    </w:p>
    <w:p w14:paraId="08F4C6CD" w14:textId="68E72D79" w:rsidR="00FA5F40" w:rsidRPr="007A58EA" w:rsidRDefault="00066F22" w:rsidP="007E0CDE">
      <w:pPr>
        <w:ind w:firstLine="720"/>
        <w:jc w:val="both"/>
        <w:rPr>
          <w:color w:val="000000" w:themeColor="text1"/>
        </w:rPr>
      </w:pPr>
      <w:r>
        <w:rPr>
          <w:color w:val="000000" w:themeColor="text1"/>
        </w:rPr>
        <w:t xml:space="preserve">Thirdly, when we </w:t>
      </w:r>
      <w:r w:rsidR="009B7920">
        <w:rPr>
          <w:color w:val="000000" w:themeColor="text1"/>
        </w:rPr>
        <w:t>refer to</w:t>
      </w:r>
      <w:r w:rsidR="00DC0A91">
        <w:rPr>
          <w:color w:val="000000" w:themeColor="text1"/>
        </w:rPr>
        <w:t xml:space="preserve"> “</w:t>
      </w:r>
      <w:r>
        <w:rPr>
          <w:color w:val="000000" w:themeColor="text1"/>
        </w:rPr>
        <w:t>incompatible national measures</w:t>
      </w:r>
      <w:r w:rsidR="00DC0A91">
        <w:rPr>
          <w:color w:val="000000" w:themeColor="text1"/>
        </w:rPr>
        <w:t>”</w:t>
      </w:r>
      <w:r>
        <w:rPr>
          <w:color w:val="000000" w:themeColor="text1"/>
        </w:rPr>
        <w:t xml:space="preserve">, we are not limiting our discussion </w:t>
      </w:r>
      <w:r w:rsidR="00DC0A91">
        <w:rPr>
          <w:color w:val="000000" w:themeColor="text1"/>
        </w:rPr>
        <w:t xml:space="preserve">only </w:t>
      </w:r>
      <w:r>
        <w:rPr>
          <w:color w:val="000000" w:themeColor="text1"/>
        </w:rPr>
        <w:t xml:space="preserve">to </w:t>
      </w:r>
      <w:r w:rsidR="00DC0A91">
        <w:rPr>
          <w:color w:val="000000" w:themeColor="text1"/>
        </w:rPr>
        <w:t xml:space="preserve">public law acts adopted by the state and its various emanations, but </w:t>
      </w:r>
      <w:r w:rsidR="001725D1">
        <w:rPr>
          <w:color w:val="000000" w:themeColor="text1"/>
        </w:rPr>
        <w:t xml:space="preserve">rather we </w:t>
      </w:r>
      <w:r w:rsidR="009B7920">
        <w:rPr>
          <w:color w:val="000000" w:themeColor="text1"/>
        </w:rPr>
        <w:t>envisag</w:t>
      </w:r>
      <w:r w:rsidR="001725D1">
        <w:rPr>
          <w:color w:val="000000" w:themeColor="text1"/>
        </w:rPr>
        <w:t>e</w:t>
      </w:r>
      <w:r w:rsidR="00DC0A91">
        <w:rPr>
          <w:color w:val="000000" w:themeColor="text1"/>
        </w:rPr>
        <w:t xml:space="preserve"> any phenomenon </w:t>
      </w:r>
      <w:r w:rsidR="00495C73">
        <w:rPr>
          <w:color w:val="000000" w:themeColor="text1"/>
        </w:rPr>
        <w:t>capable of being endowed with</w:t>
      </w:r>
      <w:r w:rsidR="00DC0A91">
        <w:rPr>
          <w:color w:val="000000" w:themeColor="text1"/>
        </w:rPr>
        <w:t xml:space="preserve"> </w:t>
      </w:r>
      <w:r w:rsidR="00495C73">
        <w:rPr>
          <w:color w:val="000000" w:themeColor="text1"/>
        </w:rPr>
        <w:t xml:space="preserve">some </w:t>
      </w:r>
      <w:r w:rsidR="00DC0A91">
        <w:rPr>
          <w:color w:val="000000" w:themeColor="text1"/>
        </w:rPr>
        <w:t>recognised status under the domestic legal system</w:t>
      </w:r>
      <w:r w:rsidR="00495C73">
        <w:rPr>
          <w:color w:val="000000" w:themeColor="text1"/>
        </w:rPr>
        <w:t>,</w:t>
      </w:r>
      <w:r w:rsidR="00DC0A91">
        <w:rPr>
          <w:color w:val="000000" w:themeColor="text1"/>
        </w:rPr>
        <w:t xml:space="preserve"> </w:t>
      </w:r>
      <w:r w:rsidR="00495C73">
        <w:rPr>
          <w:color w:val="000000" w:themeColor="text1"/>
        </w:rPr>
        <w:t xml:space="preserve">yet also of </w:t>
      </w:r>
      <w:r w:rsidR="00DC0A91">
        <w:rPr>
          <w:color w:val="000000" w:themeColor="text1"/>
        </w:rPr>
        <w:t>conflict</w:t>
      </w:r>
      <w:r w:rsidR="00495C73">
        <w:rPr>
          <w:color w:val="000000" w:themeColor="text1"/>
        </w:rPr>
        <w:t>ing</w:t>
      </w:r>
      <w:r w:rsidR="00DC0A91">
        <w:rPr>
          <w:color w:val="000000" w:themeColor="text1"/>
        </w:rPr>
        <w:t xml:space="preserve"> with </w:t>
      </w:r>
      <w:r w:rsidR="00495C73">
        <w:rPr>
          <w:color w:val="000000" w:themeColor="text1"/>
        </w:rPr>
        <w:t xml:space="preserve">some </w:t>
      </w:r>
      <w:r w:rsidR="00DC0A91">
        <w:rPr>
          <w:color w:val="000000" w:themeColor="text1"/>
        </w:rPr>
        <w:t xml:space="preserve">directly effective obligation created by or under the Treaties – </w:t>
      </w:r>
      <w:r w:rsidR="00495C73">
        <w:rPr>
          <w:color w:val="000000" w:themeColor="text1"/>
        </w:rPr>
        <w:t xml:space="preserve">thereby </w:t>
      </w:r>
      <w:r w:rsidR="00DC0A91">
        <w:rPr>
          <w:color w:val="000000" w:themeColor="text1"/>
        </w:rPr>
        <w:t xml:space="preserve">including </w:t>
      </w:r>
      <w:r w:rsidR="00495C73">
        <w:rPr>
          <w:color w:val="000000" w:themeColor="text1"/>
        </w:rPr>
        <w:t xml:space="preserve">also </w:t>
      </w:r>
      <w:r w:rsidR="005849DE">
        <w:rPr>
          <w:color w:val="000000" w:themeColor="text1"/>
        </w:rPr>
        <w:t xml:space="preserve">purely </w:t>
      </w:r>
      <w:r w:rsidR="00DC0A91">
        <w:rPr>
          <w:color w:val="000000" w:themeColor="text1"/>
        </w:rPr>
        <w:t>private acts and omissions</w:t>
      </w:r>
      <w:r w:rsidR="00495C73">
        <w:rPr>
          <w:color w:val="000000" w:themeColor="text1"/>
        </w:rPr>
        <w:t xml:space="preserve">, since the </w:t>
      </w:r>
      <w:r w:rsidR="005849DE">
        <w:rPr>
          <w:color w:val="000000" w:themeColor="text1"/>
        </w:rPr>
        <w:t xml:space="preserve">latter </w:t>
      </w:r>
      <w:r w:rsidR="00495C73">
        <w:rPr>
          <w:color w:val="000000" w:themeColor="text1"/>
        </w:rPr>
        <w:t xml:space="preserve">are </w:t>
      </w:r>
      <w:r w:rsidR="007B525B">
        <w:rPr>
          <w:color w:val="000000" w:themeColor="text1"/>
        </w:rPr>
        <w:t xml:space="preserve">of course </w:t>
      </w:r>
      <w:r w:rsidR="005849DE">
        <w:rPr>
          <w:color w:val="000000" w:themeColor="text1"/>
        </w:rPr>
        <w:t xml:space="preserve">equally </w:t>
      </w:r>
      <w:r w:rsidR="001725D1">
        <w:rPr>
          <w:color w:val="000000" w:themeColor="text1"/>
        </w:rPr>
        <w:t>able</w:t>
      </w:r>
      <w:r w:rsidR="005849DE">
        <w:rPr>
          <w:color w:val="000000" w:themeColor="text1"/>
        </w:rPr>
        <w:t xml:space="preserve"> </w:t>
      </w:r>
      <w:r w:rsidR="001725D1">
        <w:rPr>
          <w:color w:val="000000" w:themeColor="text1"/>
        </w:rPr>
        <w:t xml:space="preserve">to </w:t>
      </w:r>
      <w:r w:rsidR="005849DE">
        <w:rPr>
          <w:color w:val="000000" w:themeColor="text1"/>
        </w:rPr>
        <w:t>attract the attention of the principle of primacy in appropriate situations</w:t>
      </w:r>
      <w:r w:rsidR="00DC0A91">
        <w:rPr>
          <w:color w:val="000000" w:themeColor="text1"/>
        </w:rPr>
        <w:t>.</w:t>
      </w:r>
      <w:r w:rsidR="005849DE">
        <w:rPr>
          <w:rStyle w:val="FootnoteReference"/>
          <w:color w:val="000000" w:themeColor="text1"/>
        </w:rPr>
        <w:footnoteReference w:id="6"/>
      </w:r>
      <w:r w:rsidR="00DC0A91">
        <w:rPr>
          <w:color w:val="000000" w:themeColor="text1"/>
        </w:rPr>
        <w:t xml:space="preserve"> </w:t>
      </w:r>
    </w:p>
    <w:p w14:paraId="50B21207" w14:textId="77777777" w:rsidR="00F7112B" w:rsidRPr="007A58EA" w:rsidRDefault="00F7112B" w:rsidP="00391EA9">
      <w:pPr>
        <w:jc w:val="both"/>
        <w:rPr>
          <w:color w:val="000000" w:themeColor="text1"/>
        </w:rPr>
      </w:pPr>
    </w:p>
    <w:p w14:paraId="02F1A498" w14:textId="4551D1E3" w:rsidR="00070D26" w:rsidRPr="007A58EA" w:rsidRDefault="008748B2" w:rsidP="00391EA9">
      <w:pPr>
        <w:jc w:val="both"/>
        <w:rPr>
          <w:b/>
          <w:bCs/>
          <w:color w:val="000000" w:themeColor="text1"/>
        </w:rPr>
      </w:pPr>
      <w:r w:rsidRPr="007A58EA">
        <w:rPr>
          <w:b/>
          <w:bCs/>
          <w:color w:val="000000" w:themeColor="text1"/>
        </w:rPr>
        <w:t xml:space="preserve">2.  </w:t>
      </w:r>
      <w:r w:rsidR="00070D26" w:rsidRPr="007A58EA">
        <w:rPr>
          <w:b/>
          <w:bCs/>
          <w:color w:val="000000" w:themeColor="text1"/>
        </w:rPr>
        <w:t xml:space="preserve">Established principles on decentralised enforcement </w:t>
      </w:r>
    </w:p>
    <w:p w14:paraId="4B25C929" w14:textId="77777777" w:rsidR="00070D26" w:rsidRPr="007A58EA" w:rsidRDefault="00070D26" w:rsidP="00391EA9">
      <w:pPr>
        <w:jc w:val="both"/>
        <w:rPr>
          <w:color w:val="000000" w:themeColor="text1"/>
        </w:rPr>
      </w:pPr>
    </w:p>
    <w:p w14:paraId="121E821D" w14:textId="77777777" w:rsidR="007E0CDE" w:rsidRDefault="005C5BAF" w:rsidP="00391EA9">
      <w:pPr>
        <w:jc w:val="both"/>
        <w:rPr>
          <w:color w:val="000000" w:themeColor="text1"/>
        </w:rPr>
      </w:pPr>
      <w:r w:rsidRPr="007A58EA">
        <w:rPr>
          <w:color w:val="000000" w:themeColor="text1"/>
        </w:rPr>
        <w:t>Let’s s</w:t>
      </w:r>
      <w:r w:rsidR="00F7112B" w:rsidRPr="007A58EA">
        <w:rPr>
          <w:color w:val="000000" w:themeColor="text1"/>
        </w:rPr>
        <w:t xml:space="preserve">tart by recalling </w:t>
      </w:r>
      <w:r w:rsidR="001344E7" w:rsidRPr="007A58EA">
        <w:rPr>
          <w:color w:val="000000" w:themeColor="text1"/>
        </w:rPr>
        <w:t xml:space="preserve">some of </w:t>
      </w:r>
      <w:r w:rsidR="00F7112B" w:rsidRPr="007A58EA">
        <w:rPr>
          <w:color w:val="000000" w:themeColor="text1"/>
        </w:rPr>
        <w:t xml:space="preserve">the </w:t>
      </w:r>
      <w:r w:rsidR="00545A7D" w:rsidRPr="007A58EA">
        <w:rPr>
          <w:color w:val="000000" w:themeColor="text1"/>
        </w:rPr>
        <w:t>well</w:t>
      </w:r>
      <w:r w:rsidR="001344E7" w:rsidRPr="007A58EA">
        <w:rPr>
          <w:color w:val="000000" w:themeColor="text1"/>
        </w:rPr>
        <w:t>-</w:t>
      </w:r>
      <w:r w:rsidR="00F7112B" w:rsidRPr="007A58EA">
        <w:rPr>
          <w:color w:val="000000" w:themeColor="text1"/>
        </w:rPr>
        <w:t>e</w:t>
      </w:r>
      <w:r w:rsidR="00A36C47" w:rsidRPr="007A58EA">
        <w:rPr>
          <w:color w:val="000000" w:themeColor="text1"/>
        </w:rPr>
        <w:t>stablished principles</w:t>
      </w:r>
      <w:r w:rsidR="00F7112B" w:rsidRPr="007A58EA">
        <w:rPr>
          <w:color w:val="000000" w:themeColor="text1"/>
        </w:rPr>
        <w:t xml:space="preserve"> that govern relations between </w:t>
      </w:r>
      <w:r w:rsidR="00B02112" w:rsidRPr="007A58EA">
        <w:rPr>
          <w:color w:val="000000" w:themeColor="text1"/>
        </w:rPr>
        <w:t xml:space="preserve">the </w:t>
      </w:r>
      <w:r w:rsidR="00F7112B" w:rsidRPr="007A58EA">
        <w:rPr>
          <w:color w:val="000000" w:themeColor="text1"/>
        </w:rPr>
        <w:t>EU and national legal orders.</w:t>
      </w:r>
      <w:r w:rsidR="00940CAA" w:rsidRPr="007A58EA">
        <w:rPr>
          <w:rStyle w:val="FootnoteReference"/>
          <w:color w:val="000000" w:themeColor="text1"/>
        </w:rPr>
        <w:footnoteReference w:id="7"/>
      </w:r>
      <w:r w:rsidR="00F7112B" w:rsidRPr="007A58EA">
        <w:rPr>
          <w:color w:val="000000" w:themeColor="text1"/>
        </w:rPr>
        <w:t xml:space="preserve">  First, when </w:t>
      </w:r>
      <w:r w:rsidR="00B1490F" w:rsidRPr="007A58EA">
        <w:rPr>
          <w:color w:val="000000" w:themeColor="text1"/>
        </w:rPr>
        <w:t xml:space="preserve">it comes to </w:t>
      </w:r>
      <w:r w:rsidR="00B02112" w:rsidRPr="007A58EA">
        <w:rPr>
          <w:color w:val="000000" w:themeColor="text1"/>
        </w:rPr>
        <w:t xml:space="preserve">determining </w:t>
      </w:r>
      <w:r w:rsidR="00320DD1" w:rsidRPr="007A58EA">
        <w:rPr>
          <w:color w:val="000000" w:themeColor="text1"/>
        </w:rPr>
        <w:t xml:space="preserve">the </w:t>
      </w:r>
      <w:r w:rsidR="00B1490F" w:rsidRPr="007A58EA">
        <w:rPr>
          <w:color w:val="000000" w:themeColor="text1"/>
        </w:rPr>
        <w:t xml:space="preserve">validity of Union acts, exclusive jurisdiction lies with </w:t>
      </w:r>
      <w:r w:rsidR="00C6155E" w:rsidRPr="007A58EA">
        <w:rPr>
          <w:color w:val="000000" w:themeColor="text1"/>
        </w:rPr>
        <w:t xml:space="preserve">the Union courts </w:t>
      </w:r>
      <w:r w:rsidR="00F7112B" w:rsidRPr="007A58EA">
        <w:rPr>
          <w:color w:val="000000" w:themeColor="text1"/>
        </w:rPr>
        <w:t xml:space="preserve">– in </w:t>
      </w:r>
      <w:r w:rsidR="00B1490F" w:rsidRPr="007A58EA">
        <w:rPr>
          <w:color w:val="000000" w:themeColor="text1"/>
        </w:rPr>
        <w:t>direct actions as well as through preliminary references.</w:t>
      </w:r>
      <w:r w:rsidR="00C6155E" w:rsidRPr="007A58EA">
        <w:rPr>
          <w:rStyle w:val="FootnoteReference"/>
          <w:color w:val="000000" w:themeColor="text1"/>
        </w:rPr>
        <w:footnoteReference w:id="8"/>
      </w:r>
      <w:r w:rsidR="00B1490F" w:rsidRPr="007A58EA">
        <w:rPr>
          <w:color w:val="000000" w:themeColor="text1"/>
        </w:rPr>
        <w:t xml:space="preserve">  </w:t>
      </w:r>
      <w:r w:rsidR="00F351BC" w:rsidRPr="007A58EA">
        <w:rPr>
          <w:color w:val="000000" w:themeColor="text1"/>
        </w:rPr>
        <w:t>H</w:t>
      </w:r>
      <w:r w:rsidR="00F7112B" w:rsidRPr="007A58EA">
        <w:rPr>
          <w:color w:val="000000" w:themeColor="text1"/>
        </w:rPr>
        <w:t xml:space="preserve">owever, </w:t>
      </w:r>
      <w:r w:rsidR="00B02112" w:rsidRPr="007A58EA">
        <w:rPr>
          <w:color w:val="000000" w:themeColor="text1"/>
        </w:rPr>
        <w:t xml:space="preserve">the </w:t>
      </w:r>
      <w:r w:rsidR="00C6155E" w:rsidRPr="007A58EA">
        <w:rPr>
          <w:color w:val="000000" w:themeColor="text1"/>
        </w:rPr>
        <w:t>CJEU</w:t>
      </w:r>
      <w:r w:rsidR="00B1490F" w:rsidRPr="007A58EA">
        <w:rPr>
          <w:color w:val="000000" w:themeColor="text1"/>
        </w:rPr>
        <w:t xml:space="preserve"> does not exercise direct jurisdiction over </w:t>
      </w:r>
      <w:r w:rsidR="00B02112" w:rsidRPr="007A58EA">
        <w:rPr>
          <w:color w:val="000000" w:themeColor="text1"/>
        </w:rPr>
        <w:t xml:space="preserve">the validity of </w:t>
      </w:r>
      <w:r w:rsidR="00B1490F" w:rsidRPr="007A58EA">
        <w:rPr>
          <w:color w:val="000000" w:themeColor="text1"/>
        </w:rPr>
        <w:t>national acts</w:t>
      </w:r>
      <w:r w:rsidR="00F7112B" w:rsidRPr="007A58EA">
        <w:rPr>
          <w:color w:val="000000" w:themeColor="text1"/>
        </w:rPr>
        <w:t xml:space="preserve">.  The Court </w:t>
      </w:r>
      <w:r w:rsidR="00B1490F" w:rsidRPr="007A58EA">
        <w:rPr>
          <w:color w:val="000000" w:themeColor="text1"/>
        </w:rPr>
        <w:t xml:space="preserve">can declare </w:t>
      </w:r>
      <w:r w:rsidR="00F7112B" w:rsidRPr="007A58EA">
        <w:rPr>
          <w:color w:val="000000" w:themeColor="text1"/>
        </w:rPr>
        <w:t xml:space="preserve">the existence of an </w:t>
      </w:r>
      <w:r w:rsidR="00B1490F" w:rsidRPr="007A58EA">
        <w:rPr>
          <w:color w:val="000000" w:themeColor="text1"/>
        </w:rPr>
        <w:t>infringement through enforcement proceedings</w:t>
      </w:r>
      <w:r w:rsidR="00001A93" w:rsidRPr="007A58EA">
        <w:rPr>
          <w:color w:val="000000" w:themeColor="text1"/>
        </w:rPr>
        <w:t xml:space="preserve"> against the Member State</w:t>
      </w:r>
      <w:r w:rsidR="00B1490F" w:rsidRPr="007A58EA">
        <w:rPr>
          <w:color w:val="000000" w:themeColor="text1"/>
        </w:rPr>
        <w:t xml:space="preserve">, and provide guidance as to </w:t>
      </w:r>
      <w:r w:rsidR="00F7112B" w:rsidRPr="007A58EA">
        <w:rPr>
          <w:color w:val="000000" w:themeColor="text1"/>
        </w:rPr>
        <w:t xml:space="preserve">the </w:t>
      </w:r>
      <w:r w:rsidR="004F241B" w:rsidRPr="007A58EA">
        <w:rPr>
          <w:color w:val="000000" w:themeColor="text1"/>
        </w:rPr>
        <w:t xml:space="preserve">proper </w:t>
      </w:r>
      <w:r w:rsidR="00B1490F" w:rsidRPr="007A58EA">
        <w:rPr>
          <w:color w:val="000000" w:themeColor="text1"/>
        </w:rPr>
        <w:t xml:space="preserve">interpretation and application </w:t>
      </w:r>
      <w:r w:rsidR="00F7112B" w:rsidRPr="007A58EA">
        <w:rPr>
          <w:color w:val="000000" w:themeColor="text1"/>
        </w:rPr>
        <w:t xml:space="preserve">of Union law </w:t>
      </w:r>
      <w:r w:rsidR="00B1490F" w:rsidRPr="007A58EA">
        <w:rPr>
          <w:color w:val="000000" w:themeColor="text1"/>
        </w:rPr>
        <w:t xml:space="preserve">through preliminary references, but </w:t>
      </w:r>
      <w:r w:rsidR="00F7112B" w:rsidRPr="007A58EA">
        <w:rPr>
          <w:color w:val="000000" w:themeColor="text1"/>
        </w:rPr>
        <w:t xml:space="preserve">the </w:t>
      </w:r>
      <w:r w:rsidR="00B1490F" w:rsidRPr="007A58EA">
        <w:rPr>
          <w:color w:val="000000" w:themeColor="text1"/>
        </w:rPr>
        <w:t xml:space="preserve">actual legal consequences of incompatibility within </w:t>
      </w:r>
      <w:r w:rsidR="00F7112B" w:rsidRPr="007A58EA">
        <w:rPr>
          <w:color w:val="000000" w:themeColor="text1"/>
        </w:rPr>
        <w:t xml:space="preserve">each </w:t>
      </w:r>
      <w:r w:rsidR="00E321BF" w:rsidRPr="007A58EA">
        <w:rPr>
          <w:color w:val="000000" w:themeColor="text1"/>
        </w:rPr>
        <w:t>domestic</w:t>
      </w:r>
      <w:r w:rsidR="00B1490F" w:rsidRPr="007A58EA">
        <w:rPr>
          <w:color w:val="000000" w:themeColor="text1"/>
        </w:rPr>
        <w:t xml:space="preserve"> legal </w:t>
      </w:r>
      <w:r w:rsidR="00F7112B" w:rsidRPr="007A58EA">
        <w:rPr>
          <w:color w:val="000000" w:themeColor="text1"/>
        </w:rPr>
        <w:t xml:space="preserve">system </w:t>
      </w:r>
      <w:r w:rsidR="00B1490F" w:rsidRPr="007A58EA">
        <w:rPr>
          <w:color w:val="000000" w:themeColor="text1"/>
        </w:rPr>
        <w:t xml:space="preserve">are worked out by </w:t>
      </w:r>
      <w:r w:rsidR="00F7112B" w:rsidRPr="007A58EA">
        <w:rPr>
          <w:color w:val="000000" w:themeColor="text1"/>
        </w:rPr>
        <w:t>the Member State’s own institutions</w:t>
      </w:r>
      <w:r w:rsidR="00B02112" w:rsidRPr="007A58EA">
        <w:rPr>
          <w:color w:val="000000" w:themeColor="text1"/>
        </w:rPr>
        <w:t xml:space="preserve"> – </w:t>
      </w:r>
      <w:r w:rsidR="00F7112B" w:rsidRPr="007A58EA">
        <w:rPr>
          <w:color w:val="000000" w:themeColor="text1"/>
        </w:rPr>
        <w:t xml:space="preserve">including the </w:t>
      </w:r>
      <w:r w:rsidR="00B1490F" w:rsidRPr="007A58EA">
        <w:rPr>
          <w:color w:val="000000" w:themeColor="text1"/>
        </w:rPr>
        <w:t xml:space="preserve">national courts in accordance with </w:t>
      </w:r>
      <w:r w:rsidR="00F7112B" w:rsidRPr="007A58EA">
        <w:rPr>
          <w:color w:val="000000" w:themeColor="text1"/>
        </w:rPr>
        <w:t xml:space="preserve">the </w:t>
      </w:r>
      <w:r w:rsidR="00B1490F" w:rsidRPr="007A58EA">
        <w:rPr>
          <w:color w:val="000000" w:themeColor="text1"/>
        </w:rPr>
        <w:t>principles of decentralised enforcement.</w:t>
      </w:r>
      <w:r w:rsidR="00C6155E" w:rsidRPr="007A58EA">
        <w:rPr>
          <w:rStyle w:val="FootnoteReference"/>
          <w:color w:val="000000" w:themeColor="text1"/>
        </w:rPr>
        <w:footnoteReference w:id="9"/>
      </w:r>
    </w:p>
    <w:p w14:paraId="226A019A" w14:textId="69AEE4BB" w:rsidR="007E0CDE" w:rsidRPr="00707854" w:rsidRDefault="00F351BC" w:rsidP="00707854">
      <w:pPr>
        <w:ind w:firstLine="720"/>
        <w:jc w:val="both"/>
      </w:pPr>
      <w:r w:rsidRPr="00707854">
        <w:rPr>
          <w:color w:val="000000" w:themeColor="text1"/>
        </w:rPr>
        <w:t>Secondly</w:t>
      </w:r>
      <w:r w:rsidR="001219A7">
        <w:rPr>
          <w:color w:val="000000" w:themeColor="text1"/>
        </w:rPr>
        <w:t>,</w:t>
      </w:r>
      <w:r w:rsidR="00F7112B" w:rsidRPr="00707854">
        <w:rPr>
          <w:color w:val="000000" w:themeColor="text1"/>
        </w:rPr>
        <w:t xml:space="preserve"> </w:t>
      </w:r>
      <w:r w:rsidR="001219A7">
        <w:rPr>
          <w:color w:val="000000" w:themeColor="text1"/>
        </w:rPr>
        <w:t xml:space="preserve">those principles of decentralised enforcement are predicated </w:t>
      </w:r>
      <w:r w:rsidR="00A437A3">
        <w:rPr>
          <w:color w:val="000000" w:themeColor="text1"/>
        </w:rPr>
        <w:t>up</w:t>
      </w:r>
      <w:r w:rsidR="001219A7">
        <w:rPr>
          <w:color w:val="000000" w:themeColor="text1"/>
        </w:rPr>
        <w:t xml:space="preserve">on the idea that </w:t>
      </w:r>
      <w:r w:rsidR="001A5D97" w:rsidRPr="00707854">
        <w:rPr>
          <w:color w:val="000000" w:themeColor="text1"/>
        </w:rPr>
        <w:t xml:space="preserve">the Union </w:t>
      </w:r>
      <w:r w:rsidR="00A36C47" w:rsidRPr="00707854">
        <w:rPr>
          <w:color w:val="000000" w:themeColor="text1"/>
        </w:rPr>
        <w:t>and national</w:t>
      </w:r>
      <w:r w:rsidR="001A5D97" w:rsidRPr="00707854">
        <w:rPr>
          <w:color w:val="000000" w:themeColor="text1"/>
        </w:rPr>
        <w:t xml:space="preserve"> legal systems form distinct</w:t>
      </w:r>
      <w:r w:rsidR="00E321BF" w:rsidRPr="00707854">
        <w:rPr>
          <w:color w:val="000000" w:themeColor="text1"/>
        </w:rPr>
        <w:t>,</w:t>
      </w:r>
      <w:r w:rsidR="001A5D97" w:rsidRPr="00707854">
        <w:rPr>
          <w:color w:val="000000" w:themeColor="text1"/>
        </w:rPr>
        <w:t xml:space="preserve"> </w:t>
      </w:r>
      <w:r w:rsidR="00E321BF" w:rsidRPr="00707854">
        <w:rPr>
          <w:color w:val="000000" w:themeColor="text1"/>
        </w:rPr>
        <w:t>albeit</w:t>
      </w:r>
      <w:r w:rsidR="005844C0" w:rsidRPr="00707854">
        <w:rPr>
          <w:color w:val="000000" w:themeColor="text1"/>
        </w:rPr>
        <w:t xml:space="preserve"> closely interlinked</w:t>
      </w:r>
      <w:r w:rsidR="00E321BF" w:rsidRPr="00707854">
        <w:rPr>
          <w:color w:val="000000" w:themeColor="text1"/>
        </w:rPr>
        <w:t>,</w:t>
      </w:r>
      <w:r w:rsidR="005844C0" w:rsidRPr="00707854">
        <w:rPr>
          <w:color w:val="000000" w:themeColor="text1"/>
        </w:rPr>
        <w:t xml:space="preserve"> </w:t>
      </w:r>
      <w:r w:rsidR="001A5D97" w:rsidRPr="00707854">
        <w:rPr>
          <w:color w:val="000000" w:themeColor="text1"/>
        </w:rPr>
        <w:t>legal orders</w:t>
      </w:r>
      <w:r w:rsidR="005844C0" w:rsidRPr="00707854">
        <w:rPr>
          <w:color w:val="000000" w:themeColor="text1"/>
        </w:rPr>
        <w:t xml:space="preserve">.  </w:t>
      </w:r>
      <w:r w:rsidR="00707854" w:rsidRPr="00707854">
        <w:rPr>
          <w:color w:val="000000" w:themeColor="text1"/>
        </w:rPr>
        <w:t xml:space="preserve">As the Court has </w:t>
      </w:r>
      <w:r w:rsidR="001725D1">
        <w:rPr>
          <w:color w:val="000000" w:themeColor="text1"/>
        </w:rPr>
        <w:t xml:space="preserve">also </w:t>
      </w:r>
      <w:r w:rsidR="00707854" w:rsidRPr="00707854">
        <w:rPr>
          <w:color w:val="000000" w:themeColor="text1"/>
        </w:rPr>
        <w:t>expressed it:</w:t>
      </w:r>
      <w:r w:rsidR="00707854" w:rsidRPr="00707854">
        <w:rPr>
          <w:color w:val="000000"/>
        </w:rPr>
        <w:t xml:space="preserve"> </w:t>
      </w:r>
      <w:r w:rsidR="001219A7">
        <w:rPr>
          <w:color w:val="000000"/>
        </w:rPr>
        <w:t xml:space="preserve">Union law has </w:t>
      </w:r>
      <w:r w:rsidR="00707854" w:rsidRPr="00707854">
        <w:rPr>
          <w:color w:val="000000"/>
        </w:rPr>
        <w:t>given rise to a structured network of principles, rules and mutually interdependent legal relations linking the EU and its Member States</w:t>
      </w:r>
      <w:r w:rsidR="001725D1">
        <w:rPr>
          <w:color w:val="000000"/>
        </w:rPr>
        <w:t xml:space="preserve"> (as well as </w:t>
      </w:r>
      <w:r w:rsidR="00707854" w:rsidRPr="00707854">
        <w:rPr>
          <w:color w:val="000000"/>
        </w:rPr>
        <w:t>its Member States with each other</w:t>
      </w:r>
      <w:r w:rsidR="001725D1">
        <w:rPr>
          <w:color w:val="000000"/>
        </w:rPr>
        <w:t>)</w:t>
      </w:r>
      <w:r w:rsidR="00707854" w:rsidRPr="00707854">
        <w:rPr>
          <w:color w:val="000000" w:themeColor="text1"/>
        </w:rPr>
        <w:t>.</w:t>
      </w:r>
      <w:r w:rsidR="00707854" w:rsidRPr="00707854">
        <w:rPr>
          <w:rStyle w:val="FootnoteReference"/>
          <w:color w:val="000000" w:themeColor="text1"/>
        </w:rPr>
        <w:footnoteReference w:id="10"/>
      </w:r>
      <w:r w:rsidR="00707854" w:rsidRPr="00707854">
        <w:rPr>
          <w:color w:val="000000" w:themeColor="text1"/>
        </w:rPr>
        <w:t xml:space="preserve">  </w:t>
      </w:r>
      <w:r w:rsidR="001219A7">
        <w:rPr>
          <w:color w:val="000000" w:themeColor="text1"/>
        </w:rPr>
        <w:t xml:space="preserve">To be more precise: </w:t>
      </w:r>
      <w:r w:rsidR="002056AF" w:rsidRPr="00707854">
        <w:rPr>
          <w:color w:val="000000" w:themeColor="text1"/>
        </w:rPr>
        <w:t xml:space="preserve">where </w:t>
      </w:r>
      <w:r w:rsidR="005844C0" w:rsidRPr="00707854">
        <w:rPr>
          <w:color w:val="000000" w:themeColor="text1"/>
        </w:rPr>
        <w:t>it is not possible to interpret national law in conformity with the Member State’s obligations under the Treaties, the domestic courts should turn to the principles of direct effect and primacy.</w:t>
      </w:r>
      <w:r w:rsidR="005844C0" w:rsidRPr="00707854">
        <w:rPr>
          <w:rStyle w:val="FootnoteReference"/>
          <w:color w:val="000000" w:themeColor="text1"/>
        </w:rPr>
        <w:footnoteReference w:id="11"/>
      </w:r>
      <w:r w:rsidR="005844C0" w:rsidRPr="00707854">
        <w:rPr>
          <w:color w:val="000000" w:themeColor="text1"/>
        </w:rPr>
        <w:t xml:space="preserve">  Direct effect converts </w:t>
      </w:r>
      <w:r w:rsidR="001A5D97" w:rsidRPr="00707854">
        <w:rPr>
          <w:color w:val="000000" w:themeColor="text1"/>
        </w:rPr>
        <w:t xml:space="preserve">qualifying provisions of </w:t>
      </w:r>
      <w:r w:rsidR="00DF1A8C" w:rsidRPr="00707854">
        <w:rPr>
          <w:color w:val="000000" w:themeColor="text1"/>
        </w:rPr>
        <w:t xml:space="preserve">EU </w:t>
      </w:r>
      <w:r w:rsidR="001A5D97" w:rsidRPr="00707854">
        <w:rPr>
          <w:color w:val="000000" w:themeColor="text1"/>
        </w:rPr>
        <w:t xml:space="preserve">law </w:t>
      </w:r>
      <w:r w:rsidR="00DF1A8C" w:rsidRPr="00707854">
        <w:rPr>
          <w:color w:val="000000" w:themeColor="text1"/>
        </w:rPr>
        <w:t>into act</w:t>
      </w:r>
      <w:r w:rsidR="001A5D97" w:rsidRPr="00707854">
        <w:rPr>
          <w:color w:val="000000" w:themeColor="text1"/>
        </w:rPr>
        <w:t>s</w:t>
      </w:r>
      <w:r w:rsidR="00DF1A8C" w:rsidRPr="00707854">
        <w:rPr>
          <w:color w:val="000000" w:themeColor="text1"/>
        </w:rPr>
        <w:t xml:space="preserve"> </w:t>
      </w:r>
      <w:r w:rsidR="001A5D97" w:rsidRPr="00707854">
        <w:rPr>
          <w:color w:val="000000" w:themeColor="text1"/>
        </w:rPr>
        <w:t xml:space="preserve">that must be treated as directly </w:t>
      </w:r>
      <w:r w:rsidR="00DF1A8C" w:rsidRPr="00707854">
        <w:rPr>
          <w:color w:val="000000" w:themeColor="text1"/>
        </w:rPr>
        <w:t xml:space="preserve">cognisable </w:t>
      </w:r>
      <w:r w:rsidR="001A5D97" w:rsidRPr="00707854">
        <w:rPr>
          <w:color w:val="000000" w:themeColor="text1"/>
        </w:rPr>
        <w:t xml:space="preserve">also </w:t>
      </w:r>
      <w:r w:rsidR="00DF1A8C" w:rsidRPr="00707854">
        <w:rPr>
          <w:color w:val="000000" w:themeColor="text1"/>
        </w:rPr>
        <w:t xml:space="preserve">within </w:t>
      </w:r>
      <w:r w:rsidR="001A5D97" w:rsidRPr="00707854">
        <w:rPr>
          <w:color w:val="000000" w:themeColor="text1"/>
        </w:rPr>
        <w:t>the domestic legal order.</w:t>
      </w:r>
      <w:r w:rsidR="00193D18" w:rsidRPr="00707854">
        <w:rPr>
          <w:rStyle w:val="FootnoteReference"/>
          <w:color w:val="000000" w:themeColor="text1"/>
        </w:rPr>
        <w:footnoteReference w:id="12"/>
      </w:r>
      <w:r w:rsidRPr="00707854">
        <w:rPr>
          <w:color w:val="000000" w:themeColor="text1"/>
        </w:rPr>
        <w:t xml:space="preserve">  W</w:t>
      </w:r>
      <w:r w:rsidR="001A5D97" w:rsidRPr="00707854">
        <w:rPr>
          <w:color w:val="000000" w:themeColor="text1"/>
        </w:rPr>
        <w:t xml:space="preserve">here the direct effect of a given Union provision is established, this will in turn trigger the principle of primacy: directly effective Union </w:t>
      </w:r>
      <w:r w:rsidR="008775BA" w:rsidRPr="00707854">
        <w:rPr>
          <w:color w:val="000000" w:themeColor="text1"/>
        </w:rPr>
        <w:t>law</w:t>
      </w:r>
      <w:r w:rsidR="001A5D97" w:rsidRPr="00707854">
        <w:rPr>
          <w:color w:val="000000" w:themeColor="text1"/>
        </w:rPr>
        <w:t xml:space="preserve"> must take priority over incompatible domestic rules, </w:t>
      </w:r>
      <w:r w:rsidRPr="00707854">
        <w:rPr>
          <w:color w:val="000000" w:themeColor="text1"/>
        </w:rPr>
        <w:t xml:space="preserve">including even those with </w:t>
      </w:r>
      <w:r w:rsidRPr="00707854">
        <w:rPr>
          <w:color w:val="000000" w:themeColor="text1"/>
        </w:rPr>
        <w:lastRenderedPageBreak/>
        <w:t>constitutional status.</w:t>
      </w:r>
      <w:r w:rsidR="00E378CE" w:rsidRPr="00707854">
        <w:rPr>
          <w:rStyle w:val="FootnoteReference"/>
          <w:color w:val="000000" w:themeColor="text1"/>
        </w:rPr>
        <w:footnoteReference w:id="13"/>
      </w:r>
      <w:r w:rsidRPr="00707854">
        <w:rPr>
          <w:color w:val="000000" w:themeColor="text1"/>
        </w:rPr>
        <w:t xml:space="preserve">  </w:t>
      </w:r>
      <w:r w:rsidR="00ED3BF7" w:rsidRPr="00707854">
        <w:rPr>
          <w:color w:val="000000" w:themeColor="text1"/>
        </w:rPr>
        <w:t xml:space="preserve">However, </w:t>
      </w:r>
      <w:r w:rsidR="001A5D97" w:rsidRPr="00707854">
        <w:rPr>
          <w:color w:val="000000" w:themeColor="text1"/>
        </w:rPr>
        <w:t xml:space="preserve">the Court does not require or expect </w:t>
      </w:r>
      <w:r w:rsidRPr="00707854">
        <w:rPr>
          <w:color w:val="000000" w:themeColor="text1"/>
        </w:rPr>
        <w:t xml:space="preserve">such </w:t>
      </w:r>
      <w:r w:rsidR="00ED3BF7" w:rsidRPr="00707854">
        <w:rPr>
          <w:color w:val="000000" w:themeColor="text1"/>
        </w:rPr>
        <w:t xml:space="preserve">domestic </w:t>
      </w:r>
      <w:r w:rsidRPr="00707854">
        <w:rPr>
          <w:color w:val="000000" w:themeColor="text1"/>
        </w:rPr>
        <w:t xml:space="preserve">rules </w:t>
      </w:r>
      <w:r w:rsidR="001A5D97" w:rsidRPr="00707854">
        <w:rPr>
          <w:color w:val="000000" w:themeColor="text1"/>
        </w:rPr>
        <w:t>to be rendered null and void</w:t>
      </w:r>
      <w:r w:rsidRPr="00707854">
        <w:rPr>
          <w:color w:val="000000" w:themeColor="text1"/>
        </w:rPr>
        <w:t xml:space="preserve">, only to be </w:t>
      </w:r>
      <w:r w:rsidR="001A5D97" w:rsidRPr="00707854">
        <w:rPr>
          <w:color w:val="000000" w:themeColor="text1"/>
        </w:rPr>
        <w:t>disapplied</w:t>
      </w:r>
      <w:r w:rsidRPr="00707854">
        <w:rPr>
          <w:color w:val="000000" w:themeColor="text1"/>
        </w:rPr>
        <w:t xml:space="preserve">, and only to </w:t>
      </w:r>
      <w:r w:rsidR="008775BA" w:rsidRPr="00707854">
        <w:rPr>
          <w:color w:val="000000" w:themeColor="text1"/>
        </w:rPr>
        <w:t>the extent of their incompatibility with the Treaties.</w:t>
      </w:r>
      <w:r w:rsidR="00193D18" w:rsidRPr="00707854">
        <w:rPr>
          <w:rStyle w:val="FootnoteReference"/>
          <w:color w:val="000000" w:themeColor="text1"/>
        </w:rPr>
        <w:footnoteReference w:id="14"/>
      </w:r>
      <w:r w:rsidR="008775BA" w:rsidRPr="00707854">
        <w:rPr>
          <w:color w:val="000000" w:themeColor="text1"/>
        </w:rPr>
        <w:t xml:space="preserve">  </w:t>
      </w:r>
    </w:p>
    <w:p w14:paraId="4BE56EEA" w14:textId="26AFC081" w:rsidR="007E0CDE" w:rsidRDefault="00F972AE" w:rsidP="007E0CDE">
      <w:pPr>
        <w:ind w:firstLine="720"/>
        <w:jc w:val="both"/>
        <w:rPr>
          <w:color w:val="000000" w:themeColor="text1"/>
        </w:rPr>
      </w:pPr>
      <w:r w:rsidRPr="007A58EA">
        <w:rPr>
          <w:color w:val="000000" w:themeColor="text1"/>
        </w:rPr>
        <w:t>Thirdly, Union law recognises that, in certain situations, th</w:t>
      </w:r>
      <w:r w:rsidR="00A4049B" w:rsidRPr="007A58EA">
        <w:rPr>
          <w:color w:val="000000" w:themeColor="text1"/>
        </w:rPr>
        <w:t>at</w:t>
      </w:r>
      <w:r w:rsidRPr="007A58EA">
        <w:rPr>
          <w:color w:val="000000" w:themeColor="text1"/>
        </w:rPr>
        <w:t xml:space="preserve"> requirement of disapplication might be excused or suspended on an exceptional basis – particularly on grounds related to the protection of legal certainty.  In some cases, the power to limit the full effects of primacy falls directly under the jurisdiction of the Court itself: for example, when it comes to </w:t>
      </w:r>
      <w:r w:rsidR="004F241B" w:rsidRPr="007A58EA">
        <w:rPr>
          <w:color w:val="000000" w:themeColor="text1"/>
        </w:rPr>
        <w:t>restricting</w:t>
      </w:r>
      <w:r w:rsidRPr="007A58EA">
        <w:rPr>
          <w:color w:val="000000" w:themeColor="text1"/>
        </w:rPr>
        <w:t xml:space="preserve"> the </w:t>
      </w:r>
      <w:r w:rsidR="00154EAC">
        <w:rPr>
          <w:color w:val="000000" w:themeColor="text1"/>
        </w:rPr>
        <w:t xml:space="preserve">general </w:t>
      </w:r>
      <w:r w:rsidRPr="007A58EA">
        <w:rPr>
          <w:color w:val="000000" w:themeColor="text1"/>
        </w:rPr>
        <w:t xml:space="preserve">temporal effects of a preliminary ruling, or </w:t>
      </w:r>
      <w:r w:rsidR="00154EAC">
        <w:rPr>
          <w:color w:val="000000" w:themeColor="text1"/>
        </w:rPr>
        <w:t xml:space="preserve">to </w:t>
      </w:r>
      <w:r w:rsidRPr="007A58EA">
        <w:rPr>
          <w:color w:val="000000" w:themeColor="text1"/>
        </w:rPr>
        <w:t>declaring a Union act unenforceable for want of adequate publication.</w:t>
      </w:r>
      <w:r w:rsidRPr="007A58EA">
        <w:rPr>
          <w:rStyle w:val="FootnoteReference"/>
          <w:color w:val="000000" w:themeColor="text1"/>
        </w:rPr>
        <w:footnoteReference w:id="15"/>
      </w:r>
      <w:r w:rsidRPr="007A58EA">
        <w:rPr>
          <w:color w:val="000000" w:themeColor="text1"/>
        </w:rPr>
        <w:t xml:space="preserve">  In other situations, the initiative to withhold disapplication lies with the national courts, albeit subject to guidance and oversight by the ECJ: for example, as regards compliance with domestic limitation periods, or respect for national rules protecting </w:t>
      </w:r>
      <w:r w:rsidRPr="007A58EA">
        <w:rPr>
          <w:i/>
          <w:iCs/>
          <w:color w:val="000000" w:themeColor="text1"/>
        </w:rPr>
        <w:t>res judicata</w:t>
      </w:r>
      <w:r w:rsidRPr="007A58EA">
        <w:rPr>
          <w:color w:val="000000" w:themeColor="text1"/>
        </w:rPr>
        <w:t>.</w:t>
      </w:r>
      <w:r w:rsidRPr="007A58EA">
        <w:rPr>
          <w:rStyle w:val="FootnoteReference"/>
          <w:color w:val="000000" w:themeColor="text1"/>
        </w:rPr>
        <w:footnoteReference w:id="16"/>
      </w:r>
      <w:r w:rsidRPr="007A58EA">
        <w:rPr>
          <w:color w:val="000000" w:themeColor="text1"/>
        </w:rPr>
        <w:t xml:space="preserve">  The caselaw here continues to develop steadily and incrementally – particularly when it comes to a national court’s request </w:t>
      </w:r>
      <w:r w:rsidR="00EB3C99" w:rsidRPr="007A58EA">
        <w:rPr>
          <w:color w:val="000000" w:themeColor="text1"/>
        </w:rPr>
        <w:t xml:space="preserve">temporarily </w:t>
      </w:r>
      <w:r w:rsidRPr="007A58EA">
        <w:rPr>
          <w:color w:val="000000" w:themeColor="text1"/>
        </w:rPr>
        <w:t xml:space="preserve">to suspend </w:t>
      </w:r>
      <w:r w:rsidR="00EB3C99" w:rsidRPr="007A58EA">
        <w:rPr>
          <w:color w:val="000000" w:themeColor="text1"/>
        </w:rPr>
        <w:t xml:space="preserve">the </w:t>
      </w:r>
      <w:r w:rsidRPr="007A58EA">
        <w:rPr>
          <w:color w:val="000000" w:themeColor="text1"/>
        </w:rPr>
        <w:t>disapplication</w:t>
      </w:r>
      <w:r w:rsidR="00EB3C99" w:rsidRPr="007A58EA">
        <w:rPr>
          <w:color w:val="000000" w:themeColor="text1"/>
        </w:rPr>
        <w:t xml:space="preserve"> of admittedly incompatible domestic rules</w:t>
      </w:r>
      <w:r w:rsidRPr="007A58EA">
        <w:rPr>
          <w:color w:val="000000" w:themeColor="text1"/>
        </w:rPr>
        <w:t xml:space="preserve">, on </w:t>
      </w:r>
      <w:r w:rsidR="00EB3C99" w:rsidRPr="007A58EA">
        <w:rPr>
          <w:color w:val="000000" w:themeColor="text1"/>
        </w:rPr>
        <w:t xml:space="preserve">the </w:t>
      </w:r>
      <w:r w:rsidRPr="007A58EA">
        <w:rPr>
          <w:color w:val="000000" w:themeColor="text1"/>
        </w:rPr>
        <w:t xml:space="preserve">grounds </w:t>
      </w:r>
      <w:r w:rsidR="00EB3C99" w:rsidRPr="007A58EA">
        <w:rPr>
          <w:color w:val="000000" w:themeColor="text1"/>
        </w:rPr>
        <w:t xml:space="preserve">that such suspension </w:t>
      </w:r>
      <w:r w:rsidR="00154EAC">
        <w:rPr>
          <w:color w:val="000000" w:themeColor="text1"/>
        </w:rPr>
        <w:t>is necessary to</w:t>
      </w:r>
      <w:r w:rsidR="00EB3C99" w:rsidRPr="007A58EA">
        <w:rPr>
          <w:color w:val="000000" w:themeColor="text1"/>
        </w:rPr>
        <w:t xml:space="preserve"> avoid the creation of </w:t>
      </w:r>
      <w:r w:rsidRPr="007A58EA">
        <w:rPr>
          <w:color w:val="000000" w:themeColor="text1"/>
        </w:rPr>
        <w:t>a regulatory vacuum</w:t>
      </w:r>
      <w:r w:rsidR="00154EAC">
        <w:rPr>
          <w:color w:val="000000" w:themeColor="text1"/>
        </w:rPr>
        <w:t>,</w:t>
      </w:r>
      <w:r w:rsidRPr="007A58EA">
        <w:rPr>
          <w:color w:val="000000" w:themeColor="text1"/>
        </w:rPr>
        <w:t xml:space="preserve"> </w:t>
      </w:r>
      <w:r w:rsidR="00EB3C99" w:rsidRPr="007A58EA">
        <w:rPr>
          <w:color w:val="000000" w:themeColor="text1"/>
        </w:rPr>
        <w:t>capable of doing even greater damage</w:t>
      </w:r>
      <w:r w:rsidRPr="007A58EA">
        <w:rPr>
          <w:color w:val="000000" w:themeColor="text1"/>
        </w:rPr>
        <w:t xml:space="preserve"> </w:t>
      </w:r>
      <w:r w:rsidR="00EB3C99" w:rsidRPr="007A58EA">
        <w:rPr>
          <w:color w:val="000000" w:themeColor="text1"/>
        </w:rPr>
        <w:t xml:space="preserve">to the </w:t>
      </w:r>
      <w:r w:rsidRPr="007A58EA">
        <w:rPr>
          <w:color w:val="000000" w:themeColor="text1"/>
        </w:rPr>
        <w:t>public interest</w:t>
      </w:r>
      <w:r w:rsidR="00EB3C99" w:rsidRPr="007A58EA">
        <w:rPr>
          <w:color w:val="000000" w:themeColor="text1"/>
        </w:rPr>
        <w:t xml:space="preserve"> than the Member State’s breach of its Treaty obligations</w:t>
      </w:r>
      <w:r w:rsidRPr="007A58EA">
        <w:rPr>
          <w:color w:val="000000" w:themeColor="text1"/>
        </w:rPr>
        <w:t>.</w:t>
      </w:r>
      <w:r w:rsidRPr="007A58EA">
        <w:rPr>
          <w:rStyle w:val="FootnoteReference"/>
          <w:color w:val="000000" w:themeColor="text1"/>
        </w:rPr>
        <w:footnoteReference w:id="17"/>
      </w:r>
    </w:p>
    <w:p w14:paraId="76CAE2B3" w14:textId="5C972551" w:rsidR="007E0CDE" w:rsidRDefault="00F972AE" w:rsidP="007E0CDE">
      <w:pPr>
        <w:ind w:firstLine="720"/>
        <w:jc w:val="both"/>
        <w:rPr>
          <w:color w:val="000000" w:themeColor="text1"/>
        </w:rPr>
      </w:pPr>
      <w:r w:rsidRPr="007A58EA">
        <w:rPr>
          <w:color w:val="000000" w:themeColor="text1"/>
        </w:rPr>
        <w:t xml:space="preserve">All that </w:t>
      </w:r>
      <w:r w:rsidR="00A4049B" w:rsidRPr="007A58EA">
        <w:rPr>
          <w:color w:val="000000" w:themeColor="text1"/>
        </w:rPr>
        <w:t xml:space="preserve">having been </w:t>
      </w:r>
      <w:r w:rsidR="00430953" w:rsidRPr="007A58EA">
        <w:rPr>
          <w:color w:val="000000" w:themeColor="text1"/>
        </w:rPr>
        <w:t>said</w:t>
      </w:r>
      <w:r w:rsidR="00A4049B" w:rsidRPr="007A58EA">
        <w:rPr>
          <w:color w:val="000000" w:themeColor="text1"/>
        </w:rPr>
        <w:t xml:space="preserve"> and acknowledged</w:t>
      </w:r>
      <w:r w:rsidR="00430953" w:rsidRPr="007A58EA">
        <w:rPr>
          <w:color w:val="000000" w:themeColor="text1"/>
        </w:rPr>
        <w:t xml:space="preserve">, </w:t>
      </w:r>
      <w:r w:rsidR="00A4049B" w:rsidRPr="007A58EA">
        <w:rPr>
          <w:color w:val="000000" w:themeColor="text1"/>
        </w:rPr>
        <w:t xml:space="preserve">it may well be that </w:t>
      </w:r>
      <w:r w:rsidR="00430953" w:rsidRPr="007A58EA">
        <w:rPr>
          <w:color w:val="000000" w:themeColor="text1"/>
        </w:rPr>
        <w:t xml:space="preserve">an incompatibility with Union law </w:t>
      </w:r>
      <w:r w:rsidR="00A4049B" w:rsidRPr="007A58EA">
        <w:rPr>
          <w:color w:val="000000" w:themeColor="text1"/>
        </w:rPr>
        <w:t xml:space="preserve">should indeed </w:t>
      </w:r>
      <w:r w:rsidR="00430953" w:rsidRPr="007A58EA">
        <w:rPr>
          <w:color w:val="000000" w:themeColor="text1"/>
        </w:rPr>
        <w:t xml:space="preserve">result in the nullity </w:t>
      </w:r>
      <w:r w:rsidR="00EB3C99" w:rsidRPr="007A58EA">
        <w:rPr>
          <w:color w:val="000000" w:themeColor="text1"/>
        </w:rPr>
        <w:t xml:space="preserve">(not mere disapplication) </w:t>
      </w:r>
      <w:r w:rsidR="00430953" w:rsidRPr="007A58EA">
        <w:rPr>
          <w:color w:val="000000" w:themeColor="text1"/>
        </w:rPr>
        <w:t>of certain domestic acts</w:t>
      </w:r>
      <w:r w:rsidR="00A4049B" w:rsidRPr="007A58EA">
        <w:rPr>
          <w:color w:val="000000" w:themeColor="text1"/>
        </w:rPr>
        <w:t xml:space="preserve"> – </w:t>
      </w:r>
      <w:r w:rsidR="00430953" w:rsidRPr="007A58EA">
        <w:rPr>
          <w:color w:val="000000" w:themeColor="text1"/>
        </w:rPr>
        <w:t xml:space="preserve">albeit </w:t>
      </w:r>
      <w:r w:rsidR="00A4049B" w:rsidRPr="007A58EA">
        <w:rPr>
          <w:color w:val="000000" w:themeColor="text1"/>
        </w:rPr>
        <w:t xml:space="preserve">through legal channels </w:t>
      </w:r>
      <w:r w:rsidR="00B67067">
        <w:rPr>
          <w:color w:val="000000" w:themeColor="text1"/>
        </w:rPr>
        <w:t xml:space="preserve">going beyond </w:t>
      </w:r>
      <w:r w:rsidR="00430953" w:rsidRPr="007A58EA">
        <w:rPr>
          <w:color w:val="000000" w:themeColor="text1"/>
        </w:rPr>
        <w:t xml:space="preserve">the basic </w:t>
      </w:r>
      <w:r w:rsidR="00585E64" w:rsidRPr="007A58EA">
        <w:rPr>
          <w:color w:val="000000" w:themeColor="text1"/>
        </w:rPr>
        <w:t xml:space="preserve">expectations associated with the principle of </w:t>
      </w:r>
      <w:r w:rsidR="00430953" w:rsidRPr="007A58EA">
        <w:rPr>
          <w:color w:val="000000" w:themeColor="text1"/>
        </w:rPr>
        <w:t>primacy</w:t>
      </w:r>
      <w:r w:rsidR="005235E3">
        <w:rPr>
          <w:color w:val="000000" w:themeColor="text1"/>
        </w:rPr>
        <w:t xml:space="preserve"> </w:t>
      </w:r>
      <w:r w:rsidR="005235E3" w:rsidRPr="005235E3">
        <w:rPr>
          <w:i/>
          <w:iCs/>
          <w:color w:val="000000" w:themeColor="text1"/>
        </w:rPr>
        <w:t>per se</w:t>
      </w:r>
      <w:r w:rsidR="00430953" w:rsidRPr="007A58EA">
        <w:rPr>
          <w:color w:val="000000" w:themeColor="text1"/>
        </w:rPr>
        <w:t xml:space="preserve">.  At one extreme, </w:t>
      </w:r>
      <w:r w:rsidR="001D6BCE" w:rsidRPr="007A58EA">
        <w:rPr>
          <w:color w:val="000000" w:themeColor="text1"/>
        </w:rPr>
        <w:t xml:space="preserve">the Treaties </w:t>
      </w:r>
      <w:r w:rsidR="00430953" w:rsidRPr="007A58EA">
        <w:rPr>
          <w:color w:val="000000" w:themeColor="text1"/>
        </w:rPr>
        <w:t xml:space="preserve">might explicitly demand a sanction of nullity for </w:t>
      </w:r>
      <w:r w:rsidR="00D83497" w:rsidRPr="007A58EA">
        <w:rPr>
          <w:color w:val="000000" w:themeColor="text1"/>
        </w:rPr>
        <w:t xml:space="preserve">certain </w:t>
      </w:r>
      <w:r w:rsidR="00430953" w:rsidRPr="007A58EA">
        <w:rPr>
          <w:color w:val="000000" w:themeColor="text1"/>
        </w:rPr>
        <w:t xml:space="preserve">incompatible </w:t>
      </w:r>
      <w:r w:rsidR="00D83497" w:rsidRPr="007A58EA">
        <w:rPr>
          <w:color w:val="000000" w:themeColor="text1"/>
        </w:rPr>
        <w:t>national measures</w:t>
      </w:r>
      <w:r w:rsidR="00430953" w:rsidRPr="007A58EA">
        <w:rPr>
          <w:color w:val="000000" w:themeColor="text1"/>
        </w:rPr>
        <w:t>: perhaps the most famous example is Article 101(2) TFEU, which provides that anti-competitive agreements or decisions “shall be automatically void”;</w:t>
      </w:r>
      <w:r w:rsidR="00430953" w:rsidRPr="007A58EA">
        <w:rPr>
          <w:rStyle w:val="FootnoteReference"/>
          <w:color w:val="000000" w:themeColor="text1"/>
        </w:rPr>
        <w:footnoteReference w:id="18"/>
      </w:r>
      <w:r w:rsidR="00430953" w:rsidRPr="007A58EA">
        <w:rPr>
          <w:color w:val="000000" w:themeColor="text1"/>
        </w:rPr>
        <w:t xml:space="preserve">  </w:t>
      </w:r>
      <w:r w:rsidR="00A35F44" w:rsidRPr="007A58EA">
        <w:rPr>
          <w:color w:val="000000" w:themeColor="text1"/>
        </w:rPr>
        <w:t>though</w:t>
      </w:r>
      <w:r w:rsidR="001D6BCE" w:rsidRPr="007A58EA">
        <w:rPr>
          <w:color w:val="000000" w:themeColor="text1"/>
        </w:rPr>
        <w:t xml:space="preserve"> </w:t>
      </w:r>
      <w:r w:rsidR="00430953" w:rsidRPr="007A58EA">
        <w:rPr>
          <w:color w:val="000000" w:themeColor="text1"/>
        </w:rPr>
        <w:t xml:space="preserve">Union </w:t>
      </w:r>
      <w:r w:rsidR="001D6BCE" w:rsidRPr="007A58EA">
        <w:rPr>
          <w:color w:val="000000" w:themeColor="text1"/>
        </w:rPr>
        <w:t xml:space="preserve">secondary </w:t>
      </w:r>
      <w:r w:rsidR="00430953" w:rsidRPr="007A58EA">
        <w:rPr>
          <w:color w:val="000000" w:themeColor="text1"/>
        </w:rPr>
        <w:t xml:space="preserve">legislation </w:t>
      </w:r>
      <w:r w:rsidR="001D6BCE" w:rsidRPr="007A58EA">
        <w:rPr>
          <w:color w:val="000000" w:themeColor="text1"/>
        </w:rPr>
        <w:t xml:space="preserve">can also </w:t>
      </w:r>
      <w:r w:rsidR="00D83497" w:rsidRPr="007A58EA">
        <w:rPr>
          <w:color w:val="000000" w:themeColor="text1"/>
        </w:rPr>
        <w:t xml:space="preserve">expressly </w:t>
      </w:r>
      <w:r w:rsidR="00430953" w:rsidRPr="007A58EA">
        <w:rPr>
          <w:color w:val="000000" w:themeColor="text1"/>
        </w:rPr>
        <w:t xml:space="preserve">demand the nullity of </w:t>
      </w:r>
      <w:r w:rsidR="005235E3">
        <w:rPr>
          <w:color w:val="000000" w:themeColor="text1"/>
        </w:rPr>
        <w:t xml:space="preserve">particular </w:t>
      </w:r>
      <w:r w:rsidR="00430953" w:rsidRPr="007A58EA">
        <w:rPr>
          <w:color w:val="000000" w:themeColor="text1"/>
        </w:rPr>
        <w:t>domestic act</w:t>
      </w:r>
      <w:r w:rsidR="001D6BCE" w:rsidRPr="007A58EA">
        <w:rPr>
          <w:color w:val="000000" w:themeColor="text1"/>
        </w:rPr>
        <w:t>s</w:t>
      </w:r>
      <w:r w:rsidR="005235E3" w:rsidRPr="005235E3">
        <w:rPr>
          <w:color w:val="000000" w:themeColor="text1"/>
        </w:rPr>
        <w:t xml:space="preserve"> </w:t>
      </w:r>
      <w:r w:rsidR="005235E3">
        <w:rPr>
          <w:color w:val="000000" w:themeColor="text1"/>
        </w:rPr>
        <w:t>as the appropriate sanction for their breach of Union law</w:t>
      </w:r>
      <w:r w:rsidR="00D83497" w:rsidRPr="007A58EA">
        <w:rPr>
          <w:color w:val="000000" w:themeColor="text1"/>
        </w:rPr>
        <w:t>.</w:t>
      </w:r>
      <w:r w:rsidR="001D6BCE" w:rsidRPr="007A58EA">
        <w:rPr>
          <w:rStyle w:val="FootnoteReference"/>
          <w:color w:val="000000" w:themeColor="text1"/>
        </w:rPr>
        <w:footnoteReference w:id="19"/>
      </w:r>
      <w:r w:rsidR="001D6BCE" w:rsidRPr="007A58EA">
        <w:rPr>
          <w:color w:val="000000" w:themeColor="text1"/>
        </w:rPr>
        <w:t xml:space="preserve"> </w:t>
      </w:r>
      <w:r w:rsidR="00430953" w:rsidRPr="007A58EA">
        <w:rPr>
          <w:color w:val="000000" w:themeColor="text1"/>
        </w:rPr>
        <w:t>At the other extreme, e</w:t>
      </w:r>
      <w:r w:rsidR="00E321BF" w:rsidRPr="007A58EA">
        <w:rPr>
          <w:color w:val="000000" w:themeColor="text1"/>
        </w:rPr>
        <w:t>ach n</w:t>
      </w:r>
      <w:r w:rsidR="00F51A99" w:rsidRPr="007A58EA">
        <w:rPr>
          <w:color w:val="000000" w:themeColor="text1"/>
        </w:rPr>
        <w:t xml:space="preserve">ational </w:t>
      </w:r>
      <w:r w:rsidR="00FB7CBA">
        <w:rPr>
          <w:color w:val="000000" w:themeColor="text1"/>
        </w:rPr>
        <w:t xml:space="preserve">legal </w:t>
      </w:r>
      <w:r w:rsidR="00E321BF" w:rsidRPr="007A58EA">
        <w:rPr>
          <w:color w:val="000000" w:themeColor="text1"/>
        </w:rPr>
        <w:t>system</w:t>
      </w:r>
      <w:r w:rsidR="001840C9" w:rsidRPr="007A58EA">
        <w:rPr>
          <w:color w:val="000000" w:themeColor="text1"/>
        </w:rPr>
        <w:t xml:space="preserve"> </w:t>
      </w:r>
      <w:r w:rsidR="00A35F44" w:rsidRPr="007A58EA">
        <w:rPr>
          <w:color w:val="000000" w:themeColor="text1"/>
        </w:rPr>
        <w:t>may</w:t>
      </w:r>
      <w:r w:rsidR="00F51A99" w:rsidRPr="007A58EA">
        <w:rPr>
          <w:color w:val="000000" w:themeColor="text1"/>
        </w:rPr>
        <w:t xml:space="preserve">, of course, </w:t>
      </w:r>
      <w:r w:rsidR="001840C9" w:rsidRPr="007A58EA">
        <w:rPr>
          <w:color w:val="000000" w:themeColor="text1"/>
        </w:rPr>
        <w:t xml:space="preserve">opt </w:t>
      </w:r>
      <w:r w:rsidR="00181C0D" w:rsidRPr="007A58EA">
        <w:rPr>
          <w:color w:val="000000" w:themeColor="text1"/>
        </w:rPr>
        <w:t xml:space="preserve">for itself </w:t>
      </w:r>
      <w:r w:rsidR="001840C9" w:rsidRPr="007A58EA">
        <w:rPr>
          <w:color w:val="000000" w:themeColor="text1"/>
        </w:rPr>
        <w:t xml:space="preserve">to provide that certain forms of incompatibility with Union law </w:t>
      </w:r>
      <w:r w:rsidR="00A35F44" w:rsidRPr="007A58EA">
        <w:rPr>
          <w:color w:val="000000" w:themeColor="text1"/>
        </w:rPr>
        <w:t xml:space="preserve">shall </w:t>
      </w:r>
      <w:r w:rsidR="001840C9" w:rsidRPr="007A58EA">
        <w:rPr>
          <w:color w:val="000000" w:themeColor="text1"/>
        </w:rPr>
        <w:t xml:space="preserve">serve to nullify the relevant domestic provision – and it is clear that that </w:t>
      </w:r>
      <w:r w:rsidR="00E321BF" w:rsidRPr="007A58EA">
        <w:rPr>
          <w:color w:val="000000" w:themeColor="text1"/>
        </w:rPr>
        <w:t xml:space="preserve">is what </w:t>
      </w:r>
      <w:r w:rsidR="001840C9" w:rsidRPr="007A58EA">
        <w:rPr>
          <w:color w:val="000000" w:themeColor="text1"/>
        </w:rPr>
        <w:t>happens in a great many situations</w:t>
      </w:r>
      <w:r w:rsidR="00FB7CBA">
        <w:rPr>
          <w:color w:val="000000" w:themeColor="text1"/>
        </w:rPr>
        <w:t>, covering both public law acts and private law relationships</w:t>
      </w:r>
      <w:r w:rsidR="001840C9" w:rsidRPr="007A58EA">
        <w:rPr>
          <w:color w:val="000000" w:themeColor="text1"/>
        </w:rPr>
        <w:t>.</w:t>
      </w:r>
      <w:r w:rsidR="001840C9" w:rsidRPr="007A58EA">
        <w:rPr>
          <w:rStyle w:val="FootnoteReference"/>
          <w:color w:val="000000" w:themeColor="text1"/>
        </w:rPr>
        <w:footnoteReference w:id="20"/>
      </w:r>
      <w:r w:rsidR="00A35F44" w:rsidRPr="007A58EA">
        <w:rPr>
          <w:color w:val="000000" w:themeColor="text1"/>
        </w:rPr>
        <w:t xml:space="preserve">  </w:t>
      </w:r>
      <w:r w:rsidR="00D83497" w:rsidRPr="007A58EA">
        <w:rPr>
          <w:color w:val="000000" w:themeColor="text1"/>
        </w:rPr>
        <w:t xml:space="preserve">In between those </w:t>
      </w:r>
      <w:r w:rsidR="002555E4" w:rsidRPr="007A58EA">
        <w:rPr>
          <w:color w:val="000000" w:themeColor="text1"/>
        </w:rPr>
        <w:t xml:space="preserve">two </w:t>
      </w:r>
      <w:r w:rsidR="00D83497" w:rsidRPr="007A58EA">
        <w:rPr>
          <w:color w:val="000000" w:themeColor="text1"/>
        </w:rPr>
        <w:t xml:space="preserve">poles, Union legislation </w:t>
      </w:r>
      <w:r w:rsidR="002555E4" w:rsidRPr="007A58EA">
        <w:rPr>
          <w:color w:val="000000" w:themeColor="text1"/>
        </w:rPr>
        <w:t xml:space="preserve">might </w:t>
      </w:r>
      <w:r w:rsidR="00B3024F" w:rsidRPr="007A58EA">
        <w:rPr>
          <w:color w:val="000000" w:themeColor="text1"/>
        </w:rPr>
        <w:t xml:space="preserve">specifically </w:t>
      </w:r>
      <w:r w:rsidR="002555E4" w:rsidRPr="007A58EA">
        <w:rPr>
          <w:color w:val="000000" w:themeColor="text1"/>
        </w:rPr>
        <w:t xml:space="preserve">call for types </w:t>
      </w:r>
      <w:r w:rsidR="00D83497" w:rsidRPr="007A58EA">
        <w:rPr>
          <w:color w:val="000000" w:themeColor="text1"/>
        </w:rPr>
        <w:t xml:space="preserve">of legal relief </w:t>
      </w:r>
      <w:r w:rsidR="002555E4" w:rsidRPr="007A58EA">
        <w:rPr>
          <w:color w:val="000000" w:themeColor="text1"/>
        </w:rPr>
        <w:t xml:space="preserve">against incompatible national measures </w:t>
      </w:r>
      <w:r w:rsidR="00D83497" w:rsidRPr="007A58EA">
        <w:rPr>
          <w:color w:val="000000" w:themeColor="text1"/>
        </w:rPr>
        <w:t>that</w:t>
      </w:r>
      <w:r w:rsidR="002555E4" w:rsidRPr="007A58EA">
        <w:rPr>
          <w:color w:val="000000" w:themeColor="text1"/>
        </w:rPr>
        <w:t xml:space="preserve"> are </w:t>
      </w:r>
      <w:r w:rsidR="00D83497" w:rsidRPr="007A58EA">
        <w:rPr>
          <w:color w:val="000000" w:themeColor="text1"/>
        </w:rPr>
        <w:t xml:space="preserve">virtually </w:t>
      </w:r>
      <w:r w:rsidR="002555E4" w:rsidRPr="007A58EA">
        <w:rPr>
          <w:color w:val="000000" w:themeColor="text1"/>
        </w:rPr>
        <w:t xml:space="preserve">indistinguishable from straightforward nullity – so it is unsurprising to find that that is precisely how such Union legislation ends up being implemented </w:t>
      </w:r>
      <w:r w:rsidR="00FB7CBA">
        <w:rPr>
          <w:color w:val="000000" w:themeColor="text1"/>
        </w:rPr>
        <w:t xml:space="preserve">in practice </w:t>
      </w:r>
      <w:r w:rsidR="002555E4" w:rsidRPr="007A58EA">
        <w:rPr>
          <w:color w:val="000000" w:themeColor="text1"/>
        </w:rPr>
        <w:t>within the Member States.</w:t>
      </w:r>
      <w:r w:rsidR="00B67067">
        <w:rPr>
          <w:color w:val="000000" w:themeColor="text1"/>
        </w:rPr>
        <w:t xml:space="preserve">  For example, </w:t>
      </w:r>
      <w:r w:rsidR="00B67067" w:rsidRPr="00F87B9A">
        <w:rPr>
          <w:color w:val="000000" w:themeColor="text1"/>
        </w:rPr>
        <w:t xml:space="preserve">the Unfair Contract Terms Directive obliges Member States to </w:t>
      </w:r>
      <w:r w:rsidR="00B67067" w:rsidRPr="00F87B9A">
        <w:rPr>
          <w:color w:val="000000" w:themeColor="text1"/>
        </w:rPr>
        <w:lastRenderedPageBreak/>
        <w:t>ensure, under their national law, that unfair contractual terms shall not be binding on the consumer</w:t>
      </w:r>
      <w:r w:rsidR="00B67067">
        <w:rPr>
          <w:color w:val="000000" w:themeColor="text1"/>
        </w:rPr>
        <w:t>:</w:t>
      </w:r>
      <w:r w:rsidR="00B67067">
        <w:rPr>
          <w:rStyle w:val="FootnoteReference"/>
          <w:color w:val="000000" w:themeColor="text1"/>
        </w:rPr>
        <w:footnoteReference w:id="21"/>
      </w:r>
      <w:r w:rsidR="00B67067" w:rsidRPr="00F87B9A">
        <w:rPr>
          <w:color w:val="000000" w:themeColor="text1"/>
        </w:rPr>
        <w:t xml:space="preserve"> </w:t>
      </w:r>
      <w:r w:rsidR="00B67067">
        <w:rPr>
          <w:color w:val="000000" w:themeColor="text1"/>
        </w:rPr>
        <w:t xml:space="preserve">the </w:t>
      </w:r>
      <w:r w:rsidR="00B67067" w:rsidRPr="00F87B9A">
        <w:rPr>
          <w:color w:val="000000" w:themeColor="text1"/>
        </w:rPr>
        <w:t>Court has interpreted this to mean that unfair contractual terms must be regarded, in principle, as never having existed, so that they cannot have any effect on the consumer</w:t>
      </w:r>
      <w:r w:rsidR="00B67067">
        <w:rPr>
          <w:color w:val="000000" w:themeColor="text1"/>
        </w:rPr>
        <w:t>;</w:t>
      </w:r>
      <w:r w:rsidR="00B67067">
        <w:rPr>
          <w:rStyle w:val="FootnoteReference"/>
          <w:color w:val="000000" w:themeColor="text1"/>
        </w:rPr>
        <w:footnoteReference w:id="22"/>
      </w:r>
      <w:r w:rsidR="00B67067" w:rsidRPr="00F87B9A">
        <w:rPr>
          <w:color w:val="000000" w:themeColor="text1"/>
        </w:rPr>
        <w:t xml:space="preserve"> </w:t>
      </w:r>
      <w:r w:rsidR="00B67067">
        <w:rPr>
          <w:color w:val="000000" w:themeColor="text1"/>
        </w:rPr>
        <w:t xml:space="preserve">in </w:t>
      </w:r>
      <w:r w:rsidR="00B67067" w:rsidRPr="00F87B9A">
        <w:rPr>
          <w:color w:val="000000" w:themeColor="text1"/>
        </w:rPr>
        <w:t xml:space="preserve">practice, various domestic legal systems therefore opt to treat unfair contractual terms </w:t>
      </w:r>
      <w:r w:rsidR="00154EAC">
        <w:rPr>
          <w:color w:val="000000" w:themeColor="text1"/>
        </w:rPr>
        <w:t xml:space="preserve">simply </w:t>
      </w:r>
      <w:r w:rsidR="00B67067" w:rsidRPr="00F87B9A">
        <w:rPr>
          <w:color w:val="000000" w:themeColor="text1"/>
        </w:rPr>
        <w:t>as being null and void.</w:t>
      </w:r>
      <w:r w:rsidR="002555E4" w:rsidRPr="007A58EA">
        <w:rPr>
          <w:rStyle w:val="FootnoteReference"/>
          <w:color w:val="000000" w:themeColor="text1"/>
        </w:rPr>
        <w:footnoteReference w:id="23"/>
      </w:r>
      <w:r w:rsidR="002555E4" w:rsidRPr="007A58EA">
        <w:rPr>
          <w:color w:val="000000" w:themeColor="text1"/>
        </w:rPr>
        <w:t xml:space="preserve"> </w:t>
      </w:r>
      <w:r w:rsidR="00D83497" w:rsidRPr="007A58EA">
        <w:rPr>
          <w:color w:val="000000" w:themeColor="text1"/>
        </w:rPr>
        <w:t xml:space="preserve"> </w:t>
      </w:r>
      <w:r w:rsidR="00A35F44" w:rsidRPr="007A58EA">
        <w:rPr>
          <w:color w:val="000000" w:themeColor="text1"/>
        </w:rPr>
        <w:t xml:space="preserve">But in all such cases, </w:t>
      </w:r>
      <w:r w:rsidR="002555E4" w:rsidRPr="007A58EA">
        <w:rPr>
          <w:color w:val="000000" w:themeColor="text1"/>
        </w:rPr>
        <w:t xml:space="preserve">it is important to stress that </w:t>
      </w:r>
      <w:r w:rsidR="00A35F44" w:rsidRPr="007A58EA">
        <w:rPr>
          <w:color w:val="000000" w:themeColor="text1"/>
        </w:rPr>
        <w:t xml:space="preserve">annulment is either a distinct obligation imposed directly under the Treaties, </w:t>
      </w:r>
      <w:r w:rsidR="00D83497" w:rsidRPr="007A58EA">
        <w:rPr>
          <w:color w:val="000000" w:themeColor="text1"/>
        </w:rPr>
        <w:t xml:space="preserve">or </w:t>
      </w:r>
      <w:r w:rsidR="00A35F44" w:rsidRPr="007A58EA">
        <w:rPr>
          <w:color w:val="000000" w:themeColor="text1"/>
        </w:rPr>
        <w:t xml:space="preserve">a </w:t>
      </w:r>
      <w:r w:rsidR="00D83497" w:rsidRPr="007A58EA">
        <w:rPr>
          <w:color w:val="000000" w:themeColor="text1"/>
        </w:rPr>
        <w:t xml:space="preserve">voluntary </w:t>
      </w:r>
      <w:r w:rsidR="00A35F44" w:rsidRPr="007A58EA">
        <w:rPr>
          <w:color w:val="000000" w:themeColor="text1"/>
        </w:rPr>
        <w:t xml:space="preserve">choice made by the Member State itself, rather than an outcome demanded by </w:t>
      </w:r>
      <w:r w:rsidR="00D83497" w:rsidRPr="007A58EA">
        <w:rPr>
          <w:color w:val="000000" w:themeColor="text1"/>
        </w:rPr>
        <w:t xml:space="preserve">the Court </w:t>
      </w:r>
      <w:r w:rsidR="002555E4" w:rsidRPr="007A58EA">
        <w:rPr>
          <w:color w:val="000000" w:themeColor="text1"/>
        </w:rPr>
        <w:t xml:space="preserve">pursuant to the </w:t>
      </w:r>
      <w:r w:rsidR="00D83497" w:rsidRPr="007A58EA">
        <w:rPr>
          <w:color w:val="000000" w:themeColor="text1"/>
        </w:rPr>
        <w:t xml:space="preserve">principle of </w:t>
      </w:r>
      <w:r w:rsidR="00A35F44" w:rsidRPr="007A58EA">
        <w:rPr>
          <w:color w:val="000000" w:themeColor="text1"/>
        </w:rPr>
        <w:t>primacy</w:t>
      </w:r>
      <w:r w:rsidR="002555E4" w:rsidRPr="007A58EA">
        <w:rPr>
          <w:color w:val="000000" w:themeColor="text1"/>
        </w:rPr>
        <w:t xml:space="preserve"> as such</w:t>
      </w:r>
      <w:r w:rsidR="00D83497" w:rsidRPr="007A58EA">
        <w:rPr>
          <w:color w:val="000000" w:themeColor="text1"/>
        </w:rPr>
        <w:t>.</w:t>
      </w:r>
    </w:p>
    <w:p w14:paraId="03559DCD" w14:textId="6F1237E0" w:rsidR="007E0CDE" w:rsidRDefault="00F972AE" w:rsidP="007E0CDE">
      <w:pPr>
        <w:ind w:firstLine="720"/>
        <w:jc w:val="both"/>
        <w:rPr>
          <w:color w:val="000000" w:themeColor="text1"/>
        </w:rPr>
      </w:pPr>
      <w:r w:rsidRPr="007A58EA">
        <w:rPr>
          <w:color w:val="000000" w:themeColor="text1"/>
        </w:rPr>
        <w:t>Nevertheless</w:t>
      </w:r>
      <w:r w:rsidR="00700F1E" w:rsidRPr="007A58EA">
        <w:rPr>
          <w:color w:val="000000" w:themeColor="text1"/>
        </w:rPr>
        <w:t xml:space="preserve">, in recognition of the fact that mere disapplication </w:t>
      </w:r>
      <w:r w:rsidR="007127E0" w:rsidRPr="007A58EA">
        <w:rPr>
          <w:color w:val="000000" w:themeColor="text1"/>
        </w:rPr>
        <w:t xml:space="preserve">may </w:t>
      </w:r>
      <w:r w:rsidR="00700F1E" w:rsidRPr="007A58EA">
        <w:rPr>
          <w:color w:val="000000" w:themeColor="text1"/>
        </w:rPr>
        <w:t xml:space="preserve">not </w:t>
      </w:r>
      <w:r w:rsidR="007127E0" w:rsidRPr="007A58EA">
        <w:rPr>
          <w:color w:val="000000" w:themeColor="text1"/>
        </w:rPr>
        <w:t>in itself suffice to ensure the effective judicial protection of rights and interests created under the Treaties</w:t>
      </w:r>
      <w:r w:rsidR="00B3024F" w:rsidRPr="007A58EA">
        <w:rPr>
          <w:color w:val="000000" w:themeColor="text1"/>
        </w:rPr>
        <w:t xml:space="preserve"> – and </w:t>
      </w:r>
      <w:r w:rsidR="00C50174" w:rsidRPr="007A58EA">
        <w:rPr>
          <w:color w:val="000000" w:themeColor="text1"/>
        </w:rPr>
        <w:t xml:space="preserve">regardless </w:t>
      </w:r>
      <w:r w:rsidR="00B3024F" w:rsidRPr="007A58EA">
        <w:rPr>
          <w:color w:val="000000" w:themeColor="text1"/>
        </w:rPr>
        <w:t xml:space="preserve">of any more explicit provision contained in Union primary or secondary law, or of any </w:t>
      </w:r>
      <w:r w:rsidR="00050164" w:rsidRPr="007A58EA">
        <w:rPr>
          <w:color w:val="000000" w:themeColor="text1"/>
        </w:rPr>
        <w:t xml:space="preserve">voluntary </w:t>
      </w:r>
      <w:r w:rsidR="00C50174" w:rsidRPr="007A58EA">
        <w:rPr>
          <w:color w:val="000000" w:themeColor="text1"/>
        </w:rPr>
        <w:t xml:space="preserve">choices </w:t>
      </w:r>
      <w:r w:rsidR="00050164" w:rsidRPr="007A58EA">
        <w:rPr>
          <w:color w:val="000000" w:themeColor="text1"/>
        </w:rPr>
        <w:t>made by each Member State under the exercise of its own procedural autonomy</w:t>
      </w:r>
      <w:r w:rsidR="00B3024F" w:rsidRPr="007A58EA">
        <w:rPr>
          <w:color w:val="000000" w:themeColor="text1"/>
        </w:rPr>
        <w:t xml:space="preserve"> – the Court </w:t>
      </w:r>
      <w:r w:rsidR="007127E0" w:rsidRPr="007A58EA">
        <w:rPr>
          <w:color w:val="000000" w:themeColor="text1"/>
        </w:rPr>
        <w:t xml:space="preserve">is </w:t>
      </w:r>
      <w:r w:rsidRPr="007A58EA">
        <w:rPr>
          <w:color w:val="000000" w:themeColor="text1"/>
        </w:rPr>
        <w:t xml:space="preserve">also </w:t>
      </w:r>
      <w:r w:rsidR="007127E0" w:rsidRPr="007A58EA">
        <w:rPr>
          <w:color w:val="000000" w:themeColor="text1"/>
        </w:rPr>
        <w:t xml:space="preserve">capable of </w:t>
      </w:r>
      <w:r w:rsidR="00A36C47" w:rsidRPr="007A58EA">
        <w:rPr>
          <w:color w:val="000000" w:themeColor="text1"/>
        </w:rPr>
        <w:t>prescrib</w:t>
      </w:r>
      <w:r w:rsidR="007127E0" w:rsidRPr="007A58EA">
        <w:rPr>
          <w:color w:val="000000" w:themeColor="text1"/>
        </w:rPr>
        <w:t>ing</w:t>
      </w:r>
      <w:r w:rsidR="00A36C47" w:rsidRPr="007A58EA">
        <w:rPr>
          <w:color w:val="000000" w:themeColor="text1"/>
        </w:rPr>
        <w:t xml:space="preserve"> </w:t>
      </w:r>
      <w:r w:rsidR="007127E0" w:rsidRPr="007A58EA">
        <w:rPr>
          <w:color w:val="000000" w:themeColor="text1"/>
        </w:rPr>
        <w:t xml:space="preserve">certain more </w:t>
      </w:r>
      <w:r w:rsidR="005A7B38" w:rsidRPr="007A58EA">
        <w:rPr>
          <w:color w:val="000000" w:themeColor="text1"/>
        </w:rPr>
        <w:t xml:space="preserve">specific </w:t>
      </w:r>
      <w:r w:rsidR="00A36C47" w:rsidRPr="007A58EA">
        <w:rPr>
          <w:color w:val="000000" w:themeColor="text1"/>
        </w:rPr>
        <w:t xml:space="preserve">legal outcomes </w:t>
      </w:r>
      <w:r w:rsidR="007127E0" w:rsidRPr="007A58EA">
        <w:rPr>
          <w:color w:val="000000" w:themeColor="text1"/>
        </w:rPr>
        <w:t xml:space="preserve">and / or </w:t>
      </w:r>
      <w:r w:rsidR="00A36C47" w:rsidRPr="007A58EA">
        <w:rPr>
          <w:color w:val="000000" w:themeColor="text1"/>
        </w:rPr>
        <w:t xml:space="preserve">remedies that go beyond </w:t>
      </w:r>
      <w:r w:rsidR="007127E0" w:rsidRPr="007A58EA">
        <w:rPr>
          <w:color w:val="000000" w:themeColor="text1"/>
        </w:rPr>
        <w:t>the basic effects associated with the principle of primacy</w:t>
      </w:r>
      <w:r w:rsidR="007A35AF" w:rsidRPr="007A58EA">
        <w:rPr>
          <w:color w:val="000000" w:themeColor="text1"/>
        </w:rPr>
        <w:t xml:space="preserve">: for example, </w:t>
      </w:r>
      <w:r w:rsidR="00B02112" w:rsidRPr="007A58EA">
        <w:rPr>
          <w:color w:val="000000" w:themeColor="text1"/>
        </w:rPr>
        <w:t xml:space="preserve">instructing </w:t>
      </w:r>
      <w:r w:rsidR="006A1F39" w:rsidRPr="007A58EA">
        <w:rPr>
          <w:color w:val="000000" w:themeColor="text1"/>
        </w:rPr>
        <w:t xml:space="preserve">the referring court </w:t>
      </w:r>
      <w:r w:rsidR="00B02112" w:rsidRPr="007A58EA">
        <w:rPr>
          <w:color w:val="000000" w:themeColor="text1"/>
        </w:rPr>
        <w:t xml:space="preserve">to </w:t>
      </w:r>
      <w:r w:rsidR="006A1F39" w:rsidRPr="007A58EA">
        <w:rPr>
          <w:color w:val="000000" w:themeColor="text1"/>
        </w:rPr>
        <w:t xml:space="preserve">assume jurisdiction </w:t>
      </w:r>
      <w:r w:rsidR="00B02112" w:rsidRPr="007A58EA">
        <w:rPr>
          <w:color w:val="000000" w:themeColor="text1"/>
        </w:rPr>
        <w:t xml:space="preserve">for itself </w:t>
      </w:r>
      <w:r w:rsidR="006A1F39" w:rsidRPr="007A58EA">
        <w:rPr>
          <w:color w:val="000000" w:themeColor="text1"/>
        </w:rPr>
        <w:t>over particular categories of dispute</w:t>
      </w:r>
      <w:r w:rsidR="00FB7CBA">
        <w:rPr>
          <w:color w:val="000000" w:themeColor="text1"/>
        </w:rPr>
        <w:t xml:space="preserve"> that might otherwise be stranded beyond proper judicial supervision;</w:t>
      </w:r>
      <w:r w:rsidR="006A1F39" w:rsidRPr="007A58EA">
        <w:rPr>
          <w:color w:val="000000" w:themeColor="text1"/>
        </w:rPr>
        <w:t xml:space="preserve"> </w:t>
      </w:r>
      <w:r w:rsidR="00B02112" w:rsidRPr="007A58EA">
        <w:rPr>
          <w:color w:val="000000" w:themeColor="text1"/>
        </w:rPr>
        <w:t xml:space="preserve">insisting that claimants enjoy </w:t>
      </w:r>
      <w:r w:rsidR="006A1F39" w:rsidRPr="007A58EA">
        <w:rPr>
          <w:color w:val="000000" w:themeColor="text1"/>
        </w:rPr>
        <w:t>a</w:t>
      </w:r>
      <w:r w:rsidR="007A35AF" w:rsidRPr="007A58EA">
        <w:rPr>
          <w:color w:val="000000" w:themeColor="text1"/>
        </w:rPr>
        <w:t xml:space="preserve"> </w:t>
      </w:r>
      <w:r w:rsidR="00FB7CBA">
        <w:rPr>
          <w:color w:val="000000" w:themeColor="text1"/>
        </w:rPr>
        <w:t xml:space="preserve">Union law-based </w:t>
      </w:r>
      <w:r w:rsidR="007A35AF" w:rsidRPr="007A58EA">
        <w:rPr>
          <w:color w:val="000000" w:themeColor="text1"/>
        </w:rPr>
        <w:t xml:space="preserve">right to </w:t>
      </w:r>
      <w:r w:rsidR="006A1F39" w:rsidRPr="007A58EA">
        <w:rPr>
          <w:color w:val="000000" w:themeColor="text1"/>
        </w:rPr>
        <w:t xml:space="preserve">the </w:t>
      </w:r>
      <w:r w:rsidR="005A7B38" w:rsidRPr="007A58EA">
        <w:rPr>
          <w:color w:val="000000" w:themeColor="text1"/>
        </w:rPr>
        <w:t xml:space="preserve">recovery of </w:t>
      </w:r>
      <w:r w:rsidR="00FB7CBA">
        <w:rPr>
          <w:color w:val="000000" w:themeColor="text1"/>
        </w:rPr>
        <w:t xml:space="preserve">charges levied contrary to the Member State’s obligations under the Treaties; </w:t>
      </w:r>
      <w:r w:rsidR="007A35AF" w:rsidRPr="007A58EA">
        <w:rPr>
          <w:color w:val="000000" w:themeColor="text1"/>
        </w:rPr>
        <w:t xml:space="preserve">or </w:t>
      </w:r>
      <w:r w:rsidR="00B02112" w:rsidRPr="007A58EA">
        <w:rPr>
          <w:color w:val="000000" w:themeColor="text1"/>
        </w:rPr>
        <w:t xml:space="preserve">highlighting </w:t>
      </w:r>
      <w:r w:rsidR="007A35AF" w:rsidRPr="007A58EA">
        <w:rPr>
          <w:color w:val="000000" w:themeColor="text1"/>
        </w:rPr>
        <w:t xml:space="preserve">the possibility </w:t>
      </w:r>
      <w:r w:rsidR="00A90047">
        <w:rPr>
          <w:color w:val="000000" w:themeColor="text1"/>
        </w:rPr>
        <w:t xml:space="preserve">for individuals to seek reparation from the </w:t>
      </w:r>
      <w:r w:rsidR="005A7B38" w:rsidRPr="007A58EA">
        <w:rPr>
          <w:color w:val="000000" w:themeColor="text1"/>
        </w:rPr>
        <w:t>Member State</w:t>
      </w:r>
      <w:r w:rsidR="00A90047">
        <w:rPr>
          <w:color w:val="000000" w:themeColor="text1"/>
        </w:rPr>
        <w:t>,</w:t>
      </w:r>
      <w:r w:rsidR="00A90047" w:rsidRPr="00A90047">
        <w:rPr>
          <w:color w:val="000000" w:themeColor="text1"/>
        </w:rPr>
        <w:t xml:space="preserve"> </w:t>
      </w:r>
      <w:r w:rsidR="00A90047">
        <w:rPr>
          <w:color w:val="000000" w:themeColor="text1"/>
        </w:rPr>
        <w:t xml:space="preserve">pursuant to the </w:t>
      </w:r>
      <w:r w:rsidR="00A90047" w:rsidRPr="007A58EA">
        <w:rPr>
          <w:i/>
          <w:iCs/>
          <w:color w:val="000000" w:themeColor="text1"/>
        </w:rPr>
        <w:t xml:space="preserve">Francovich </w:t>
      </w:r>
      <w:r w:rsidR="00A90047" w:rsidRPr="007A58EA">
        <w:rPr>
          <w:color w:val="000000" w:themeColor="text1"/>
        </w:rPr>
        <w:t>caselaw</w:t>
      </w:r>
      <w:r w:rsidR="00A90047">
        <w:rPr>
          <w:color w:val="000000" w:themeColor="text1"/>
        </w:rPr>
        <w:t>,</w:t>
      </w:r>
      <w:r w:rsidR="005A7B38" w:rsidRPr="007A58EA">
        <w:rPr>
          <w:color w:val="000000" w:themeColor="text1"/>
        </w:rPr>
        <w:t xml:space="preserve"> </w:t>
      </w:r>
      <w:r w:rsidR="00A90047">
        <w:rPr>
          <w:color w:val="000000" w:themeColor="text1"/>
        </w:rPr>
        <w:t>in respect of any sufficiently serious breach of Union law</w:t>
      </w:r>
      <w:r w:rsidR="007A35AF" w:rsidRPr="007A58EA">
        <w:rPr>
          <w:color w:val="000000" w:themeColor="text1"/>
        </w:rPr>
        <w:t>.</w:t>
      </w:r>
      <w:r w:rsidR="00C6155E" w:rsidRPr="007A58EA">
        <w:rPr>
          <w:rStyle w:val="FootnoteReference"/>
          <w:color w:val="000000" w:themeColor="text1"/>
        </w:rPr>
        <w:footnoteReference w:id="24"/>
      </w:r>
      <w:r w:rsidR="000A00CF" w:rsidRPr="007A58EA">
        <w:rPr>
          <w:color w:val="000000" w:themeColor="text1"/>
        </w:rPr>
        <w:t xml:space="preserve">  </w:t>
      </w:r>
      <w:r w:rsidR="00F11B66" w:rsidRPr="007A58EA">
        <w:rPr>
          <w:color w:val="000000" w:themeColor="text1"/>
        </w:rPr>
        <w:t>And u</w:t>
      </w:r>
      <w:r w:rsidR="000A00CF" w:rsidRPr="007A58EA">
        <w:rPr>
          <w:color w:val="000000" w:themeColor="text1"/>
        </w:rPr>
        <w:t xml:space="preserve">ltimately, whatever the </w:t>
      </w:r>
      <w:r w:rsidR="00A90047">
        <w:rPr>
          <w:color w:val="000000" w:themeColor="text1"/>
        </w:rPr>
        <w:t xml:space="preserve">precise </w:t>
      </w:r>
      <w:r w:rsidR="00B3024F" w:rsidRPr="007A58EA">
        <w:rPr>
          <w:color w:val="000000" w:themeColor="text1"/>
        </w:rPr>
        <w:t xml:space="preserve">nature or </w:t>
      </w:r>
      <w:r w:rsidR="00A90047">
        <w:rPr>
          <w:color w:val="000000" w:themeColor="text1"/>
        </w:rPr>
        <w:t xml:space="preserve">legal </w:t>
      </w:r>
      <w:r w:rsidR="00B3024F" w:rsidRPr="007A58EA">
        <w:rPr>
          <w:color w:val="000000" w:themeColor="text1"/>
        </w:rPr>
        <w:t xml:space="preserve">origin of the </w:t>
      </w:r>
      <w:r w:rsidR="000A00CF" w:rsidRPr="007A58EA">
        <w:rPr>
          <w:color w:val="000000" w:themeColor="text1"/>
        </w:rPr>
        <w:t>individual remedies provided by the domestic courts</w:t>
      </w:r>
      <w:r w:rsidR="00F11B66" w:rsidRPr="007A58EA">
        <w:rPr>
          <w:color w:val="000000" w:themeColor="text1"/>
        </w:rPr>
        <w:t xml:space="preserve">, </w:t>
      </w:r>
      <w:r w:rsidR="000A00CF" w:rsidRPr="007A58EA">
        <w:rPr>
          <w:color w:val="000000" w:themeColor="text1"/>
        </w:rPr>
        <w:t>the Member State as such remains obliged to rectify a situation of incompatibility between national law and Union law</w:t>
      </w:r>
      <w:r w:rsidR="00E321BF" w:rsidRPr="007A58EA">
        <w:rPr>
          <w:color w:val="000000" w:themeColor="text1"/>
        </w:rPr>
        <w:t>,</w:t>
      </w:r>
      <w:r w:rsidR="000A00CF" w:rsidRPr="007A58EA">
        <w:rPr>
          <w:color w:val="000000" w:themeColor="text1"/>
        </w:rPr>
        <w:t xml:space="preserve"> by taking all other general or particular measures necessary to ensure that the Treaties are respected with</w:t>
      </w:r>
      <w:r w:rsidR="008C4EC0" w:rsidRPr="007A58EA">
        <w:rPr>
          <w:color w:val="000000" w:themeColor="text1"/>
        </w:rPr>
        <w:t>in</w:t>
      </w:r>
      <w:r w:rsidR="000A00CF" w:rsidRPr="007A58EA">
        <w:rPr>
          <w:color w:val="000000" w:themeColor="text1"/>
        </w:rPr>
        <w:t xml:space="preserve"> its territory.</w:t>
      </w:r>
      <w:r w:rsidR="000A00CF" w:rsidRPr="007A58EA">
        <w:rPr>
          <w:rStyle w:val="FootnoteReference"/>
          <w:color w:val="000000" w:themeColor="text1"/>
        </w:rPr>
        <w:footnoteReference w:id="25"/>
      </w:r>
      <w:r w:rsidR="000A00CF" w:rsidRPr="007A58EA">
        <w:rPr>
          <w:color w:val="000000" w:themeColor="text1"/>
        </w:rPr>
        <w:t xml:space="preserve">  </w:t>
      </w:r>
    </w:p>
    <w:p w14:paraId="4DCA6BF1" w14:textId="1B52A22E" w:rsidR="007E0CDE" w:rsidRDefault="007A35AF" w:rsidP="007E0CDE">
      <w:pPr>
        <w:ind w:firstLine="720"/>
        <w:jc w:val="both"/>
        <w:rPr>
          <w:color w:val="000000" w:themeColor="text1"/>
        </w:rPr>
      </w:pPr>
      <w:r w:rsidRPr="007A58EA">
        <w:rPr>
          <w:color w:val="000000" w:themeColor="text1"/>
        </w:rPr>
        <w:t>Those are the fundamental principles developed under Union law to determine the legal consequences of incompatibility</w:t>
      </w:r>
      <w:r w:rsidR="006D25EB" w:rsidRPr="007A58EA">
        <w:rPr>
          <w:color w:val="000000" w:themeColor="text1"/>
        </w:rPr>
        <w:t xml:space="preserve"> – </w:t>
      </w:r>
      <w:r w:rsidR="008004BA" w:rsidRPr="007A58EA">
        <w:rPr>
          <w:color w:val="000000" w:themeColor="text1"/>
        </w:rPr>
        <w:t xml:space="preserve">with direct effect and primacy </w:t>
      </w:r>
      <w:r w:rsidR="005510EC" w:rsidRPr="007A58EA">
        <w:rPr>
          <w:color w:val="000000" w:themeColor="text1"/>
        </w:rPr>
        <w:t xml:space="preserve">indeed </w:t>
      </w:r>
      <w:r w:rsidR="006D25EB" w:rsidRPr="007A58EA">
        <w:rPr>
          <w:color w:val="000000" w:themeColor="text1"/>
        </w:rPr>
        <w:t>rank</w:t>
      </w:r>
      <w:r w:rsidR="008004BA" w:rsidRPr="007A58EA">
        <w:rPr>
          <w:color w:val="000000" w:themeColor="text1"/>
        </w:rPr>
        <w:t>ing</w:t>
      </w:r>
      <w:r w:rsidR="006D25EB" w:rsidRPr="007A58EA">
        <w:rPr>
          <w:color w:val="000000" w:themeColor="text1"/>
        </w:rPr>
        <w:t xml:space="preserve"> among</w:t>
      </w:r>
      <w:r w:rsidR="008004BA" w:rsidRPr="007A58EA">
        <w:rPr>
          <w:color w:val="000000" w:themeColor="text1"/>
        </w:rPr>
        <w:t>st</w:t>
      </w:r>
      <w:r w:rsidR="006D25EB" w:rsidRPr="007A58EA">
        <w:rPr>
          <w:color w:val="000000" w:themeColor="text1"/>
        </w:rPr>
        <w:t xml:space="preserve"> the “essential characteristics” of the European Union and its legal order</w:t>
      </w:r>
      <w:r w:rsidRPr="007A58EA">
        <w:rPr>
          <w:color w:val="000000" w:themeColor="text1"/>
        </w:rPr>
        <w:t>.</w:t>
      </w:r>
      <w:r w:rsidR="006D25EB" w:rsidRPr="007A58EA">
        <w:rPr>
          <w:rStyle w:val="FootnoteReference"/>
          <w:color w:val="000000" w:themeColor="text1"/>
        </w:rPr>
        <w:footnoteReference w:id="26"/>
      </w:r>
      <w:r w:rsidRPr="007A58EA">
        <w:rPr>
          <w:color w:val="000000" w:themeColor="text1"/>
        </w:rPr>
        <w:t xml:space="preserve">  But of course, it remains possible </w:t>
      </w:r>
      <w:r w:rsidR="00A90047">
        <w:rPr>
          <w:color w:val="000000" w:themeColor="text1"/>
        </w:rPr>
        <w:t xml:space="preserve">(simply as a matter of fact, and passing no comment on the issue of legitimacy or desirability) </w:t>
      </w:r>
      <w:r w:rsidRPr="007A58EA">
        <w:rPr>
          <w:color w:val="000000" w:themeColor="text1"/>
        </w:rPr>
        <w:t xml:space="preserve">for </w:t>
      </w:r>
      <w:r w:rsidR="00B1490F" w:rsidRPr="007A58EA">
        <w:rPr>
          <w:color w:val="000000" w:themeColor="text1"/>
        </w:rPr>
        <w:t xml:space="preserve">national courts </w:t>
      </w:r>
      <w:r w:rsidRPr="007A58EA">
        <w:rPr>
          <w:color w:val="000000" w:themeColor="text1"/>
        </w:rPr>
        <w:t xml:space="preserve">consciously </w:t>
      </w:r>
      <w:r w:rsidR="00B1490F" w:rsidRPr="007A58EA">
        <w:rPr>
          <w:color w:val="000000" w:themeColor="text1"/>
        </w:rPr>
        <w:t xml:space="preserve">to deviate from </w:t>
      </w:r>
      <w:r w:rsidRPr="007A58EA">
        <w:rPr>
          <w:color w:val="000000" w:themeColor="text1"/>
        </w:rPr>
        <w:t xml:space="preserve">their </w:t>
      </w:r>
      <w:r w:rsidR="008004BA" w:rsidRPr="007A58EA">
        <w:rPr>
          <w:color w:val="000000" w:themeColor="text1"/>
        </w:rPr>
        <w:t>Union</w:t>
      </w:r>
      <w:r w:rsidRPr="007A58EA">
        <w:rPr>
          <w:color w:val="000000" w:themeColor="text1"/>
        </w:rPr>
        <w:t xml:space="preserve"> law </w:t>
      </w:r>
      <w:r w:rsidR="008004BA" w:rsidRPr="007A58EA">
        <w:rPr>
          <w:color w:val="000000" w:themeColor="text1"/>
        </w:rPr>
        <w:t>obligations</w:t>
      </w:r>
      <w:r w:rsidR="00B1490F" w:rsidRPr="007A58EA">
        <w:rPr>
          <w:color w:val="000000" w:themeColor="text1"/>
        </w:rPr>
        <w:t xml:space="preserve">, </w:t>
      </w:r>
      <w:r w:rsidRPr="007A58EA">
        <w:rPr>
          <w:color w:val="000000" w:themeColor="text1"/>
        </w:rPr>
        <w:t xml:space="preserve">on the basis of alternative </w:t>
      </w:r>
      <w:r w:rsidR="00EA0AE9" w:rsidRPr="007A58EA">
        <w:rPr>
          <w:color w:val="000000" w:themeColor="text1"/>
        </w:rPr>
        <w:t xml:space="preserve">doctrines extrapolated from their own domestic constitutional system.  As we all know, certain national courts are more vocal than others about </w:t>
      </w:r>
      <w:r w:rsidR="00B1490F" w:rsidRPr="007A58EA">
        <w:rPr>
          <w:color w:val="000000" w:themeColor="text1"/>
        </w:rPr>
        <w:t>assert</w:t>
      </w:r>
      <w:r w:rsidR="00EA0AE9" w:rsidRPr="007A58EA">
        <w:rPr>
          <w:color w:val="000000" w:themeColor="text1"/>
        </w:rPr>
        <w:t>ing</w:t>
      </w:r>
      <w:r w:rsidR="00B1490F" w:rsidRPr="007A58EA">
        <w:rPr>
          <w:color w:val="000000" w:themeColor="text1"/>
        </w:rPr>
        <w:t xml:space="preserve"> </w:t>
      </w:r>
      <w:r w:rsidR="00EA0AE9" w:rsidRPr="007A58EA">
        <w:rPr>
          <w:color w:val="000000" w:themeColor="text1"/>
        </w:rPr>
        <w:t xml:space="preserve">a residual </w:t>
      </w:r>
      <w:r w:rsidR="00B1490F" w:rsidRPr="007A58EA">
        <w:rPr>
          <w:color w:val="000000" w:themeColor="text1"/>
        </w:rPr>
        <w:t xml:space="preserve">jurisdiction </w:t>
      </w:r>
      <w:r w:rsidR="00EA0AE9" w:rsidRPr="007A58EA">
        <w:rPr>
          <w:color w:val="000000" w:themeColor="text1"/>
        </w:rPr>
        <w:t xml:space="preserve">directly </w:t>
      </w:r>
      <w:r w:rsidR="00B1490F" w:rsidRPr="007A58EA">
        <w:rPr>
          <w:color w:val="000000" w:themeColor="text1"/>
        </w:rPr>
        <w:t xml:space="preserve">to </w:t>
      </w:r>
      <w:r w:rsidR="003C5AB3" w:rsidRPr="007A58EA">
        <w:rPr>
          <w:color w:val="000000" w:themeColor="text1"/>
        </w:rPr>
        <w:t xml:space="preserve">review </w:t>
      </w:r>
      <w:r w:rsidR="00EA0AE9" w:rsidRPr="007A58EA">
        <w:rPr>
          <w:color w:val="000000" w:themeColor="text1"/>
        </w:rPr>
        <w:t xml:space="preserve">the </w:t>
      </w:r>
      <w:r w:rsidR="003C5AB3" w:rsidRPr="007A58EA">
        <w:rPr>
          <w:color w:val="000000" w:themeColor="text1"/>
        </w:rPr>
        <w:t>legality of EU acts</w:t>
      </w:r>
      <w:r w:rsidR="00AE4312" w:rsidRPr="007A58EA">
        <w:rPr>
          <w:color w:val="000000" w:themeColor="text1"/>
        </w:rPr>
        <w:t>,</w:t>
      </w:r>
      <w:r w:rsidR="003C5AB3" w:rsidRPr="007A58EA">
        <w:rPr>
          <w:color w:val="000000" w:themeColor="text1"/>
        </w:rPr>
        <w:t xml:space="preserve"> </w:t>
      </w:r>
      <w:r w:rsidR="00EA0AE9" w:rsidRPr="007A58EA">
        <w:rPr>
          <w:color w:val="000000" w:themeColor="text1"/>
        </w:rPr>
        <w:t xml:space="preserve">at least </w:t>
      </w:r>
      <w:r w:rsidR="003C5AB3" w:rsidRPr="007A58EA">
        <w:rPr>
          <w:color w:val="000000" w:themeColor="text1"/>
        </w:rPr>
        <w:t xml:space="preserve">for </w:t>
      </w:r>
      <w:r w:rsidR="00EA0AE9" w:rsidRPr="007A58EA">
        <w:rPr>
          <w:color w:val="000000" w:themeColor="text1"/>
        </w:rPr>
        <w:t xml:space="preserve">the </w:t>
      </w:r>
      <w:r w:rsidR="003C5AB3" w:rsidRPr="007A58EA">
        <w:rPr>
          <w:color w:val="000000" w:themeColor="text1"/>
        </w:rPr>
        <w:t xml:space="preserve">purposes of </w:t>
      </w:r>
      <w:r w:rsidR="00EA0AE9" w:rsidRPr="007A58EA">
        <w:rPr>
          <w:color w:val="000000" w:themeColor="text1"/>
        </w:rPr>
        <w:t xml:space="preserve">the latter’s recognition and status within the </w:t>
      </w:r>
      <w:r w:rsidR="0055062D" w:rsidRPr="007A58EA">
        <w:rPr>
          <w:color w:val="000000" w:themeColor="text1"/>
        </w:rPr>
        <w:t xml:space="preserve">relevant </w:t>
      </w:r>
      <w:r w:rsidR="00EA0AE9" w:rsidRPr="007A58EA">
        <w:rPr>
          <w:color w:val="000000" w:themeColor="text1"/>
        </w:rPr>
        <w:t>domestic legal system;</w:t>
      </w:r>
      <w:r w:rsidR="00AE4312" w:rsidRPr="007A58EA">
        <w:rPr>
          <w:rStyle w:val="FootnoteReference"/>
          <w:color w:val="000000" w:themeColor="text1"/>
        </w:rPr>
        <w:footnoteReference w:id="27"/>
      </w:r>
      <w:r w:rsidR="00EA0AE9" w:rsidRPr="007A58EA">
        <w:rPr>
          <w:color w:val="000000" w:themeColor="text1"/>
        </w:rPr>
        <w:t xml:space="preserve"> while other national courts might recognise the </w:t>
      </w:r>
      <w:r w:rsidR="005C5BAF" w:rsidRPr="007A58EA">
        <w:rPr>
          <w:color w:val="000000" w:themeColor="text1"/>
        </w:rPr>
        <w:t xml:space="preserve">direct effect and primacy of Union law in principle, but nevertheless </w:t>
      </w:r>
      <w:r w:rsidR="005C5BAF" w:rsidRPr="007A58EA">
        <w:rPr>
          <w:color w:val="000000" w:themeColor="text1"/>
        </w:rPr>
        <w:lastRenderedPageBreak/>
        <w:t xml:space="preserve">withhold the </w:t>
      </w:r>
      <w:r w:rsidR="003C5AB3" w:rsidRPr="007A58EA">
        <w:rPr>
          <w:color w:val="000000" w:themeColor="text1"/>
        </w:rPr>
        <w:t xml:space="preserve">remedy of disapplication </w:t>
      </w:r>
      <w:r w:rsidR="005C5BAF" w:rsidRPr="007A58EA">
        <w:rPr>
          <w:color w:val="000000" w:themeColor="text1"/>
        </w:rPr>
        <w:t xml:space="preserve">in practice, in circumstances that do not clearly tally with the framework and / or criteria approved by the </w:t>
      </w:r>
      <w:r w:rsidR="00E46D23">
        <w:rPr>
          <w:color w:val="000000" w:themeColor="text1"/>
        </w:rPr>
        <w:t>CJEU</w:t>
      </w:r>
      <w:r w:rsidR="003C5AB3" w:rsidRPr="007A58EA">
        <w:rPr>
          <w:color w:val="000000" w:themeColor="text1"/>
        </w:rPr>
        <w:t>.</w:t>
      </w:r>
      <w:r w:rsidR="00AE4312" w:rsidRPr="007A58EA">
        <w:rPr>
          <w:rStyle w:val="FootnoteReference"/>
          <w:color w:val="000000" w:themeColor="text1"/>
        </w:rPr>
        <w:footnoteReference w:id="28"/>
      </w:r>
      <w:r w:rsidR="003C5AB3" w:rsidRPr="007A58EA">
        <w:rPr>
          <w:color w:val="000000" w:themeColor="text1"/>
        </w:rPr>
        <w:t xml:space="preserve">  </w:t>
      </w:r>
      <w:r w:rsidR="00B1490F" w:rsidRPr="007A58EA">
        <w:rPr>
          <w:color w:val="000000" w:themeColor="text1"/>
        </w:rPr>
        <w:t xml:space="preserve"> </w:t>
      </w:r>
      <w:r w:rsidR="005A7B38" w:rsidRPr="007A58EA">
        <w:rPr>
          <w:color w:val="000000" w:themeColor="text1"/>
        </w:rPr>
        <w:t xml:space="preserve"> </w:t>
      </w:r>
    </w:p>
    <w:p w14:paraId="3ECE62C1" w14:textId="180756C6" w:rsidR="007E0CDE" w:rsidRDefault="00545A7D" w:rsidP="007E0CDE">
      <w:pPr>
        <w:ind w:firstLine="720"/>
        <w:jc w:val="both"/>
        <w:rPr>
          <w:color w:val="000000" w:themeColor="text1"/>
        </w:rPr>
      </w:pPr>
      <w:r w:rsidRPr="007A58EA">
        <w:rPr>
          <w:color w:val="000000" w:themeColor="text1"/>
        </w:rPr>
        <w:t xml:space="preserve">Such national judicial challenges to the fundamental framework of EU-Member State legal relations </w:t>
      </w:r>
      <w:r w:rsidR="0055062D" w:rsidRPr="007A58EA">
        <w:rPr>
          <w:color w:val="000000" w:themeColor="text1"/>
        </w:rPr>
        <w:t xml:space="preserve">seem to </w:t>
      </w:r>
      <w:r w:rsidRPr="007A58EA">
        <w:rPr>
          <w:color w:val="000000" w:themeColor="text1"/>
        </w:rPr>
        <w:t>attract the lion’s share of academic interest in this field</w:t>
      </w:r>
      <w:r w:rsidR="008004BA" w:rsidRPr="007A58EA">
        <w:rPr>
          <w:color w:val="000000" w:themeColor="text1"/>
        </w:rPr>
        <w:t xml:space="preserve">: after all, we </w:t>
      </w:r>
      <w:r w:rsidR="00E46D23">
        <w:rPr>
          <w:color w:val="000000" w:themeColor="text1"/>
        </w:rPr>
        <w:t>seem</w:t>
      </w:r>
      <w:r w:rsidR="00A90047">
        <w:rPr>
          <w:color w:val="000000" w:themeColor="text1"/>
        </w:rPr>
        <w:t xml:space="preserve"> naturally drawn into </w:t>
      </w:r>
      <w:r w:rsidR="0091167E" w:rsidRPr="007A58EA">
        <w:rPr>
          <w:color w:val="000000" w:themeColor="text1"/>
        </w:rPr>
        <w:t xml:space="preserve">the drama of </w:t>
      </w:r>
      <w:r w:rsidR="00373D9D" w:rsidRPr="007A58EA">
        <w:rPr>
          <w:color w:val="000000" w:themeColor="text1"/>
        </w:rPr>
        <w:t xml:space="preserve">“judicial </w:t>
      </w:r>
      <w:r w:rsidR="008004BA" w:rsidRPr="007A58EA">
        <w:rPr>
          <w:color w:val="000000" w:themeColor="text1"/>
        </w:rPr>
        <w:t>confrontation</w:t>
      </w:r>
      <w:r w:rsidR="00373D9D" w:rsidRPr="007A58EA">
        <w:rPr>
          <w:color w:val="000000" w:themeColor="text1"/>
        </w:rPr>
        <w:t>”</w:t>
      </w:r>
      <w:r w:rsidR="008004BA" w:rsidRPr="007A58EA">
        <w:rPr>
          <w:color w:val="000000" w:themeColor="text1"/>
        </w:rPr>
        <w:t>, particularly when tinged with some existential angst</w:t>
      </w:r>
      <w:r w:rsidR="0055062D" w:rsidRPr="007A58EA">
        <w:rPr>
          <w:color w:val="000000" w:themeColor="text1"/>
        </w:rPr>
        <w:t>, as befits the “cluster crisis” ethos of our turbulent times</w:t>
      </w:r>
      <w:r w:rsidRPr="007A58EA">
        <w:rPr>
          <w:color w:val="000000" w:themeColor="text1"/>
        </w:rPr>
        <w:t>.</w:t>
      </w:r>
      <w:r w:rsidR="00F061DE" w:rsidRPr="007A58EA">
        <w:rPr>
          <w:rStyle w:val="FootnoteReference"/>
          <w:color w:val="000000" w:themeColor="text1"/>
        </w:rPr>
        <w:footnoteReference w:id="29"/>
      </w:r>
      <w:r w:rsidRPr="007A58EA">
        <w:rPr>
          <w:color w:val="000000" w:themeColor="text1"/>
        </w:rPr>
        <w:t xml:space="preserve">  </w:t>
      </w:r>
    </w:p>
    <w:p w14:paraId="07998532" w14:textId="339F78A4" w:rsidR="007E0CDE" w:rsidRDefault="00545A7D" w:rsidP="007E0CDE">
      <w:pPr>
        <w:ind w:firstLine="720"/>
        <w:jc w:val="both"/>
        <w:rPr>
          <w:color w:val="000000" w:themeColor="text1"/>
        </w:rPr>
      </w:pPr>
      <w:r w:rsidRPr="007A58EA">
        <w:rPr>
          <w:color w:val="000000" w:themeColor="text1"/>
        </w:rPr>
        <w:t>But though we might refer to the Court’s own caselaw as “well</w:t>
      </w:r>
      <w:r w:rsidR="0055062D" w:rsidRPr="007A58EA">
        <w:rPr>
          <w:color w:val="000000" w:themeColor="text1"/>
        </w:rPr>
        <w:t>-</w:t>
      </w:r>
      <w:r w:rsidRPr="007A58EA">
        <w:rPr>
          <w:color w:val="000000" w:themeColor="text1"/>
        </w:rPr>
        <w:t xml:space="preserve">established”, </w:t>
      </w:r>
      <w:r w:rsidR="00800DAF" w:rsidRPr="007A58EA">
        <w:rPr>
          <w:color w:val="000000" w:themeColor="text1"/>
        </w:rPr>
        <w:t xml:space="preserve">and it is certainly true that the great majority of fresh rulings </w:t>
      </w:r>
      <w:r w:rsidR="008004BA" w:rsidRPr="007A58EA">
        <w:rPr>
          <w:color w:val="000000" w:themeColor="text1"/>
        </w:rPr>
        <w:t xml:space="preserve">from Luxembourg </w:t>
      </w:r>
      <w:r w:rsidR="00E46D23">
        <w:rPr>
          <w:color w:val="000000" w:themeColor="text1"/>
        </w:rPr>
        <w:t xml:space="preserve">(and there are many) </w:t>
      </w:r>
      <w:r w:rsidR="00800DAF" w:rsidRPr="007A58EA">
        <w:rPr>
          <w:color w:val="000000" w:themeColor="text1"/>
        </w:rPr>
        <w:t>fit neatly into our existing conceptual framework and jurisprudential precedents, such</w:t>
      </w:r>
      <w:r w:rsidRPr="007A58EA">
        <w:rPr>
          <w:color w:val="000000" w:themeColor="text1"/>
        </w:rPr>
        <w:t xml:space="preserve"> </w:t>
      </w:r>
      <w:r w:rsidR="00800DAF" w:rsidRPr="007A58EA">
        <w:rPr>
          <w:color w:val="000000" w:themeColor="text1"/>
        </w:rPr>
        <w:t xml:space="preserve">familiarity and predictability </w:t>
      </w:r>
      <w:r w:rsidRPr="007A58EA">
        <w:rPr>
          <w:color w:val="000000" w:themeColor="text1"/>
        </w:rPr>
        <w:t xml:space="preserve">should not be taken </w:t>
      </w:r>
      <w:r w:rsidR="008004BA" w:rsidRPr="007A58EA">
        <w:rPr>
          <w:color w:val="000000" w:themeColor="text1"/>
        </w:rPr>
        <w:t xml:space="preserve">to </w:t>
      </w:r>
      <w:r w:rsidRPr="007A58EA">
        <w:rPr>
          <w:color w:val="000000" w:themeColor="text1"/>
        </w:rPr>
        <w:t xml:space="preserve">imply that the underpinning Union law principles are </w:t>
      </w:r>
      <w:r w:rsidR="00800DAF" w:rsidRPr="007A58EA">
        <w:rPr>
          <w:color w:val="000000" w:themeColor="text1"/>
        </w:rPr>
        <w:t xml:space="preserve">entirely </w:t>
      </w:r>
      <w:r w:rsidRPr="007A58EA">
        <w:rPr>
          <w:color w:val="000000" w:themeColor="text1"/>
        </w:rPr>
        <w:t xml:space="preserve">static or themselves uncontroversial.  After all, </w:t>
      </w:r>
      <w:r w:rsidR="00800DAF" w:rsidRPr="007A58EA">
        <w:rPr>
          <w:color w:val="000000" w:themeColor="text1"/>
        </w:rPr>
        <w:t xml:space="preserve">consider the remarkable fact that </w:t>
      </w:r>
      <w:r w:rsidRPr="007A58EA">
        <w:rPr>
          <w:color w:val="000000" w:themeColor="text1"/>
        </w:rPr>
        <w:t xml:space="preserve">it was only in the </w:t>
      </w:r>
      <w:r w:rsidRPr="007A58EA">
        <w:rPr>
          <w:i/>
          <w:iCs/>
          <w:color w:val="000000" w:themeColor="text1"/>
        </w:rPr>
        <w:t xml:space="preserve">Popławski </w:t>
      </w:r>
      <w:r w:rsidRPr="007A58EA">
        <w:rPr>
          <w:color w:val="000000" w:themeColor="text1"/>
        </w:rPr>
        <w:t xml:space="preserve">judgment of 2019 that the Court finally settled a decades-old dispute about </w:t>
      </w:r>
      <w:r w:rsidR="00764A0E" w:rsidRPr="007A58EA">
        <w:rPr>
          <w:color w:val="000000" w:themeColor="text1"/>
        </w:rPr>
        <w:t xml:space="preserve">the </w:t>
      </w:r>
      <w:r w:rsidR="00373D9D" w:rsidRPr="007A58EA">
        <w:rPr>
          <w:color w:val="000000" w:themeColor="text1"/>
        </w:rPr>
        <w:t xml:space="preserve">underlying </w:t>
      </w:r>
      <w:r w:rsidR="00764A0E" w:rsidRPr="007A58EA">
        <w:rPr>
          <w:color w:val="000000" w:themeColor="text1"/>
        </w:rPr>
        <w:t xml:space="preserve">relationship between </w:t>
      </w:r>
      <w:r w:rsidR="0055062D" w:rsidRPr="007A58EA">
        <w:rPr>
          <w:color w:val="000000" w:themeColor="text1"/>
        </w:rPr>
        <w:t xml:space="preserve">the fundamental principles of </w:t>
      </w:r>
      <w:r w:rsidR="00764A0E" w:rsidRPr="007A58EA">
        <w:rPr>
          <w:color w:val="000000" w:themeColor="text1"/>
        </w:rPr>
        <w:t>direct effect and primacy,</w:t>
      </w:r>
      <w:r w:rsidR="00A437A3">
        <w:rPr>
          <w:rStyle w:val="FootnoteReference"/>
          <w:color w:val="000000" w:themeColor="text1"/>
        </w:rPr>
        <w:footnoteReference w:id="30"/>
      </w:r>
      <w:r w:rsidR="00764A0E" w:rsidRPr="007A58EA">
        <w:rPr>
          <w:color w:val="000000" w:themeColor="text1"/>
        </w:rPr>
        <w:t xml:space="preserve"> by clarifying that the latter’s capacity to procure the disapplication of incompatible national rules </w:t>
      </w:r>
      <w:r w:rsidR="00373D9D" w:rsidRPr="007A58EA">
        <w:rPr>
          <w:color w:val="000000" w:themeColor="text1"/>
        </w:rPr>
        <w:t xml:space="preserve">ultimately </w:t>
      </w:r>
      <w:r w:rsidR="00764A0E" w:rsidRPr="007A58EA">
        <w:rPr>
          <w:color w:val="000000" w:themeColor="text1"/>
        </w:rPr>
        <w:t xml:space="preserve">depends upon the former attribute </w:t>
      </w:r>
      <w:r w:rsidR="00373D9D" w:rsidRPr="007A58EA">
        <w:rPr>
          <w:color w:val="000000" w:themeColor="text1"/>
        </w:rPr>
        <w:t xml:space="preserve">first </w:t>
      </w:r>
      <w:r w:rsidR="00764A0E" w:rsidRPr="007A58EA">
        <w:rPr>
          <w:color w:val="000000" w:themeColor="text1"/>
        </w:rPr>
        <w:t>attaching to the relevant provision of Union law</w:t>
      </w:r>
      <w:r w:rsidR="0028096E" w:rsidRPr="007A58EA">
        <w:rPr>
          <w:color w:val="000000" w:themeColor="text1"/>
        </w:rPr>
        <w:t>,</w:t>
      </w:r>
      <w:r w:rsidR="00201611" w:rsidRPr="007A58EA">
        <w:rPr>
          <w:rStyle w:val="FootnoteReference"/>
          <w:color w:val="000000" w:themeColor="text1"/>
        </w:rPr>
        <w:footnoteReference w:id="31"/>
      </w:r>
      <w:r w:rsidR="0055062D" w:rsidRPr="007A58EA">
        <w:rPr>
          <w:color w:val="000000" w:themeColor="text1"/>
        </w:rPr>
        <w:t xml:space="preserve"> a proposition that had been consistently rejected by a </w:t>
      </w:r>
      <w:r w:rsidR="0055062D" w:rsidRPr="007A58EA">
        <w:rPr>
          <w:color w:val="000000" w:themeColor="text1"/>
        </w:rPr>
        <w:lastRenderedPageBreak/>
        <w:t>significant proportion of the scholarship</w:t>
      </w:r>
      <w:r w:rsidR="00373D9D" w:rsidRPr="007A58EA">
        <w:rPr>
          <w:color w:val="000000" w:themeColor="text1"/>
        </w:rPr>
        <w:t>,</w:t>
      </w:r>
      <w:r w:rsidR="00373D9D" w:rsidRPr="007A58EA">
        <w:rPr>
          <w:rStyle w:val="FootnoteReference"/>
          <w:color w:val="000000" w:themeColor="text1"/>
        </w:rPr>
        <w:footnoteReference w:id="32"/>
      </w:r>
      <w:r w:rsidR="0055062D" w:rsidRPr="007A58EA">
        <w:rPr>
          <w:color w:val="000000" w:themeColor="text1"/>
        </w:rPr>
        <w:t xml:space="preserve"> and indeed </w:t>
      </w:r>
      <w:r w:rsidR="00373D9D" w:rsidRPr="007A58EA">
        <w:rPr>
          <w:color w:val="000000" w:themeColor="text1"/>
        </w:rPr>
        <w:t xml:space="preserve">challenged </w:t>
      </w:r>
      <w:r w:rsidR="005510EC" w:rsidRPr="007A58EA">
        <w:rPr>
          <w:color w:val="000000" w:themeColor="text1"/>
        </w:rPr>
        <w:t>by several</w:t>
      </w:r>
      <w:r w:rsidR="0055062D" w:rsidRPr="007A58EA">
        <w:rPr>
          <w:color w:val="000000" w:themeColor="text1"/>
        </w:rPr>
        <w:t xml:space="preserve"> </w:t>
      </w:r>
      <w:r w:rsidR="005510EC" w:rsidRPr="007A58EA">
        <w:rPr>
          <w:color w:val="000000" w:themeColor="text1"/>
        </w:rPr>
        <w:t xml:space="preserve">of </w:t>
      </w:r>
      <w:r w:rsidR="0055062D" w:rsidRPr="007A58EA">
        <w:rPr>
          <w:color w:val="000000" w:themeColor="text1"/>
        </w:rPr>
        <w:t>the Court’s own Advocates General</w:t>
      </w:r>
      <w:r w:rsidRPr="007A58EA">
        <w:rPr>
          <w:color w:val="000000" w:themeColor="text1"/>
        </w:rPr>
        <w:t>.</w:t>
      </w:r>
      <w:r w:rsidR="00320DD1" w:rsidRPr="007A58EA">
        <w:rPr>
          <w:rStyle w:val="FootnoteReference"/>
          <w:color w:val="000000" w:themeColor="text1"/>
        </w:rPr>
        <w:footnoteReference w:id="33"/>
      </w:r>
      <w:r w:rsidRPr="007A58EA">
        <w:rPr>
          <w:color w:val="000000" w:themeColor="text1"/>
        </w:rPr>
        <w:t xml:space="preserve"> </w:t>
      </w:r>
    </w:p>
    <w:p w14:paraId="6DA64D3B" w14:textId="77777777" w:rsidR="007E0CDE" w:rsidRDefault="00764A0E" w:rsidP="007E0CDE">
      <w:pPr>
        <w:ind w:firstLine="720"/>
        <w:jc w:val="both"/>
        <w:rPr>
          <w:color w:val="000000" w:themeColor="text1"/>
        </w:rPr>
      </w:pPr>
      <w:r w:rsidRPr="007A58EA">
        <w:rPr>
          <w:color w:val="000000" w:themeColor="text1"/>
        </w:rPr>
        <w:t xml:space="preserve">This paper is concerned with another set of recent developments in the Union’s </w:t>
      </w:r>
      <w:r w:rsidR="0028096E" w:rsidRPr="007A58EA">
        <w:rPr>
          <w:color w:val="000000" w:themeColor="text1"/>
        </w:rPr>
        <w:t xml:space="preserve">own </w:t>
      </w:r>
      <w:r w:rsidRPr="007A58EA">
        <w:rPr>
          <w:color w:val="000000" w:themeColor="text1"/>
        </w:rPr>
        <w:t>doctrinal framework for interacting with the domestic legal orders of the Member States</w:t>
      </w:r>
      <w:r w:rsidR="00800DAF" w:rsidRPr="007A58EA">
        <w:rPr>
          <w:color w:val="000000" w:themeColor="text1"/>
        </w:rPr>
        <w:t xml:space="preserve"> – developments that might also be considered as stepping outside the familiar and predictable</w:t>
      </w:r>
      <w:r w:rsidRPr="007A58EA">
        <w:rPr>
          <w:color w:val="000000" w:themeColor="text1"/>
        </w:rPr>
        <w:t xml:space="preserve">.  In particular, a series of major rulings – </w:t>
      </w:r>
      <w:r w:rsidRPr="007A58EA">
        <w:rPr>
          <w:i/>
          <w:iCs/>
          <w:color w:val="000000" w:themeColor="text1"/>
        </w:rPr>
        <w:t>Berlusconi</w:t>
      </w:r>
      <w:r w:rsidRPr="007A58EA">
        <w:rPr>
          <w:color w:val="000000" w:themeColor="text1"/>
        </w:rPr>
        <w:t xml:space="preserve"> (</w:t>
      </w:r>
      <w:r w:rsidR="00987858" w:rsidRPr="007A58EA">
        <w:rPr>
          <w:color w:val="000000" w:themeColor="text1"/>
        </w:rPr>
        <w:t>2018),</w:t>
      </w:r>
      <w:r w:rsidR="0064172F" w:rsidRPr="007A58EA">
        <w:rPr>
          <w:rStyle w:val="FootnoteReference"/>
          <w:color w:val="000000" w:themeColor="text1"/>
        </w:rPr>
        <w:footnoteReference w:id="34"/>
      </w:r>
      <w:r w:rsidR="00987858" w:rsidRPr="007A58EA">
        <w:rPr>
          <w:color w:val="000000" w:themeColor="text1"/>
        </w:rPr>
        <w:t xml:space="preserve"> </w:t>
      </w:r>
      <w:r w:rsidR="00987858" w:rsidRPr="007A58EA">
        <w:rPr>
          <w:i/>
          <w:iCs/>
          <w:color w:val="000000" w:themeColor="text1"/>
        </w:rPr>
        <w:t>Rimšēvičs</w:t>
      </w:r>
      <w:r w:rsidR="00987858" w:rsidRPr="007A58EA">
        <w:rPr>
          <w:color w:val="000000" w:themeColor="text1"/>
        </w:rPr>
        <w:t xml:space="preserve"> (2019)</w:t>
      </w:r>
      <w:r w:rsidR="0064172F" w:rsidRPr="007A58EA">
        <w:rPr>
          <w:color w:val="000000" w:themeColor="text1"/>
        </w:rPr>
        <w:t>,</w:t>
      </w:r>
      <w:r w:rsidR="0064172F" w:rsidRPr="007A58EA">
        <w:rPr>
          <w:rStyle w:val="FootnoteReference"/>
          <w:color w:val="000000" w:themeColor="text1"/>
        </w:rPr>
        <w:footnoteReference w:id="35"/>
      </w:r>
      <w:r w:rsidR="00987858" w:rsidRPr="007A58EA">
        <w:rPr>
          <w:color w:val="000000" w:themeColor="text1"/>
        </w:rPr>
        <w:t xml:space="preserve"> and </w:t>
      </w:r>
      <w:r w:rsidR="008E2E72" w:rsidRPr="007A58EA">
        <w:rPr>
          <w:i/>
          <w:iCs/>
          <w:color w:val="000000" w:themeColor="text1"/>
        </w:rPr>
        <w:t>W.Ż.</w:t>
      </w:r>
      <w:r w:rsidR="00987858" w:rsidRPr="007A58EA">
        <w:rPr>
          <w:color w:val="000000" w:themeColor="text1"/>
        </w:rPr>
        <w:t xml:space="preserve"> (2021)</w:t>
      </w:r>
      <w:r w:rsidR="0064172F" w:rsidRPr="007A58EA">
        <w:rPr>
          <w:rStyle w:val="FootnoteReference"/>
          <w:color w:val="000000" w:themeColor="text1"/>
        </w:rPr>
        <w:footnoteReference w:id="36"/>
      </w:r>
      <w:r w:rsidR="00987858" w:rsidRPr="007A58EA">
        <w:rPr>
          <w:color w:val="000000" w:themeColor="text1"/>
        </w:rPr>
        <w:t xml:space="preserve"> – prompt questions about how far the </w:t>
      </w:r>
      <w:r w:rsidR="005A7B38" w:rsidRPr="007A58EA">
        <w:rPr>
          <w:color w:val="000000" w:themeColor="text1"/>
        </w:rPr>
        <w:t xml:space="preserve">Court </w:t>
      </w:r>
      <w:r w:rsidR="00987858" w:rsidRPr="007A58EA">
        <w:rPr>
          <w:color w:val="000000" w:themeColor="text1"/>
        </w:rPr>
        <w:t xml:space="preserve">is </w:t>
      </w:r>
      <w:r w:rsidR="005A7B38" w:rsidRPr="007A58EA">
        <w:rPr>
          <w:color w:val="000000" w:themeColor="text1"/>
        </w:rPr>
        <w:t xml:space="preserve">becoming </w:t>
      </w:r>
      <w:r w:rsidR="009C3BF1" w:rsidRPr="007A58EA">
        <w:rPr>
          <w:color w:val="000000" w:themeColor="text1"/>
        </w:rPr>
        <w:t xml:space="preserve">more interventionist about its own jurisdiction to rule directly on the validity / status of national acts (not just leaving the determination to national courts, but actually settled by the </w:t>
      </w:r>
      <w:r w:rsidR="005510EC" w:rsidRPr="007A58EA">
        <w:rPr>
          <w:color w:val="000000" w:themeColor="text1"/>
        </w:rPr>
        <w:t>CJEU</w:t>
      </w:r>
      <w:r w:rsidR="009C3BF1" w:rsidRPr="007A58EA">
        <w:rPr>
          <w:color w:val="000000" w:themeColor="text1"/>
        </w:rPr>
        <w:t xml:space="preserve"> itself); and indeed </w:t>
      </w:r>
      <w:r w:rsidR="005A7B38" w:rsidRPr="007A58EA">
        <w:rPr>
          <w:color w:val="000000" w:themeColor="text1"/>
        </w:rPr>
        <w:t xml:space="preserve">more prescriptive about </w:t>
      </w:r>
      <w:r w:rsidR="00987858" w:rsidRPr="007A58EA">
        <w:rPr>
          <w:color w:val="000000" w:themeColor="text1"/>
        </w:rPr>
        <w:t xml:space="preserve">the </w:t>
      </w:r>
      <w:r w:rsidR="005A7B38" w:rsidRPr="007A58EA">
        <w:rPr>
          <w:color w:val="000000" w:themeColor="text1"/>
        </w:rPr>
        <w:t xml:space="preserve">legal consequences of incompatibility </w:t>
      </w:r>
      <w:r w:rsidR="009C3BF1" w:rsidRPr="007A58EA">
        <w:rPr>
          <w:color w:val="000000" w:themeColor="text1"/>
        </w:rPr>
        <w:t xml:space="preserve">that should flow from the </w:t>
      </w:r>
      <w:r w:rsidR="005A7B38" w:rsidRPr="007A58EA">
        <w:rPr>
          <w:color w:val="000000" w:themeColor="text1"/>
        </w:rPr>
        <w:t xml:space="preserve">principle of primacy </w:t>
      </w:r>
      <w:r w:rsidR="00156823" w:rsidRPr="007A58EA">
        <w:rPr>
          <w:color w:val="000000" w:themeColor="text1"/>
        </w:rPr>
        <w:t xml:space="preserve">(not </w:t>
      </w:r>
      <w:r w:rsidR="009C3BF1" w:rsidRPr="007A58EA">
        <w:rPr>
          <w:color w:val="000000" w:themeColor="text1"/>
        </w:rPr>
        <w:t xml:space="preserve">merely expecting the </w:t>
      </w:r>
      <w:r w:rsidR="00156823" w:rsidRPr="007A58EA">
        <w:rPr>
          <w:color w:val="000000" w:themeColor="text1"/>
        </w:rPr>
        <w:t>disapplication</w:t>
      </w:r>
      <w:r w:rsidR="009C3BF1" w:rsidRPr="007A58EA">
        <w:rPr>
          <w:color w:val="000000" w:themeColor="text1"/>
        </w:rPr>
        <w:t xml:space="preserve"> of national rules</w:t>
      </w:r>
      <w:r w:rsidR="00156823" w:rsidRPr="007A58EA">
        <w:rPr>
          <w:color w:val="000000" w:themeColor="text1"/>
        </w:rPr>
        <w:t xml:space="preserve">, but </w:t>
      </w:r>
      <w:r w:rsidR="009C3BF1" w:rsidRPr="007A58EA">
        <w:rPr>
          <w:color w:val="000000" w:themeColor="text1"/>
        </w:rPr>
        <w:t xml:space="preserve">insisting that the latter be </w:t>
      </w:r>
      <w:r w:rsidR="00156823" w:rsidRPr="007A58EA">
        <w:rPr>
          <w:color w:val="000000" w:themeColor="text1"/>
        </w:rPr>
        <w:t>rendered null and void)</w:t>
      </w:r>
      <w:r w:rsidR="005A7B38" w:rsidRPr="007A58EA">
        <w:rPr>
          <w:color w:val="000000" w:themeColor="text1"/>
        </w:rPr>
        <w:t>.</w:t>
      </w:r>
      <w:r w:rsidR="00156823" w:rsidRPr="007A58EA">
        <w:rPr>
          <w:color w:val="000000" w:themeColor="text1"/>
        </w:rPr>
        <w:t xml:space="preserve">  </w:t>
      </w:r>
    </w:p>
    <w:p w14:paraId="7DC52C4A" w14:textId="66C586AE" w:rsidR="0039388E" w:rsidRPr="007A58EA" w:rsidRDefault="00156823" w:rsidP="007E0CDE">
      <w:pPr>
        <w:ind w:firstLine="720"/>
        <w:jc w:val="both"/>
        <w:rPr>
          <w:color w:val="000000" w:themeColor="text1"/>
        </w:rPr>
      </w:pPr>
      <w:r w:rsidRPr="007A58EA">
        <w:rPr>
          <w:color w:val="000000" w:themeColor="text1"/>
        </w:rPr>
        <w:t xml:space="preserve">What </w:t>
      </w:r>
      <w:r w:rsidR="00670975" w:rsidRPr="007A58EA">
        <w:rPr>
          <w:color w:val="000000" w:themeColor="text1"/>
        </w:rPr>
        <w:t xml:space="preserve">new legal principles </w:t>
      </w:r>
      <w:r w:rsidRPr="007A58EA">
        <w:rPr>
          <w:color w:val="000000" w:themeColor="text1"/>
        </w:rPr>
        <w:t xml:space="preserve">do these </w:t>
      </w:r>
      <w:r w:rsidR="009C3BF1" w:rsidRPr="007A58EA">
        <w:rPr>
          <w:color w:val="000000" w:themeColor="text1"/>
        </w:rPr>
        <w:t xml:space="preserve">major </w:t>
      </w:r>
      <w:r w:rsidRPr="007A58EA">
        <w:rPr>
          <w:color w:val="000000" w:themeColor="text1"/>
        </w:rPr>
        <w:t xml:space="preserve">cases suggest?  Do </w:t>
      </w:r>
      <w:r w:rsidR="009C3BF1" w:rsidRPr="007A58EA">
        <w:rPr>
          <w:color w:val="000000" w:themeColor="text1"/>
        </w:rPr>
        <w:t xml:space="preserve">their novel doctrinal points </w:t>
      </w:r>
      <w:r w:rsidRPr="007A58EA">
        <w:rPr>
          <w:color w:val="000000" w:themeColor="text1"/>
        </w:rPr>
        <w:t xml:space="preserve">add up to some more coherent development than the sum of their </w:t>
      </w:r>
      <w:r w:rsidR="00670975" w:rsidRPr="007A58EA">
        <w:rPr>
          <w:color w:val="000000" w:themeColor="text1"/>
        </w:rPr>
        <w:t xml:space="preserve">individual </w:t>
      </w:r>
      <w:r w:rsidRPr="007A58EA">
        <w:rPr>
          <w:color w:val="000000" w:themeColor="text1"/>
        </w:rPr>
        <w:t xml:space="preserve">parts?  Whether individually or collectively, how far do </w:t>
      </w:r>
      <w:r w:rsidR="009C3BF1" w:rsidRPr="007A58EA">
        <w:rPr>
          <w:color w:val="000000" w:themeColor="text1"/>
        </w:rPr>
        <w:t xml:space="preserve">these cases support </w:t>
      </w:r>
      <w:r w:rsidRPr="007A58EA">
        <w:rPr>
          <w:color w:val="000000" w:themeColor="text1"/>
        </w:rPr>
        <w:t xml:space="preserve">an evolution or even </w:t>
      </w:r>
      <w:r w:rsidR="009C3BF1" w:rsidRPr="007A58EA">
        <w:rPr>
          <w:color w:val="000000" w:themeColor="text1"/>
        </w:rPr>
        <w:t xml:space="preserve">a </w:t>
      </w:r>
      <w:r w:rsidRPr="007A58EA">
        <w:rPr>
          <w:color w:val="000000" w:themeColor="text1"/>
        </w:rPr>
        <w:t xml:space="preserve">revolution in the established principles governing </w:t>
      </w:r>
      <w:r w:rsidR="00670975" w:rsidRPr="007A58EA">
        <w:rPr>
          <w:color w:val="000000" w:themeColor="text1"/>
        </w:rPr>
        <w:t>EU-M</w:t>
      </w:r>
      <w:r w:rsidR="009C3BF1" w:rsidRPr="007A58EA">
        <w:rPr>
          <w:color w:val="000000" w:themeColor="text1"/>
        </w:rPr>
        <w:t xml:space="preserve">ember </w:t>
      </w:r>
      <w:r w:rsidR="00670975" w:rsidRPr="007A58EA">
        <w:rPr>
          <w:color w:val="000000" w:themeColor="text1"/>
        </w:rPr>
        <w:t>S</w:t>
      </w:r>
      <w:r w:rsidR="009C3BF1" w:rsidRPr="007A58EA">
        <w:rPr>
          <w:color w:val="000000" w:themeColor="text1"/>
        </w:rPr>
        <w:t>tate</w:t>
      </w:r>
      <w:r w:rsidR="00670975" w:rsidRPr="007A58EA">
        <w:rPr>
          <w:color w:val="000000" w:themeColor="text1"/>
        </w:rPr>
        <w:t xml:space="preserve"> legal relations?  </w:t>
      </w:r>
      <w:r w:rsidR="00DD1637" w:rsidRPr="007A58EA">
        <w:rPr>
          <w:color w:val="000000" w:themeColor="text1"/>
        </w:rPr>
        <w:t xml:space="preserve">Our analysis </w:t>
      </w:r>
      <w:r w:rsidR="009C3BF1" w:rsidRPr="007A58EA">
        <w:rPr>
          <w:color w:val="000000" w:themeColor="text1"/>
        </w:rPr>
        <w:t xml:space="preserve">will </w:t>
      </w:r>
      <w:r w:rsidR="00952E0A" w:rsidRPr="007A58EA">
        <w:rPr>
          <w:color w:val="000000" w:themeColor="text1"/>
        </w:rPr>
        <w:t>acknowledge</w:t>
      </w:r>
      <w:r w:rsidR="00DD1637" w:rsidRPr="007A58EA">
        <w:rPr>
          <w:color w:val="000000" w:themeColor="text1"/>
        </w:rPr>
        <w:t xml:space="preserve"> </w:t>
      </w:r>
      <w:r w:rsidR="009C3BF1" w:rsidRPr="007A58EA">
        <w:rPr>
          <w:color w:val="000000" w:themeColor="text1"/>
        </w:rPr>
        <w:t xml:space="preserve">that these rulings deal </w:t>
      </w:r>
      <w:r w:rsidR="00670975" w:rsidRPr="007A58EA">
        <w:rPr>
          <w:color w:val="000000" w:themeColor="text1"/>
        </w:rPr>
        <w:t>with very different situations</w:t>
      </w:r>
      <w:r w:rsidR="00952E0A" w:rsidRPr="007A58EA">
        <w:rPr>
          <w:color w:val="000000" w:themeColor="text1"/>
        </w:rPr>
        <w:t xml:space="preserve"> and </w:t>
      </w:r>
      <w:r w:rsidR="005510EC" w:rsidRPr="007A58EA">
        <w:rPr>
          <w:color w:val="000000" w:themeColor="text1"/>
        </w:rPr>
        <w:t xml:space="preserve">that </w:t>
      </w:r>
      <w:r w:rsidR="009C3BF1" w:rsidRPr="007A58EA">
        <w:rPr>
          <w:color w:val="000000" w:themeColor="text1"/>
        </w:rPr>
        <w:t xml:space="preserve">each </w:t>
      </w:r>
      <w:r w:rsidR="00670975" w:rsidRPr="007A58EA">
        <w:rPr>
          <w:color w:val="000000" w:themeColor="text1"/>
        </w:rPr>
        <w:t>suggests its own quite distinct legal development</w:t>
      </w:r>
      <w:r w:rsidR="00952E0A" w:rsidRPr="007A58EA">
        <w:rPr>
          <w:color w:val="000000" w:themeColor="text1"/>
        </w:rPr>
        <w:t xml:space="preserve">.  </w:t>
      </w:r>
      <w:r w:rsidR="005510EC" w:rsidRPr="007A58EA">
        <w:rPr>
          <w:color w:val="000000" w:themeColor="text1"/>
        </w:rPr>
        <w:t xml:space="preserve">But </w:t>
      </w:r>
      <w:r w:rsidR="00952E0A" w:rsidRPr="007A58EA">
        <w:rPr>
          <w:color w:val="000000" w:themeColor="text1"/>
        </w:rPr>
        <w:t>taken together, the</w:t>
      </w:r>
      <w:r w:rsidR="005510EC" w:rsidRPr="007A58EA">
        <w:rPr>
          <w:color w:val="000000" w:themeColor="text1"/>
        </w:rPr>
        <w:t>se</w:t>
      </w:r>
      <w:r w:rsidR="00952E0A" w:rsidRPr="007A58EA">
        <w:rPr>
          <w:color w:val="000000" w:themeColor="text1"/>
        </w:rPr>
        <w:t xml:space="preserve"> judgments do confirm that, in principle, the unity and effectiveness of Union law might well </w:t>
      </w:r>
      <w:r w:rsidR="005510EC" w:rsidRPr="007A58EA">
        <w:rPr>
          <w:color w:val="000000" w:themeColor="text1"/>
        </w:rPr>
        <w:t>demand</w:t>
      </w:r>
      <w:r w:rsidR="00952E0A" w:rsidRPr="007A58EA">
        <w:rPr>
          <w:color w:val="000000" w:themeColor="text1"/>
        </w:rPr>
        <w:t xml:space="preserve"> the annulment of certain incompatible national measures.  The more difficult challenge is to extract, from this relatively limited and diverse body of caselaw, potentially reliable and useful factors or criteria that might </w:t>
      </w:r>
      <w:r w:rsidR="00072E3E" w:rsidRPr="007A58EA">
        <w:rPr>
          <w:color w:val="000000" w:themeColor="text1"/>
        </w:rPr>
        <w:t xml:space="preserve">help </w:t>
      </w:r>
      <w:r w:rsidR="00952E0A" w:rsidRPr="007A58EA">
        <w:rPr>
          <w:color w:val="000000" w:themeColor="text1"/>
        </w:rPr>
        <w:t xml:space="preserve">guide the future development of our </w:t>
      </w:r>
      <w:r w:rsidR="00072E3E" w:rsidRPr="007A58EA">
        <w:rPr>
          <w:color w:val="000000" w:themeColor="text1"/>
        </w:rPr>
        <w:t xml:space="preserve">novel </w:t>
      </w:r>
      <w:r w:rsidR="00952E0A" w:rsidRPr="007A58EA">
        <w:rPr>
          <w:color w:val="000000" w:themeColor="text1"/>
        </w:rPr>
        <w:t>“remedy of nullity”.</w:t>
      </w:r>
    </w:p>
    <w:p w14:paraId="100DED6F" w14:textId="378FB6E3" w:rsidR="0039388E" w:rsidRPr="007A58EA" w:rsidRDefault="0039388E" w:rsidP="00391EA9">
      <w:pPr>
        <w:jc w:val="both"/>
        <w:rPr>
          <w:color w:val="000000" w:themeColor="text1"/>
        </w:rPr>
      </w:pPr>
    </w:p>
    <w:p w14:paraId="1F67E18F" w14:textId="62020E31" w:rsidR="00070D26" w:rsidRPr="007A58EA" w:rsidRDefault="008748B2" w:rsidP="00391EA9">
      <w:pPr>
        <w:jc w:val="both"/>
        <w:rPr>
          <w:b/>
          <w:bCs/>
          <w:color w:val="000000" w:themeColor="text1"/>
        </w:rPr>
      </w:pPr>
      <w:r w:rsidRPr="007A58EA">
        <w:rPr>
          <w:b/>
          <w:bCs/>
          <w:color w:val="000000" w:themeColor="text1"/>
        </w:rPr>
        <w:t xml:space="preserve">3.  </w:t>
      </w:r>
      <w:r w:rsidR="00793E79" w:rsidRPr="007A58EA">
        <w:rPr>
          <w:b/>
          <w:bCs/>
          <w:color w:val="000000" w:themeColor="text1"/>
        </w:rPr>
        <w:t xml:space="preserve">Division of </w:t>
      </w:r>
      <w:r w:rsidR="008057C5" w:rsidRPr="007A58EA">
        <w:rPr>
          <w:b/>
          <w:bCs/>
          <w:color w:val="000000" w:themeColor="text1"/>
        </w:rPr>
        <w:t>j</w:t>
      </w:r>
      <w:r w:rsidR="00070D26" w:rsidRPr="007A58EA">
        <w:rPr>
          <w:b/>
          <w:bCs/>
          <w:color w:val="000000" w:themeColor="text1"/>
        </w:rPr>
        <w:t>urisdiction between Union and national courts</w:t>
      </w:r>
      <w:r w:rsidR="00DD1637" w:rsidRPr="007A58EA">
        <w:rPr>
          <w:b/>
          <w:bCs/>
          <w:color w:val="000000" w:themeColor="text1"/>
        </w:rPr>
        <w:t xml:space="preserve">: </w:t>
      </w:r>
      <w:r w:rsidR="00DD1637" w:rsidRPr="007A58EA">
        <w:rPr>
          <w:b/>
          <w:bCs/>
          <w:i/>
          <w:iCs/>
          <w:color w:val="000000" w:themeColor="text1"/>
        </w:rPr>
        <w:t>Berlusconi</w:t>
      </w:r>
      <w:r w:rsidR="00DD1637" w:rsidRPr="007A58EA">
        <w:rPr>
          <w:b/>
          <w:bCs/>
          <w:color w:val="000000" w:themeColor="text1"/>
        </w:rPr>
        <w:t xml:space="preserve"> </w:t>
      </w:r>
    </w:p>
    <w:p w14:paraId="3FBF9126" w14:textId="77777777" w:rsidR="00070D26" w:rsidRPr="007A58EA" w:rsidRDefault="00070D26" w:rsidP="00391EA9">
      <w:pPr>
        <w:jc w:val="both"/>
        <w:rPr>
          <w:color w:val="000000" w:themeColor="text1"/>
        </w:rPr>
      </w:pPr>
    </w:p>
    <w:p w14:paraId="5F1B6089" w14:textId="0C086BE5" w:rsidR="007E0CDE" w:rsidRDefault="00793E79" w:rsidP="00391EA9">
      <w:pPr>
        <w:jc w:val="both"/>
        <w:rPr>
          <w:color w:val="000000" w:themeColor="text1"/>
        </w:rPr>
      </w:pPr>
      <w:r w:rsidRPr="007A58EA">
        <w:rPr>
          <w:color w:val="000000" w:themeColor="text1"/>
        </w:rPr>
        <w:t>Both</w:t>
      </w:r>
      <w:r w:rsidRPr="007A58EA">
        <w:rPr>
          <w:i/>
          <w:iCs/>
          <w:color w:val="000000" w:themeColor="text1"/>
        </w:rPr>
        <w:t xml:space="preserve"> </w:t>
      </w:r>
      <w:r w:rsidR="00DD1637" w:rsidRPr="007A58EA">
        <w:rPr>
          <w:i/>
          <w:iCs/>
          <w:color w:val="000000" w:themeColor="text1"/>
        </w:rPr>
        <w:t>Berlusconi</w:t>
      </w:r>
      <w:r w:rsidR="00DD1637" w:rsidRPr="007A58EA">
        <w:rPr>
          <w:color w:val="000000" w:themeColor="text1"/>
        </w:rPr>
        <w:t xml:space="preserve"> and </w:t>
      </w:r>
      <w:r w:rsidR="00DD1637" w:rsidRPr="007A58EA">
        <w:rPr>
          <w:i/>
          <w:iCs/>
          <w:color w:val="000000" w:themeColor="text1"/>
        </w:rPr>
        <w:t>Rimšēvičs</w:t>
      </w:r>
      <w:r w:rsidR="00DD1637" w:rsidRPr="007A58EA">
        <w:rPr>
          <w:b/>
          <w:bCs/>
          <w:color w:val="000000" w:themeColor="text1"/>
        </w:rPr>
        <w:t xml:space="preserve"> </w:t>
      </w:r>
      <w:r w:rsidR="00670975" w:rsidRPr="007A58EA">
        <w:rPr>
          <w:color w:val="000000" w:themeColor="text1"/>
        </w:rPr>
        <w:t xml:space="preserve">are essentially </w:t>
      </w:r>
      <w:r w:rsidR="00841D14" w:rsidRPr="007A58EA">
        <w:rPr>
          <w:color w:val="000000" w:themeColor="text1"/>
        </w:rPr>
        <w:t xml:space="preserve">concerned with shifting the </w:t>
      </w:r>
      <w:r w:rsidR="00670975" w:rsidRPr="007A58EA">
        <w:rPr>
          <w:color w:val="000000" w:themeColor="text1"/>
        </w:rPr>
        <w:t xml:space="preserve">boundary between </w:t>
      </w:r>
      <w:r w:rsidR="007D0362">
        <w:rPr>
          <w:color w:val="000000" w:themeColor="text1"/>
        </w:rPr>
        <w:t>CJEU</w:t>
      </w:r>
      <w:r w:rsidR="00670975" w:rsidRPr="007A58EA">
        <w:rPr>
          <w:color w:val="000000" w:themeColor="text1"/>
        </w:rPr>
        <w:t xml:space="preserve"> and national court jurisdiction </w:t>
      </w:r>
      <w:r w:rsidR="00841D14" w:rsidRPr="007A58EA">
        <w:rPr>
          <w:color w:val="000000" w:themeColor="text1"/>
        </w:rPr>
        <w:t xml:space="preserve">over certain categories of national </w:t>
      </w:r>
      <w:r w:rsidR="00670975" w:rsidRPr="007A58EA">
        <w:rPr>
          <w:color w:val="000000" w:themeColor="text1"/>
        </w:rPr>
        <w:t>act</w:t>
      </w:r>
      <w:r w:rsidR="00DD1637" w:rsidRPr="007A58EA">
        <w:rPr>
          <w:color w:val="000000" w:themeColor="text1"/>
        </w:rPr>
        <w:t xml:space="preserve"> – though even on this issue, the two rulings </w:t>
      </w:r>
      <w:r w:rsidR="003C5AB3" w:rsidRPr="007A58EA">
        <w:rPr>
          <w:color w:val="000000" w:themeColor="text1"/>
        </w:rPr>
        <w:t>deal with different situations and establish distinct legal principles.</w:t>
      </w:r>
      <w:r w:rsidR="003D6F2E" w:rsidRPr="007A58EA">
        <w:rPr>
          <w:color w:val="000000" w:themeColor="text1"/>
        </w:rPr>
        <w:t xml:space="preserve">  </w:t>
      </w:r>
      <w:r w:rsidR="00485D27" w:rsidRPr="007A58EA">
        <w:rPr>
          <w:color w:val="000000" w:themeColor="text1"/>
        </w:rPr>
        <w:t xml:space="preserve">In </w:t>
      </w:r>
      <w:r w:rsidR="003D6F2E" w:rsidRPr="007A58EA">
        <w:rPr>
          <w:color w:val="000000" w:themeColor="text1"/>
        </w:rPr>
        <w:t xml:space="preserve">particular, </w:t>
      </w:r>
      <w:r w:rsidR="00485D27" w:rsidRPr="007A58EA">
        <w:rPr>
          <w:i/>
          <w:iCs/>
          <w:color w:val="000000" w:themeColor="text1"/>
        </w:rPr>
        <w:t>Berlusconi</w:t>
      </w:r>
      <w:r w:rsidR="003D6F2E" w:rsidRPr="007A58EA">
        <w:rPr>
          <w:color w:val="000000" w:themeColor="text1"/>
        </w:rPr>
        <w:t xml:space="preserve"> afforded the </w:t>
      </w:r>
      <w:r w:rsidR="00485D27" w:rsidRPr="007A58EA">
        <w:rPr>
          <w:color w:val="000000" w:themeColor="text1"/>
        </w:rPr>
        <w:t xml:space="preserve">Court </w:t>
      </w:r>
      <w:r w:rsidR="003D6F2E" w:rsidRPr="007A58EA">
        <w:rPr>
          <w:color w:val="000000" w:themeColor="text1"/>
        </w:rPr>
        <w:t xml:space="preserve">an opportunity to </w:t>
      </w:r>
      <w:r w:rsidR="00485D27" w:rsidRPr="007A58EA">
        <w:rPr>
          <w:color w:val="000000" w:themeColor="text1"/>
        </w:rPr>
        <w:t>clarif</w:t>
      </w:r>
      <w:r w:rsidR="003D6F2E" w:rsidRPr="007A58EA">
        <w:rPr>
          <w:color w:val="000000" w:themeColor="text1"/>
        </w:rPr>
        <w:t>y</w:t>
      </w:r>
      <w:r w:rsidR="00485D27" w:rsidRPr="007A58EA">
        <w:rPr>
          <w:color w:val="000000" w:themeColor="text1"/>
        </w:rPr>
        <w:t xml:space="preserve"> and develop its caselaw on the </w:t>
      </w:r>
      <w:r w:rsidR="00944430" w:rsidRPr="007A58EA">
        <w:rPr>
          <w:color w:val="000000" w:themeColor="text1"/>
        </w:rPr>
        <w:t xml:space="preserve">division of jurisdiction between </w:t>
      </w:r>
      <w:r w:rsidR="00485D27" w:rsidRPr="007A58EA">
        <w:rPr>
          <w:color w:val="000000" w:themeColor="text1"/>
        </w:rPr>
        <w:t xml:space="preserve">the Union </w:t>
      </w:r>
      <w:r w:rsidR="00944430" w:rsidRPr="007A58EA">
        <w:rPr>
          <w:color w:val="000000" w:themeColor="text1"/>
        </w:rPr>
        <w:t xml:space="preserve">and national courts in mixed </w:t>
      </w:r>
      <w:r w:rsidR="000B0022" w:rsidRPr="007A58EA">
        <w:rPr>
          <w:color w:val="000000" w:themeColor="text1"/>
        </w:rPr>
        <w:t xml:space="preserve">(or hybrid, or composite) </w:t>
      </w:r>
      <w:r w:rsidR="00485D27" w:rsidRPr="007A58EA">
        <w:rPr>
          <w:color w:val="000000" w:themeColor="text1"/>
        </w:rPr>
        <w:t xml:space="preserve">administrative </w:t>
      </w:r>
      <w:r w:rsidR="00944430" w:rsidRPr="007A58EA">
        <w:rPr>
          <w:color w:val="000000" w:themeColor="text1"/>
        </w:rPr>
        <w:t>procedures</w:t>
      </w:r>
      <w:r w:rsidR="00485D27" w:rsidRPr="007A58EA">
        <w:rPr>
          <w:color w:val="000000" w:themeColor="text1"/>
        </w:rPr>
        <w:t>,</w:t>
      </w:r>
      <w:r w:rsidR="00944430" w:rsidRPr="007A58EA">
        <w:rPr>
          <w:color w:val="000000" w:themeColor="text1"/>
        </w:rPr>
        <w:t xml:space="preserve"> where </w:t>
      </w:r>
      <w:r w:rsidR="00485D27" w:rsidRPr="007A58EA">
        <w:rPr>
          <w:color w:val="000000" w:themeColor="text1"/>
        </w:rPr>
        <w:t xml:space="preserve">the </w:t>
      </w:r>
      <w:r w:rsidR="00944430" w:rsidRPr="007A58EA">
        <w:rPr>
          <w:color w:val="000000" w:themeColor="text1"/>
        </w:rPr>
        <w:t xml:space="preserve">adoption of </w:t>
      </w:r>
      <w:r w:rsidR="00485D27" w:rsidRPr="007A58EA">
        <w:rPr>
          <w:color w:val="000000" w:themeColor="text1"/>
        </w:rPr>
        <w:t xml:space="preserve">some </w:t>
      </w:r>
      <w:r w:rsidR="00944430" w:rsidRPr="007A58EA">
        <w:rPr>
          <w:color w:val="000000" w:themeColor="text1"/>
        </w:rPr>
        <w:t xml:space="preserve">national preparatory measure </w:t>
      </w:r>
      <w:r w:rsidR="00485D27" w:rsidRPr="007A58EA">
        <w:rPr>
          <w:color w:val="000000" w:themeColor="text1"/>
        </w:rPr>
        <w:t xml:space="preserve">subsequently </w:t>
      </w:r>
      <w:r w:rsidR="00944430" w:rsidRPr="007A58EA">
        <w:rPr>
          <w:color w:val="000000" w:themeColor="text1"/>
        </w:rPr>
        <w:t xml:space="preserve">leads to </w:t>
      </w:r>
      <w:r w:rsidR="00485D27" w:rsidRPr="007A58EA">
        <w:rPr>
          <w:color w:val="000000" w:themeColor="text1"/>
        </w:rPr>
        <w:t xml:space="preserve">the adoption </w:t>
      </w:r>
      <w:r w:rsidR="00944430" w:rsidRPr="007A58EA">
        <w:rPr>
          <w:color w:val="000000" w:themeColor="text1"/>
        </w:rPr>
        <w:t xml:space="preserve">of </w:t>
      </w:r>
      <w:r w:rsidR="00485D27" w:rsidRPr="007A58EA">
        <w:rPr>
          <w:color w:val="000000" w:themeColor="text1"/>
        </w:rPr>
        <w:t xml:space="preserve">a </w:t>
      </w:r>
      <w:r w:rsidR="00944430" w:rsidRPr="007A58EA">
        <w:rPr>
          <w:color w:val="000000" w:themeColor="text1"/>
        </w:rPr>
        <w:t>definitive Union act.</w:t>
      </w:r>
      <w:r w:rsidR="00A868E7" w:rsidRPr="007A58EA">
        <w:rPr>
          <w:rStyle w:val="FootnoteReference"/>
          <w:color w:val="000000" w:themeColor="text1"/>
        </w:rPr>
        <w:footnoteReference w:id="37"/>
      </w:r>
    </w:p>
    <w:p w14:paraId="190226DF" w14:textId="77777777" w:rsidR="007B5988" w:rsidRDefault="007B5988" w:rsidP="007B5988">
      <w:pPr>
        <w:ind w:firstLine="720"/>
        <w:jc w:val="both"/>
        <w:rPr>
          <w:color w:val="000000" w:themeColor="text1"/>
        </w:rPr>
      </w:pPr>
      <w:r w:rsidRPr="007A58EA">
        <w:rPr>
          <w:color w:val="000000" w:themeColor="text1"/>
        </w:rPr>
        <w:t xml:space="preserve">Where the preparatory national act </w:t>
      </w:r>
      <w:r>
        <w:rPr>
          <w:color w:val="000000" w:themeColor="text1"/>
        </w:rPr>
        <w:t xml:space="preserve">(for example, an unfavourable opinion from the competent Member State authorities on an application for funding) </w:t>
      </w:r>
      <w:r w:rsidRPr="007A58EA">
        <w:rPr>
          <w:color w:val="000000" w:themeColor="text1"/>
        </w:rPr>
        <w:t>is a necessary stage in a procedure that leads to the adoption of a definitive Union act, as regards which the competent Union institution has limited or even no discretion, so that the prior national act is effectively binding upon the Union institution</w:t>
      </w:r>
      <w:r>
        <w:rPr>
          <w:color w:val="000000" w:themeColor="text1"/>
        </w:rPr>
        <w:t xml:space="preserve"> (i.e. the latter could not nevertheless decide to grant the relevant funding)</w:t>
      </w:r>
      <w:r w:rsidRPr="007A58EA">
        <w:rPr>
          <w:color w:val="000000" w:themeColor="text1"/>
        </w:rPr>
        <w:t xml:space="preserve">: it falls to the domestic courts to rule on any irregularities affecting the legality of the relevant national act and to ensure the effective judicial protection of affected </w:t>
      </w:r>
      <w:r w:rsidRPr="007A58EA">
        <w:rPr>
          <w:color w:val="000000" w:themeColor="text1"/>
        </w:rPr>
        <w:lastRenderedPageBreak/>
        <w:t>individuals.  Such judicial review must be ensured, even if preparatory acts would not normally be amenable to challenge under ordinary domestic law.</w:t>
      </w:r>
      <w:r w:rsidRPr="007A58EA">
        <w:rPr>
          <w:rStyle w:val="FootnoteReference"/>
          <w:color w:val="000000" w:themeColor="text1"/>
        </w:rPr>
        <w:footnoteReference w:id="38"/>
      </w:r>
    </w:p>
    <w:p w14:paraId="0299F901" w14:textId="73562199" w:rsidR="007B5988" w:rsidRDefault="007B5988" w:rsidP="007B5988">
      <w:pPr>
        <w:ind w:firstLine="720"/>
        <w:jc w:val="both"/>
        <w:rPr>
          <w:color w:val="000000" w:themeColor="text1"/>
        </w:rPr>
      </w:pPr>
      <w:r w:rsidRPr="007A58EA">
        <w:rPr>
          <w:color w:val="000000" w:themeColor="text1"/>
        </w:rPr>
        <w:t xml:space="preserve">However, where the preparatory national act </w:t>
      </w:r>
      <w:r>
        <w:rPr>
          <w:color w:val="000000" w:themeColor="text1"/>
        </w:rPr>
        <w:t xml:space="preserve">(for example, a request that certain documents held by a Union institution </w:t>
      </w:r>
      <w:r w:rsidR="004771DF">
        <w:rPr>
          <w:color w:val="000000" w:themeColor="text1"/>
        </w:rPr>
        <w:t>though</w:t>
      </w:r>
      <w:r>
        <w:rPr>
          <w:color w:val="000000" w:themeColor="text1"/>
        </w:rPr>
        <w:t xml:space="preserve"> originating from the Member State should not </w:t>
      </w:r>
      <w:r w:rsidR="004771DF">
        <w:rPr>
          <w:color w:val="000000" w:themeColor="text1"/>
        </w:rPr>
        <w:t xml:space="preserve">now </w:t>
      </w:r>
      <w:r>
        <w:rPr>
          <w:color w:val="000000" w:themeColor="text1"/>
        </w:rPr>
        <w:t xml:space="preserve">be disclosed) </w:t>
      </w:r>
      <w:r w:rsidRPr="007A58EA">
        <w:rPr>
          <w:color w:val="000000" w:themeColor="text1"/>
        </w:rPr>
        <w:t>is part of a procedure that leads to the adoption of a definitive Union act, and the competent Union institution ultimately retains full decision-making power, so that the prior national act is not binding as such on the Union institution</w:t>
      </w:r>
      <w:r>
        <w:rPr>
          <w:color w:val="000000" w:themeColor="text1"/>
        </w:rPr>
        <w:t xml:space="preserve"> (i.e. the latter could nevertheless decide to disclose the relevant documents)</w:t>
      </w:r>
      <w:r w:rsidRPr="007A58EA">
        <w:rPr>
          <w:color w:val="000000" w:themeColor="text1"/>
        </w:rPr>
        <w:t>: it falls to the CJEU to exercise exclusive jurisdiction over the legality of the final Union act and to ensure the effective judicial protection of affected individuals.  In that context, the Court itself will examine any defects vitiating the national preparatory act that could affect the validity of the definitive Union measure.</w:t>
      </w:r>
      <w:r w:rsidRPr="007A58EA">
        <w:rPr>
          <w:rStyle w:val="FootnoteReference"/>
          <w:color w:val="000000" w:themeColor="text1"/>
        </w:rPr>
        <w:footnoteReference w:id="39"/>
      </w:r>
      <w:r w:rsidRPr="007A58EA">
        <w:rPr>
          <w:color w:val="000000" w:themeColor="text1"/>
        </w:rPr>
        <w:t xml:space="preserve">  </w:t>
      </w:r>
    </w:p>
    <w:p w14:paraId="771EA7A7" w14:textId="19DA8C31" w:rsidR="007E0CDE" w:rsidRDefault="00BD2812" w:rsidP="007E0CDE">
      <w:pPr>
        <w:ind w:firstLine="720"/>
        <w:jc w:val="both"/>
        <w:rPr>
          <w:color w:val="000000" w:themeColor="text1"/>
        </w:rPr>
      </w:pPr>
      <w:r w:rsidRPr="007A58EA">
        <w:rPr>
          <w:color w:val="000000" w:themeColor="text1"/>
        </w:rPr>
        <w:t>So far, nothing very new</w:t>
      </w:r>
      <w:r w:rsidR="00C77677" w:rsidRPr="007A58EA">
        <w:rPr>
          <w:color w:val="000000" w:themeColor="text1"/>
        </w:rPr>
        <w:t>, one might rightly think</w:t>
      </w:r>
      <w:r w:rsidRPr="007A58EA">
        <w:rPr>
          <w:color w:val="000000" w:themeColor="text1"/>
        </w:rPr>
        <w:t xml:space="preserve">.  </w:t>
      </w:r>
      <w:r w:rsidR="005145BF" w:rsidRPr="007A58EA">
        <w:rPr>
          <w:color w:val="000000" w:themeColor="text1"/>
        </w:rPr>
        <w:t xml:space="preserve">But </w:t>
      </w:r>
      <w:r w:rsidRPr="007A58EA">
        <w:rPr>
          <w:color w:val="000000" w:themeColor="text1"/>
        </w:rPr>
        <w:t xml:space="preserve">at this point, </w:t>
      </w:r>
      <w:r w:rsidRPr="007A58EA">
        <w:rPr>
          <w:i/>
          <w:iCs/>
          <w:color w:val="000000" w:themeColor="text1"/>
        </w:rPr>
        <w:t>Berlusconi</w:t>
      </w:r>
      <w:r w:rsidRPr="007A58EA">
        <w:rPr>
          <w:color w:val="000000" w:themeColor="text1"/>
        </w:rPr>
        <w:t xml:space="preserve"> adds something to the established caselaw.  In </w:t>
      </w:r>
      <w:r w:rsidR="00AB55E0" w:rsidRPr="007A58EA">
        <w:rPr>
          <w:color w:val="000000" w:themeColor="text1"/>
        </w:rPr>
        <w:t xml:space="preserve">the latter category of </w:t>
      </w:r>
      <w:r w:rsidR="00D91942" w:rsidRPr="007A58EA">
        <w:rPr>
          <w:color w:val="000000" w:themeColor="text1"/>
        </w:rPr>
        <w:t xml:space="preserve">mixed (hybrid / composite) </w:t>
      </w:r>
      <w:r w:rsidR="00AB55E0" w:rsidRPr="007A58EA">
        <w:rPr>
          <w:color w:val="000000" w:themeColor="text1"/>
        </w:rPr>
        <w:t xml:space="preserve">situation, </w:t>
      </w:r>
      <w:r w:rsidRPr="007A58EA">
        <w:rPr>
          <w:color w:val="000000" w:themeColor="text1"/>
        </w:rPr>
        <w:t xml:space="preserve">the </w:t>
      </w:r>
      <w:r w:rsidR="005145BF" w:rsidRPr="007A58EA">
        <w:rPr>
          <w:color w:val="000000" w:themeColor="text1"/>
        </w:rPr>
        <w:t>duty of loyal cooperation</w:t>
      </w:r>
      <w:r w:rsidR="00AB55E0" w:rsidRPr="007A58EA">
        <w:rPr>
          <w:color w:val="000000" w:themeColor="text1"/>
        </w:rPr>
        <w:t xml:space="preserve"> requires that </w:t>
      </w:r>
      <w:r w:rsidR="005145BF" w:rsidRPr="007A58EA">
        <w:rPr>
          <w:color w:val="000000" w:themeColor="text1"/>
        </w:rPr>
        <w:t xml:space="preserve">national preparatory acts cannot be subject to parallel </w:t>
      </w:r>
      <w:r w:rsidRPr="007A58EA">
        <w:rPr>
          <w:color w:val="000000" w:themeColor="text1"/>
        </w:rPr>
        <w:t>or</w:t>
      </w:r>
      <w:r w:rsidR="005145BF" w:rsidRPr="007A58EA">
        <w:rPr>
          <w:color w:val="000000" w:themeColor="text1"/>
        </w:rPr>
        <w:t xml:space="preserve"> additional judicial review </w:t>
      </w:r>
      <w:r w:rsidRPr="007A58EA">
        <w:rPr>
          <w:color w:val="000000" w:themeColor="text1"/>
        </w:rPr>
        <w:t xml:space="preserve">before the </w:t>
      </w:r>
      <w:r w:rsidR="005145BF" w:rsidRPr="007A58EA">
        <w:rPr>
          <w:color w:val="000000" w:themeColor="text1"/>
        </w:rPr>
        <w:t xml:space="preserve">national courts.  </w:t>
      </w:r>
      <w:r w:rsidRPr="007A58EA">
        <w:rPr>
          <w:color w:val="000000" w:themeColor="text1"/>
        </w:rPr>
        <w:t>The e</w:t>
      </w:r>
      <w:r w:rsidR="005145BF" w:rsidRPr="007A58EA">
        <w:rPr>
          <w:color w:val="000000" w:themeColor="text1"/>
        </w:rPr>
        <w:t xml:space="preserve">ffectiveness of </w:t>
      </w:r>
      <w:r w:rsidR="00AB55E0" w:rsidRPr="007A58EA">
        <w:rPr>
          <w:color w:val="000000" w:themeColor="text1"/>
        </w:rPr>
        <w:t xml:space="preserve">such </w:t>
      </w:r>
      <w:r w:rsidR="005145BF" w:rsidRPr="007A58EA">
        <w:rPr>
          <w:color w:val="000000" w:themeColor="text1"/>
        </w:rPr>
        <w:t xml:space="preserve">mixed EU-Member State procedures calls for </w:t>
      </w:r>
      <w:r w:rsidR="00AB55E0" w:rsidRPr="007A58EA">
        <w:rPr>
          <w:color w:val="000000" w:themeColor="text1"/>
        </w:rPr>
        <w:t xml:space="preserve">a </w:t>
      </w:r>
      <w:r w:rsidR="005145BF" w:rsidRPr="007A58EA">
        <w:rPr>
          <w:color w:val="000000" w:themeColor="text1"/>
        </w:rPr>
        <w:t xml:space="preserve">single judicial review, </w:t>
      </w:r>
      <w:r w:rsidR="00AB55E0" w:rsidRPr="007A58EA">
        <w:rPr>
          <w:color w:val="000000" w:themeColor="text1"/>
        </w:rPr>
        <w:t xml:space="preserve">conducted </w:t>
      </w:r>
      <w:r w:rsidR="005145BF" w:rsidRPr="007A58EA">
        <w:rPr>
          <w:color w:val="000000" w:themeColor="text1"/>
        </w:rPr>
        <w:t xml:space="preserve">by </w:t>
      </w:r>
      <w:r w:rsidR="00AB55E0" w:rsidRPr="007A58EA">
        <w:rPr>
          <w:color w:val="000000" w:themeColor="text1"/>
        </w:rPr>
        <w:t xml:space="preserve">the </w:t>
      </w:r>
      <w:r w:rsidR="005145BF" w:rsidRPr="007A58EA">
        <w:rPr>
          <w:color w:val="000000" w:themeColor="text1"/>
        </w:rPr>
        <w:t xml:space="preserve">Union courts, </w:t>
      </w:r>
      <w:r w:rsidR="00AB55E0" w:rsidRPr="007A58EA">
        <w:rPr>
          <w:color w:val="000000" w:themeColor="text1"/>
        </w:rPr>
        <w:t xml:space="preserve">and </w:t>
      </w:r>
      <w:r w:rsidR="005145BF" w:rsidRPr="007A58EA">
        <w:rPr>
          <w:color w:val="000000" w:themeColor="text1"/>
        </w:rPr>
        <w:t xml:space="preserve">only once </w:t>
      </w:r>
      <w:r w:rsidR="00AB55E0" w:rsidRPr="007A58EA">
        <w:rPr>
          <w:color w:val="000000" w:themeColor="text1"/>
        </w:rPr>
        <w:t xml:space="preserve">the definitive </w:t>
      </w:r>
      <w:r w:rsidR="005145BF" w:rsidRPr="007A58EA">
        <w:rPr>
          <w:color w:val="000000" w:themeColor="text1"/>
        </w:rPr>
        <w:t xml:space="preserve">Union decision </w:t>
      </w:r>
      <w:r w:rsidR="00AB55E0" w:rsidRPr="007A58EA">
        <w:rPr>
          <w:color w:val="000000" w:themeColor="text1"/>
        </w:rPr>
        <w:t xml:space="preserve">has been </w:t>
      </w:r>
      <w:r w:rsidR="005145BF" w:rsidRPr="007A58EA">
        <w:rPr>
          <w:color w:val="000000" w:themeColor="text1"/>
        </w:rPr>
        <w:t>adopted</w:t>
      </w:r>
      <w:r w:rsidR="00AB55E0" w:rsidRPr="007A58EA">
        <w:rPr>
          <w:color w:val="000000" w:themeColor="text1"/>
        </w:rPr>
        <w:t xml:space="preserve">, </w:t>
      </w:r>
      <w:r w:rsidR="00D91942" w:rsidRPr="007A58EA">
        <w:rPr>
          <w:color w:val="000000" w:themeColor="text1"/>
        </w:rPr>
        <w:t>so</w:t>
      </w:r>
      <w:r w:rsidR="00AB55E0" w:rsidRPr="007A58EA">
        <w:rPr>
          <w:color w:val="000000" w:themeColor="text1"/>
        </w:rPr>
        <w:t xml:space="preserve"> that the administrative process is </w:t>
      </w:r>
      <w:r w:rsidR="005145BF" w:rsidRPr="007A58EA">
        <w:rPr>
          <w:color w:val="000000" w:themeColor="text1"/>
        </w:rPr>
        <w:t xml:space="preserve">brought to an end </w:t>
      </w:r>
      <w:r w:rsidR="00AB55E0" w:rsidRPr="007A58EA">
        <w:rPr>
          <w:color w:val="000000" w:themeColor="text1"/>
        </w:rPr>
        <w:t xml:space="preserve">and any </w:t>
      </w:r>
      <w:r w:rsidR="005145BF" w:rsidRPr="007A58EA">
        <w:rPr>
          <w:color w:val="000000" w:themeColor="text1"/>
        </w:rPr>
        <w:t xml:space="preserve">binding legal effects are produced.  If </w:t>
      </w:r>
      <w:r w:rsidR="00AB55E0" w:rsidRPr="007A58EA">
        <w:rPr>
          <w:color w:val="000000" w:themeColor="text1"/>
        </w:rPr>
        <w:t xml:space="preserve">the </w:t>
      </w:r>
      <w:r w:rsidR="005145BF" w:rsidRPr="007A58EA">
        <w:rPr>
          <w:color w:val="000000" w:themeColor="text1"/>
        </w:rPr>
        <w:t xml:space="preserve">national courts were to exercise </w:t>
      </w:r>
      <w:r w:rsidR="00CC522C" w:rsidRPr="007A58EA">
        <w:rPr>
          <w:color w:val="000000" w:themeColor="text1"/>
        </w:rPr>
        <w:t xml:space="preserve">jurisdiction in respect of </w:t>
      </w:r>
      <w:r w:rsidR="00AB55E0" w:rsidRPr="007A58EA">
        <w:rPr>
          <w:color w:val="000000" w:themeColor="text1"/>
        </w:rPr>
        <w:t xml:space="preserve">such </w:t>
      </w:r>
      <w:r w:rsidR="00CC522C" w:rsidRPr="007A58EA">
        <w:rPr>
          <w:color w:val="000000" w:themeColor="text1"/>
        </w:rPr>
        <w:t xml:space="preserve">national preparatory acts, alongside </w:t>
      </w:r>
      <w:r w:rsidR="00AB55E0" w:rsidRPr="007A58EA">
        <w:rPr>
          <w:color w:val="000000" w:themeColor="text1"/>
        </w:rPr>
        <w:t xml:space="preserve">the Court’s own </w:t>
      </w:r>
      <w:r w:rsidR="00CC522C" w:rsidRPr="007A58EA">
        <w:rPr>
          <w:color w:val="000000" w:themeColor="text1"/>
        </w:rPr>
        <w:t xml:space="preserve">jurisdiction in respect of </w:t>
      </w:r>
      <w:r w:rsidR="00AB55E0" w:rsidRPr="007A58EA">
        <w:rPr>
          <w:color w:val="000000" w:themeColor="text1"/>
        </w:rPr>
        <w:t>the definitive Union measure</w:t>
      </w:r>
      <w:r w:rsidR="00CC522C" w:rsidRPr="007A58EA">
        <w:rPr>
          <w:color w:val="000000" w:themeColor="text1"/>
        </w:rPr>
        <w:t xml:space="preserve">, </w:t>
      </w:r>
      <w:r w:rsidR="00AB55E0" w:rsidRPr="007A58EA">
        <w:rPr>
          <w:color w:val="000000" w:themeColor="text1"/>
        </w:rPr>
        <w:t xml:space="preserve">there </w:t>
      </w:r>
      <w:r w:rsidR="00CC522C" w:rsidRPr="007A58EA">
        <w:rPr>
          <w:color w:val="000000" w:themeColor="text1"/>
        </w:rPr>
        <w:t xml:space="preserve">would be </w:t>
      </w:r>
      <w:r w:rsidR="00AB55E0" w:rsidRPr="007A58EA">
        <w:rPr>
          <w:color w:val="000000" w:themeColor="text1"/>
        </w:rPr>
        <w:t xml:space="preserve">a </w:t>
      </w:r>
      <w:r w:rsidR="00CC522C" w:rsidRPr="007A58EA">
        <w:rPr>
          <w:color w:val="000000" w:themeColor="text1"/>
        </w:rPr>
        <w:t xml:space="preserve">risk of divergent assessments and </w:t>
      </w:r>
      <w:r w:rsidR="00AB55E0" w:rsidRPr="007A58EA">
        <w:rPr>
          <w:color w:val="000000" w:themeColor="text1"/>
        </w:rPr>
        <w:t xml:space="preserve">a </w:t>
      </w:r>
      <w:r w:rsidR="00CC522C" w:rsidRPr="007A58EA">
        <w:rPr>
          <w:color w:val="000000" w:themeColor="text1"/>
        </w:rPr>
        <w:t xml:space="preserve">threat to </w:t>
      </w:r>
      <w:r w:rsidR="00AB55E0" w:rsidRPr="007A58EA">
        <w:rPr>
          <w:color w:val="000000" w:themeColor="text1"/>
        </w:rPr>
        <w:t xml:space="preserve">the </w:t>
      </w:r>
      <w:r w:rsidR="004771DF">
        <w:rPr>
          <w:color w:val="000000" w:themeColor="text1"/>
        </w:rPr>
        <w:t>CJEU’s</w:t>
      </w:r>
      <w:r w:rsidR="00CC522C" w:rsidRPr="007A58EA">
        <w:rPr>
          <w:color w:val="000000" w:themeColor="text1"/>
        </w:rPr>
        <w:t xml:space="preserve"> exclusive powers – especially in cases where </w:t>
      </w:r>
      <w:r w:rsidR="00AB55E0" w:rsidRPr="007A58EA">
        <w:rPr>
          <w:color w:val="000000" w:themeColor="text1"/>
        </w:rPr>
        <w:t xml:space="preserve">the competent Union </w:t>
      </w:r>
      <w:r w:rsidR="00CC522C" w:rsidRPr="007A58EA">
        <w:rPr>
          <w:color w:val="000000" w:themeColor="text1"/>
        </w:rPr>
        <w:t xml:space="preserve">institution follows </w:t>
      </w:r>
      <w:r w:rsidR="00AB55E0" w:rsidRPr="007A58EA">
        <w:rPr>
          <w:color w:val="000000" w:themeColor="text1"/>
        </w:rPr>
        <w:t xml:space="preserve">the </w:t>
      </w:r>
      <w:r w:rsidR="00CC522C" w:rsidRPr="007A58EA">
        <w:rPr>
          <w:color w:val="000000" w:themeColor="text1"/>
        </w:rPr>
        <w:t xml:space="preserve">analysis of </w:t>
      </w:r>
      <w:r w:rsidR="00AB55E0" w:rsidRPr="007A58EA">
        <w:rPr>
          <w:color w:val="000000" w:themeColor="text1"/>
        </w:rPr>
        <w:t xml:space="preserve">or a proposal </w:t>
      </w:r>
      <w:r w:rsidR="00CC522C" w:rsidRPr="007A58EA">
        <w:rPr>
          <w:color w:val="000000" w:themeColor="text1"/>
        </w:rPr>
        <w:t xml:space="preserve">from </w:t>
      </w:r>
      <w:r w:rsidR="00AB55E0" w:rsidRPr="007A58EA">
        <w:rPr>
          <w:color w:val="000000" w:themeColor="text1"/>
        </w:rPr>
        <w:t>the Member State</w:t>
      </w:r>
      <w:r w:rsidR="00CC522C" w:rsidRPr="007A58EA">
        <w:rPr>
          <w:color w:val="000000" w:themeColor="text1"/>
        </w:rPr>
        <w:t xml:space="preserve"> authorities.</w:t>
      </w:r>
    </w:p>
    <w:p w14:paraId="090A8FB2" w14:textId="1DD1537F" w:rsidR="007E0CDE" w:rsidRDefault="00A60D9D" w:rsidP="007E0CDE">
      <w:pPr>
        <w:ind w:firstLine="720"/>
        <w:jc w:val="both"/>
        <w:rPr>
          <w:color w:val="000000" w:themeColor="text1"/>
        </w:rPr>
      </w:pPr>
      <w:r w:rsidRPr="007A58EA">
        <w:rPr>
          <w:color w:val="000000" w:themeColor="text1"/>
        </w:rPr>
        <w:t xml:space="preserve">There is no doubt that the </w:t>
      </w:r>
      <w:r w:rsidR="00AB55E0" w:rsidRPr="007A58EA">
        <w:rPr>
          <w:color w:val="000000" w:themeColor="text1"/>
        </w:rPr>
        <w:t xml:space="preserve">ruling in </w:t>
      </w:r>
      <w:r w:rsidR="00AB55E0" w:rsidRPr="007A58EA">
        <w:rPr>
          <w:i/>
          <w:iCs/>
          <w:color w:val="000000" w:themeColor="text1"/>
        </w:rPr>
        <w:t>Berlusconi</w:t>
      </w:r>
      <w:r w:rsidR="00AB55E0" w:rsidRPr="007A58EA">
        <w:rPr>
          <w:color w:val="000000" w:themeColor="text1"/>
        </w:rPr>
        <w:t xml:space="preserve"> </w:t>
      </w:r>
      <w:r w:rsidRPr="007A58EA">
        <w:rPr>
          <w:color w:val="000000" w:themeColor="text1"/>
        </w:rPr>
        <w:t xml:space="preserve">brings </w:t>
      </w:r>
      <w:r w:rsidR="00374F24" w:rsidRPr="007A58EA">
        <w:rPr>
          <w:color w:val="000000" w:themeColor="text1"/>
        </w:rPr>
        <w:t xml:space="preserve">greater coherence to the system of judicial protection in respect of mixed </w:t>
      </w:r>
      <w:r w:rsidR="000B0022" w:rsidRPr="007A58EA">
        <w:rPr>
          <w:color w:val="000000" w:themeColor="text1"/>
        </w:rPr>
        <w:t xml:space="preserve">(hybrid / composite) </w:t>
      </w:r>
      <w:r w:rsidR="00374F24" w:rsidRPr="007A58EA">
        <w:rPr>
          <w:color w:val="000000" w:themeColor="text1"/>
        </w:rPr>
        <w:t>administrative processes.  But</w:t>
      </w:r>
      <w:r w:rsidR="00531D59" w:rsidRPr="007A58EA">
        <w:rPr>
          <w:color w:val="000000" w:themeColor="text1"/>
        </w:rPr>
        <w:t xml:space="preserve"> </w:t>
      </w:r>
      <w:r w:rsidRPr="007A58EA">
        <w:rPr>
          <w:color w:val="000000" w:themeColor="text1"/>
        </w:rPr>
        <w:t xml:space="preserve">for present purposes, </w:t>
      </w:r>
      <w:r w:rsidR="00531D59" w:rsidRPr="007A58EA">
        <w:rPr>
          <w:color w:val="000000" w:themeColor="text1"/>
        </w:rPr>
        <w:t xml:space="preserve">the Court’s judgment </w:t>
      </w:r>
      <w:r w:rsidRPr="007A58EA">
        <w:rPr>
          <w:color w:val="000000" w:themeColor="text1"/>
        </w:rPr>
        <w:t xml:space="preserve">contains a latent ambiguity and lies </w:t>
      </w:r>
      <w:r w:rsidR="00531D59" w:rsidRPr="007A58EA">
        <w:rPr>
          <w:color w:val="000000" w:themeColor="text1"/>
        </w:rPr>
        <w:t xml:space="preserve">open to </w:t>
      </w:r>
      <w:r w:rsidRPr="007A58EA">
        <w:rPr>
          <w:color w:val="000000" w:themeColor="text1"/>
        </w:rPr>
        <w:t xml:space="preserve">(at least) two competing </w:t>
      </w:r>
      <w:r w:rsidR="00531D59" w:rsidRPr="007A58EA">
        <w:rPr>
          <w:color w:val="000000" w:themeColor="text1"/>
        </w:rPr>
        <w:t>interpretations: the first minimises its significance for EU-Member State relations</w:t>
      </w:r>
      <w:r w:rsidR="00573D65">
        <w:rPr>
          <w:color w:val="000000" w:themeColor="text1"/>
        </w:rPr>
        <w:t>;</w:t>
      </w:r>
      <w:r w:rsidR="00531D59" w:rsidRPr="007A58EA">
        <w:rPr>
          <w:color w:val="000000" w:themeColor="text1"/>
        </w:rPr>
        <w:t xml:space="preserve"> whereas the second is more radical and paves the way for the subsequent ruling in </w:t>
      </w:r>
      <w:r w:rsidR="00531D59" w:rsidRPr="007A58EA">
        <w:rPr>
          <w:i/>
          <w:iCs/>
          <w:color w:val="000000" w:themeColor="text1"/>
        </w:rPr>
        <w:t>Rimšēvičs</w:t>
      </w:r>
      <w:r w:rsidR="00531D59" w:rsidRPr="007A58EA">
        <w:rPr>
          <w:color w:val="000000" w:themeColor="text1"/>
        </w:rPr>
        <w:t xml:space="preserve">.  </w:t>
      </w:r>
    </w:p>
    <w:p w14:paraId="0DBE72A5" w14:textId="77777777" w:rsidR="007E0CDE" w:rsidRDefault="00531D59" w:rsidP="007E0CDE">
      <w:pPr>
        <w:ind w:firstLine="720"/>
        <w:jc w:val="both"/>
        <w:rPr>
          <w:color w:val="000000" w:themeColor="text1"/>
        </w:rPr>
      </w:pPr>
      <w:r w:rsidRPr="007A58EA">
        <w:rPr>
          <w:color w:val="000000" w:themeColor="text1"/>
        </w:rPr>
        <w:t xml:space="preserve">According to the minimalist interpretation, </w:t>
      </w:r>
      <w:r w:rsidRPr="007A58EA">
        <w:rPr>
          <w:i/>
          <w:iCs/>
          <w:color w:val="000000" w:themeColor="text1"/>
        </w:rPr>
        <w:t>Berlusconi</w:t>
      </w:r>
      <w:r w:rsidRPr="007A58EA">
        <w:rPr>
          <w:color w:val="000000" w:themeColor="text1"/>
        </w:rPr>
        <w:t xml:space="preserve"> </w:t>
      </w:r>
      <w:r w:rsidR="00374F24" w:rsidRPr="007A58EA">
        <w:rPr>
          <w:color w:val="000000" w:themeColor="text1"/>
        </w:rPr>
        <w:t xml:space="preserve">is </w:t>
      </w:r>
      <w:r w:rsidR="00A60D9D" w:rsidRPr="007A58EA">
        <w:rPr>
          <w:color w:val="000000" w:themeColor="text1"/>
        </w:rPr>
        <w:t xml:space="preserve">just </w:t>
      </w:r>
      <w:r w:rsidRPr="007A58EA">
        <w:rPr>
          <w:color w:val="000000" w:themeColor="text1"/>
        </w:rPr>
        <w:t xml:space="preserve">as </w:t>
      </w:r>
      <w:r w:rsidR="00374F24" w:rsidRPr="007A58EA">
        <w:rPr>
          <w:color w:val="000000" w:themeColor="text1"/>
        </w:rPr>
        <w:t xml:space="preserve">important </w:t>
      </w:r>
      <w:r w:rsidRPr="007A58EA">
        <w:rPr>
          <w:color w:val="000000" w:themeColor="text1"/>
        </w:rPr>
        <w:t xml:space="preserve">for what the Court did not say as for what it did.  </w:t>
      </w:r>
      <w:r w:rsidR="00374F24" w:rsidRPr="007A58EA">
        <w:rPr>
          <w:color w:val="000000" w:themeColor="text1"/>
        </w:rPr>
        <w:t xml:space="preserve">The </w:t>
      </w:r>
      <w:r w:rsidRPr="007A58EA">
        <w:rPr>
          <w:color w:val="000000" w:themeColor="text1"/>
        </w:rPr>
        <w:t xml:space="preserve">Court’s </w:t>
      </w:r>
      <w:r w:rsidR="00B543A7" w:rsidRPr="007A58EA">
        <w:rPr>
          <w:color w:val="000000" w:themeColor="text1"/>
        </w:rPr>
        <w:t xml:space="preserve">sole </w:t>
      </w:r>
      <w:r w:rsidR="00374F24" w:rsidRPr="007A58EA">
        <w:rPr>
          <w:color w:val="000000" w:themeColor="text1"/>
        </w:rPr>
        <w:t xml:space="preserve">focus in </w:t>
      </w:r>
      <w:r w:rsidR="00A97021" w:rsidRPr="007A58EA">
        <w:rPr>
          <w:i/>
          <w:iCs/>
          <w:color w:val="000000" w:themeColor="text1"/>
        </w:rPr>
        <w:t>Berlusconi</w:t>
      </w:r>
      <w:r w:rsidR="00A97021" w:rsidRPr="007A58EA">
        <w:rPr>
          <w:color w:val="000000" w:themeColor="text1"/>
        </w:rPr>
        <w:t xml:space="preserve"> </w:t>
      </w:r>
      <w:r w:rsidR="00B543A7" w:rsidRPr="007A58EA">
        <w:rPr>
          <w:color w:val="000000" w:themeColor="text1"/>
        </w:rPr>
        <w:t xml:space="preserve">concerned </w:t>
      </w:r>
      <w:r w:rsidR="00374F24" w:rsidRPr="007A58EA">
        <w:rPr>
          <w:color w:val="000000" w:themeColor="text1"/>
        </w:rPr>
        <w:t xml:space="preserve">the </w:t>
      </w:r>
      <w:r w:rsidR="00A97021" w:rsidRPr="007A58EA">
        <w:rPr>
          <w:color w:val="000000" w:themeColor="text1"/>
        </w:rPr>
        <w:t xml:space="preserve">division of jurisdiction between </w:t>
      </w:r>
      <w:r w:rsidR="00374F24" w:rsidRPr="007A58EA">
        <w:rPr>
          <w:color w:val="000000" w:themeColor="text1"/>
        </w:rPr>
        <w:t xml:space="preserve">the </w:t>
      </w:r>
      <w:r w:rsidR="00A97021" w:rsidRPr="007A58EA">
        <w:rPr>
          <w:color w:val="000000" w:themeColor="text1"/>
        </w:rPr>
        <w:t xml:space="preserve">Union and national courts.  </w:t>
      </w:r>
      <w:r w:rsidR="008A26E4" w:rsidRPr="007A58EA">
        <w:rPr>
          <w:color w:val="000000" w:themeColor="text1"/>
        </w:rPr>
        <w:t xml:space="preserve">But even </w:t>
      </w:r>
      <w:r w:rsidR="00B543A7" w:rsidRPr="007A58EA">
        <w:rPr>
          <w:color w:val="000000" w:themeColor="text1"/>
        </w:rPr>
        <w:t xml:space="preserve">then, </w:t>
      </w:r>
      <w:r w:rsidR="008A26E4" w:rsidRPr="007A58EA">
        <w:rPr>
          <w:color w:val="000000" w:themeColor="text1"/>
        </w:rPr>
        <w:t xml:space="preserve">the </w:t>
      </w:r>
      <w:r w:rsidR="00A97021" w:rsidRPr="007A58EA">
        <w:rPr>
          <w:color w:val="000000" w:themeColor="text1"/>
        </w:rPr>
        <w:t xml:space="preserve">Court does not </w:t>
      </w:r>
      <w:r w:rsidR="008A26E4" w:rsidRPr="007A58EA">
        <w:rPr>
          <w:color w:val="000000" w:themeColor="text1"/>
        </w:rPr>
        <w:t xml:space="preserve">explicitly </w:t>
      </w:r>
      <w:r w:rsidR="00A97021" w:rsidRPr="007A58EA">
        <w:rPr>
          <w:color w:val="000000" w:themeColor="text1"/>
        </w:rPr>
        <w:t xml:space="preserve">claim direct jurisdiction of its own </w:t>
      </w:r>
      <w:r w:rsidR="00544500" w:rsidRPr="007A58EA">
        <w:rPr>
          <w:color w:val="000000" w:themeColor="text1"/>
        </w:rPr>
        <w:t xml:space="preserve">to pronounce on </w:t>
      </w:r>
      <w:r w:rsidR="008A26E4" w:rsidRPr="007A58EA">
        <w:rPr>
          <w:color w:val="000000" w:themeColor="text1"/>
        </w:rPr>
        <w:t xml:space="preserve">the </w:t>
      </w:r>
      <w:r w:rsidR="00544500" w:rsidRPr="007A58EA">
        <w:rPr>
          <w:color w:val="000000" w:themeColor="text1"/>
        </w:rPr>
        <w:t xml:space="preserve">lawfulness of the </w:t>
      </w:r>
      <w:r w:rsidR="008A26E4" w:rsidRPr="007A58EA">
        <w:rPr>
          <w:color w:val="000000" w:themeColor="text1"/>
        </w:rPr>
        <w:t xml:space="preserve">relevant category of </w:t>
      </w:r>
      <w:r w:rsidR="00A97021" w:rsidRPr="007A58EA">
        <w:rPr>
          <w:color w:val="000000" w:themeColor="text1"/>
        </w:rPr>
        <w:t xml:space="preserve">national </w:t>
      </w:r>
      <w:r w:rsidR="008A26E4" w:rsidRPr="007A58EA">
        <w:rPr>
          <w:color w:val="000000" w:themeColor="text1"/>
        </w:rPr>
        <w:t xml:space="preserve">preparatory </w:t>
      </w:r>
      <w:r w:rsidR="00A97021" w:rsidRPr="007A58EA">
        <w:rPr>
          <w:color w:val="000000" w:themeColor="text1"/>
        </w:rPr>
        <w:t>acts</w:t>
      </w:r>
      <w:r w:rsidR="008A26E4" w:rsidRPr="007A58EA">
        <w:rPr>
          <w:color w:val="000000" w:themeColor="text1"/>
        </w:rPr>
        <w:t xml:space="preserve">.  On the contrary: </w:t>
      </w:r>
      <w:r w:rsidR="00374F24" w:rsidRPr="007A58EA">
        <w:rPr>
          <w:color w:val="000000" w:themeColor="text1"/>
        </w:rPr>
        <w:t xml:space="preserve">the Court’s </w:t>
      </w:r>
      <w:r w:rsidR="00A97021" w:rsidRPr="007A58EA">
        <w:rPr>
          <w:color w:val="000000" w:themeColor="text1"/>
        </w:rPr>
        <w:t xml:space="preserve">powers </w:t>
      </w:r>
      <w:r w:rsidR="007B19E7" w:rsidRPr="007A58EA">
        <w:rPr>
          <w:color w:val="000000" w:themeColor="text1"/>
        </w:rPr>
        <w:t xml:space="preserve">are still categorised as </w:t>
      </w:r>
      <w:r w:rsidR="00374F24" w:rsidRPr="007A58EA">
        <w:rPr>
          <w:color w:val="000000" w:themeColor="text1"/>
        </w:rPr>
        <w:t xml:space="preserve">those of </w:t>
      </w:r>
      <w:r w:rsidR="007B19E7" w:rsidRPr="007A58EA">
        <w:rPr>
          <w:color w:val="000000" w:themeColor="text1"/>
        </w:rPr>
        <w:t xml:space="preserve">exclusive jurisdiction in relation to </w:t>
      </w:r>
      <w:r w:rsidR="00374F24" w:rsidRPr="007A58EA">
        <w:rPr>
          <w:color w:val="000000" w:themeColor="text1"/>
        </w:rPr>
        <w:t xml:space="preserve">the </w:t>
      </w:r>
      <w:r w:rsidR="007B19E7" w:rsidRPr="007A58EA">
        <w:rPr>
          <w:color w:val="000000" w:themeColor="text1"/>
        </w:rPr>
        <w:t xml:space="preserve">legality of </w:t>
      </w:r>
      <w:r w:rsidR="00374F24" w:rsidRPr="007A58EA">
        <w:rPr>
          <w:color w:val="000000" w:themeColor="text1"/>
        </w:rPr>
        <w:t xml:space="preserve">Union </w:t>
      </w:r>
      <w:r w:rsidR="007B19E7" w:rsidRPr="007A58EA">
        <w:rPr>
          <w:color w:val="000000" w:themeColor="text1"/>
        </w:rPr>
        <w:t>measures</w:t>
      </w:r>
      <w:r w:rsidR="00A97021" w:rsidRPr="007A58EA">
        <w:rPr>
          <w:color w:val="000000" w:themeColor="text1"/>
        </w:rPr>
        <w:t xml:space="preserve">; only as </w:t>
      </w:r>
      <w:r w:rsidR="00374F24" w:rsidRPr="007A58EA">
        <w:rPr>
          <w:color w:val="000000" w:themeColor="text1"/>
        </w:rPr>
        <w:t xml:space="preserve">an </w:t>
      </w:r>
      <w:r w:rsidR="008A26E4" w:rsidRPr="007A58EA">
        <w:rPr>
          <w:color w:val="000000" w:themeColor="text1"/>
        </w:rPr>
        <w:t>“</w:t>
      </w:r>
      <w:r w:rsidR="00A97021" w:rsidRPr="007A58EA">
        <w:rPr>
          <w:color w:val="000000" w:themeColor="text1"/>
        </w:rPr>
        <w:t>incidental matter</w:t>
      </w:r>
      <w:r w:rsidR="008A26E4" w:rsidRPr="007A58EA">
        <w:rPr>
          <w:color w:val="000000" w:themeColor="text1"/>
        </w:rPr>
        <w:t>”</w:t>
      </w:r>
      <w:r w:rsidR="00A97021" w:rsidRPr="007A58EA">
        <w:rPr>
          <w:color w:val="000000" w:themeColor="text1"/>
        </w:rPr>
        <w:t xml:space="preserve"> will </w:t>
      </w:r>
      <w:r w:rsidR="00374F24" w:rsidRPr="007A58EA">
        <w:rPr>
          <w:color w:val="000000" w:themeColor="text1"/>
        </w:rPr>
        <w:t xml:space="preserve">the </w:t>
      </w:r>
      <w:r w:rsidR="00A97021" w:rsidRPr="007A58EA">
        <w:rPr>
          <w:color w:val="000000" w:themeColor="text1"/>
        </w:rPr>
        <w:t xml:space="preserve">Court examine whether </w:t>
      </w:r>
      <w:r w:rsidR="00374F24" w:rsidRPr="007A58EA">
        <w:rPr>
          <w:color w:val="000000" w:themeColor="text1"/>
        </w:rPr>
        <w:t xml:space="preserve">the </w:t>
      </w:r>
      <w:r w:rsidR="007B19E7" w:rsidRPr="007A58EA">
        <w:rPr>
          <w:color w:val="000000" w:themeColor="text1"/>
        </w:rPr>
        <w:t xml:space="preserve">legality of </w:t>
      </w:r>
      <w:r w:rsidR="00374F24" w:rsidRPr="007A58EA">
        <w:rPr>
          <w:color w:val="000000" w:themeColor="text1"/>
        </w:rPr>
        <w:t xml:space="preserve">a definitive Union </w:t>
      </w:r>
      <w:r w:rsidR="007B19E7" w:rsidRPr="007A58EA">
        <w:rPr>
          <w:color w:val="000000" w:themeColor="text1"/>
        </w:rPr>
        <w:t xml:space="preserve">act is affected by defects in </w:t>
      </w:r>
      <w:r w:rsidR="00374F24" w:rsidRPr="007A58EA">
        <w:rPr>
          <w:color w:val="000000" w:themeColor="text1"/>
        </w:rPr>
        <w:t xml:space="preserve">the </w:t>
      </w:r>
      <w:r w:rsidR="001F0998" w:rsidRPr="007A58EA">
        <w:rPr>
          <w:color w:val="000000" w:themeColor="text1"/>
        </w:rPr>
        <w:t xml:space="preserve">prior </w:t>
      </w:r>
      <w:r w:rsidR="007B19E7" w:rsidRPr="007A58EA">
        <w:rPr>
          <w:color w:val="000000" w:themeColor="text1"/>
        </w:rPr>
        <w:t xml:space="preserve">adoption of </w:t>
      </w:r>
      <w:r w:rsidR="00374F24" w:rsidRPr="007A58EA">
        <w:rPr>
          <w:color w:val="000000" w:themeColor="text1"/>
        </w:rPr>
        <w:t xml:space="preserve">a </w:t>
      </w:r>
      <w:r w:rsidR="00A97021" w:rsidRPr="007A58EA">
        <w:rPr>
          <w:color w:val="000000" w:themeColor="text1"/>
        </w:rPr>
        <w:t>national preparatory act</w:t>
      </w:r>
      <w:r w:rsidR="007B19E7" w:rsidRPr="007A58EA">
        <w:rPr>
          <w:color w:val="000000" w:themeColor="text1"/>
        </w:rPr>
        <w:t xml:space="preserve">.  </w:t>
      </w:r>
      <w:r w:rsidR="008057C5" w:rsidRPr="007A58EA">
        <w:rPr>
          <w:color w:val="000000" w:themeColor="text1"/>
        </w:rPr>
        <w:t>Instead</w:t>
      </w:r>
      <w:r w:rsidR="008A26E4" w:rsidRPr="007A58EA">
        <w:rPr>
          <w:color w:val="000000" w:themeColor="text1"/>
        </w:rPr>
        <w:t xml:space="preserve">, the Court’s primary concern </w:t>
      </w:r>
      <w:r w:rsidR="00C77677" w:rsidRPr="007A58EA">
        <w:rPr>
          <w:color w:val="000000" w:themeColor="text1"/>
        </w:rPr>
        <w:t xml:space="preserve">lies elsewhere: in </w:t>
      </w:r>
      <w:r w:rsidR="008A26E4" w:rsidRPr="007A58EA">
        <w:rPr>
          <w:color w:val="000000" w:themeColor="text1"/>
        </w:rPr>
        <w:t>insist</w:t>
      </w:r>
      <w:r w:rsidR="00C77677" w:rsidRPr="007A58EA">
        <w:rPr>
          <w:color w:val="000000" w:themeColor="text1"/>
        </w:rPr>
        <w:t>ing</w:t>
      </w:r>
      <w:r w:rsidR="008A26E4" w:rsidRPr="007A58EA">
        <w:rPr>
          <w:color w:val="000000" w:themeColor="text1"/>
        </w:rPr>
        <w:t xml:space="preserve"> that </w:t>
      </w:r>
      <w:r w:rsidR="007B19E7" w:rsidRPr="007A58EA">
        <w:rPr>
          <w:color w:val="000000" w:themeColor="text1"/>
        </w:rPr>
        <w:t xml:space="preserve">national courts refrain from exercising their own powers of judicial review in respect of </w:t>
      </w:r>
      <w:r w:rsidR="008A26E4" w:rsidRPr="007A58EA">
        <w:rPr>
          <w:color w:val="000000" w:themeColor="text1"/>
        </w:rPr>
        <w:t xml:space="preserve">that same category of </w:t>
      </w:r>
      <w:r w:rsidR="007B19E7" w:rsidRPr="007A58EA">
        <w:rPr>
          <w:color w:val="000000" w:themeColor="text1"/>
        </w:rPr>
        <w:t xml:space="preserve">national preparatory acts – </w:t>
      </w:r>
      <w:r w:rsidR="00374F24" w:rsidRPr="007A58EA">
        <w:rPr>
          <w:color w:val="000000" w:themeColor="text1"/>
        </w:rPr>
        <w:t xml:space="preserve">and </w:t>
      </w:r>
      <w:r w:rsidR="008A26E4" w:rsidRPr="007A58EA">
        <w:rPr>
          <w:color w:val="000000" w:themeColor="text1"/>
        </w:rPr>
        <w:t xml:space="preserve">to </w:t>
      </w:r>
      <w:r w:rsidR="00374F24" w:rsidRPr="007A58EA">
        <w:rPr>
          <w:color w:val="000000" w:themeColor="text1"/>
        </w:rPr>
        <w:t xml:space="preserve">do so, </w:t>
      </w:r>
      <w:r w:rsidR="007B19E7" w:rsidRPr="007A58EA">
        <w:rPr>
          <w:color w:val="000000" w:themeColor="text1"/>
        </w:rPr>
        <w:t xml:space="preserve">regardless of </w:t>
      </w:r>
      <w:r w:rsidR="00374F24" w:rsidRPr="007A58EA">
        <w:rPr>
          <w:color w:val="000000" w:themeColor="text1"/>
        </w:rPr>
        <w:t xml:space="preserve">the </w:t>
      </w:r>
      <w:r w:rsidR="007B19E7" w:rsidRPr="007A58EA">
        <w:rPr>
          <w:color w:val="000000" w:themeColor="text1"/>
        </w:rPr>
        <w:t xml:space="preserve">type of procedure or </w:t>
      </w:r>
      <w:r w:rsidR="00374F24" w:rsidRPr="007A58EA">
        <w:rPr>
          <w:color w:val="000000" w:themeColor="text1"/>
        </w:rPr>
        <w:t xml:space="preserve">the </w:t>
      </w:r>
      <w:r w:rsidR="007B19E7" w:rsidRPr="007A58EA">
        <w:rPr>
          <w:color w:val="000000" w:themeColor="text1"/>
        </w:rPr>
        <w:t xml:space="preserve">nature of </w:t>
      </w:r>
      <w:r w:rsidR="00374F24" w:rsidRPr="007A58EA">
        <w:rPr>
          <w:color w:val="000000" w:themeColor="text1"/>
        </w:rPr>
        <w:t xml:space="preserve">the </w:t>
      </w:r>
      <w:r w:rsidR="007B19E7" w:rsidRPr="007A58EA">
        <w:rPr>
          <w:color w:val="000000" w:themeColor="text1"/>
        </w:rPr>
        <w:t xml:space="preserve">claim </w:t>
      </w:r>
      <w:r w:rsidR="00374F24" w:rsidRPr="007A58EA">
        <w:rPr>
          <w:color w:val="000000" w:themeColor="text1"/>
        </w:rPr>
        <w:t xml:space="preserve">as a matter of </w:t>
      </w:r>
      <w:r w:rsidR="008A26E4" w:rsidRPr="007A58EA">
        <w:rPr>
          <w:color w:val="000000" w:themeColor="text1"/>
        </w:rPr>
        <w:t xml:space="preserve">domestic </w:t>
      </w:r>
      <w:r w:rsidR="00374F24" w:rsidRPr="007A58EA">
        <w:rPr>
          <w:color w:val="000000" w:themeColor="text1"/>
        </w:rPr>
        <w:t xml:space="preserve">law, i.e. </w:t>
      </w:r>
      <w:r w:rsidR="007B19E7" w:rsidRPr="007A58EA">
        <w:rPr>
          <w:color w:val="000000" w:themeColor="text1"/>
        </w:rPr>
        <w:t xml:space="preserve">not just on grounds of </w:t>
      </w:r>
      <w:r w:rsidR="00B543A7" w:rsidRPr="007A58EA">
        <w:rPr>
          <w:color w:val="000000" w:themeColor="text1"/>
        </w:rPr>
        <w:t xml:space="preserve">an </w:t>
      </w:r>
      <w:r w:rsidR="007B19E7" w:rsidRPr="007A58EA">
        <w:rPr>
          <w:color w:val="000000" w:themeColor="text1"/>
        </w:rPr>
        <w:t xml:space="preserve">alleged </w:t>
      </w:r>
      <w:r w:rsidR="00B543A7" w:rsidRPr="007A58EA">
        <w:rPr>
          <w:color w:val="000000" w:themeColor="text1"/>
        </w:rPr>
        <w:t xml:space="preserve">infringement of </w:t>
      </w:r>
      <w:r w:rsidR="007B19E7" w:rsidRPr="007A58EA">
        <w:rPr>
          <w:color w:val="000000" w:themeColor="text1"/>
        </w:rPr>
        <w:t>Union law</w:t>
      </w:r>
      <w:r w:rsidR="00B543A7" w:rsidRPr="007A58EA">
        <w:rPr>
          <w:color w:val="000000" w:themeColor="text1"/>
        </w:rPr>
        <w:t>,</w:t>
      </w:r>
      <w:r w:rsidR="007B19E7" w:rsidRPr="007A58EA">
        <w:rPr>
          <w:color w:val="000000" w:themeColor="text1"/>
        </w:rPr>
        <w:t xml:space="preserve"> but also on grounds of </w:t>
      </w:r>
      <w:r w:rsidR="00B543A7" w:rsidRPr="007A58EA">
        <w:rPr>
          <w:color w:val="000000" w:themeColor="text1"/>
        </w:rPr>
        <w:t xml:space="preserve">an </w:t>
      </w:r>
      <w:r w:rsidR="007B19E7" w:rsidRPr="007A58EA">
        <w:rPr>
          <w:color w:val="000000" w:themeColor="text1"/>
        </w:rPr>
        <w:t xml:space="preserve">alleged </w:t>
      </w:r>
      <w:r w:rsidR="00B543A7" w:rsidRPr="007A58EA">
        <w:rPr>
          <w:color w:val="000000" w:themeColor="text1"/>
        </w:rPr>
        <w:t xml:space="preserve">contravention </w:t>
      </w:r>
      <w:r w:rsidR="007B19E7" w:rsidRPr="007A58EA">
        <w:rPr>
          <w:color w:val="000000" w:themeColor="text1"/>
        </w:rPr>
        <w:t xml:space="preserve">of purely </w:t>
      </w:r>
      <w:r w:rsidR="008A26E4" w:rsidRPr="007A58EA">
        <w:rPr>
          <w:color w:val="000000" w:themeColor="text1"/>
        </w:rPr>
        <w:t xml:space="preserve">national </w:t>
      </w:r>
      <w:r w:rsidR="007B19E7" w:rsidRPr="007A58EA">
        <w:rPr>
          <w:color w:val="000000" w:themeColor="text1"/>
        </w:rPr>
        <w:t>law</w:t>
      </w:r>
      <w:r w:rsidR="00B543A7" w:rsidRPr="007A58EA">
        <w:rPr>
          <w:color w:val="000000" w:themeColor="text1"/>
        </w:rPr>
        <w:t xml:space="preserve">, such as the </w:t>
      </w:r>
      <w:r w:rsidR="007B19E7" w:rsidRPr="007A58EA">
        <w:rPr>
          <w:color w:val="000000" w:themeColor="text1"/>
        </w:rPr>
        <w:t xml:space="preserve">principle of </w:t>
      </w:r>
      <w:r w:rsidR="007B19E7" w:rsidRPr="007A58EA">
        <w:rPr>
          <w:i/>
          <w:iCs/>
          <w:color w:val="000000" w:themeColor="text1"/>
        </w:rPr>
        <w:t>res judicata</w:t>
      </w:r>
      <w:r w:rsidR="007B19E7" w:rsidRPr="007A58EA">
        <w:rPr>
          <w:color w:val="000000" w:themeColor="text1"/>
        </w:rPr>
        <w:t>.</w:t>
      </w:r>
    </w:p>
    <w:p w14:paraId="4BE775CA" w14:textId="52FED8DD" w:rsidR="007E0CDE" w:rsidRDefault="00B543A7" w:rsidP="007E0CDE">
      <w:pPr>
        <w:ind w:firstLine="720"/>
        <w:jc w:val="both"/>
        <w:rPr>
          <w:color w:val="000000" w:themeColor="text1"/>
        </w:rPr>
      </w:pPr>
      <w:r w:rsidRPr="007A58EA">
        <w:rPr>
          <w:color w:val="000000" w:themeColor="text1"/>
        </w:rPr>
        <w:t xml:space="preserve">The implication of </w:t>
      </w:r>
      <w:r w:rsidR="00C17BB9" w:rsidRPr="007A58EA">
        <w:rPr>
          <w:i/>
          <w:iCs/>
          <w:color w:val="000000" w:themeColor="text1"/>
        </w:rPr>
        <w:t>Berlusconi</w:t>
      </w:r>
      <w:r w:rsidRPr="007A58EA">
        <w:rPr>
          <w:color w:val="000000" w:themeColor="text1"/>
        </w:rPr>
        <w:t xml:space="preserve"> is that</w:t>
      </w:r>
      <w:r w:rsidR="00C17BB9" w:rsidRPr="007A58EA">
        <w:rPr>
          <w:color w:val="000000" w:themeColor="text1"/>
        </w:rPr>
        <w:t xml:space="preserve"> </w:t>
      </w:r>
      <w:r w:rsidRPr="007A58EA">
        <w:rPr>
          <w:color w:val="000000" w:themeColor="text1"/>
        </w:rPr>
        <w:t>c</w:t>
      </w:r>
      <w:r w:rsidR="00C17BB9" w:rsidRPr="007A58EA">
        <w:rPr>
          <w:color w:val="000000" w:themeColor="text1"/>
        </w:rPr>
        <w:t xml:space="preserve">ertain national preparatory acts are effectively shielded from direct judicial review by </w:t>
      </w:r>
      <w:r w:rsidR="001F0998" w:rsidRPr="007A58EA">
        <w:rPr>
          <w:color w:val="000000" w:themeColor="text1"/>
        </w:rPr>
        <w:t xml:space="preserve">either </w:t>
      </w:r>
      <w:r w:rsidRPr="007A58EA">
        <w:rPr>
          <w:color w:val="000000" w:themeColor="text1"/>
        </w:rPr>
        <w:t xml:space="preserve">the </w:t>
      </w:r>
      <w:r w:rsidR="00C17BB9" w:rsidRPr="007A58EA">
        <w:rPr>
          <w:color w:val="000000" w:themeColor="text1"/>
        </w:rPr>
        <w:t xml:space="preserve">Union or </w:t>
      </w:r>
      <w:r w:rsidRPr="007A58EA">
        <w:rPr>
          <w:color w:val="000000" w:themeColor="text1"/>
        </w:rPr>
        <w:t xml:space="preserve">the </w:t>
      </w:r>
      <w:r w:rsidR="00C17BB9" w:rsidRPr="007A58EA">
        <w:rPr>
          <w:color w:val="000000" w:themeColor="text1"/>
        </w:rPr>
        <w:t xml:space="preserve">national courts, either for breach </w:t>
      </w:r>
      <w:r w:rsidR="00C17BB9" w:rsidRPr="007A58EA">
        <w:rPr>
          <w:color w:val="000000" w:themeColor="text1"/>
        </w:rPr>
        <w:lastRenderedPageBreak/>
        <w:t xml:space="preserve">of Union law or as </w:t>
      </w:r>
      <w:r w:rsidRPr="007A58EA">
        <w:rPr>
          <w:color w:val="000000" w:themeColor="text1"/>
        </w:rPr>
        <w:t xml:space="preserve">a </w:t>
      </w:r>
      <w:r w:rsidR="00C17BB9" w:rsidRPr="007A58EA">
        <w:rPr>
          <w:color w:val="000000" w:themeColor="text1"/>
        </w:rPr>
        <w:t>matter of domestic law.</w:t>
      </w:r>
      <w:r w:rsidR="00B44A7D" w:rsidRPr="007A58EA">
        <w:rPr>
          <w:rStyle w:val="FootnoteReference"/>
          <w:color w:val="000000" w:themeColor="text1"/>
        </w:rPr>
        <w:footnoteReference w:id="40"/>
      </w:r>
      <w:r w:rsidR="00C17BB9" w:rsidRPr="007A58EA">
        <w:rPr>
          <w:color w:val="000000" w:themeColor="text1"/>
        </w:rPr>
        <w:t xml:space="preserve">  </w:t>
      </w:r>
      <w:r w:rsidRPr="007A58EA">
        <w:rPr>
          <w:color w:val="000000" w:themeColor="text1"/>
        </w:rPr>
        <w:t xml:space="preserve">Instead, </w:t>
      </w:r>
      <w:r w:rsidR="00C17BB9" w:rsidRPr="007A58EA">
        <w:rPr>
          <w:color w:val="000000" w:themeColor="text1"/>
        </w:rPr>
        <w:t>alleged defects in their adoption</w:t>
      </w:r>
      <w:r w:rsidR="00573D65">
        <w:rPr>
          <w:color w:val="000000" w:themeColor="text1"/>
        </w:rPr>
        <w:t xml:space="preserve"> (</w:t>
      </w:r>
      <w:r w:rsidR="00FE5124" w:rsidRPr="007A58EA">
        <w:rPr>
          <w:color w:val="000000" w:themeColor="text1"/>
        </w:rPr>
        <w:t xml:space="preserve">certainly those based on Union administrative law, possibly also those recognised under the relevant </w:t>
      </w:r>
      <w:r w:rsidR="00C17BB9" w:rsidRPr="007A58EA">
        <w:rPr>
          <w:color w:val="000000" w:themeColor="text1"/>
        </w:rPr>
        <w:t xml:space="preserve">national </w:t>
      </w:r>
      <w:r w:rsidR="00FE5124" w:rsidRPr="007A58EA">
        <w:rPr>
          <w:color w:val="000000" w:themeColor="text1"/>
        </w:rPr>
        <w:t>legal standards</w:t>
      </w:r>
      <w:r w:rsidR="00573D65">
        <w:rPr>
          <w:color w:val="000000" w:themeColor="text1"/>
        </w:rPr>
        <w:t>)</w:t>
      </w:r>
      <w:r w:rsidR="00FE5124" w:rsidRPr="007A58EA">
        <w:rPr>
          <w:rStyle w:val="FootnoteReference"/>
          <w:color w:val="000000" w:themeColor="text1"/>
        </w:rPr>
        <w:footnoteReference w:id="41"/>
      </w:r>
      <w:r w:rsidR="00C17BB9" w:rsidRPr="007A58EA">
        <w:rPr>
          <w:color w:val="000000" w:themeColor="text1"/>
        </w:rPr>
        <w:t xml:space="preserve"> </w:t>
      </w:r>
      <w:r w:rsidRPr="007A58EA">
        <w:rPr>
          <w:color w:val="000000" w:themeColor="text1"/>
        </w:rPr>
        <w:t xml:space="preserve">are to </w:t>
      </w:r>
      <w:r w:rsidR="00C17BB9" w:rsidRPr="007A58EA">
        <w:rPr>
          <w:color w:val="000000" w:themeColor="text1"/>
        </w:rPr>
        <w:t xml:space="preserve">be examined by </w:t>
      </w:r>
      <w:r w:rsidRPr="007A58EA">
        <w:rPr>
          <w:color w:val="000000" w:themeColor="text1"/>
        </w:rPr>
        <w:t xml:space="preserve">the </w:t>
      </w:r>
      <w:r w:rsidR="004F0EB4" w:rsidRPr="007A58EA">
        <w:rPr>
          <w:color w:val="000000" w:themeColor="text1"/>
        </w:rPr>
        <w:t>CJEU</w:t>
      </w:r>
      <w:r w:rsidR="00C17BB9" w:rsidRPr="007A58EA">
        <w:rPr>
          <w:color w:val="000000" w:themeColor="text1"/>
        </w:rPr>
        <w:t xml:space="preserve"> itself</w:t>
      </w:r>
      <w:r w:rsidRPr="007A58EA">
        <w:rPr>
          <w:color w:val="000000" w:themeColor="text1"/>
        </w:rPr>
        <w:t>,</w:t>
      </w:r>
      <w:r w:rsidR="00C17BB9" w:rsidRPr="007A58EA">
        <w:rPr>
          <w:color w:val="000000" w:themeColor="text1"/>
        </w:rPr>
        <w:t xml:space="preserve"> as </w:t>
      </w:r>
      <w:r w:rsidRPr="007A58EA">
        <w:rPr>
          <w:color w:val="000000" w:themeColor="text1"/>
        </w:rPr>
        <w:t xml:space="preserve">an </w:t>
      </w:r>
      <w:r w:rsidR="00C17BB9" w:rsidRPr="007A58EA">
        <w:rPr>
          <w:color w:val="000000" w:themeColor="text1"/>
        </w:rPr>
        <w:t xml:space="preserve">incidental </w:t>
      </w:r>
      <w:r w:rsidR="008057C5" w:rsidRPr="007A58EA">
        <w:rPr>
          <w:color w:val="000000" w:themeColor="text1"/>
        </w:rPr>
        <w:t>issue</w:t>
      </w:r>
      <w:r w:rsidRPr="007A58EA">
        <w:rPr>
          <w:color w:val="000000" w:themeColor="text1"/>
        </w:rPr>
        <w:t>,</w:t>
      </w:r>
      <w:r w:rsidR="00C17BB9" w:rsidRPr="007A58EA">
        <w:rPr>
          <w:color w:val="000000" w:themeColor="text1"/>
        </w:rPr>
        <w:t xml:space="preserve"> when </w:t>
      </w:r>
      <w:r w:rsidRPr="007A58EA">
        <w:rPr>
          <w:color w:val="000000" w:themeColor="text1"/>
        </w:rPr>
        <w:t xml:space="preserve">the latter is called upon to assess the lawfulness </w:t>
      </w:r>
      <w:r w:rsidR="00C17BB9" w:rsidRPr="007A58EA">
        <w:rPr>
          <w:color w:val="000000" w:themeColor="text1"/>
        </w:rPr>
        <w:t xml:space="preserve">of </w:t>
      </w:r>
      <w:r w:rsidRPr="007A58EA">
        <w:rPr>
          <w:color w:val="000000" w:themeColor="text1"/>
        </w:rPr>
        <w:t xml:space="preserve">the final </w:t>
      </w:r>
      <w:r w:rsidR="00C17BB9" w:rsidRPr="007A58EA">
        <w:rPr>
          <w:color w:val="000000" w:themeColor="text1"/>
        </w:rPr>
        <w:t xml:space="preserve">Union act </w:t>
      </w:r>
      <w:r w:rsidR="008057C5" w:rsidRPr="007A58EA">
        <w:rPr>
          <w:color w:val="000000" w:themeColor="text1"/>
        </w:rPr>
        <w:t xml:space="preserve">as a matter of </w:t>
      </w:r>
      <w:r w:rsidR="00C17BB9" w:rsidRPr="007A58EA">
        <w:rPr>
          <w:color w:val="000000" w:themeColor="text1"/>
        </w:rPr>
        <w:t>Union law.</w:t>
      </w:r>
      <w:r w:rsidR="004F0EB4" w:rsidRPr="007A58EA">
        <w:rPr>
          <w:rStyle w:val="FootnoteReference"/>
          <w:color w:val="000000" w:themeColor="text1"/>
        </w:rPr>
        <w:footnoteReference w:id="42"/>
      </w:r>
      <w:r w:rsidRPr="007A58EA">
        <w:rPr>
          <w:color w:val="000000" w:themeColor="text1"/>
        </w:rPr>
        <w:t xml:space="preserve">  As jurisdictional shifts go, </w:t>
      </w:r>
      <w:r w:rsidRPr="007A58EA">
        <w:rPr>
          <w:i/>
          <w:iCs/>
          <w:color w:val="000000" w:themeColor="text1"/>
        </w:rPr>
        <w:t>Berlusconi</w:t>
      </w:r>
      <w:r w:rsidRPr="007A58EA">
        <w:rPr>
          <w:color w:val="000000" w:themeColor="text1"/>
        </w:rPr>
        <w:t xml:space="preserve"> may well </w:t>
      </w:r>
      <w:r w:rsidR="00531D59" w:rsidRPr="007A58EA">
        <w:rPr>
          <w:color w:val="000000" w:themeColor="text1"/>
        </w:rPr>
        <w:t xml:space="preserve">bring </w:t>
      </w:r>
      <w:r w:rsidRPr="007A58EA">
        <w:rPr>
          <w:color w:val="000000" w:themeColor="text1"/>
        </w:rPr>
        <w:t>welcome</w:t>
      </w:r>
      <w:r w:rsidR="00531D59" w:rsidRPr="007A58EA">
        <w:rPr>
          <w:color w:val="000000" w:themeColor="text1"/>
        </w:rPr>
        <w:t xml:space="preserve"> coherence</w:t>
      </w:r>
      <w:r w:rsidR="00740E8A" w:rsidRPr="007A58EA">
        <w:rPr>
          <w:color w:val="000000" w:themeColor="text1"/>
        </w:rPr>
        <w:t>,</w:t>
      </w:r>
      <w:r w:rsidRPr="007A58EA">
        <w:rPr>
          <w:color w:val="000000" w:themeColor="text1"/>
        </w:rPr>
        <w:t xml:space="preserve"> but it is hardly radical</w:t>
      </w:r>
      <w:r w:rsidR="00740E8A" w:rsidRPr="007A58EA">
        <w:rPr>
          <w:color w:val="000000" w:themeColor="text1"/>
        </w:rPr>
        <w:t xml:space="preserve"> or transformative</w:t>
      </w:r>
      <w:r w:rsidRPr="007A58EA">
        <w:rPr>
          <w:color w:val="000000" w:themeColor="text1"/>
        </w:rPr>
        <w:t xml:space="preserve">.  </w:t>
      </w:r>
      <w:r w:rsidR="00002BF8" w:rsidRPr="007A58EA">
        <w:rPr>
          <w:color w:val="000000" w:themeColor="text1"/>
        </w:rPr>
        <w:t>B</w:t>
      </w:r>
      <w:r w:rsidR="00531D59" w:rsidRPr="007A58EA">
        <w:rPr>
          <w:color w:val="000000" w:themeColor="text1"/>
        </w:rPr>
        <w:t xml:space="preserve">eyond that, </w:t>
      </w:r>
      <w:r w:rsidR="00C17BB9" w:rsidRPr="007A58EA">
        <w:rPr>
          <w:i/>
          <w:iCs/>
          <w:color w:val="000000" w:themeColor="text1"/>
        </w:rPr>
        <w:t>Berlusconi</w:t>
      </w:r>
      <w:r w:rsidR="00C17BB9" w:rsidRPr="007A58EA">
        <w:rPr>
          <w:color w:val="000000" w:themeColor="text1"/>
        </w:rPr>
        <w:t xml:space="preserve"> has no </w:t>
      </w:r>
      <w:r w:rsidR="007214F5" w:rsidRPr="007A58EA">
        <w:rPr>
          <w:color w:val="000000" w:themeColor="text1"/>
        </w:rPr>
        <w:t xml:space="preserve">wider </w:t>
      </w:r>
      <w:r w:rsidR="00C17BB9" w:rsidRPr="007A58EA">
        <w:rPr>
          <w:color w:val="000000" w:themeColor="text1"/>
        </w:rPr>
        <w:t xml:space="preserve">implications for </w:t>
      </w:r>
      <w:r w:rsidR="00740E8A" w:rsidRPr="007A58EA">
        <w:rPr>
          <w:color w:val="000000" w:themeColor="text1"/>
        </w:rPr>
        <w:t xml:space="preserve">the system of </w:t>
      </w:r>
      <w:r w:rsidR="00C17BB9" w:rsidRPr="007A58EA">
        <w:rPr>
          <w:color w:val="000000" w:themeColor="text1"/>
        </w:rPr>
        <w:t>decentralised enforcement</w:t>
      </w:r>
      <w:r w:rsidR="00002BF8" w:rsidRPr="007A58EA">
        <w:rPr>
          <w:color w:val="000000" w:themeColor="text1"/>
        </w:rPr>
        <w:t xml:space="preserve">: </w:t>
      </w:r>
      <w:r w:rsidR="00D91942" w:rsidRPr="007A58EA">
        <w:rPr>
          <w:color w:val="000000" w:themeColor="text1"/>
        </w:rPr>
        <w:t>for example</w:t>
      </w:r>
      <w:r w:rsidR="00C17BB9" w:rsidRPr="007A58EA">
        <w:rPr>
          <w:color w:val="000000" w:themeColor="text1"/>
        </w:rPr>
        <w:t xml:space="preserve">, </w:t>
      </w:r>
      <w:r w:rsidR="00740E8A" w:rsidRPr="007A58EA">
        <w:rPr>
          <w:color w:val="000000" w:themeColor="text1"/>
        </w:rPr>
        <w:t xml:space="preserve">the Court </w:t>
      </w:r>
      <w:r w:rsidR="00C17BB9" w:rsidRPr="007A58EA">
        <w:rPr>
          <w:color w:val="000000" w:themeColor="text1"/>
        </w:rPr>
        <w:t xml:space="preserve">says nothing </w:t>
      </w:r>
      <w:r w:rsidR="00740E8A" w:rsidRPr="007A58EA">
        <w:rPr>
          <w:color w:val="000000" w:themeColor="text1"/>
        </w:rPr>
        <w:t xml:space="preserve">here </w:t>
      </w:r>
      <w:r w:rsidR="00C17BB9" w:rsidRPr="007A58EA">
        <w:rPr>
          <w:color w:val="000000" w:themeColor="text1"/>
        </w:rPr>
        <w:t xml:space="preserve">about how far </w:t>
      </w:r>
      <w:r w:rsidR="00740E8A" w:rsidRPr="007A58EA">
        <w:rPr>
          <w:color w:val="000000" w:themeColor="text1"/>
        </w:rPr>
        <w:t xml:space="preserve">the principle of </w:t>
      </w:r>
      <w:r w:rsidR="00C17BB9" w:rsidRPr="007A58EA">
        <w:rPr>
          <w:color w:val="000000" w:themeColor="text1"/>
        </w:rPr>
        <w:t xml:space="preserve">primacy extends beyond </w:t>
      </w:r>
      <w:r w:rsidR="00740E8A" w:rsidRPr="007A58EA">
        <w:rPr>
          <w:color w:val="000000" w:themeColor="text1"/>
        </w:rPr>
        <w:t xml:space="preserve">mere </w:t>
      </w:r>
      <w:r w:rsidR="00C17BB9" w:rsidRPr="007A58EA">
        <w:rPr>
          <w:color w:val="000000" w:themeColor="text1"/>
        </w:rPr>
        <w:t xml:space="preserve">disapplication to </w:t>
      </w:r>
      <w:r w:rsidR="00740E8A" w:rsidRPr="007A58EA">
        <w:rPr>
          <w:color w:val="000000" w:themeColor="text1"/>
        </w:rPr>
        <w:t xml:space="preserve">a </w:t>
      </w:r>
      <w:r w:rsidR="002F53A9" w:rsidRPr="007A58EA">
        <w:rPr>
          <w:color w:val="000000" w:themeColor="text1"/>
        </w:rPr>
        <w:t xml:space="preserve">possible </w:t>
      </w:r>
      <w:r w:rsidR="00C17BB9" w:rsidRPr="007A58EA">
        <w:rPr>
          <w:color w:val="000000" w:themeColor="text1"/>
        </w:rPr>
        <w:t>remedy of nullity.</w:t>
      </w:r>
      <w:r w:rsidR="00002BF8" w:rsidRPr="007A58EA">
        <w:rPr>
          <w:color w:val="000000" w:themeColor="text1"/>
        </w:rPr>
        <w:t xml:space="preserve">  And of course, even this minimalist reading of </w:t>
      </w:r>
      <w:r w:rsidR="00002BF8" w:rsidRPr="007A58EA">
        <w:rPr>
          <w:i/>
          <w:iCs/>
          <w:color w:val="000000" w:themeColor="text1"/>
        </w:rPr>
        <w:t>Berlusconi</w:t>
      </w:r>
      <w:r w:rsidR="00002BF8" w:rsidRPr="007A58EA">
        <w:rPr>
          <w:color w:val="000000" w:themeColor="text1"/>
        </w:rPr>
        <w:t xml:space="preserve"> is only as good as the willingness of national courts to comply in practice, by refraining from exercising their own jurisdiction over relevant domestic preparatory acts – though as we know, that is true of everything </w:t>
      </w:r>
      <w:r w:rsidR="0016082D" w:rsidRPr="007A58EA">
        <w:rPr>
          <w:color w:val="000000" w:themeColor="text1"/>
        </w:rPr>
        <w:t xml:space="preserve">under </w:t>
      </w:r>
      <w:r w:rsidR="00002BF8" w:rsidRPr="007A58EA">
        <w:rPr>
          <w:color w:val="000000" w:themeColor="text1"/>
        </w:rPr>
        <w:t xml:space="preserve">the </w:t>
      </w:r>
      <w:r w:rsidR="0016082D" w:rsidRPr="007A58EA">
        <w:rPr>
          <w:i/>
          <w:iCs/>
          <w:color w:val="000000" w:themeColor="text1"/>
        </w:rPr>
        <w:t>Popławski</w:t>
      </w:r>
      <w:r w:rsidR="0016082D" w:rsidRPr="007A58EA">
        <w:rPr>
          <w:color w:val="000000" w:themeColor="text1"/>
        </w:rPr>
        <w:t xml:space="preserve"> model </w:t>
      </w:r>
      <w:r w:rsidR="00002BF8" w:rsidRPr="007A58EA">
        <w:rPr>
          <w:color w:val="000000" w:themeColor="text1"/>
        </w:rPr>
        <w:t xml:space="preserve">of </w:t>
      </w:r>
      <w:r w:rsidR="00D91942" w:rsidRPr="007A58EA">
        <w:rPr>
          <w:color w:val="000000" w:themeColor="text1"/>
        </w:rPr>
        <w:t xml:space="preserve">separate, albeit closely interlinked, </w:t>
      </w:r>
      <w:r w:rsidR="00002BF8" w:rsidRPr="007A58EA">
        <w:rPr>
          <w:color w:val="000000" w:themeColor="text1"/>
        </w:rPr>
        <w:t xml:space="preserve">EU-Member State legal </w:t>
      </w:r>
      <w:r w:rsidR="00D91942" w:rsidRPr="007A58EA">
        <w:rPr>
          <w:color w:val="000000" w:themeColor="text1"/>
        </w:rPr>
        <w:t>systems</w:t>
      </w:r>
      <w:r w:rsidR="00002BF8" w:rsidRPr="007A58EA">
        <w:rPr>
          <w:color w:val="000000" w:themeColor="text1"/>
        </w:rPr>
        <w:t>.</w:t>
      </w:r>
    </w:p>
    <w:p w14:paraId="7816AFCF" w14:textId="79A0CE52" w:rsidR="007E0CDE" w:rsidRDefault="00BE6D1E" w:rsidP="007E0CDE">
      <w:pPr>
        <w:ind w:firstLine="720"/>
        <w:jc w:val="both"/>
        <w:rPr>
          <w:color w:val="000000" w:themeColor="text1"/>
        </w:rPr>
      </w:pPr>
      <w:r w:rsidRPr="007A58EA">
        <w:rPr>
          <w:color w:val="000000" w:themeColor="text1"/>
        </w:rPr>
        <w:t xml:space="preserve">By contrast, a more expansive interpretation of </w:t>
      </w:r>
      <w:r w:rsidRPr="007A58EA">
        <w:rPr>
          <w:i/>
          <w:iCs/>
          <w:color w:val="000000" w:themeColor="text1"/>
        </w:rPr>
        <w:t>Berlusconi</w:t>
      </w:r>
      <w:r w:rsidRPr="007A58EA">
        <w:rPr>
          <w:color w:val="000000" w:themeColor="text1"/>
        </w:rPr>
        <w:t xml:space="preserve"> would argue that the Court did </w:t>
      </w:r>
      <w:r w:rsidR="008F3748" w:rsidRPr="007A58EA">
        <w:rPr>
          <w:color w:val="000000" w:themeColor="text1"/>
        </w:rPr>
        <w:t xml:space="preserve">not merely instruct the domestic courts to refrain from engaging in their own judicial review of national preparatory acts.  The Court in fact </w:t>
      </w:r>
      <w:r w:rsidRPr="007A58EA">
        <w:rPr>
          <w:color w:val="000000" w:themeColor="text1"/>
        </w:rPr>
        <w:t>assert</w:t>
      </w:r>
      <w:r w:rsidR="008F3748" w:rsidRPr="007A58EA">
        <w:rPr>
          <w:color w:val="000000" w:themeColor="text1"/>
        </w:rPr>
        <w:t>ed</w:t>
      </w:r>
      <w:r w:rsidRPr="007A58EA">
        <w:rPr>
          <w:color w:val="000000" w:themeColor="text1"/>
        </w:rPr>
        <w:t xml:space="preserve"> its own </w:t>
      </w:r>
      <w:r w:rsidR="00035DF8" w:rsidRPr="007A58EA">
        <w:rPr>
          <w:color w:val="000000" w:themeColor="text1"/>
        </w:rPr>
        <w:t xml:space="preserve">power </w:t>
      </w:r>
      <w:r w:rsidRPr="007A58EA">
        <w:rPr>
          <w:color w:val="000000" w:themeColor="text1"/>
        </w:rPr>
        <w:t>direct</w:t>
      </w:r>
      <w:r w:rsidR="00035DF8" w:rsidRPr="007A58EA">
        <w:rPr>
          <w:color w:val="000000" w:themeColor="text1"/>
        </w:rPr>
        <w:t>ly</w:t>
      </w:r>
      <w:r w:rsidRPr="007A58EA">
        <w:rPr>
          <w:color w:val="000000" w:themeColor="text1"/>
        </w:rPr>
        <w:t xml:space="preserve"> to assess </w:t>
      </w:r>
      <w:r w:rsidR="00035DF8" w:rsidRPr="007A58EA">
        <w:rPr>
          <w:color w:val="000000" w:themeColor="text1"/>
        </w:rPr>
        <w:t xml:space="preserve">and pronounce on </w:t>
      </w:r>
      <w:r w:rsidRPr="007A58EA">
        <w:rPr>
          <w:color w:val="000000" w:themeColor="text1"/>
        </w:rPr>
        <w:t xml:space="preserve">the lawfulness of </w:t>
      </w:r>
      <w:r w:rsidR="008F3748" w:rsidRPr="007A58EA">
        <w:rPr>
          <w:color w:val="000000" w:themeColor="text1"/>
        </w:rPr>
        <w:t xml:space="preserve">such acts, where they </w:t>
      </w:r>
      <w:r w:rsidR="00035DF8" w:rsidRPr="007A58EA">
        <w:rPr>
          <w:color w:val="000000" w:themeColor="text1"/>
        </w:rPr>
        <w:t xml:space="preserve">are part of a process that </w:t>
      </w:r>
      <w:r w:rsidRPr="007A58EA">
        <w:rPr>
          <w:color w:val="000000" w:themeColor="text1"/>
        </w:rPr>
        <w:t>lead</w:t>
      </w:r>
      <w:r w:rsidR="00035DF8" w:rsidRPr="007A58EA">
        <w:rPr>
          <w:color w:val="000000" w:themeColor="text1"/>
        </w:rPr>
        <w:t>s</w:t>
      </w:r>
      <w:r w:rsidRPr="007A58EA">
        <w:rPr>
          <w:color w:val="000000" w:themeColor="text1"/>
        </w:rPr>
        <w:t xml:space="preserve"> to the adoption of a definitive Union act </w:t>
      </w:r>
      <w:r w:rsidR="008F3748" w:rsidRPr="007A58EA">
        <w:rPr>
          <w:color w:val="000000" w:themeColor="text1"/>
        </w:rPr>
        <w:t xml:space="preserve">involving the exercise of </w:t>
      </w:r>
      <w:r w:rsidRPr="007A58EA">
        <w:rPr>
          <w:color w:val="000000" w:themeColor="text1"/>
        </w:rPr>
        <w:t>discretio</w:t>
      </w:r>
      <w:r w:rsidR="008F3748" w:rsidRPr="007A58EA">
        <w:rPr>
          <w:color w:val="000000" w:themeColor="text1"/>
        </w:rPr>
        <w:t>nary powers by</w:t>
      </w:r>
      <w:r w:rsidRPr="007A58EA">
        <w:rPr>
          <w:color w:val="000000" w:themeColor="text1"/>
        </w:rPr>
        <w:t xml:space="preserve"> the competent Union institution.  </w:t>
      </w:r>
      <w:r w:rsidR="008F3748" w:rsidRPr="007A58EA">
        <w:rPr>
          <w:color w:val="000000" w:themeColor="text1"/>
        </w:rPr>
        <w:t>In effect, the Court asserted a double exclusive jurisdiction</w:t>
      </w:r>
      <w:r w:rsidR="00A60D9D" w:rsidRPr="007A58EA">
        <w:rPr>
          <w:color w:val="000000" w:themeColor="text1"/>
        </w:rPr>
        <w:t xml:space="preserve"> of its own</w:t>
      </w:r>
      <w:r w:rsidR="008F3748" w:rsidRPr="007A58EA">
        <w:rPr>
          <w:color w:val="000000" w:themeColor="text1"/>
        </w:rPr>
        <w:t xml:space="preserve">: not only </w:t>
      </w:r>
      <w:r w:rsidRPr="007A58EA">
        <w:rPr>
          <w:color w:val="000000" w:themeColor="text1"/>
        </w:rPr>
        <w:t>over the legality of the final Union act</w:t>
      </w:r>
      <w:r w:rsidR="008F3748" w:rsidRPr="007A58EA">
        <w:rPr>
          <w:color w:val="000000" w:themeColor="text1"/>
        </w:rPr>
        <w:t xml:space="preserve">, but also over the lawfulness of the </w:t>
      </w:r>
      <w:r w:rsidRPr="007A58EA">
        <w:rPr>
          <w:color w:val="000000" w:themeColor="text1"/>
        </w:rPr>
        <w:t>national preparatory act</w:t>
      </w:r>
      <w:r w:rsidR="008F3748" w:rsidRPr="007A58EA">
        <w:rPr>
          <w:color w:val="000000" w:themeColor="text1"/>
        </w:rPr>
        <w:t xml:space="preserve"> (</w:t>
      </w:r>
      <w:r w:rsidR="00573D65">
        <w:rPr>
          <w:color w:val="000000" w:themeColor="text1"/>
        </w:rPr>
        <w:t xml:space="preserve">again: </w:t>
      </w:r>
      <w:r w:rsidR="00556CD7" w:rsidRPr="007A58EA">
        <w:rPr>
          <w:color w:val="000000" w:themeColor="text1"/>
        </w:rPr>
        <w:t>certainly as a matter of Union law</w:t>
      </w:r>
      <w:r w:rsidR="00573D65">
        <w:rPr>
          <w:color w:val="000000" w:themeColor="text1"/>
        </w:rPr>
        <w:t>;</w:t>
      </w:r>
      <w:r w:rsidR="00556CD7" w:rsidRPr="007A58EA">
        <w:rPr>
          <w:color w:val="000000" w:themeColor="text1"/>
        </w:rPr>
        <w:t xml:space="preserve"> </w:t>
      </w:r>
      <w:r w:rsidR="00FE5124" w:rsidRPr="007A58EA">
        <w:rPr>
          <w:color w:val="000000" w:themeColor="text1"/>
        </w:rPr>
        <w:t xml:space="preserve">possibly also </w:t>
      </w:r>
      <w:r w:rsidR="00556CD7" w:rsidRPr="007A58EA">
        <w:rPr>
          <w:color w:val="000000" w:themeColor="text1"/>
        </w:rPr>
        <w:t xml:space="preserve">according to </w:t>
      </w:r>
      <w:r w:rsidR="008F3748" w:rsidRPr="007A58EA">
        <w:rPr>
          <w:color w:val="000000" w:themeColor="text1"/>
        </w:rPr>
        <w:t>domestic law</w:t>
      </w:r>
      <w:r w:rsidR="00A60D9D" w:rsidRPr="007A58EA">
        <w:rPr>
          <w:color w:val="000000" w:themeColor="text1"/>
        </w:rPr>
        <w:t xml:space="preserve"> criteria</w:t>
      </w:r>
      <w:r w:rsidR="00FE5124" w:rsidRPr="007A58EA">
        <w:rPr>
          <w:color w:val="000000" w:themeColor="text1"/>
        </w:rPr>
        <w:t>)</w:t>
      </w:r>
      <w:r w:rsidR="008F3748" w:rsidRPr="007A58EA">
        <w:rPr>
          <w:color w:val="000000" w:themeColor="text1"/>
        </w:rPr>
        <w:t>.</w:t>
      </w:r>
      <w:r w:rsidR="003468C8" w:rsidRPr="007A58EA">
        <w:rPr>
          <w:rStyle w:val="FootnoteReference"/>
          <w:color w:val="000000" w:themeColor="text1"/>
        </w:rPr>
        <w:footnoteReference w:id="43"/>
      </w:r>
      <w:r w:rsidR="007C78B6" w:rsidRPr="007A58EA">
        <w:rPr>
          <w:color w:val="000000" w:themeColor="text1"/>
        </w:rPr>
        <w:t xml:space="preserve">  The </w:t>
      </w:r>
      <w:r w:rsidR="00F83597" w:rsidRPr="007A58EA">
        <w:rPr>
          <w:color w:val="000000" w:themeColor="text1"/>
        </w:rPr>
        <w:t>Court’s</w:t>
      </w:r>
      <w:r w:rsidR="007C78B6" w:rsidRPr="007A58EA">
        <w:rPr>
          <w:color w:val="000000" w:themeColor="text1"/>
        </w:rPr>
        <w:t xml:space="preserve"> assessment </w:t>
      </w:r>
      <w:r w:rsidR="00F83597" w:rsidRPr="007A58EA">
        <w:rPr>
          <w:color w:val="000000" w:themeColor="text1"/>
        </w:rPr>
        <w:t xml:space="preserve">of national preparatory acts </w:t>
      </w:r>
      <w:r w:rsidR="007C78B6" w:rsidRPr="007A58EA">
        <w:rPr>
          <w:color w:val="000000" w:themeColor="text1"/>
        </w:rPr>
        <w:t xml:space="preserve">may well be “incidental”, but it is still direct and tangible – </w:t>
      </w:r>
      <w:r w:rsidR="00A60D9D" w:rsidRPr="007A58EA">
        <w:rPr>
          <w:color w:val="000000" w:themeColor="text1"/>
        </w:rPr>
        <w:t xml:space="preserve">leaving </w:t>
      </w:r>
      <w:r w:rsidR="007C78B6" w:rsidRPr="007A58EA">
        <w:rPr>
          <w:color w:val="000000" w:themeColor="text1"/>
        </w:rPr>
        <w:t xml:space="preserve">no category of </w:t>
      </w:r>
      <w:r w:rsidR="00F83597" w:rsidRPr="007A58EA">
        <w:rPr>
          <w:color w:val="000000" w:themeColor="text1"/>
        </w:rPr>
        <w:t xml:space="preserve">domestic measure </w:t>
      </w:r>
      <w:r w:rsidR="007C78B6" w:rsidRPr="007A58EA">
        <w:rPr>
          <w:color w:val="000000" w:themeColor="text1"/>
        </w:rPr>
        <w:t xml:space="preserve">effectively shielded from amenability to judicial review on </w:t>
      </w:r>
      <w:r w:rsidR="00F83597" w:rsidRPr="007A58EA">
        <w:rPr>
          <w:color w:val="000000" w:themeColor="text1"/>
        </w:rPr>
        <w:t xml:space="preserve">its </w:t>
      </w:r>
      <w:r w:rsidR="007C78B6" w:rsidRPr="007A58EA">
        <w:rPr>
          <w:color w:val="000000" w:themeColor="text1"/>
        </w:rPr>
        <w:t>own terms.</w:t>
      </w:r>
      <w:r w:rsidR="00556CD7" w:rsidRPr="007A58EA">
        <w:rPr>
          <w:rStyle w:val="FootnoteReference"/>
          <w:color w:val="000000" w:themeColor="text1"/>
        </w:rPr>
        <w:footnoteReference w:id="44"/>
      </w:r>
    </w:p>
    <w:p w14:paraId="611031A2" w14:textId="77777777" w:rsidR="007E0CDE" w:rsidRDefault="007C78B6" w:rsidP="007E0CDE">
      <w:pPr>
        <w:ind w:firstLine="720"/>
        <w:jc w:val="both"/>
        <w:rPr>
          <w:color w:val="000000" w:themeColor="text1"/>
        </w:rPr>
      </w:pPr>
      <w:r w:rsidRPr="007A58EA">
        <w:rPr>
          <w:color w:val="000000" w:themeColor="text1"/>
        </w:rPr>
        <w:t xml:space="preserve">If that more expansive interpretation is correct, then the jurisdictional shift announced in </w:t>
      </w:r>
      <w:r w:rsidRPr="007A58EA">
        <w:rPr>
          <w:i/>
          <w:iCs/>
          <w:color w:val="000000" w:themeColor="text1"/>
        </w:rPr>
        <w:t>Berlusconi</w:t>
      </w:r>
      <w:r w:rsidRPr="007A58EA">
        <w:rPr>
          <w:color w:val="000000" w:themeColor="text1"/>
        </w:rPr>
        <w:t xml:space="preserve"> becomes much more </w:t>
      </w:r>
      <w:r w:rsidR="00534726" w:rsidRPr="007A58EA">
        <w:rPr>
          <w:color w:val="000000" w:themeColor="text1"/>
        </w:rPr>
        <w:t>significant</w:t>
      </w:r>
      <w:r w:rsidRPr="007A58EA">
        <w:rPr>
          <w:color w:val="000000" w:themeColor="text1"/>
        </w:rPr>
        <w:t xml:space="preserve">.  </w:t>
      </w:r>
      <w:r w:rsidR="00534726" w:rsidRPr="007A58EA">
        <w:rPr>
          <w:color w:val="000000" w:themeColor="text1"/>
        </w:rPr>
        <w:t xml:space="preserve">For the first time, the Court would have </w:t>
      </w:r>
      <w:r w:rsidR="00D91942" w:rsidRPr="007A58EA">
        <w:rPr>
          <w:color w:val="000000" w:themeColor="text1"/>
        </w:rPr>
        <w:t xml:space="preserve">claimed the power </w:t>
      </w:r>
      <w:r w:rsidR="00BF35A9" w:rsidRPr="007A58EA">
        <w:rPr>
          <w:color w:val="000000" w:themeColor="text1"/>
        </w:rPr>
        <w:t xml:space="preserve">both </w:t>
      </w:r>
      <w:r w:rsidR="00D91942" w:rsidRPr="007A58EA">
        <w:rPr>
          <w:color w:val="000000" w:themeColor="text1"/>
        </w:rPr>
        <w:t xml:space="preserve">to assess </w:t>
      </w:r>
      <w:r w:rsidR="00BF35A9" w:rsidRPr="007A58EA">
        <w:rPr>
          <w:color w:val="000000" w:themeColor="text1"/>
        </w:rPr>
        <w:t xml:space="preserve">and to determine </w:t>
      </w:r>
      <w:r w:rsidR="00D91942" w:rsidRPr="007A58EA">
        <w:rPr>
          <w:color w:val="000000" w:themeColor="text1"/>
        </w:rPr>
        <w:t>for itself the lawfulness of certain national acts</w:t>
      </w:r>
      <w:r w:rsidR="00BF35A9" w:rsidRPr="007A58EA">
        <w:rPr>
          <w:color w:val="000000" w:themeColor="text1"/>
        </w:rPr>
        <w:t xml:space="preserve">, and to do so </w:t>
      </w:r>
      <w:r w:rsidR="0042170C" w:rsidRPr="007A58EA">
        <w:rPr>
          <w:color w:val="000000" w:themeColor="text1"/>
        </w:rPr>
        <w:t xml:space="preserve">not just in the declaratory sense of enforcement proceedings but </w:t>
      </w:r>
      <w:r w:rsidR="00BF35A9" w:rsidRPr="007A58EA">
        <w:rPr>
          <w:color w:val="000000" w:themeColor="text1"/>
        </w:rPr>
        <w:t xml:space="preserve">also for the purposes of the Member State’s own legal system – thereby </w:t>
      </w:r>
      <w:r w:rsidR="0042170C" w:rsidRPr="007A58EA">
        <w:rPr>
          <w:color w:val="000000" w:themeColor="text1"/>
        </w:rPr>
        <w:t>creating an exception to</w:t>
      </w:r>
      <w:r w:rsidR="00534726" w:rsidRPr="007A58EA">
        <w:rPr>
          <w:color w:val="000000" w:themeColor="text1"/>
        </w:rPr>
        <w:t xml:space="preserve"> the fundamental principle that the Union courts exercise exclusive jurisdiction directly over the legality of Union acts, while the national courts exercise exclusive jurisdiction directly over the lawfulness of domestic acts.  </w:t>
      </w:r>
    </w:p>
    <w:p w14:paraId="6E533940" w14:textId="77777777" w:rsidR="007E0CDE" w:rsidRDefault="0042170C" w:rsidP="007E0CDE">
      <w:pPr>
        <w:ind w:firstLine="720"/>
        <w:jc w:val="both"/>
        <w:rPr>
          <w:color w:val="000000" w:themeColor="text1"/>
        </w:rPr>
      </w:pPr>
      <w:r w:rsidRPr="007A58EA">
        <w:rPr>
          <w:color w:val="000000" w:themeColor="text1"/>
        </w:rPr>
        <w:t>S</w:t>
      </w:r>
      <w:r w:rsidR="00534726" w:rsidRPr="007A58EA">
        <w:rPr>
          <w:color w:val="000000" w:themeColor="text1"/>
        </w:rPr>
        <w:t xml:space="preserve">uch an interpretation of </w:t>
      </w:r>
      <w:r w:rsidR="00534726" w:rsidRPr="007A58EA">
        <w:rPr>
          <w:i/>
          <w:iCs/>
          <w:color w:val="000000" w:themeColor="text1"/>
        </w:rPr>
        <w:t>Berlusconi</w:t>
      </w:r>
      <w:r w:rsidR="00534726" w:rsidRPr="007A58EA">
        <w:rPr>
          <w:color w:val="000000" w:themeColor="text1"/>
        </w:rPr>
        <w:t xml:space="preserve"> would also raise an important knock-on question: once the Court has directly determined that a national preparatory act is vitiated by a defect that renders it unlawful, </w:t>
      </w:r>
      <w:r w:rsidR="00D35318" w:rsidRPr="007A58EA">
        <w:rPr>
          <w:color w:val="000000" w:themeColor="text1"/>
        </w:rPr>
        <w:t xml:space="preserve">should the Court then revert to the ordinary principles of decentralised enforcement and leave it to be national courts to work out the </w:t>
      </w:r>
      <w:r w:rsidR="00BF35A9" w:rsidRPr="007A58EA">
        <w:rPr>
          <w:color w:val="000000" w:themeColor="text1"/>
        </w:rPr>
        <w:t xml:space="preserve">appropriate </w:t>
      </w:r>
      <w:r w:rsidR="00D35318" w:rsidRPr="007A58EA">
        <w:rPr>
          <w:color w:val="000000" w:themeColor="text1"/>
        </w:rPr>
        <w:t xml:space="preserve">consequences of </w:t>
      </w:r>
      <w:r w:rsidR="00A60D9D" w:rsidRPr="007A58EA">
        <w:rPr>
          <w:color w:val="000000" w:themeColor="text1"/>
        </w:rPr>
        <w:t xml:space="preserve">that </w:t>
      </w:r>
      <w:r w:rsidR="00D35318" w:rsidRPr="007A58EA">
        <w:rPr>
          <w:color w:val="000000" w:themeColor="text1"/>
        </w:rPr>
        <w:t xml:space="preserve">incompatibility </w:t>
      </w:r>
      <w:r w:rsidR="00466086" w:rsidRPr="007A58EA">
        <w:rPr>
          <w:color w:val="000000" w:themeColor="text1"/>
        </w:rPr>
        <w:t xml:space="preserve">under the familiar </w:t>
      </w:r>
      <w:r w:rsidR="00D35318" w:rsidRPr="007A58EA">
        <w:rPr>
          <w:color w:val="000000" w:themeColor="text1"/>
        </w:rPr>
        <w:t>terms of primacy and disapplication; or</w:t>
      </w:r>
      <w:r w:rsidR="00466086" w:rsidRPr="007A58EA">
        <w:rPr>
          <w:color w:val="000000" w:themeColor="text1"/>
        </w:rPr>
        <w:t>,</w:t>
      </w:r>
      <w:r w:rsidR="00D35318" w:rsidRPr="007A58EA">
        <w:rPr>
          <w:color w:val="000000" w:themeColor="text1"/>
        </w:rPr>
        <w:t xml:space="preserve"> having found for </w:t>
      </w:r>
      <w:r w:rsidR="00D35318" w:rsidRPr="007A58EA">
        <w:rPr>
          <w:color w:val="000000" w:themeColor="text1"/>
        </w:rPr>
        <w:lastRenderedPageBreak/>
        <w:t xml:space="preserve">itself that the relevant domestic act is unlawful, should the Court </w:t>
      </w:r>
      <w:r w:rsidR="00466086" w:rsidRPr="007A58EA">
        <w:rPr>
          <w:color w:val="000000" w:themeColor="text1"/>
        </w:rPr>
        <w:t xml:space="preserve">instead </w:t>
      </w:r>
      <w:r w:rsidR="00D35318" w:rsidRPr="007A58EA">
        <w:rPr>
          <w:color w:val="000000" w:themeColor="text1"/>
        </w:rPr>
        <w:t xml:space="preserve">be more prescriptive about the </w:t>
      </w:r>
      <w:r w:rsidR="00BF35A9" w:rsidRPr="007A58EA">
        <w:rPr>
          <w:color w:val="000000" w:themeColor="text1"/>
        </w:rPr>
        <w:t xml:space="preserve">proper </w:t>
      </w:r>
      <w:r w:rsidR="00D35318" w:rsidRPr="007A58EA">
        <w:rPr>
          <w:color w:val="000000" w:themeColor="text1"/>
        </w:rPr>
        <w:t xml:space="preserve">legal effects of </w:t>
      </w:r>
      <w:r w:rsidR="00466086" w:rsidRPr="007A58EA">
        <w:rPr>
          <w:color w:val="000000" w:themeColor="text1"/>
        </w:rPr>
        <w:t xml:space="preserve">such </w:t>
      </w:r>
      <w:r w:rsidR="00D35318" w:rsidRPr="007A58EA">
        <w:rPr>
          <w:color w:val="000000" w:themeColor="text1"/>
        </w:rPr>
        <w:t xml:space="preserve">incompatibility – by insisting that the impugned measure now be treated simply as null and void, also by the national courts </w:t>
      </w:r>
      <w:r w:rsidR="00466086" w:rsidRPr="007A58EA">
        <w:rPr>
          <w:color w:val="000000" w:themeColor="text1"/>
        </w:rPr>
        <w:t>for the purposes of</w:t>
      </w:r>
      <w:r w:rsidR="00D35318" w:rsidRPr="007A58EA">
        <w:rPr>
          <w:color w:val="000000" w:themeColor="text1"/>
        </w:rPr>
        <w:t xml:space="preserve"> their </w:t>
      </w:r>
      <w:r w:rsidR="00BF35A9" w:rsidRPr="007A58EA">
        <w:rPr>
          <w:color w:val="000000" w:themeColor="text1"/>
        </w:rPr>
        <w:t>internal</w:t>
      </w:r>
      <w:r w:rsidR="00D35318" w:rsidRPr="007A58EA">
        <w:rPr>
          <w:color w:val="000000" w:themeColor="text1"/>
        </w:rPr>
        <w:t xml:space="preserve"> legal order?  </w:t>
      </w:r>
      <w:r w:rsidRPr="007A58EA">
        <w:rPr>
          <w:color w:val="000000" w:themeColor="text1"/>
        </w:rPr>
        <w:t xml:space="preserve">However, in </w:t>
      </w:r>
      <w:r w:rsidR="00466086" w:rsidRPr="007A58EA">
        <w:rPr>
          <w:color w:val="000000" w:themeColor="text1"/>
        </w:rPr>
        <w:t xml:space="preserve">answer to that question, the judgment in </w:t>
      </w:r>
      <w:r w:rsidR="00466086" w:rsidRPr="007A58EA">
        <w:rPr>
          <w:i/>
          <w:iCs/>
          <w:color w:val="000000" w:themeColor="text1"/>
        </w:rPr>
        <w:t>Berlusconi</w:t>
      </w:r>
      <w:r w:rsidR="00466086" w:rsidRPr="007A58EA">
        <w:rPr>
          <w:color w:val="000000" w:themeColor="text1"/>
        </w:rPr>
        <w:t xml:space="preserve"> itself is </w:t>
      </w:r>
      <w:r w:rsidRPr="007A58EA">
        <w:rPr>
          <w:color w:val="000000" w:themeColor="text1"/>
        </w:rPr>
        <w:t>entirely</w:t>
      </w:r>
      <w:r w:rsidR="00466086" w:rsidRPr="007A58EA">
        <w:rPr>
          <w:color w:val="000000" w:themeColor="text1"/>
        </w:rPr>
        <w:t xml:space="preserve"> silent.</w:t>
      </w:r>
      <w:r w:rsidR="00BA2C85" w:rsidRPr="007A58EA">
        <w:rPr>
          <w:rStyle w:val="FootnoteReference"/>
          <w:color w:val="000000" w:themeColor="text1"/>
        </w:rPr>
        <w:footnoteReference w:id="45"/>
      </w:r>
    </w:p>
    <w:p w14:paraId="643CB7AE" w14:textId="57AB00A3" w:rsidR="007E0CDE" w:rsidRDefault="00002BF8" w:rsidP="007E0CDE">
      <w:pPr>
        <w:ind w:firstLine="720"/>
        <w:jc w:val="both"/>
        <w:rPr>
          <w:color w:val="000000" w:themeColor="text1"/>
        </w:rPr>
      </w:pPr>
      <w:r w:rsidRPr="007A58EA">
        <w:rPr>
          <w:color w:val="000000" w:themeColor="text1"/>
        </w:rPr>
        <w:t xml:space="preserve">The trouble with </w:t>
      </w:r>
      <w:r w:rsidR="00573D65">
        <w:rPr>
          <w:color w:val="000000" w:themeColor="text1"/>
        </w:rPr>
        <w:t>our</w:t>
      </w:r>
      <w:r w:rsidRPr="007A58EA">
        <w:rPr>
          <w:color w:val="000000" w:themeColor="text1"/>
        </w:rPr>
        <w:t xml:space="preserve"> more expansive interpretation of </w:t>
      </w:r>
      <w:r w:rsidRPr="007A58EA">
        <w:rPr>
          <w:i/>
          <w:iCs/>
          <w:color w:val="000000" w:themeColor="text1"/>
        </w:rPr>
        <w:t>Berlusconi</w:t>
      </w:r>
      <w:r w:rsidRPr="007A58EA">
        <w:rPr>
          <w:color w:val="000000" w:themeColor="text1"/>
        </w:rPr>
        <w:t xml:space="preserve"> is that</w:t>
      </w:r>
      <w:r w:rsidR="00466086" w:rsidRPr="007A58EA">
        <w:rPr>
          <w:color w:val="000000" w:themeColor="text1"/>
        </w:rPr>
        <w:t>,</w:t>
      </w:r>
      <w:r w:rsidRPr="007A58EA">
        <w:rPr>
          <w:color w:val="000000" w:themeColor="text1"/>
        </w:rPr>
        <w:t xml:space="preserve"> if </w:t>
      </w:r>
      <w:r w:rsidR="00466086" w:rsidRPr="007A58EA">
        <w:rPr>
          <w:color w:val="000000" w:themeColor="text1"/>
        </w:rPr>
        <w:t xml:space="preserve">the Court </w:t>
      </w:r>
      <w:r w:rsidRPr="007A58EA">
        <w:rPr>
          <w:color w:val="000000" w:themeColor="text1"/>
        </w:rPr>
        <w:t xml:space="preserve">indeed intended to </w:t>
      </w:r>
      <w:r w:rsidR="00EC5D20" w:rsidRPr="007A58EA">
        <w:rPr>
          <w:color w:val="000000" w:themeColor="text1"/>
        </w:rPr>
        <w:t xml:space="preserve">create </w:t>
      </w:r>
      <w:r w:rsidR="00450371" w:rsidRPr="007A58EA">
        <w:rPr>
          <w:color w:val="000000" w:themeColor="text1"/>
        </w:rPr>
        <w:t xml:space="preserve">a derogation from </w:t>
      </w:r>
      <w:r w:rsidRPr="007A58EA">
        <w:rPr>
          <w:color w:val="000000" w:themeColor="text1"/>
        </w:rPr>
        <w:t xml:space="preserve">one of the most fundamental rules concerning legal relations between the Union and its Member States, </w:t>
      </w:r>
      <w:r w:rsidR="00466086" w:rsidRPr="007A58EA">
        <w:rPr>
          <w:color w:val="000000" w:themeColor="text1"/>
        </w:rPr>
        <w:t xml:space="preserve">and </w:t>
      </w:r>
      <w:r w:rsidR="00595BC4" w:rsidRPr="007A58EA">
        <w:rPr>
          <w:color w:val="000000" w:themeColor="text1"/>
        </w:rPr>
        <w:t xml:space="preserve">thereby also </w:t>
      </w:r>
      <w:r w:rsidR="00466086" w:rsidRPr="007A58EA">
        <w:rPr>
          <w:color w:val="000000" w:themeColor="text1"/>
        </w:rPr>
        <w:t xml:space="preserve">raise the prospect of creating a knock-on exception to another basic tenet of the </w:t>
      </w:r>
      <w:r w:rsidR="00595BC4" w:rsidRPr="007A58EA">
        <w:rPr>
          <w:color w:val="000000" w:themeColor="text1"/>
        </w:rPr>
        <w:t>principles governing decentralised enforcement</w:t>
      </w:r>
      <w:r w:rsidR="00466086" w:rsidRPr="007A58EA">
        <w:rPr>
          <w:color w:val="000000" w:themeColor="text1"/>
        </w:rPr>
        <w:t xml:space="preserve">, </w:t>
      </w:r>
      <w:r w:rsidR="00595BC4" w:rsidRPr="007A58EA">
        <w:rPr>
          <w:color w:val="000000" w:themeColor="text1"/>
        </w:rPr>
        <w:t xml:space="preserve">one might have expected the Court to have </w:t>
      </w:r>
      <w:r w:rsidRPr="007A58EA">
        <w:rPr>
          <w:color w:val="000000" w:themeColor="text1"/>
        </w:rPr>
        <w:t xml:space="preserve">done so </w:t>
      </w:r>
      <w:r w:rsidR="00595BC4" w:rsidRPr="007A58EA">
        <w:rPr>
          <w:color w:val="000000" w:themeColor="text1"/>
        </w:rPr>
        <w:t xml:space="preserve">rather </w:t>
      </w:r>
      <w:r w:rsidRPr="007A58EA">
        <w:rPr>
          <w:color w:val="000000" w:themeColor="text1"/>
        </w:rPr>
        <w:t>more explicitly and categorically – particularly since the Court was already in the mood to clarify and systematise its caselaw and the opportunity for explicit and categorical statements lay right at its feet.</w:t>
      </w:r>
      <w:r w:rsidR="00051A2C" w:rsidRPr="007A58EA">
        <w:rPr>
          <w:color w:val="000000" w:themeColor="text1"/>
        </w:rPr>
        <w:t xml:space="preserve">  </w:t>
      </w:r>
      <w:r w:rsidR="006714F1" w:rsidRPr="007A58EA">
        <w:rPr>
          <w:color w:val="000000" w:themeColor="text1"/>
        </w:rPr>
        <w:t>Moreover</w:t>
      </w:r>
      <w:r w:rsidR="00051A2C" w:rsidRPr="007A58EA">
        <w:rPr>
          <w:color w:val="000000" w:themeColor="text1"/>
        </w:rPr>
        <w:t>, the Court has generally not treated mere preparatory acts of the Union institutions as amenable to judicial review on their own terms</w:t>
      </w:r>
      <w:r w:rsidR="00D5319A" w:rsidRPr="007A58EA">
        <w:rPr>
          <w:color w:val="000000" w:themeColor="text1"/>
        </w:rPr>
        <w:t>,</w:t>
      </w:r>
      <w:r w:rsidR="00051A2C" w:rsidRPr="007A58EA">
        <w:rPr>
          <w:color w:val="000000" w:themeColor="text1"/>
        </w:rPr>
        <w:t xml:space="preserve"> so it might </w:t>
      </w:r>
      <w:r w:rsidR="00B252D2" w:rsidRPr="007A58EA">
        <w:rPr>
          <w:color w:val="000000" w:themeColor="text1"/>
        </w:rPr>
        <w:t xml:space="preserve">again </w:t>
      </w:r>
      <w:r w:rsidR="00051A2C" w:rsidRPr="007A58EA">
        <w:rPr>
          <w:color w:val="000000" w:themeColor="text1"/>
        </w:rPr>
        <w:t xml:space="preserve">seem odd if </w:t>
      </w:r>
      <w:r w:rsidR="00051A2C" w:rsidRPr="007A58EA">
        <w:rPr>
          <w:i/>
          <w:iCs/>
          <w:color w:val="000000" w:themeColor="text1"/>
        </w:rPr>
        <w:t>Berlusconi</w:t>
      </w:r>
      <w:r w:rsidR="00051A2C" w:rsidRPr="007A58EA">
        <w:rPr>
          <w:color w:val="000000" w:themeColor="text1"/>
        </w:rPr>
        <w:t xml:space="preserve"> were to have </w:t>
      </w:r>
      <w:r w:rsidR="00035DF8" w:rsidRPr="007A58EA">
        <w:rPr>
          <w:color w:val="000000" w:themeColor="text1"/>
        </w:rPr>
        <w:t xml:space="preserve">(only </w:t>
      </w:r>
      <w:r w:rsidR="00051A2C" w:rsidRPr="007A58EA">
        <w:rPr>
          <w:color w:val="000000" w:themeColor="text1"/>
        </w:rPr>
        <w:t>implicitly</w:t>
      </w:r>
      <w:r w:rsidR="00035DF8" w:rsidRPr="007A58EA">
        <w:rPr>
          <w:color w:val="000000" w:themeColor="text1"/>
        </w:rPr>
        <w:t>)</w:t>
      </w:r>
      <w:r w:rsidR="00051A2C" w:rsidRPr="007A58EA">
        <w:rPr>
          <w:color w:val="000000" w:themeColor="text1"/>
        </w:rPr>
        <w:t xml:space="preserve"> created an exceptional approach</w:t>
      </w:r>
      <w:r w:rsidR="00B252D2" w:rsidRPr="007A58EA">
        <w:rPr>
          <w:color w:val="000000" w:themeColor="text1"/>
        </w:rPr>
        <w:t xml:space="preserve">, allowing the </w:t>
      </w:r>
      <w:r w:rsidR="00051A2C" w:rsidRPr="007A58EA">
        <w:rPr>
          <w:color w:val="000000" w:themeColor="text1"/>
        </w:rPr>
        <w:t xml:space="preserve">Court directly </w:t>
      </w:r>
      <w:r w:rsidR="00B252D2" w:rsidRPr="007A58EA">
        <w:rPr>
          <w:color w:val="000000" w:themeColor="text1"/>
        </w:rPr>
        <w:t xml:space="preserve">to </w:t>
      </w:r>
      <w:r w:rsidR="00051A2C" w:rsidRPr="007A58EA">
        <w:rPr>
          <w:color w:val="000000" w:themeColor="text1"/>
        </w:rPr>
        <w:t>assess and determine the validity of national preparatory acts</w:t>
      </w:r>
      <w:r w:rsidR="00B252D2" w:rsidRPr="007A58EA">
        <w:rPr>
          <w:color w:val="000000" w:themeColor="text1"/>
        </w:rPr>
        <w:t xml:space="preserve">.  After all, the Court’s usual practice, of </w:t>
      </w:r>
      <w:r w:rsidR="006714F1" w:rsidRPr="007A58EA">
        <w:rPr>
          <w:color w:val="000000" w:themeColor="text1"/>
        </w:rPr>
        <w:t xml:space="preserve">carrying out </w:t>
      </w:r>
      <w:r w:rsidR="00D5319A" w:rsidRPr="007A58EA">
        <w:rPr>
          <w:color w:val="000000" w:themeColor="text1"/>
        </w:rPr>
        <w:t xml:space="preserve">a purely </w:t>
      </w:r>
      <w:r w:rsidR="006714F1" w:rsidRPr="007A58EA">
        <w:rPr>
          <w:color w:val="000000" w:themeColor="text1"/>
        </w:rPr>
        <w:t xml:space="preserve">incidental investigation into </w:t>
      </w:r>
      <w:r w:rsidR="00D5319A" w:rsidRPr="007A58EA">
        <w:rPr>
          <w:color w:val="000000" w:themeColor="text1"/>
        </w:rPr>
        <w:t xml:space="preserve">alleged </w:t>
      </w:r>
      <w:r w:rsidR="006714F1" w:rsidRPr="007A58EA">
        <w:rPr>
          <w:color w:val="000000" w:themeColor="text1"/>
        </w:rPr>
        <w:t xml:space="preserve">defects in </w:t>
      </w:r>
      <w:r w:rsidR="00B252D2" w:rsidRPr="007A58EA">
        <w:rPr>
          <w:color w:val="000000" w:themeColor="text1"/>
        </w:rPr>
        <w:t xml:space="preserve">the </w:t>
      </w:r>
      <w:r w:rsidR="006714F1" w:rsidRPr="007A58EA">
        <w:rPr>
          <w:color w:val="000000" w:themeColor="text1"/>
        </w:rPr>
        <w:t>adoption</w:t>
      </w:r>
      <w:r w:rsidR="00B252D2" w:rsidRPr="007A58EA">
        <w:rPr>
          <w:color w:val="000000" w:themeColor="text1"/>
        </w:rPr>
        <w:t xml:space="preserve"> of mere preparatory acts, </w:t>
      </w:r>
      <w:r w:rsidR="006714F1" w:rsidRPr="007A58EA">
        <w:rPr>
          <w:color w:val="000000" w:themeColor="text1"/>
        </w:rPr>
        <w:t xml:space="preserve">is </w:t>
      </w:r>
      <w:r w:rsidR="00B252D2" w:rsidRPr="007A58EA">
        <w:rPr>
          <w:color w:val="000000" w:themeColor="text1"/>
        </w:rPr>
        <w:t xml:space="preserve">quite </w:t>
      </w:r>
      <w:r w:rsidR="00D5319A" w:rsidRPr="007A58EA">
        <w:rPr>
          <w:color w:val="000000" w:themeColor="text1"/>
        </w:rPr>
        <w:t xml:space="preserve">sufficient </w:t>
      </w:r>
      <w:r w:rsidR="006714F1" w:rsidRPr="007A58EA">
        <w:rPr>
          <w:color w:val="000000" w:themeColor="text1"/>
        </w:rPr>
        <w:t xml:space="preserve">to serve the </w:t>
      </w:r>
      <w:r w:rsidR="00D5319A" w:rsidRPr="007A58EA">
        <w:rPr>
          <w:color w:val="000000" w:themeColor="text1"/>
        </w:rPr>
        <w:t>primary</w:t>
      </w:r>
      <w:r w:rsidR="006714F1" w:rsidRPr="007A58EA">
        <w:rPr>
          <w:color w:val="000000" w:themeColor="text1"/>
        </w:rPr>
        <w:t xml:space="preserve"> purpose of the proceedings</w:t>
      </w:r>
      <w:r w:rsidR="00B252D2" w:rsidRPr="007A58EA">
        <w:rPr>
          <w:color w:val="000000" w:themeColor="text1"/>
        </w:rPr>
        <w:t xml:space="preserve"> – which is to </w:t>
      </w:r>
      <w:r w:rsidR="006714F1" w:rsidRPr="007A58EA">
        <w:rPr>
          <w:color w:val="000000" w:themeColor="text1"/>
        </w:rPr>
        <w:t>determin</w:t>
      </w:r>
      <w:r w:rsidR="00B252D2" w:rsidRPr="007A58EA">
        <w:rPr>
          <w:color w:val="000000" w:themeColor="text1"/>
        </w:rPr>
        <w:t>e</w:t>
      </w:r>
      <w:r w:rsidR="006714F1" w:rsidRPr="007A58EA">
        <w:rPr>
          <w:color w:val="000000" w:themeColor="text1"/>
        </w:rPr>
        <w:t xml:space="preserve"> the lawfulness of </w:t>
      </w:r>
      <w:r w:rsidR="00544500" w:rsidRPr="007A58EA">
        <w:rPr>
          <w:color w:val="000000" w:themeColor="text1"/>
        </w:rPr>
        <w:t>the</w:t>
      </w:r>
      <w:r w:rsidR="006714F1" w:rsidRPr="007A58EA">
        <w:rPr>
          <w:color w:val="000000" w:themeColor="text1"/>
        </w:rPr>
        <w:t xml:space="preserve"> definitive Union measure</w:t>
      </w:r>
      <w:r w:rsidR="00051A2C" w:rsidRPr="007A58EA">
        <w:rPr>
          <w:color w:val="000000" w:themeColor="text1"/>
        </w:rPr>
        <w:t>.</w:t>
      </w:r>
      <w:r w:rsidR="006714F1" w:rsidRPr="007A58EA">
        <w:rPr>
          <w:rStyle w:val="FootnoteReference"/>
          <w:color w:val="000000" w:themeColor="text1"/>
        </w:rPr>
        <w:footnoteReference w:id="46"/>
      </w:r>
    </w:p>
    <w:p w14:paraId="0A01FAFE" w14:textId="77777777" w:rsidR="007E0CDE" w:rsidRDefault="00595BC4" w:rsidP="007E0CDE">
      <w:pPr>
        <w:ind w:firstLine="720"/>
        <w:jc w:val="both"/>
        <w:rPr>
          <w:color w:val="000000" w:themeColor="text1"/>
        </w:rPr>
      </w:pPr>
      <w:r w:rsidRPr="007A58EA">
        <w:rPr>
          <w:color w:val="000000" w:themeColor="text1"/>
        </w:rPr>
        <w:t>So the</w:t>
      </w:r>
      <w:r w:rsidR="00002BF8" w:rsidRPr="007A58EA">
        <w:rPr>
          <w:color w:val="000000" w:themeColor="text1"/>
        </w:rPr>
        <w:t xml:space="preserve"> present author prefers to read </w:t>
      </w:r>
      <w:r w:rsidR="00002BF8" w:rsidRPr="007A58EA">
        <w:rPr>
          <w:i/>
          <w:iCs/>
          <w:color w:val="000000" w:themeColor="text1"/>
        </w:rPr>
        <w:t>Berlusconi</w:t>
      </w:r>
      <w:r w:rsidR="00002BF8" w:rsidRPr="007A58EA">
        <w:rPr>
          <w:color w:val="000000" w:themeColor="text1"/>
        </w:rPr>
        <w:t xml:space="preserve"> in a more restrained fashion – at least </w:t>
      </w:r>
      <w:r w:rsidR="00EC5D20" w:rsidRPr="007A58EA">
        <w:rPr>
          <w:color w:val="000000" w:themeColor="text1"/>
        </w:rPr>
        <w:t>when it comes to</w:t>
      </w:r>
      <w:r w:rsidR="00002BF8" w:rsidRPr="007A58EA">
        <w:rPr>
          <w:color w:val="000000" w:themeColor="text1"/>
        </w:rPr>
        <w:t xml:space="preserve"> understanding what the Court intended at the time the judgment </w:t>
      </w:r>
      <w:r w:rsidRPr="007A58EA">
        <w:rPr>
          <w:color w:val="000000" w:themeColor="text1"/>
        </w:rPr>
        <w:t xml:space="preserve">itself </w:t>
      </w:r>
      <w:r w:rsidR="00002BF8" w:rsidRPr="007A58EA">
        <w:rPr>
          <w:color w:val="000000" w:themeColor="text1"/>
        </w:rPr>
        <w:t>was delivered</w:t>
      </w:r>
      <w:r w:rsidR="00BF35A9" w:rsidRPr="007A58EA">
        <w:rPr>
          <w:color w:val="000000" w:themeColor="text1"/>
        </w:rPr>
        <w:t xml:space="preserve"> (even if subsequent caselaw might </w:t>
      </w:r>
      <w:r w:rsidR="00FD536C" w:rsidRPr="007A58EA">
        <w:rPr>
          <w:color w:val="000000" w:themeColor="text1"/>
        </w:rPr>
        <w:t xml:space="preserve">in due course </w:t>
      </w:r>
      <w:r w:rsidR="00BF35A9" w:rsidRPr="007A58EA">
        <w:rPr>
          <w:color w:val="000000" w:themeColor="text1"/>
        </w:rPr>
        <w:t xml:space="preserve">lead us to re-evaluate the significance of </w:t>
      </w:r>
      <w:r w:rsidR="00BF35A9" w:rsidRPr="007A58EA">
        <w:rPr>
          <w:i/>
          <w:iCs/>
          <w:color w:val="000000" w:themeColor="text1"/>
        </w:rPr>
        <w:t xml:space="preserve">Berlusconi </w:t>
      </w:r>
      <w:r w:rsidR="00BF35A9" w:rsidRPr="007A58EA">
        <w:rPr>
          <w:color w:val="000000" w:themeColor="text1"/>
        </w:rPr>
        <w:t>with the benefit of hindsight).  T</w:t>
      </w:r>
      <w:r w:rsidRPr="007A58EA">
        <w:rPr>
          <w:color w:val="000000" w:themeColor="text1"/>
        </w:rPr>
        <w:t xml:space="preserve">he </w:t>
      </w:r>
      <w:r w:rsidRPr="007A58EA">
        <w:rPr>
          <w:i/>
          <w:iCs/>
          <w:color w:val="000000" w:themeColor="text1"/>
        </w:rPr>
        <w:t>ratio</w:t>
      </w:r>
      <w:r w:rsidRPr="007A58EA">
        <w:rPr>
          <w:color w:val="000000" w:themeColor="text1"/>
        </w:rPr>
        <w:t xml:space="preserve"> of the case </w:t>
      </w:r>
      <w:r w:rsidR="00E30262" w:rsidRPr="007A58EA">
        <w:rPr>
          <w:color w:val="000000" w:themeColor="text1"/>
        </w:rPr>
        <w:t xml:space="preserve">therefore properly </w:t>
      </w:r>
      <w:r w:rsidRPr="007A58EA">
        <w:rPr>
          <w:color w:val="000000" w:themeColor="text1"/>
        </w:rPr>
        <w:t xml:space="preserve">consists in a direction to the national courts that they should refrain from exercising their ordinary jurisdiction over a particular category of domestic </w:t>
      </w:r>
      <w:r w:rsidR="005A544C" w:rsidRPr="007A58EA">
        <w:rPr>
          <w:color w:val="000000" w:themeColor="text1"/>
        </w:rPr>
        <w:t xml:space="preserve">preparatory </w:t>
      </w:r>
      <w:r w:rsidRPr="007A58EA">
        <w:rPr>
          <w:color w:val="000000" w:themeColor="text1"/>
        </w:rPr>
        <w:t>acts</w:t>
      </w:r>
      <w:r w:rsidR="005A544C" w:rsidRPr="007A58EA">
        <w:rPr>
          <w:color w:val="000000" w:themeColor="text1"/>
        </w:rPr>
        <w:t>, while the Court itself will undertake only an incidental assessment of any defects affecting those acts, during the course and only for the purpose of exercising its own exclusive jurisdiction over the definitive Union measures</w:t>
      </w:r>
      <w:r w:rsidR="00002BF8" w:rsidRPr="007A58EA">
        <w:rPr>
          <w:color w:val="000000" w:themeColor="text1"/>
        </w:rPr>
        <w:t>.</w:t>
      </w:r>
      <w:r w:rsidR="00FD536C" w:rsidRPr="007A58EA">
        <w:rPr>
          <w:rStyle w:val="FootnoteReference"/>
          <w:color w:val="000000" w:themeColor="text1"/>
        </w:rPr>
        <w:footnoteReference w:id="47"/>
      </w:r>
    </w:p>
    <w:p w14:paraId="4B176CA4" w14:textId="4F444B1A" w:rsidR="00002BF8" w:rsidRPr="007A58EA" w:rsidRDefault="005A544C" w:rsidP="007E0CDE">
      <w:pPr>
        <w:ind w:firstLine="720"/>
        <w:jc w:val="both"/>
        <w:rPr>
          <w:color w:val="000000" w:themeColor="text1"/>
        </w:rPr>
      </w:pPr>
      <w:r w:rsidRPr="007A58EA">
        <w:rPr>
          <w:color w:val="000000" w:themeColor="text1"/>
        </w:rPr>
        <w:t>That said,</w:t>
      </w:r>
      <w:r w:rsidR="00EC5D20" w:rsidRPr="007A58EA">
        <w:rPr>
          <w:color w:val="000000" w:themeColor="text1"/>
        </w:rPr>
        <w:t xml:space="preserve"> </w:t>
      </w:r>
      <w:r w:rsidR="00595BC4" w:rsidRPr="007A58EA">
        <w:rPr>
          <w:color w:val="000000" w:themeColor="text1"/>
        </w:rPr>
        <w:t xml:space="preserve">we did not have to wait much longer than </w:t>
      </w:r>
      <w:r w:rsidR="00595BC4" w:rsidRPr="007A58EA">
        <w:rPr>
          <w:i/>
          <w:iCs/>
          <w:color w:val="000000" w:themeColor="text1"/>
        </w:rPr>
        <w:t>Berlusconi</w:t>
      </w:r>
      <w:r w:rsidR="00595BC4" w:rsidRPr="007A58EA">
        <w:rPr>
          <w:color w:val="000000" w:themeColor="text1"/>
        </w:rPr>
        <w:t xml:space="preserve"> </w:t>
      </w:r>
      <w:r w:rsidRPr="007A58EA">
        <w:rPr>
          <w:color w:val="000000" w:themeColor="text1"/>
        </w:rPr>
        <w:t xml:space="preserve">itself </w:t>
      </w:r>
      <w:r w:rsidR="00595BC4" w:rsidRPr="007A58EA">
        <w:rPr>
          <w:color w:val="000000" w:themeColor="text1"/>
        </w:rPr>
        <w:t xml:space="preserve">for the Court </w:t>
      </w:r>
      <w:r w:rsidR="00E30262" w:rsidRPr="007A58EA">
        <w:rPr>
          <w:color w:val="000000" w:themeColor="text1"/>
        </w:rPr>
        <w:t xml:space="preserve">both </w:t>
      </w:r>
      <w:r w:rsidR="00595BC4" w:rsidRPr="007A58EA">
        <w:rPr>
          <w:color w:val="000000" w:themeColor="text1"/>
        </w:rPr>
        <w:t xml:space="preserve">to </w:t>
      </w:r>
      <w:r w:rsidRPr="007A58EA">
        <w:rPr>
          <w:color w:val="000000" w:themeColor="text1"/>
        </w:rPr>
        <w:t xml:space="preserve">stake </w:t>
      </w:r>
      <w:r w:rsidR="00E30262" w:rsidRPr="007A58EA">
        <w:rPr>
          <w:color w:val="000000" w:themeColor="text1"/>
        </w:rPr>
        <w:t xml:space="preserve">the </w:t>
      </w:r>
      <w:r w:rsidR="00002BF8" w:rsidRPr="007A58EA">
        <w:rPr>
          <w:color w:val="000000" w:themeColor="text1"/>
        </w:rPr>
        <w:t xml:space="preserve">more radical </w:t>
      </w:r>
      <w:r w:rsidR="00EC5D20" w:rsidRPr="007A58EA">
        <w:rPr>
          <w:color w:val="000000" w:themeColor="text1"/>
        </w:rPr>
        <w:t xml:space="preserve">assertion of Union jurisdiction directly over </w:t>
      </w:r>
      <w:r w:rsidR="00E30262" w:rsidRPr="007A58EA">
        <w:rPr>
          <w:color w:val="000000" w:themeColor="text1"/>
        </w:rPr>
        <w:t xml:space="preserve">the lawfulness of </w:t>
      </w:r>
      <w:r w:rsidR="00EC5D20" w:rsidRPr="007A58EA">
        <w:rPr>
          <w:color w:val="000000" w:themeColor="text1"/>
        </w:rPr>
        <w:t xml:space="preserve">certain national measures, </w:t>
      </w:r>
      <w:r w:rsidR="00E30262" w:rsidRPr="007A58EA">
        <w:rPr>
          <w:color w:val="000000" w:themeColor="text1"/>
        </w:rPr>
        <w:t xml:space="preserve">and to imply the </w:t>
      </w:r>
      <w:r w:rsidR="00EC5D20" w:rsidRPr="007A58EA">
        <w:rPr>
          <w:color w:val="000000" w:themeColor="text1"/>
        </w:rPr>
        <w:t xml:space="preserve">knock-on consequence that such acts </w:t>
      </w:r>
      <w:r w:rsidR="00E30262" w:rsidRPr="007A58EA">
        <w:rPr>
          <w:color w:val="000000" w:themeColor="text1"/>
        </w:rPr>
        <w:t xml:space="preserve">should </w:t>
      </w:r>
      <w:r w:rsidR="00450371" w:rsidRPr="007A58EA">
        <w:rPr>
          <w:color w:val="000000" w:themeColor="text1"/>
        </w:rPr>
        <w:t xml:space="preserve">indeed </w:t>
      </w:r>
      <w:r w:rsidR="00EC5D20" w:rsidRPr="007A58EA">
        <w:rPr>
          <w:color w:val="000000" w:themeColor="text1"/>
        </w:rPr>
        <w:t>be treated as null and void (not merely disapplied) by the domestic courts</w:t>
      </w:r>
      <w:r w:rsidR="00E30262" w:rsidRPr="007A58EA">
        <w:rPr>
          <w:color w:val="000000" w:themeColor="text1"/>
        </w:rPr>
        <w:t xml:space="preserve">.  In fact, </w:t>
      </w:r>
      <w:r w:rsidR="00EC5D20" w:rsidRPr="007A58EA">
        <w:rPr>
          <w:color w:val="000000" w:themeColor="text1"/>
        </w:rPr>
        <w:t>the Court took precisely those steps</w:t>
      </w:r>
      <w:r w:rsidR="00E30262" w:rsidRPr="007A58EA">
        <w:rPr>
          <w:color w:val="000000" w:themeColor="text1"/>
        </w:rPr>
        <w:t>,</w:t>
      </w:r>
      <w:r w:rsidR="00EC5D20" w:rsidRPr="007A58EA">
        <w:rPr>
          <w:color w:val="000000" w:themeColor="text1"/>
        </w:rPr>
        <w:t xml:space="preserve"> only a matter of months after</w:t>
      </w:r>
      <w:r w:rsidR="00E30262" w:rsidRPr="007A58EA">
        <w:rPr>
          <w:color w:val="000000" w:themeColor="text1"/>
        </w:rPr>
        <w:t>wards,</w:t>
      </w:r>
      <w:r w:rsidR="00EC5D20" w:rsidRPr="007A58EA">
        <w:rPr>
          <w:color w:val="000000" w:themeColor="text1"/>
        </w:rPr>
        <w:t xml:space="preserve"> in the </w:t>
      </w:r>
      <w:r w:rsidR="00EC5D20" w:rsidRPr="007A58EA">
        <w:rPr>
          <w:i/>
          <w:iCs/>
          <w:color w:val="000000" w:themeColor="text1"/>
        </w:rPr>
        <w:t>Rimšēvičs</w:t>
      </w:r>
      <w:r w:rsidR="00EC5D20" w:rsidRPr="007A58EA">
        <w:rPr>
          <w:color w:val="000000" w:themeColor="text1"/>
        </w:rPr>
        <w:t xml:space="preserve"> dispute</w:t>
      </w:r>
      <w:r w:rsidR="00E30262" w:rsidRPr="007A58EA">
        <w:rPr>
          <w:color w:val="000000" w:themeColor="text1"/>
        </w:rPr>
        <w:t>.</w:t>
      </w:r>
    </w:p>
    <w:p w14:paraId="17B64E58" w14:textId="77777777" w:rsidR="00BE6D1E" w:rsidRPr="007A58EA" w:rsidRDefault="00BE6D1E" w:rsidP="00391EA9">
      <w:pPr>
        <w:jc w:val="both"/>
        <w:rPr>
          <w:i/>
          <w:iCs/>
          <w:color w:val="000000" w:themeColor="text1"/>
        </w:rPr>
      </w:pPr>
    </w:p>
    <w:p w14:paraId="553BB765" w14:textId="5BE3EA5B" w:rsidR="00070D26" w:rsidRPr="007A58EA" w:rsidRDefault="008748B2" w:rsidP="00391EA9">
      <w:pPr>
        <w:jc w:val="both"/>
        <w:rPr>
          <w:b/>
          <w:bCs/>
          <w:color w:val="000000" w:themeColor="text1"/>
        </w:rPr>
      </w:pPr>
      <w:r w:rsidRPr="007A58EA">
        <w:rPr>
          <w:b/>
          <w:bCs/>
          <w:color w:val="000000" w:themeColor="text1"/>
        </w:rPr>
        <w:t xml:space="preserve">4.  </w:t>
      </w:r>
      <w:r w:rsidR="00793E79" w:rsidRPr="007A58EA">
        <w:rPr>
          <w:b/>
          <w:bCs/>
          <w:color w:val="000000" w:themeColor="text1"/>
        </w:rPr>
        <w:t xml:space="preserve">Division of </w:t>
      </w:r>
      <w:r w:rsidR="008057C5" w:rsidRPr="007A58EA">
        <w:rPr>
          <w:b/>
          <w:bCs/>
          <w:color w:val="000000" w:themeColor="text1"/>
        </w:rPr>
        <w:t>j</w:t>
      </w:r>
      <w:r w:rsidR="00793E79" w:rsidRPr="007A58EA">
        <w:rPr>
          <w:b/>
          <w:bCs/>
          <w:color w:val="000000" w:themeColor="text1"/>
        </w:rPr>
        <w:t xml:space="preserve">urisdiction between Union and national courts and the </w:t>
      </w:r>
      <w:r w:rsidR="008057C5" w:rsidRPr="007A58EA">
        <w:rPr>
          <w:b/>
          <w:bCs/>
          <w:color w:val="000000" w:themeColor="text1"/>
        </w:rPr>
        <w:t>i</w:t>
      </w:r>
      <w:r w:rsidR="00793E79" w:rsidRPr="007A58EA">
        <w:rPr>
          <w:b/>
          <w:bCs/>
          <w:color w:val="000000" w:themeColor="text1"/>
        </w:rPr>
        <w:t xml:space="preserve">mplications for </w:t>
      </w:r>
      <w:r w:rsidR="008057C5" w:rsidRPr="007A58EA">
        <w:rPr>
          <w:b/>
          <w:bCs/>
          <w:color w:val="000000" w:themeColor="text1"/>
        </w:rPr>
        <w:t>p</w:t>
      </w:r>
      <w:r w:rsidR="00793E79" w:rsidRPr="007A58EA">
        <w:rPr>
          <w:b/>
          <w:bCs/>
          <w:color w:val="000000" w:themeColor="text1"/>
        </w:rPr>
        <w:t xml:space="preserve">rimacy: </w:t>
      </w:r>
      <w:r w:rsidR="00485D27" w:rsidRPr="007A58EA">
        <w:rPr>
          <w:b/>
          <w:bCs/>
          <w:i/>
          <w:iCs/>
          <w:color w:val="000000" w:themeColor="text1"/>
        </w:rPr>
        <w:t>Rimšēvičs</w:t>
      </w:r>
    </w:p>
    <w:p w14:paraId="623F0F38" w14:textId="77777777" w:rsidR="00485D27" w:rsidRPr="007A58EA" w:rsidRDefault="00485D27" w:rsidP="00391EA9">
      <w:pPr>
        <w:jc w:val="both"/>
        <w:rPr>
          <w:color w:val="000000" w:themeColor="text1"/>
        </w:rPr>
      </w:pPr>
    </w:p>
    <w:p w14:paraId="07ED721C" w14:textId="77777777" w:rsidR="007E0CDE" w:rsidRDefault="007E766C" w:rsidP="00391EA9">
      <w:pPr>
        <w:jc w:val="both"/>
        <w:rPr>
          <w:color w:val="000000" w:themeColor="text1"/>
        </w:rPr>
      </w:pPr>
      <w:r w:rsidRPr="007A58EA">
        <w:rPr>
          <w:i/>
          <w:iCs/>
          <w:color w:val="000000" w:themeColor="text1"/>
        </w:rPr>
        <w:t>Rimšēvičs</w:t>
      </w:r>
      <w:r w:rsidRPr="007A58EA">
        <w:rPr>
          <w:color w:val="000000" w:themeColor="text1"/>
        </w:rPr>
        <w:t xml:space="preserve"> </w:t>
      </w:r>
      <w:r w:rsidR="007214F5" w:rsidRPr="007A58EA">
        <w:rPr>
          <w:color w:val="000000" w:themeColor="text1"/>
        </w:rPr>
        <w:t xml:space="preserve">also concerned </w:t>
      </w:r>
      <w:r w:rsidR="00FF6F20" w:rsidRPr="007A58EA">
        <w:rPr>
          <w:color w:val="000000" w:themeColor="text1"/>
        </w:rPr>
        <w:t xml:space="preserve">the </w:t>
      </w:r>
      <w:r w:rsidR="007214F5" w:rsidRPr="007A58EA">
        <w:rPr>
          <w:color w:val="000000" w:themeColor="text1"/>
        </w:rPr>
        <w:t xml:space="preserve">division of jurisdiction between </w:t>
      </w:r>
      <w:r w:rsidR="00FF6F20" w:rsidRPr="007A58EA">
        <w:rPr>
          <w:color w:val="000000" w:themeColor="text1"/>
        </w:rPr>
        <w:t xml:space="preserve">the Union </w:t>
      </w:r>
      <w:r w:rsidR="007214F5" w:rsidRPr="007A58EA">
        <w:rPr>
          <w:color w:val="000000" w:themeColor="text1"/>
        </w:rPr>
        <w:t xml:space="preserve">and national courts.  </w:t>
      </w:r>
      <w:r w:rsidR="0069437C" w:rsidRPr="007A58EA">
        <w:rPr>
          <w:color w:val="000000" w:themeColor="text1"/>
        </w:rPr>
        <w:t>This time, however, the Court is</w:t>
      </w:r>
      <w:r w:rsidR="0069437C" w:rsidRPr="007A58EA">
        <w:rPr>
          <w:i/>
          <w:iCs/>
          <w:color w:val="000000" w:themeColor="text1"/>
        </w:rPr>
        <w:t xml:space="preserve"> </w:t>
      </w:r>
      <w:r w:rsidR="0069437C" w:rsidRPr="007A58EA">
        <w:rPr>
          <w:color w:val="000000" w:themeColor="text1"/>
        </w:rPr>
        <w:t xml:space="preserve">far more explicit </w:t>
      </w:r>
      <w:r w:rsidR="00793E79" w:rsidRPr="007A58EA">
        <w:rPr>
          <w:color w:val="000000" w:themeColor="text1"/>
        </w:rPr>
        <w:t xml:space="preserve">than </w:t>
      </w:r>
      <w:r w:rsidR="0069437C" w:rsidRPr="007A58EA">
        <w:rPr>
          <w:color w:val="000000" w:themeColor="text1"/>
        </w:rPr>
        <w:t xml:space="preserve">in </w:t>
      </w:r>
      <w:r w:rsidR="00793E79" w:rsidRPr="007A58EA">
        <w:rPr>
          <w:i/>
          <w:iCs/>
          <w:color w:val="000000" w:themeColor="text1"/>
        </w:rPr>
        <w:t>Berlusconi</w:t>
      </w:r>
      <w:r w:rsidR="00793E79" w:rsidRPr="007A58EA">
        <w:rPr>
          <w:color w:val="000000" w:themeColor="text1"/>
        </w:rPr>
        <w:t xml:space="preserve"> </w:t>
      </w:r>
      <w:r w:rsidR="0069437C" w:rsidRPr="007A58EA">
        <w:rPr>
          <w:color w:val="000000" w:themeColor="text1"/>
        </w:rPr>
        <w:t xml:space="preserve">about the </w:t>
      </w:r>
      <w:r w:rsidR="0016082D" w:rsidRPr="007A58EA">
        <w:rPr>
          <w:color w:val="000000" w:themeColor="text1"/>
        </w:rPr>
        <w:t xml:space="preserve">nature </w:t>
      </w:r>
      <w:r w:rsidR="0069437C" w:rsidRPr="007A58EA">
        <w:rPr>
          <w:color w:val="000000" w:themeColor="text1"/>
        </w:rPr>
        <w:t xml:space="preserve">and extent of its jurisdictional shift; while </w:t>
      </w:r>
      <w:r w:rsidR="0069437C" w:rsidRPr="007A58EA">
        <w:rPr>
          <w:i/>
          <w:iCs/>
          <w:color w:val="000000" w:themeColor="text1"/>
        </w:rPr>
        <w:t>Rimšēvičs</w:t>
      </w:r>
      <w:r w:rsidR="0069437C" w:rsidRPr="007A58EA">
        <w:rPr>
          <w:color w:val="000000" w:themeColor="text1"/>
        </w:rPr>
        <w:t xml:space="preserve"> is also more significant when it comes to </w:t>
      </w:r>
      <w:r w:rsidR="00FF6F20" w:rsidRPr="007A58EA">
        <w:rPr>
          <w:color w:val="000000" w:themeColor="text1"/>
        </w:rPr>
        <w:t xml:space="preserve">the </w:t>
      </w:r>
      <w:r w:rsidR="0069437C" w:rsidRPr="007A58EA">
        <w:rPr>
          <w:color w:val="000000" w:themeColor="text1"/>
        </w:rPr>
        <w:t xml:space="preserve">knock-on consequences of </w:t>
      </w:r>
      <w:r w:rsidR="0016082D" w:rsidRPr="007A58EA">
        <w:rPr>
          <w:color w:val="000000" w:themeColor="text1"/>
        </w:rPr>
        <w:t xml:space="preserve">the Court’s jurisdiction for the obligations of the national courts pursuant to the </w:t>
      </w:r>
      <w:r w:rsidR="00FF6F20" w:rsidRPr="007A58EA">
        <w:rPr>
          <w:color w:val="000000" w:themeColor="text1"/>
        </w:rPr>
        <w:t xml:space="preserve">principle of </w:t>
      </w:r>
      <w:r w:rsidR="007214F5" w:rsidRPr="007A58EA">
        <w:rPr>
          <w:color w:val="000000" w:themeColor="text1"/>
        </w:rPr>
        <w:t>primacy</w:t>
      </w:r>
      <w:r w:rsidR="0069437C" w:rsidRPr="007A58EA">
        <w:rPr>
          <w:color w:val="000000" w:themeColor="text1"/>
        </w:rPr>
        <w:t xml:space="preserve">.  Though it must </w:t>
      </w:r>
      <w:r w:rsidR="0016082D" w:rsidRPr="007A58EA">
        <w:rPr>
          <w:color w:val="000000" w:themeColor="text1"/>
        </w:rPr>
        <w:t xml:space="preserve">also </w:t>
      </w:r>
      <w:r w:rsidR="0069437C" w:rsidRPr="007A58EA">
        <w:rPr>
          <w:color w:val="000000" w:themeColor="text1"/>
        </w:rPr>
        <w:t>be stressed: in practice</w:t>
      </w:r>
      <w:r w:rsidR="007214F5" w:rsidRPr="007A58EA">
        <w:rPr>
          <w:color w:val="000000" w:themeColor="text1"/>
        </w:rPr>
        <w:t xml:space="preserve">, </w:t>
      </w:r>
      <w:r w:rsidR="00FF6F20" w:rsidRPr="007A58EA">
        <w:rPr>
          <w:i/>
          <w:iCs/>
          <w:color w:val="000000" w:themeColor="text1"/>
        </w:rPr>
        <w:t>Rimšēvičs</w:t>
      </w:r>
      <w:r w:rsidR="00FF6F20" w:rsidRPr="007A58EA">
        <w:rPr>
          <w:color w:val="000000" w:themeColor="text1"/>
        </w:rPr>
        <w:t xml:space="preserve"> </w:t>
      </w:r>
      <w:r w:rsidR="007214F5" w:rsidRPr="007A58EA">
        <w:rPr>
          <w:color w:val="000000" w:themeColor="text1"/>
        </w:rPr>
        <w:t xml:space="preserve">involved </w:t>
      </w:r>
      <w:r w:rsidR="007214F5" w:rsidRPr="007A58EA">
        <w:rPr>
          <w:color w:val="000000" w:themeColor="text1"/>
        </w:rPr>
        <w:lastRenderedPageBreak/>
        <w:t>such a specific and exceptional situation that its relevance</w:t>
      </w:r>
      <w:r w:rsidR="00FF6F20" w:rsidRPr="007A58EA">
        <w:rPr>
          <w:color w:val="000000" w:themeColor="text1"/>
        </w:rPr>
        <w:t xml:space="preserve"> (</w:t>
      </w:r>
      <w:r w:rsidR="007214F5" w:rsidRPr="007A58EA">
        <w:rPr>
          <w:color w:val="000000" w:themeColor="text1"/>
        </w:rPr>
        <w:t>however direct</w:t>
      </w:r>
      <w:r w:rsidR="00FF6F20" w:rsidRPr="007A58EA">
        <w:rPr>
          <w:color w:val="000000" w:themeColor="text1"/>
        </w:rPr>
        <w:t>)</w:t>
      </w:r>
      <w:r w:rsidR="007214F5" w:rsidRPr="007A58EA">
        <w:rPr>
          <w:color w:val="000000" w:themeColor="text1"/>
        </w:rPr>
        <w:t xml:space="preserve"> is also very limited</w:t>
      </w:r>
      <w:r w:rsidR="00FF6F20" w:rsidRPr="007A58EA">
        <w:rPr>
          <w:color w:val="000000" w:themeColor="text1"/>
        </w:rPr>
        <w:t xml:space="preserve"> and the ruling </w:t>
      </w:r>
      <w:r w:rsidR="00450371" w:rsidRPr="007A58EA">
        <w:rPr>
          <w:color w:val="000000" w:themeColor="text1"/>
        </w:rPr>
        <w:t>appears</w:t>
      </w:r>
      <w:r w:rsidR="00FF6F20" w:rsidRPr="007A58EA">
        <w:rPr>
          <w:color w:val="000000" w:themeColor="text1"/>
        </w:rPr>
        <w:t xml:space="preserve"> difficult to generalise into any broader doctrinal change</w:t>
      </w:r>
      <w:r w:rsidR="007214F5" w:rsidRPr="007A58EA">
        <w:rPr>
          <w:color w:val="000000" w:themeColor="text1"/>
        </w:rPr>
        <w:t>.</w:t>
      </w:r>
    </w:p>
    <w:p w14:paraId="64FC2694" w14:textId="5EB09369" w:rsidR="007E0CDE" w:rsidRDefault="00FF6F20" w:rsidP="007E0CDE">
      <w:pPr>
        <w:ind w:firstLine="720"/>
        <w:jc w:val="both"/>
        <w:rPr>
          <w:color w:val="000000" w:themeColor="text1"/>
        </w:rPr>
      </w:pPr>
      <w:r w:rsidRPr="007A58EA">
        <w:rPr>
          <w:color w:val="000000" w:themeColor="text1"/>
        </w:rPr>
        <w:t>The d</w:t>
      </w:r>
      <w:r w:rsidR="007958DF" w:rsidRPr="007A58EA">
        <w:rPr>
          <w:color w:val="000000" w:themeColor="text1"/>
        </w:rPr>
        <w:t xml:space="preserve">efining characteristic of </w:t>
      </w:r>
      <w:r w:rsidRPr="007A58EA">
        <w:rPr>
          <w:i/>
          <w:iCs/>
          <w:color w:val="000000" w:themeColor="text1"/>
        </w:rPr>
        <w:t>Rimšēvičs</w:t>
      </w:r>
      <w:r w:rsidRPr="007A58EA">
        <w:rPr>
          <w:color w:val="000000" w:themeColor="text1"/>
        </w:rPr>
        <w:t xml:space="preserve"> is </w:t>
      </w:r>
      <w:r w:rsidR="007958DF" w:rsidRPr="007A58EA">
        <w:rPr>
          <w:color w:val="000000" w:themeColor="text1"/>
        </w:rPr>
        <w:t>that Union prima</w:t>
      </w:r>
      <w:r w:rsidR="008057C5" w:rsidRPr="007A58EA">
        <w:rPr>
          <w:color w:val="000000" w:themeColor="text1"/>
        </w:rPr>
        <w:t>r</w:t>
      </w:r>
      <w:r w:rsidR="007958DF" w:rsidRPr="007A58EA">
        <w:rPr>
          <w:color w:val="000000" w:themeColor="text1"/>
        </w:rPr>
        <w:t xml:space="preserve">y law </w:t>
      </w:r>
      <w:r w:rsidR="004B37BD" w:rsidRPr="007A58EA">
        <w:rPr>
          <w:color w:val="000000" w:themeColor="text1"/>
        </w:rPr>
        <w:t xml:space="preserve">itself created </w:t>
      </w:r>
      <w:r w:rsidRPr="007A58EA">
        <w:rPr>
          <w:color w:val="000000" w:themeColor="text1"/>
        </w:rPr>
        <w:t xml:space="preserve">a direct </w:t>
      </w:r>
      <w:r w:rsidR="004B37BD" w:rsidRPr="007A58EA">
        <w:rPr>
          <w:color w:val="000000" w:themeColor="text1"/>
        </w:rPr>
        <w:t xml:space="preserve">exception to </w:t>
      </w:r>
      <w:r w:rsidRPr="007A58EA">
        <w:rPr>
          <w:color w:val="000000" w:themeColor="text1"/>
        </w:rPr>
        <w:t xml:space="preserve">the </w:t>
      </w:r>
      <w:r w:rsidR="004B37BD" w:rsidRPr="007A58EA">
        <w:rPr>
          <w:color w:val="000000" w:themeColor="text1"/>
        </w:rPr>
        <w:t xml:space="preserve">normal division of jurisdiction between </w:t>
      </w:r>
      <w:r w:rsidRPr="007A58EA">
        <w:rPr>
          <w:color w:val="000000" w:themeColor="text1"/>
        </w:rPr>
        <w:t xml:space="preserve">the </w:t>
      </w:r>
      <w:r w:rsidR="004B37BD" w:rsidRPr="007A58EA">
        <w:rPr>
          <w:color w:val="000000" w:themeColor="text1"/>
        </w:rPr>
        <w:t xml:space="preserve">Union and national courts, by </w:t>
      </w:r>
      <w:r w:rsidR="007958DF" w:rsidRPr="007A58EA">
        <w:rPr>
          <w:color w:val="000000" w:themeColor="text1"/>
        </w:rPr>
        <w:t>explicitly conferr</w:t>
      </w:r>
      <w:r w:rsidR="004B37BD" w:rsidRPr="007A58EA">
        <w:rPr>
          <w:color w:val="000000" w:themeColor="text1"/>
        </w:rPr>
        <w:t>ing</w:t>
      </w:r>
      <w:r w:rsidR="007958DF" w:rsidRPr="007A58EA">
        <w:rPr>
          <w:color w:val="000000" w:themeColor="text1"/>
        </w:rPr>
        <w:t xml:space="preserve"> </w:t>
      </w:r>
      <w:r w:rsidR="004B37BD" w:rsidRPr="007A58EA">
        <w:rPr>
          <w:color w:val="000000" w:themeColor="text1"/>
        </w:rPr>
        <w:t xml:space="preserve">power </w:t>
      </w:r>
      <w:r w:rsidRPr="007A58EA">
        <w:rPr>
          <w:color w:val="000000" w:themeColor="text1"/>
        </w:rPr>
        <w:t xml:space="preserve">upon the </w:t>
      </w:r>
      <w:r w:rsidR="004B37BD" w:rsidRPr="007A58EA">
        <w:rPr>
          <w:color w:val="000000" w:themeColor="text1"/>
        </w:rPr>
        <w:t xml:space="preserve">ECJ to examine and rule on </w:t>
      </w:r>
      <w:r w:rsidRPr="007A58EA">
        <w:rPr>
          <w:color w:val="000000" w:themeColor="text1"/>
        </w:rPr>
        <w:t xml:space="preserve">the </w:t>
      </w:r>
      <w:r w:rsidR="004B37BD" w:rsidRPr="007A58EA">
        <w:rPr>
          <w:color w:val="000000" w:themeColor="text1"/>
        </w:rPr>
        <w:t xml:space="preserve">legality of </w:t>
      </w:r>
      <w:r w:rsidRPr="007A58EA">
        <w:rPr>
          <w:color w:val="000000" w:themeColor="text1"/>
        </w:rPr>
        <w:t xml:space="preserve">a </w:t>
      </w:r>
      <w:r w:rsidR="004B37BD" w:rsidRPr="007A58EA">
        <w:rPr>
          <w:color w:val="000000" w:themeColor="text1"/>
        </w:rPr>
        <w:t xml:space="preserve">specific category of national act.  In particular: </w:t>
      </w:r>
      <w:r w:rsidR="00E65DB6" w:rsidRPr="007A58EA">
        <w:rPr>
          <w:color w:val="000000" w:themeColor="text1"/>
        </w:rPr>
        <w:t xml:space="preserve">as well as </w:t>
      </w:r>
      <w:r w:rsidR="008057C5" w:rsidRPr="007A58EA">
        <w:rPr>
          <w:color w:val="000000" w:themeColor="text1"/>
        </w:rPr>
        <w:t>requiring</w:t>
      </w:r>
      <w:r w:rsidR="00E65DB6" w:rsidRPr="007A58EA">
        <w:rPr>
          <w:color w:val="000000" w:themeColor="text1"/>
        </w:rPr>
        <w:t xml:space="preserve"> that the statute of each national central bank should provide that its Governor holds office </w:t>
      </w:r>
      <w:r w:rsidR="004B37BD" w:rsidRPr="007A58EA">
        <w:rPr>
          <w:color w:val="000000" w:themeColor="text1"/>
        </w:rPr>
        <w:t xml:space="preserve">for </w:t>
      </w:r>
      <w:r w:rsidR="00E65DB6" w:rsidRPr="007A58EA">
        <w:rPr>
          <w:color w:val="000000" w:themeColor="text1"/>
        </w:rPr>
        <w:t>at least five years,</w:t>
      </w:r>
      <w:r w:rsidR="004B37BD" w:rsidRPr="007A58EA">
        <w:rPr>
          <w:color w:val="000000" w:themeColor="text1"/>
        </w:rPr>
        <w:t xml:space="preserve"> and may be removed from post </w:t>
      </w:r>
      <w:r w:rsidR="00E65DB6" w:rsidRPr="007A58EA">
        <w:rPr>
          <w:color w:val="000000" w:themeColor="text1"/>
        </w:rPr>
        <w:t xml:space="preserve">only if he / she no longer fulfils the conditions for performance of their duties or has been guilty of serious misconduct, Article 14 of Protocol No 4 on the Statute of the ESCB and of the ECB provides that </w:t>
      </w:r>
      <w:r w:rsidR="0057674A" w:rsidRPr="007A58EA">
        <w:rPr>
          <w:color w:val="000000" w:themeColor="text1"/>
        </w:rPr>
        <w:t>a removal decision may be referred to the ECJ, either by the Governor concerned or by the Governing Council of the ECB</w:t>
      </w:r>
      <w:r w:rsidR="004B37BD" w:rsidRPr="007A58EA">
        <w:rPr>
          <w:color w:val="000000" w:themeColor="text1"/>
        </w:rPr>
        <w:t>, on grounds</w:t>
      </w:r>
      <w:r w:rsidR="0057674A" w:rsidRPr="007A58EA">
        <w:rPr>
          <w:color w:val="000000" w:themeColor="text1"/>
        </w:rPr>
        <w:t xml:space="preserve"> of infringement of the Treaties or of any rule of law relating to their application, provided such proceedings are instituted within a two</w:t>
      </w:r>
      <w:r w:rsidR="004B61DF">
        <w:rPr>
          <w:color w:val="000000" w:themeColor="text1"/>
        </w:rPr>
        <w:t>-</w:t>
      </w:r>
      <w:r w:rsidR="004B37BD" w:rsidRPr="007A58EA">
        <w:rPr>
          <w:color w:val="000000" w:themeColor="text1"/>
        </w:rPr>
        <w:t xml:space="preserve">month limitation period.  </w:t>
      </w:r>
    </w:p>
    <w:p w14:paraId="7B2EB166" w14:textId="77777777" w:rsidR="007E0CDE" w:rsidRDefault="0057674A" w:rsidP="007E0CDE">
      <w:pPr>
        <w:ind w:firstLine="720"/>
        <w:jc w:val="both"/>
        <w:rPr>
          <w:color w:val="000000" w:themeColor="text1"/>
        </w:rPr>
      </w:pPr>
      <w:r w:rsidRPr="007A58EA">
        <w:rPr>
          <w:color w:val="000000" w:themeColor="text1"/>
        </w:rPr>
        <w:t xml:space="preserve">In </w:t>
      </w:r>
      <w:r w:rsidRPr="007A58EA">
        <w:rPr>
          <w:i/>
          <w:iCs/>
          <w:color w:val="000000" w:themeColor="text1"/>
        </w:rPr>
        <w:t>Rimšēvičs</w:t>
      </w:r>
      <w:r w:rsidRPr="007A58EA">
        <w:rPr>
          <w:color w:val="000000" w:themeColor="text1"/>
        </w:rPr>
        <w:t xml:space="preserve">, the Court </w:t>
      </w:r>
      <w:r w:rsidR="002F53A9" w:rsidRPr="007A58EA">
        <w:rPr>
          <w:color w:val="000000" w:themeColor="text1"/>
        </w:rPr>
        <w:t xml:space="preserve">confirmed that </w:t>
      </w:r>
      <w:r w:rsidRPr="007A58EA">
        <w:rPr>
          <w:color w:val="000000" w:themeColor="text1"/>
        </w:rPr>
        <w:t xml:space="preserve">its </w:t>
      </w:r>
      <w:r w:rsidR="002F53A9" w:rsidRPr="007A58EA">
        <w:rPr>
          <w:color w:val="000000" w:themeColor="text1"/>
        </w:rPr>
        <w:t xml:space="preserve">powers </w:t>
      </w:r>
      <w:r w:rsidRPr="007A58EA">
        <w:rPr>
          <w:color w:val="000000" w:themeColor="text1"/>
        </w:rPr>
        <w:t xml:space="preserve">under Article 14 of Protocol No 4 </w:t>
      </w:r>
      <w:r w:rsidR="002F53A9" w:rsidRPr="007A58EA">
        <w:rPr>
          <w:color w:val="000000" w:themeColor="text1"/>
        </w:rPr>
        <w:t xml:space="preserve">cover not only permanent / definitive but also temporary / provisional removal decisions.  </w:t>
      </w:r>
      <w:r w:rsidR="00FA64EF" w:rsidRPr="007A58EA">
        <w:rPr>
          <w:color w:val="000000" w:themeColor="text1"/>
        </w:rPr>
        <w:t xml:space="preserve">But in addition, the Court also </w:t>
      </w:r>
      <w:r w:rsidR="002F53A9" w:rsidRPr="007A58EA">
        <w:rPr>
          <w:color w:val="000000" w:themeColor="text1"/>
        </w:rPr>
        <w:t xml:space="preserve">held that </w:t>
      </w:r>
      <w:r w:rsidR="00FA64EF" w:rsidRPr="007A58EA">
        <w:rPr>
          <w:color w:val="000000" w:themeColor="text1"/>
        </w:rPr>
        <w:t xml:space="preserve">its </w:t>
      </w:r>
      <w:r w:rsidR="00B61934" w:rsidRPr="007A58EA">
        <w:rPr>
          <w:color w:val="000000" w:themeColor="text1"/>
        </w:rPr>
        <w:t xml:space="preserve">powers </w:t>
      </w:r>
      <w:r w:rsidR="00FA64EF" w:rsidRPr="007A58EA">
        <w:rPr>
          <w:color w:val="000000" w:themeColor="text1"/>
        </w:rPr>
        <w:t xml:space="preserve">under Article 14 of Protocol No 4 </w:t>
      </w:r>
      <w:r w:rsidR="00B61934" w:rsidRPr="007A58EA">
        <w:rPr>
          <w:color w:val="000000" w:themeColor="text1"/>
        </w:rPr>
        <w:t xml:space="preserve">are </w:t>
      </w:r>
      <w:r w:rsidR="002F53A9" w:rsidRPr="007A58EA">
        <w:rPr>
          <w:color w:val="000000" w:themeColor="text1"/>
        </w:rPr>
        <w:t xml:space="preserve">not to be equated with </w:t>
      </w:r>
      <w:r w:rsidR="00B61934" w:rsidRPr="007A58EA">
        <w:rPr>
          <w:color w:val="000000" w:themeColor="text1"/>
        </w:rPr>
        <w:t xml:space="preserve">those in enforcement proceedings against </w:t>
      </w:r>
      <w:r w:rsidR="00FA64EF" w:rsidRPr="007A58EA">
        <w:rPr>
          <w:color w:val="000000" w:themeColor="text1"/>
        </w:rPr>
        <w:t xml:space="preserve">the </w:t>
      </w:r>
      <w:r w:rsidR="00B61934" w:rsidRPr="007A58EA">
        <w:rPr>
          <w:color w:val="000000" w:themeColor="text1"/>
        </w:rPr>
        <w:t xml:space="preserve">Member State, </w:t>
      </w:r>
      <w:r w:rsidR="00942B12" w:rsidRPr="007A58EA">
        <w:rPr>
          <w:color w:val="000000" w:themeColor="text1"/>
        </w:rPr>
        <w:t>where</w:t>
      </w:r>
      <w:r w:rsidR="00FA64EF" w:rsidRPr="007A58EA">
        <w:rPr>
          <w:color w:val="000000" w:themeColor="text1"/>
        </w:rPr>
        <w:t xml:space="preserve"> the Court </w:t>
      </w:r>
      <w:r w:rsidR="00B61934" w:rsidRPr="007A58EA">
        <w:rPr>
          <w:color w:val="000000" w:themeColor="text1"/>
        </w:rPr>
        <w:t>issu</w:t>
      </w:r>
      <w:r w:rsidR="00942B12" w:rsidRPr="007A58EA">
        <w:rPr>
          <w:color w:val="000000" w:themeColor="text1"/>
        </w:rPr>
        <w:t>es</w:t>
      </w:r>
      <w:r w:rsidR="00B61934" w:rsidRPr="007A58EA">
        <w:rPr>
          <w:color w:val="000000" w:themeColor="text1"/>
        </w:rPr>
        <w:t xml:space="preserve"> </w:t>
      </w:r>
      <w:r w:rsidR="00FA64EF" w:rsidRPr="007A58EA">
        <w:rPr>
          <w:color w:val="000000" w:themeColor="text1"/>
        </w:rPr>
        <w:t xml:space="preserve">a </w:t>
      </w:r>
      <w:r w:rsidR="00B61934" w:rsidRPr="007A58EA">
        <w:rPr>
          <w:color w:val="000000" w:themeColor="text1"/>
        </w:rPr>
        <w:t xml:space="preserve">declaratory judgment that </w:t>
      </w:r>
      <w:r w:rsidR="00FA64EF" w:rsidRPr="007A58EA">
        <w:rPr>
          <w:color w:val="000000" w:themeColor="text1"/>
        </w:rPr>
        <w:t xml:space="preserve">obliges the </w:t>
      </w:r>
      <w:r w:rsidR="00B61934" w:rsidRPr="007A58EA">
        <w:rPr>
          <w:color w:val="000000" w:themeColor="text1"/>
        </w:rPr>
        <w:t xml:space="preserve">national authorities to take </w:t>
      </w:r>
      <w:r w:rsidR="00FA64EF" w:rsidRPr="007A58EA">
        <w:rPr>
          <w:color w:val="000000" w:themeColor="text1"/>
        </w:rPr>
        <w:t xml:space="preserve">all </w:t>
      </w:r>
      <w:r w:rsidR="00B61934" w:rsidRPr="007A58EA">
        <w:rPr>
          <w:color w:val="000000" w:themeColor="text1"/>
        </w:rPr>
        <w:t>necessary steps</w:t>
      </w:r>
      <w:r w:rsidR="00FA64EF" w:rsidRPr="007A58EA">
        <w:rPr>
          <w:color w:val="000000" w:themeColor="text1"/>
        </w:rPr>
        <w:t>,</w:t>
      </w:r>
      <w:r w:rsidR="00B61934" w:rsidRPr="007A58EA">
        <w:rPr>
          <w:color w:val="000000" w:themeColor="text1"/>
        </w:rPr>
        <w:t xml:space="preserve"> </w:t>
      </w:r>
      <w:r w:rsidR="00FA64EF" w:rsidRPr="007A58EA">
        <w:rPr>
          <w:color w:val="000000" w:themeColor="text1"/>
        </w:rPr>
        <w:t xml:space="preserve">within their domestic legal order, </w:t>
      </w:r>
      <w:r w:rsidR="00B61934" w:rsidRPr="007A58EA">
        <w:rPr>
          <w:color w:val="000000" w:themeColor="text1"/>
        </w:rPr>
        <w:t xml:space="preserve">to rectify </w:t>
      </w:r>
      <w:r w:rsidR="00FA64EF" w:rsidRPr="007A58EA">
        <w:rPr>
          <w:color w:val="000000" w:themeColor="text1"/>
        </w:rPr>
        <w:t xml:space="preserve">the finding of </w:t>
      </w:r>
      <w:r w:rsidR="00B61934" w:rsidRPr="007A58EA">
        <w:rPr>
          <w:color w:val="000000" w:themeColor="text1"/>
        </w:rPr>
        <w:t xml:space="preserve">incompatibility.  Instead, </w:t>
      </w:r>
      <w:r w:rsidR="00FA64EF" w:rsidRPr="007A58EA">
        <w:rPr>
          <w:color w:val="000000" w:themeColor="text1"/>
        </w:rPr>
        <w:t xml:space="preserve">the </w:t>
      </w:r>
      <w:r w:rsidR="00B61934" w:rsidRPr="007A58EA">
        <w:rPr>
          <w:color w:val="000000" w:themeColor="text1"/>
        </w:rPr>
        <w:t xml:space="preserve">Court’s powers </w:t>
      </w:r>
      <w:r w:rsidR="00FA64EF" w:rsidRPr="007A58EA">
        <w:rPr>
          <w:color w:val="000000" w:themeColor="text1"/>
        </w:rPr>
        <w:t xml:space="preserve">under Article 14 of Protocol No 4 </w:t>
      </w:r>
      <w:r w:rsidR="00B61934" w:rsidRPr="007A58EA">
        <w:rPr>
          <w:color w:val="000000" w:themeColor="text1"/>
        </w:rPr>
        <w:t xml:space="preserve">are equivalent to those in annulment actions </w:t>
      </w:r>
      <w:r w:rsidR="00FA64EF" w:rsidRPr="007A58EA">
        <w:rPr>
          <w:color w:val="000000" w:themeColor="text1"/>
        </w:rPr>
        <w:t xml:space="preserve">brought </w:t>
      </w:r>
      <w:r w:rsidR="00B61934" w:rsidRPr="007A58EA">
        <w:rPr>
          <w:color w:val="000000" w:themeColor="text1"/>
        </w:rPr>
        <w:t xml:space="preserve">against </w:t>
      </w:r>
      <w:r w:rsidR="00FA64EF" w:rsidRPr="007A58EA">
        <w:rPr>
          <w:color w:val="000000" w:themeColor="text1"/>
        </w:rPr>
        <w:t xml:space="preserve">the </w:t>
      </w:r>
      <w:r w:rsidR="00B61934" w:rsidRPr="007A58EA">
        <w:rPr>
          <w:color w:val="000000" w:themeColor="text1"/>
        </w:rPr>
        <w:t>Union institutions</w:t>
      </w:r>
      <w:r w:rsidR="00FA64EF" w:rsidRPr="007A58EA">
        <w:rPr>
          <w:color w:val="000000" w:themeColor="text1"/>
        </w:rPr>
        <w:t xml:space="preserve">: the </w:t>
      </w:r>
      <w:r w:rsidR="00B61934" w:rsidRPr="007A58EA">
        <w:rPr>
          <w:color w:val="000000" w:themeColor="text1"/>
        </w:rPr>
        <w:t xml:space="preserve">Treaties </w:t>
      </w:r>
      <w:r w:rsidR="00FA64EF" w:rsidRPr="007A58EA">
        <w:rPr>
          <w:color w:val="000000" w:themeColor="text1"/>
        </w:rPr>
        <w:t xml:space="preserve">have </w:t>
      </w:r>
      <w:r w:rsidR="00B61934" w:rsidRPr="007A58EA">
        <w:rPr>
          <w:color w:val="000000" w:themeColor="text1"/>
        </w:rPr>
        <w:t>confer</w:t>
      </w:r>
      <w:r w:rsidR="00FA64EF" w:rsidRPr="007A58EA">
        <w:rPr>
          <w:color w:val="000000" w:themeColor="text1"/>
        </w:rPr>
        <w:t>red</w:t>
      </w:r>
      <w:r w:rsidR="00B61934" w:rsidRPr="007A58EA">
        <w:rPr>
          <w:color w:val="000000" w:themeColor="text1"/>
        </w:rPr>
        <w:t xml:space="preserve"> </w:t>
      </w:r>
      <w:r w:rsidR="00FA64EF" w:rsidRPr="007A58EA">
        <w:rPr>
          <w:color w:val="000000" w:themeColor="text1"/>
        </w:rPr>
        <w:t>up</w:t>
      </w:r>
      <w:r w:rsidR="00B61934" w:rsidRPr="007A58EA">
        <w:rPr>
          <w:color w:val="000000" w:themeColor="text1"/>
        </w:rPr>
        <w:t xml:space="preserve">on </w:t>
      </w:r>
      <w:r w:rsidR="00FA64EF" w:rsidRPr="007A58EA">
        <w:rPr>
          <w:color w:val="000000" w:themeColor="text1"/>
        </w:rPr>
        <w:t xml:space="preserve">the Court a </w:t>
      </w:r>
      <w:r w:rsidR="00B61934" w:rsidRPr="007A58EA">
        <w:rPr>
          <w:color w:val="000000" w:themeColor="text1"/>
        </w:rPr>
        <w:t xml:space="preserve">power directly to quash </w:t>
      </w:r>
      <w:r w:rsidR="00FA64EF" w:rsidRPr="007A58EA">
        <w:rPr>
          <w:color w:val="000000" w:themeColor="text1"/>
        </w:rPr>
        <w:t xml:space="preserve">any disputed </w:t>
      </w:r>
      <w:r w:rsidR="00B61934" w:rsidRPr="007A58EA">
        <w:rPr>
          <w:color w:val="000000" w:themeColor="text1"/>
        </w:rPr>
        <w:t xml:space="preserve">national </w:t>
      </w:r>
      <w:r w:rsidR="00FA64EF" w:rsidRPr="007A58EA">
        <w:rPr>
          <w:color w:val="000000" w:themeColor="text1"/>
        </w:rPr>
        <w:t>removal decision,</w:t>
      </w:r>
      <w:r w:rsidR="00B61934" w:rsidRPr="007A58EA">
        <w:rPr>
          <w:color w:val="000000" w:themeColor="text1"/>
        </w:rPr>
        <w:t xml:space="preserve"> if </w:t>
      </w:r>
      <w:r w:rsidR="00FA64EF" w:rsidRPr="007A58EA">
        <w:rPr>
          <w:color w:val="000000" w:themeColor="text1"/>
        </w:rPr>
        <w:t xml:space="preserve">the </w:t>
      </w:r>
      <w:r w:rsidR="00B61934" w:rsidRPr="007A58EA">
        <w:rPr>
          <w:color w:val="000000" w:themeColor="text1"/>
        </w:rPr>
        <w:t>latter fails to comply with the conditions specified in Union prima</w:t>
      </w:r>
      <w:r w:rsidR="002F53A9" w:rsidRPr="007A58EA">
        <w:rPr>
          <w:color w:val="000000" w:themeColor="text1"/>
        </w:rPr>
        <w:t>r</w:t>
      </w:r>
      <w:r w:rsidR="00B61934" w:rsidRPr="007A58EA">
        <w:rPr>
          <w:color w:val="000000" w:themeColor="text1"/>
        </w:rPr>
        <w:t>y law.</w:t>
      </w:r>
      <w:r w:rsidR="00DF6D70" w:rsidRPr="007A58EA">
        <w:rPr>
          <w:rStyle w:val="FootnoteReference"/>
          <w:color w:val="000000" w:themeColor="text1"/>
        </w:rPr>
        <w:footnoteReference w:id="48"/>
      </w:r>
    </w:p>
    <w:p w14:paraId="465ED170" w14:textId="1C27D7DB" w:rsidR="007E0CDE" w:rsidRDefault="004B37BD" w:rsidP="007E0CDE">
      <w:pPr>
        <w:ind w:firstLine="720"/>
        <w:jc w:val="both"/>
        <w:rPr>
          <w:color w:val="000000" w:themeColor="text1"/>
        </w:rPr>
      </w:pPr>
      <w:r w:rsidRPr="007A58EA">
        <w:rPr>
          <w:color w:val="000000" w:themeColor="text1"/>
        </w:rPr>
        <w:t xml:space="preserve">As </w:t>
      </w:r>
      <w:r w:rsidR="00FA64EF" w:rsidRPr="007A58EA">
        <w:rPr>
          <w:color w:val="000000" w:themeColor="text1"/>
        </w:rPr>
        <w:t xml:space="preserve">the </w:t>
      </w:r>
      <w:r w:rsidRPr="007A58EA">
        <w:rPr>
          <w:color w:val="000000" w:themeColor="text1"/>
        </w:rPr>
        <w:t xml:space="preserve">Court stressed: </w:t>
      </w:r>
      <w:r w:rsidR="00FA64EF" w:rsidRPr="007A58EA">
        <w:rPr>
          <w:color w:val="000000" w:themeColor="text1"/>
        </w:rPr>
        <w:t xml:space="preserve">the </w:t>
      </w:r>
      <w:r w:rsidRPr="007A58EA">
        <w:rPr>
          <w:color w:val="000000" w:themeColor="text1"/>
        </w:rPr>
        <w:t>Treaties created this specific legal remedy</w:t>
      </w:r>
      <w:r w:rsidR="00B61934" w:rsidRPr="007A58EA">
        <w:rPr>
          <w:color w:val="000000" w:themeColor="text1"/>
        </w:rPr>
        <w:t xml:space="preserve">, of Union judicial review directly in respect of </w:t>
      </w:r>
      <w:r w:rsidR="00FA64EF" w:rsidRPr="007A58EA">
        <w:rPr>
          <w:color w:val="000000" w:themeColor="text1"/>
        </w:rPr>
        <w:t xml:space="preserve">a domestic </w:t>
      </w:r>
      <w:r w:rsidR="00B61934" w:rsidRPr="007A58EA">
        <w:rPr>
          <w:color w:val="000000" w:themeColor="text1"/>
        </w:rPr>
        <w:t xml:space="preserve">act, in derogation from </w:t>
      </w:r>
      <w:r w:rsidR="00FA64EF" w:rsidRPr="007A58EA">
        <w:rPr>
          <w:color w:val="000000" w:themeColor="text1"/>
        </w:rPr>
        <w:t xml:space="preserve">the </w:t>
      </w:r>
      <w:r w:rsidR="00B61934" w:rsidRPr="007A58EA">
        <w:rPr>
          <w:color w:val="000000" w:themeColor="text1"/>
        </w:rPr>
        <w:t xml:space="preserve">normal division of jurisdiction between </w:t>
      </w:r>
      <w:r w:rsidR="00FA64EF" w:rsidRPr="007A58EA">
        <w:rPr>
          <w:color w:val="000000" w:themeColor="text1"/>
        </w:rPr>
        <w:t xml:space="preserve">the </w:t>
      </w:r>
      <w:r w:rsidR="00B61934" w:rsidRPr="007A58EA">
        <w:rPr>
          <w:color w:val="000000" w:themeColor="text1"/>
        </w:rPr>
        <w:t xml:space="preserve">Union and </w:t>
      </w:r>
      <w:r w:rsidR="00FA64EF" w:rsidRPr="007A58EA">
        <w:rPr>
          <w:color w:val="000000" w:themeColor="text1"/>
        </w:rPr>
        <w:t xml:space="preserve">national </w:t>
      </w:r>
      <w:r w:rsidR="00B61934" w:rsidRPr="007A58EA">
        <w:rPr>
          <w:color w:val="000000" w:themeColor="text1"/>
        </w:rPr>
        <w:t xml:space="preserve">courts, so as to reflect the “novel legal construct” of the ESCB.  </w:t>
      </w:r>
      <w:r w:rsidR="00FA64EF" w:rsidRPr="007A58EA">
        <w:rPr>
          <w:color w:val="000000" w:themeColor="text1"/>
        </w:rPr>
        <w:t>The l</w:t>
      </w:r>
      <w:r w:rsidR="00B61934" w:rsidRPr="007A58EA">
        <w:rPr>
          <w:color w:val="000000" w:themeColor="text1"/>
        </w:rPr>
        <w:t xml:space="preserve">atter brings together national and Union institutions, </w:t>
      </w:r>
      <w:r w:rsidR="006D48BE" w:rsidRPr="007A58EA">
        <w:rPr>
          <w:color w:val="000000" w:themeColor="text1"/>
        </w:rPr>
        <w:t xml:space="preserve">and causes them to </w:t>
      </w:r>
      <w:r w:rsidR="00B61934" w:rsidRPr="007A58EA">
        <w:rPr>
          <w:color w:val="000000" w:themeColor="text1"/>
        </w:rPr>
        <w:t xml:space="preserve">enter into close mutual cooperation, </w:t>
      </w:r>
      <w:r w:rsidR="006D48BE" w:rsidRPr="007A58EA">
        <w:rPr>
          <w:color w:val="000000" w:themeColor="text1"/>
        </w:rPr>
        <w:t>within a highly integrated system, characterised by a less marked distinction between the Union and national legal orders.</w:t>
      </w:r>
      <w:r w:rsidR="00DE21CC" w:rsidRPr="007A58EA">
        <w:rPr>
          <w:rStyle w:val="FootnoteReference"/>
          <w:color w:val="000000" w:themeColor="text1"/>
        </w:rPr>
        <w:footnoteReference w:id="49"/>
      </w:r>
      <w:r w:rsidR="006D48BE" w:rsidRPr="007A58EA">
        <w:rPr>
          <w:color w:val="000000" w:themeColor="text1"/>
        </w:rPr>
        <w:t xml:space="preserve">  </w:t>
      </w:r>
      <w:r w:rsidR="00FA64EF" w:rsidRPr="007A58EA">
        <w:rPr>
          <w:color w:val="000000" w:themeColor="text1"/>
        </w:rPr>
        <w:t>A k</w:t>
      </w:r>
      <w:r w:rsidR="006D48BE" w:rsidRPr="007A58EA">
        <w:rPr>
          <w:color w:val="000000" w:themeColor="text1"/>
        </w:rPr>
        <w:t xml:space="preserve">ey feature of that novel legal construct </w:t>
      </w:r>
      <w:r w:rsidR="00FA64EF" w:rsidRPr="007A58EA">
        <w:rPr>
          <w:color w:val="000000" w:themeColor="text1"/>
        </w:rPr>
        <w:t xml:space="preserve">lies in the </w:t>
      </w:r>
      <w:r w:rsidR="006D48BE" w:rsidRPr="007A58EA">
        <w:rPr>
          <w:color w:val="000000" w:themeColor="text1"/>
        </w:rPr>
        <w:t xml:space="preserve">importance </w:t>
      </w:r>
      <w:r w:rsidR="00FA64EF" w:rsidRPr="007A58EA">
        <w:rPr>
          <w:color w:val="000000" w:themeColor="text1"/>
        </w:rPr>
        <w:t xml:space="preserve">the </w:t>
      </w:r>
      <w:r w:rsidR="006D48BE" w:rsidRPr="007A58EA">
        <w:rPr>
          <w:color w:val="000000" w:themeColor="text1"/>
        </w:rPr>
        <w:t xml:space="preserve">Treaties attach to ensuring </w:t>
      </w:r>
      <w:r w:rsidR="00FA64EF" w:rsidRPr="007A58EA">
        <w:rPr>
          <w:color w:val="000000" w:themeColor="text1"/>
        </w:rPr>
        <w:t xml:space="preserve">the </w:t>
      </w:r>
      <w:r w:rsidR="006D48BE" w:rsidRPr="007A58EA">
        <w:rPr>
          <w:color w:val="000000" w:themeColor="text1"/>
        </w:rPr>
        <w:t xml:space="preserve">functional independence of </w:t>
      </w:r>
      <w:r w:rsidR="00FA64EF" w:rsidRPr="007A58EA">
        <w:rPr>
          <w:color w:val="000000" w:themeColor="text1"/>
        </w:rPr>
        <w:t xml:space="preserve">the </w:t>
      </w:r>
      <w:r w:rsidR="006D48BE" w:rsidRPr="007A58EA">
        <w:rPr>
          <w:color w:val="000000" w:themeColor="text1"/>
        </w:rPr>
        <w:t xml:space="preserve">ECB and </w:t>
      </w:r>
      <w:r w:rsidR="00FA64EF" w:rsidRPr="007A58EA">
        <w:rPr>
          <w:color w:val="000000" w:themeColor="text1"/>
        </w:rPr>
        <w:t xml:space="preserve">the </w:t>
      </w:r>
      <w:r w:rsidR="006D48BE" w:rsidRPr="007A58EA">
        <w:rPr>
          <w:color w:val="000000" w:themeColor="text1"/>
        </w:rPr>
        <w:t>ESCB.</w:t>
      </w:r>
      <w:r w:rsidR="00885A15" w:rsidRPr="007A58EA">
        <w:rPr>
          <w:rStyle w:val="FootnoteReference"/>
          <w:color w:val="000000" w:themeColor="text1"/>
        </w:rPr>
        <w:footnoteReference w:id="50"/>
      </w:r>
      <w:r w:rsidR="006D48BE" w:rsidRPr="007A58EA">
        <w:rPr>
          <w:color w:val="000000" w:themeColor="text1"/>
        </w:rPr>
        <w:t xml:space="preserve">  </w:t>
      </w:r>
      <w:r w:rsidR="00FA64EF" w:rsidRPr="007A58EA">
        <w:rPr>
          <w:color w:val="000000" w:themeColor="text1"/>
        </w:rPr>
        <w:t xml:space="preserve">Article 14 of Protocol No 4 is an </w:t>
      </w:r>
      <w:r w:rsidR="006D48BE" w:rsidRPr="007A58EA">
        <w:rPr>
          <w:color w:val="000000" w:themeColor="text1"/>
        </w:rPr>
        <w:t>essential component of that institutional balance</w:t>
      </w:r>
      <w:r w:rsidR="00AF0AC3" w:rsidRPr="007A58EA">
        <w:rPr>
          <w:color w:val="000000" w:themeColor="text1"/>
        </w:rPr>
        <w:t>:</w:t>
      </w:r>
      <w:r w:rsidR="006D48BE" w:rsidRPr="007A58EA">
        <w:rPr>
          <w:color w:val="000000" w:themeColor="text1"/>
        </w:rPr>
        <w:t xml:space="preserve"> </w:t>
      </w:r>
      <w:r w:rsidR="00AF0AC3" w:rsidRPr="007A58EA">
        <w:rPr>
          <w:color w:val="000000" w:themeColor="text1"/>
        </w:rPr>
        <w:t xml:space="preserve">by </w:t>
      </w:r>
      <w:r w:rsidR="006D48BE" w:rsidRPr="007A58EA">
        <w:rPr>
          <w:color w:val="000000" w:themeColor="text1"/>
        </w:rPr>
        <w:t>provid</w:t>
      </w:r>
      <w:r w:rsidR="00AF0AC3" w:rsidRPr="007A58EA">
        <w:rPr>
          <w:color w:val="000000" w:themeColor="text1"/>
        </w:rPr>
        <w:t>ing</w:t>
      </w:r>
      <w:r w:rsidR="006D48BE" w:rsidRPr="007A58EA">
        <w:rPr>
          <w:color w:val="000000" w:themeColor="text1"/>
        </w:rPr>
        <w:t xml:space="preserve"> </w:t>
      </w:r>
      <w:r w:rsidR="00FA64EF" w:rsidRPr="007A58EA">
        <w:rPr>
          <w:color w:val="000000" w:themeColor="text1"/>
        </w:rPr>
        <w:t xml:space="preserve">a </w:t>
      </w:r>
      <w:r w:rsidR="006D48BE" w:rsidRPr="007A58EA">
        <w:rPr>
          <w:color w:val="000000" w:themeColor="text1"/>
        </w:rPr>
        <w:t xml:space="preserve">swift </w:t>
      </w:r>
      <w:r w:rsidR="00FA64EF" w:rsidRPr="007A58EA">
        <w:rPr>
          <w:color w:val="000000" w:themeColor="text1"/>
        </w:rPr>
        <w:t xml:space="preserve">means to </w:t>
      </w:r>
      <w:r w:rsidR="006D48BE" w:rsidRPr="007A58EA">
        <w:rPr>
          <w:color w:val="000000" w:themeColor="text1"/>
        </w:rPr>
        <w:t>challeng</w:t>
      </w:r>
      <w:r w:rsidR="00FA64EF" w:rsidRPr="007A58EA">
        <w:rPr>
          <w:color w:val="000000" w:themeColor="text1"/>
        </w:rPr>
        <w:t>e</w:t>
      </w:r>
      <w:r w:rsidR="006D48BE" w:rsidRPr="007A58EA">
        <w:rPr>
          <w:color w:val="000000" w:themeColor="text1"/>
        </w:rPr>
        <w:t xml:space="preserve"> unlawful removal</w:t>
      </w:r>
      <w:r w:rsidR="000F242C" w:rsidRPr="007A58EA">
        <w:rPr>
          <w:color w:val="000000" w:themeColor="text1"/>
        </w:rPr>
        <w:t>s</w:t>
      </w:r>
      <w:r w:rsidR="00AF0AC3" w:rsidRPr="007A58EA">
        <w:rPr>
          <w:color w:val="000000" w:themeColor="text1"/>
        </w:rPr>
        <w:t xml:space="preserve"> via </w:t>
      </w:r>
      <w:r w:rsidR="000F242C" w:rsidRPr="007A58EA">
        <w:rPr>
          <w:color w:val="000000" w:themeColor="text1"/>
        </w:rPr>
        <w:t xml:space="preserve">the </w:t>
      </w:r>
      <w:r w:rsidR="00AF0AC3" w:rsidRPr="007A58EA">
        <w:rPr>
          <w:color w:val="000000" w:themeColor="text1"/>
        </w:rPr>
        <w:t xml:space="preserve">Union courts, </w:t>
      </w:r>
      <w:r w:rsidR="000F242C" w:rsidRPr="007A58EA">
        <w:rPr>
          <w:color w:val="000000" w:themeColor="text1"/>
        </w:rPr>
        <w:t xml:space="preserve">the </w:t>
      </w:r>
      <w:r w:rsidR="00AF0AC3" w:rsidRPr="007A58EA">
        <w:rPr>
          <w:color w:val="000000" w:themeColor="text1"/>
        </w:rPr>
        <w:t xml:space="preserve">Treaties reinforce </w:t>
      </w:r>
      <w:r w:rsidR="000F242C" w:rsidRPr="007A58EA">
        <w:rPr>
          <w:color w:val="000000" w:themeColor="text1"/>
        </w:rPr>
        <w:t xml:space="preserve">the fundamental principle of </w:t>
      </w:r>
      <w:r w:rsidR="00AF0AC3" w:rsidRPr="007A58EA">
        <w:rPr>
          <w:color w:val="000000" w:themeColor="text1"/>
        </w:rPr>
        <w:t xml:space="preserve">independence from political influence, and avoid </w:t>
      </w:r>
      <w:r w:rsidR="000F242C" w:rsidRPr="007A58EA">
        <w:rPr>
          <w:color w:val="000000" w:themeColor="text1"/>
        </w:rPr>
        <w:t xml:space="preserve">any </w:t>
      </w:r>
      <w:r w:rsidR="00AF0AC3" w:rsidRPr="007A58EA">
        <w:rPr>
          <w:color w:val="000000" w:themeColor="text1"/>
        </w:rPr>
        <w:t xml:space="preserve">prolonged absence of </w:t>
      </w:r>
      <w:r w:rsidR="000F242C" w:rsidRPr="007A58EA">
        <w:rPr>
          <w:color w:val="000000" w:themeColor="text1"/>
        </w:rPr>
        <w:t>a national central bank G</w:t>
      </w:r>
      <w:r w:rsidR="00AF0AC3" w:rsidRPr="007A58EA">
        <w:rPr>
          <w:color w:val="000000" w:themeColor="text1"/>
        </w:rPr>
        <w:t>overnor</w:t>
      </w:r>
      <w:r w:rsidR="00296B0C" w:rsidRPr="007A58EA">
        <w:rPr>
          <w:color w:val="000000" w:themeColor="text1"/>
        </w:rPr>
        <w:t>,</w:t>
      </w:r>
      <w:r w:rsidR="00AF0AC3" w:rsidRPr="007A58EA">
        <w:rPr>
          <w:color w:val="000000" w:themeColor="text1"/>
        </w:rPr>
        <w:t xml:space="preserve"> </w:t>
      </w:r>
      <w:r w:rsidR="000F242C" w:rsidRPr="007A58EA">
        <w:rPr>
          <w:color w:val="000000" w:themeColor="text1"/>
        </w:rPr>
        <w:t xml:space="preserve">of the sort </w:t>
      </w:r>
      <w:r w:rsidR="00AF0AC3" w:rsidRPr="007A58EA">
        <w:rPr>
          <w:color w:val="000000" w:themeColor="text1"/>
        </w:rPr>
        <w:t>that could serious</w:t>
      </w:r>
      <w:r w:rsidR="00674B98">
        <w:rPr>
          <w:color w:val="000000" w:themeColor="text1"/>
        </w:rPr>
        <w:t>ly</w:t>
      </w:r>
      <w:r w:rsidR="00AF0AC3" w:rsidRPr="007A58EA">
        <w:rPr>
          <w:color w:val="000000" w:themeColor="text1"/>
        </w:rPr>
        <w:t xml:space="preserve"> affect </w:t>
      </w:r>
      <w:r w:rsidR="000F242C" w:rsidRPr="007A58EA">
        <w:rPr>
          <w:color w:val="000000" w:themeColor="text1"/>
        </w:rPr>
        <w:t xml:space="preserve">the </w:t>
      </w:r>
      <w:r w:rsidR="00AF0AC3" w:rsidRPr="007A58EA">
        <w:rPr>
          <w:color w:val="000000" w:themeColor="text1"/>
        </w:rPr>
        <w:t xml:space="preserve">proper functioning of </w:t>
      </w:r>
      <w:r w:rsidR="000F242C" w:rsidRPr="007A58EA">
        <w:rPr>
          <w:color w:val="000000" w:themeColor="text1"/>
        </w:rPr>
        <w:t xml:space="preserve">the </w:t>
      </w:r>
      <w:r w:rsidR="00AF0AC3" w:rsidRPr="007A58EA">
        <w:rPr>
          <w:color w:val="000000" w:themeColor="text1"/>
        </w:rPr>
        <w:t xml:space="preserve">ECB </w:t>
      </w:r>
      <w:r w:rsidR="000F242C" w:rsidRPr="007A58EA">
        <w:rPr>
          <w:color w:val="000000" w:themeColor="text1"/>
        </w:rPr>
        <w:t xml:space="preserve">and </w:t>
      </w:r>
      <w:r w:rsidR="00AF0AC3" w:rsidRPr="007A58EA">
        <w:rPr>
          <w:color w:val="000000" w:themeColor="text1"/>
        </w:rPr>
        <w:t>ESCB.</w:t>
      </w:r>
    </w:p>
    <w:p w14:paraId="79024838" w14:textId="3F90ABE0" w:rsidR="007E0CDE" w:rsidRDefault="000F242C" w:rsidP="007E0CDE">
      <w:pPr>
        <w:ind w:firstLine="720"/>
        <w:jc w:val="both"/>
        <w:rPr>
          <w:color w:val="000000" w:themeColor="text1"/>
        </w:rPr>
      </w:pPr>
      <w:r w:rsidRPr="007A58EA">
        <w:rPr>
          <w:i/>
          <w:iCs/>
          <w:color w:val="000000" w:themeColor="text1"/>
        </w:rPr>
        <w:t>Rimšēvičs</w:t>
      </w:r>
      <w:r w:rsidRPr="007A58EA">
        <w:rPr>
          <w:color w:val="000000" w:themeColor="text1"/>
        </w:rPr>
        <w:t xml:space="preserve"> </w:t>
      </w:r>
      <w:r w:rsidR="0002122F" w:rsidRPr="007A58EA">
        <w:rPr>
          <w:color w:val="000000" w:themeColor="text1"/>
        </w:rPr>
        <w:t xml:space="preserve">obviously </w:t>
      </w:r>
      <w:r w:rsidR="00B4769D" w:rsidRPr="007A58EA">
        <w:rPr>
          <w:color w:val="000000" w:themeColor="text1"/>
        </w:rPr>
        <w:t xml:space="preserve">goes further than </w:t>
      </w:r>
      <w:r w:rsidR="00B4769D" w:rsidRPr="007A58EA">
        <w:rPr>
          <w:i/>
          <w:iCs/>
          <w:color w:val="000000" w:themeColor="text1"/>
        </w:rPr>
        <w:t>Berluscon</w:t>
      </w:r>
      <w:r w:rsidRPr="007A58EA">
        <w:rPr>
          <w:i/>
          <w:iCs/>
          <w:color w:val="000000" w:themeColor="text1"/>
        </w:rPr>
        <w:t xml:space="preserve">i, </w:t>
      </w:r>
      <w:r w:rsidRPr="007A58EA">
        <w:rPr>
          <w:color w:val="000000" w:themeColor="text1"/>
        </w:rPr>
        <w:t>insofar as</w:t>
      </w:r>
      <w:r w:rsidRPr="007A58EA">
        <w:rPr>
          <w:i/>
          <w:iCs/>
          <w:color w:val="000000" w:themeColor="text1"/>
        </w:rPr>
        <w:t xml:space="preserve"> </w:t>
      </w:r>
      <w:r w:rsidRPr="007A58EA">
        <w:rPr>
          <w:color w:val="000000" w:themeColor="text1"/>
        </w:rPr>
        <w:t xml:space="preserve">the </w:t>
      </w:r>
      <w:r w:rsidR="00B4769D" w:rsidRPr="007A58EA">
        <w:rPr>
          <w:color w:val="000000" w:themeColor="text1"/>
        </w:rPr>
        <w:t xml:space="preserve">Court </w:t>
      </w:r>
      <w:r w:rsidR="00296B0C" w:rsidRPr="007A58EA">
        <w:rPr>
          <w:color w:val="000000" w:themeColor="text1"/>
        </w:rPr>
        <w:t xml:space="preserve">explicitly </w:t>
      </w:r>
      <w:r w:rsidR="00E05D9C" w:rsidRPr="007A58EA">
        <w:rPr>
          <w:color w:val="000000" w:themeColor="text1"/>
        </w:rPr>
        <w:t xml:space="preserve">confirms its own direct jurisdiction to determine the validity of certain </w:t>
      </w:r>
      <w:r w:rsidRPr="007A58EA">
        <w:rPr>
          <w:color w:val="000000" w:themeColor="text1"/>
        </w:rPr>
        <w:t>domestic</w:t>
      </w:r>
      <w:r w:rsidR="00E05D9C" w:rsidRPr="007A58EA">
        <w:rPr>
          <w:color w:val="000000" w:themeColor="text1"/>
        </w:rPr>
        <w:t xml:space="preserve"> acts</w:t>
      </w:r>
      <w:r w:rsidRPr="007A58EA">
        <w:rPr>
          <w:color w:val="000000" w:themeColor="text1"/>
        </w:rPr>
        <w:t>,</w:t>
      </w:r>
      <w:r w:rsidR="00E05D9C" w:rsidRPr="007A58EA">
        <w:rPr>
          <w:color w:val="000000" w:themeColor="text1"/>
        </w:rPr>
        <w:t xml:space="preserve"> for the purposes of both </w:t>
      </w:r>
      <w:r w:rsidRPr="007A58EA">
        <w:rPr>
          <w:color w:val="000000" w:themeColor="text1"/>
        </w:rPr>
        <w:t xml:space="preserve">the </w:t>
      </w:r>
      <w:r w:rsidR="00E05D9C" w:rsidRPr="007A58EA">
        <w:rPr>
          <w:color w:val="000000" w:themeColor="text1"/>
        </w:rPr>
        <w:t xml:space="preserve">Union and </w:t>
      </w:r>
      <w:r w:rsidRPr="007A58EA">
        <w:rPr>
          <w:color w:val="000000" w:themeColor="text1"/>
        </w:rPr>
        <w:t xml:space="preserve">the </w:t>
      </w:r>
      <w:r w:rsidR="00E05D9C" w:rsidRPr="007A58EA">
        <w:rPr>
          <w:color w:val="000000" w:themeColor="text1"/>
        </w:rPr>
        <w:t xml:space="preserve">national legal orders.  </w:t>
      </w:r>
      <w:r w:rsidRPr="007A58EA">
        <w:rPr>
          <w:color w:val="000000" w:themeColor="text1"/>
        </w:rPr>
        <w:t xml:space="preserve">Under Article 14 of Protocol No 4, the Court neither provides a </w:t>
      </w:r>
      <w:r w:rsidR="00E05D9C" w:rsidRPr="007A58EA">
        <w:rPr>
          <w:color w:val="000000" w:themeColor="text1"/>
        </w:rPr>
        <w:t>concrete declaration of incomp</w:t>
      </w:r>
      <w:r w:rsidR="0002122F" w:rsidRPr="007A58EA">
        <w:rPr>
          <w:color w:val="000000" w:themeColor="text1"/>
        </w:rPr>
        <w:t>a</w:t>
      </w:r>
      <w:r w:rsidR="00E05D9C" w:rsidRPr="007A58EA">
        <w:rPr>
          <w:color w:val="000000" w:themeColor="text1"/>
        </w:rPr>
        <w:t>t</w:t>
      </w:r>
      <w:r w:rsidR="0002122F" w:rsidRPr="007A58EA">
        <w:rPr>
          <w:color w:val="000000" w:themeColor="text1"/>
        </w:rPr>
        <w:t>i</w:t>
      </w:r>
      <w:r w:rsidR="00E05D9C" w:rsidRPr="007A58EA">
        <w:rPr>
          <w:color w:val="000000" w:themeColor="text1"/>
        </w:rPr>
        <w:t xml:space="preserve">bility that </w:t>
      </w:r>
      <w:r w:rsidRPr="007A58EA">
        <w:rPr>
          <w:color w:val="000000" w:themeColor="text1"/>
        </w:rPr>
        <w:t xml:space="preserve">the </w:t>
      </w:r>
      <w:r w:rsidR="00E05D9C" w:rsidRPr="007A58EA">
        <w:rPr>
          <w:color w:val="000000" w:themeColor="text1"/>
        </w:rPr>
        <w:t xml:space="preserve">Member State is </w:t>
      </w:r>
      <w:r w:rsidRPr="007A58EA">
        <w:rPr>
          <w:color w:val="000000" w:themeColor="text1"/>
        </w:rPr>
        <w:t xml:space="preserve">then </w:t>
      </w:r>
      <w:r w:rsidR="00E05D9C" w:rsidRPr="007A58EA">
        <w:rPr>
          <w:color w:val="000000" w:themeColor="text1"/>
        </w:rPr>
        <w:t xml:space="preserve">expected to correct (as in </w:t>
      </w:r>
      <w:r w:rsidRPr="007A58EA">
        <w:rPr>
          <w:color w:val="000000" w:themeColor="text1"/>
        </w:rPr>
        <w:t xml:space="preserve">ordinary </w:t>
      </w:r>
      <w:r w:rsidR="00E05D9C" w:rsidRPr="007A58EA">
        <w:rPr>
          <w:color w:val="000000" w:themeColor="text1"/>
        </w:rPr>
        <w:t xml:space="preserve">enforcement proceedings) nor </w:t>
      </w:r>
      <w:r w:rsidRPr="007A58EA">
        <w:rPr>
          <w:color w:val="000000" w:themeColor="text1"/>
        </w:rPr>
        <w:t xml:space="preserve">issues an </w:t>
      </w:r>
      <w:r w:rsidR="00E05D9C" w:rsidRPr="007A58EA">
        <w:rPr>
          <w:color w:val="000000" w:themeColor="text1"/>
        </w:rPr>
        <w:t xml:space="preserve">abstract statement of incompatibility whose full domestic legal consequences should be determined and worked out by </w:t>
      </w:r>
      <w:r w:rsidR="003A31F4" w:rsidRPr="007A58EA">
        <w:rPr>
          <w:color w:val="000000" w:themeColor="text1"/>
        </w:rPr>
        <w:t xml:space="preserve">the </w:t>
      </w:r>
      <w:r w:rsidR="00E05D9C" w:rsidRPr="007A58EA">
        <w:rPr>
          <w:color w:val="000000" w:themeColor="text1"/>
        </w:rPr>
        <w:t xml:space="preserve">national courts (as </w:t>
      </w:r>
      <w:r w:rsidRPr="007A58EA">
        <w:rPr>
          <w:color w:val="000000" w:themeColor="text1"/>
        </w:rPr>
        <w:t xml:space="preserve">usually happens with </w:t>
      </w:r>
      <w:r w:rsidR="00E05D9C" w:rsidRPr="007A58EA">
        <w:rPr>
          <w:color w:val="000000" w:themeColor="text1"/>
        </w:rPr>
        <w:t xml:space="preserve">decentralised enforcement).  </w:t>
      </w:r>
      <w:r w:rsidRPr="007A58EA">
        <w:rPr>
          <w:color w:val="000000" w:themeColor="text1"/>
        </w:rPr>
        <w:t xml:space="preserve">Moreover, </w:t>
      </w:r>
      <w:r w:rsidR="00E05D9C" w:rsidRPr="007A58EA">
        <w:rPr>
          <w:color w:val="000000" w:themeColor="text1"/>
        </w:rPr>
        <w:t xml:space="preserve">that </w:t>
      </w:r>
      <w:r w:rsidRPr="007A58EA">
        <w:rPr>
          <w:color w:val="000000" w:themeColor="text1"/>
        </w:rPr>
        <w:t xml:space="preserve">means </w:t>
      </w:r>
      <w:r w:rsidRPr="007A58EA">
        <w:rPr>
          <w:i/>
          <w:iCs/>
          <w:color w:val="000000" w:themeColor="text1"/>
        </w:rPr>
        <w:t>Rimšēvičs</w:t>
      </w:r>
      <w:r w:rsidRPr="007A58EA">
        <w:rPr>
          <w:color w:val="000000" w:themeColor="text1"/>
        </w:rPr>
        <w:t xml:space="preserve"> is not </w:t>
      </w:r>
      <w:r w:rsidR="00E05D9C" w:rsidRPr="007A58EA">
        <w:rPr>
          <w:color w:val="000000" w:themeColor="text1"/>
        </w:rPr>
        <w:t xml:space="preserve">just a statement about </w:t>
      </w:r>
      <w:r w:rsidRPr="007A58EA">
        <w:rPr>
          <w:color w:val="000000" w:themeColor="text1"/>
        </w:rPr>
        <w:t xml:space="preserve">the division of jurisdiction between the Union and national courts.  It also has </w:t>
      </w:r>
      <w:r w:rsidR="00E05D9C" w:rsidRPr="007A58EA">
        <w:rPr>
          <w:color w:val="000000" w:themeColor="text1"/>
        </w:rPr>
        <w:t xml:space="preserve">direct implications for </w:t>
      </w:r>
      <w:r w:rsidR="0002122F" w:rsidRPr="007A58EA">
        <w:rPr>
          <w:color w:val="000000" w:themeColor="text1"/>
        </w:rPr>
        <w:t xml:space="preserve">the specific legal </w:t>
      </w:r>
      <w:r w:rsidR="0002122F" w:rsidRPr="007A58EA">
        <w:rPr>
          <w:color w:val="000000" w:themeColor="text1"/>
        </w:rPr>
        <w:lastRenderedPageBreak/>
        <w:t>effects that should arise</w:t>
      </w:r>
      <w:r w:rsidR="006128D2" w:rsidRPr="007A58EA">
        <w:rPr>
          <w:color w:val="000000" w:themeColor="text1"/>
        </w:rPr>
        <w:t>,</w:t>
      </w:r>
      <w:r w:rsidR="0002122F" w:rsidRPr="007A58EA">
        <w:rPr>
          <w:color w:val="000000" w:themeColor="text1"/>
        </w:rPr>
        <w:t xml:space="preserve"> </w:t>
      </w:r>
      <w:r w:rsidR="00296B0C" w:rsidRPr="007A58EA">
        <w:rPr>
          <w:color w:val="000000" w:themeColor="text1"/>
        </w:rPr>
        <w:t>through</w:t>
      </w:r>
      <w:r w:rsidR="0002122F" w:rsidRPr="007A58EA">
        <w:rPr>
          <w:color w:val="000000" w:themeColor="text1"/>
        </w:rPr>
        <w:t xml:space="preserve"> </w:t>
      </w:r>
      <w:r w:rsidR="006128D2" w:rsidRPr="007A58EA">
        <w:rPr>
          <w:color w:val="000000" w:themeColor="text1"/>
        </w:rPr>
        <w:t xml:space="preserve">the </w:t>
      </w:r>
      <w:r w:rsidR="0002122F" w:rsidRPr="007A58EA">
        <w:rPr>
          <w:color w:val="000000" w:themeColor="text1"/>
        </w:rPr>
        <w:t xml:space="preserve">principle of </w:t>
      </w:r>
      <w:r w:rsidR="00E05D9C" w:rsidRPr="007A58EA">
        <w:rPr>
          <w:color w:val="000000" w:themeColor="text1"/>
        </w:rPr>
        <w:t>primacy</w:t>
      </w:r>
      <w:r w:rsidR="006128D2" w:rsidRPr="007A58EA">
        <w:rPr>
          <w:color w:val="000000" w:themeColor="text1"/>
        </w:rPr>
        <w:t>, within the Member State’s own legal system</w:t>
      </w:r>
      <w:r w:rsidR="00E05D9C" w:rsidRPr="007A58EA">
        <w:rPr>
          <w:color w:val="000000" w:themeColor="text1"/>
        </w:rPr>
        <w:t xml:space="preserve">: </w:t>
      </w:r>
      <w:r w:rsidR="006128D2" w:rsidRPr="007A58EA">
        <w:rPr>
          <w:color w:val="000000" w:themeColor="text1"/>
        </w:rPr>
        <w:t xml:space="preserve">after all, the </w:t>
      </w:r>
      <w:r w:rsidR="00E05D9C" w:rsidRPr="007A58EA">
        <w:rPr>
          <w:color w:val="000000" w:themeColor="text1"/>
        </w:rPr>
        <w:t xml:space="preserve">natural consequence of </w:t>
      </w:r>
      <w:r w:rsidR="006128D2" w:rsidRPr="007A58EA">
        <w:rPr>
          <w:color w:val="000000" w:themeColor="text1"/>
        </w:rPr>
        <w:t xml:space="preserve">the </w:t>
      </w:r>
      <w:r w:rsidR="007174C8" w:rsidRPr="007A58EA">
        <w:rPr>
          <w:color w:val="000000" w:themeColor="text1"/>
        </w:rPr>
        <w:t>Court’s power</w:t>
      </w:r>
      <w:r w:rsidR="006128D2" w:rsidRPr="007A58EA">
        <w:rPr>
          <w:color w:val="000000" w:themeColor="text1"/>
        </w:rPr>
        <w:t>s under Article 14 of Protocol No 4</w:t>
      </w:r>
      <w:r w:rsidR="007174C8" w:rsidRPr="007A58EA">
        <w:rPr>
          <w:color w:val="000000" w:themeColor="text1"/>
        </w:rPr>
        <w:t xml:space="preserve"> is that</w:t>
      </w:r>
      <w:r w:rsidR="00E05D9C" w:rsidRPr="007A58EA">
        <w:rPr>
          <w:color w:val="000000" w:themeColor="text1"/>
        </w:rPr>
        <w:t xml:space="preserve"> </w:t>
      </w:r>
      <w:r w:rsidR="006128D2" w:rsidRPr="007A58EA">
        <w:rPr>
          <w:color w:val="000000" w:themeColor="text1"/>
        </w:rPr>
        <w:t xml:space="preserve">a finding of </w:t>
      </w:r>
      <w:r w:rsidR="00E05D9C" w:rsidRPr="007A58EA">
        <w:rPr>
          <w:color w:val="000000" w:themeColor="text1"/>
        </w:rPr>
        <w:t xml:space="preserve">incompatibility is no </w:t>
      </w:r>
      <w:r w:rsidR="006128D2" w:rsidRPr="007A58EA">
        <w:rPr>
          <w:color w:val="000000" w:themeColor="text1"/>
        </w:rPr>
        <w:t xml:space="preserve">longer </w:t>
      </w:r>
      <w:r w:rsidR="00E05D9C" w:rsidRPr="007A58EA">
        <w:rPr>
          <w:color w:val="000000" w:themeColor="text1"/>
        </w:rPr>
        <w:t xml:space="preserve">merely </w:t>
      </w:r>
      <w:r w:rsidR="006128D2" w:rsidRPr="007A58EA">
        <w:rPr>
          <w:color w:val="000000" w:themeColor="text1"/>
        </w:rPr>
        <w:t xml:space="preserve">a </w:t>
      </w:r>
      <w:r w:rsidR="00E05D9C" w:rsidRPr="007A58EA">
        <w:rPr>
          <w:color w:val="000000" w:themeColor="text1"/>
        </w:rPr>
        <w:t xml:space="preserve">matter of </w:t>
      </w:r>
      <w:r w:rsidR="006128D2" w:rsidRPr="007A58EA">
        <w:rPr>
          <w:color w:val="000000" w:themeColor="text1"/>
        </w:rPr>
        <w:t xml:space="preserve">asking the national courts to </w:t>
      </w:r>
      <w:r w:rsidR="00E05D9C" w:rsidRPr="007A58EA">
        <w:rPr>
          <w:color w:val="000000" w:themeColor="text1"/>
        </w:rPr>
        <w:t>disappl</w:t>
      </w:r>
      <w:r w:rsidR="006128D2" w:rsidRPr="007A58EA">
        <w:rPr>
          <w:color w:val="000000" w:themeColor="text1"/>
        </w:rPr>
        <w:t>y</w:t>
      </w:r>
      <w:r w:rsidR="0002122F" w:rsidRPr="007A58EA">
        <w:rPr>
          <w:color w:val="000000" w:themeColor="text1"/>
        </w:rPr>
        <w:t xml:space="preserve"> </w:t>
      </w:r>
      <w:r w:rsidR="006128D2" w:rsidRPr="007A58EA">
        <w:rPr>
          <w:color w:val="000000" w:themeColor="text1"/>
        </w:rPr>
        <w:t>the impugned removal decision</w:t>
      </w:r>
      <w:r w:rsidR="00E05D9C" w:rsidRPr="007A58EA">
        <w:rPr>
          <w:color w:val="000000" w:themeColor="text1"/>
        </w:rPr>
        <w:t xml:space="preserve">, but </w:t>
      </w:r>
      <w:r w:rsidR="006128D2" w:rsidRPr="007A58EA">
        <w:rPr>
          <w:color w:val="000000" w:themeColor="text1"/>
        </w:rPr>
        <w:t xml:space="preserve">now </w:t>
      </w:r>
      <w:r w:rsidR="0002122F" w:rsidRPr="007A58EA">
        <w:rPr>
          <w:color w:val="000000" w:themeColor="text1"/>
        </w:rPr>
        <w:t xml:space="preserve">entails the direct </w:t>
      </w:r>
      <w:r w:rsidR="006128D2" w:rsidRPr="007A58EA">
        <w:rPr>
          <w:color w:val="000000" w:themeColor="text1"/>
        </w:rPr>
        <w:t>voiding</w:t>
      </w:r>
      <w:r w:rsidR="00E05D9C" w:rsidRPr="007A58EA">
        <w:rPr>
          <w:color w:val="000000" w:themeColor="text1"/>
        </w:rPr>
        <w:t xml:space="preserve"> </w:t>
      </w:r>
      <w:r w:rsidR="0002122F" w:rsidRPr="007A58EA">
        <w:rPr>
          <w:color w:val="000000" w:themeColor="text1"/>
        </w:rPr>
        <w:t xml:space="preserve">of </w:t>
      </w:r>
      <w:r w:rsidR="006128D2" w:rsidRPr="007A58EA">
        <w:rPr>
          <w:color w:val="000000" w:themeColor="text1"/>
        </w:rPr>
        <w:t xml:space="preserve">the </w:t>
      </w:r>
      <w:r w:rsidR="0002122F" w:rsidRPr="007A58EA">
        <w:rPr>
          <w:color w:val="000000" w:themeColor="text1"/>
        </w:rPr>
        <w:t xml:space="preserve">relevant </w:t>
      </w:r>
      <w:r w:rsidR="006128D2" w:rsidRPr="007A58EA">
        <w:rPr>
          <w:color w:val="000000" w:themeColor="text1"/>
        </w:rPr>
        <w:t xml:space="preserve">domestic </w:t>
      </w:r>
      <w:r w:rsidR="0002122F" w:rsidRPr="007A58EA">
        <w:rPr>
          <w:color w:val="000000" w:themeColor="text1"/>
        </w:rPr>
        <w:t>act</w:t>
      </w:r>
      <w:r w:rsidR="00674B98">
        <w:rPr>
          <w:color w:val="000000" w:themeColor="text1"/>
        </w:rPr>
        <w:t>,</w:t>
      </w:r>
      <w:r w:rsidR="0002122F" w:rsidRPr="007A58EA">
        <w:rPr>
          <w:color w:val="000000" w:themeColor="text1"/>
        </w:rPr>
        <w:t xml:space="preserve"> </w:t>
      </w:r>
      <w:r w:rsidR="006128D2" w:rsidRPr="007A58EA">
        <w:rPr>
          <w:color w:val="000000" w:themeColor="text1"/>
        </w:rPr>
        <w:t xml:space="preserve">based solely on the </w:t>
      </w:r>
      <w:r w:rsidR="0002122F" w:rsidRPr="007A58EA">
        <w:rPr>
          <w:color w:val="000000" w:themeColor="text1"/>
        </w:rPr>
        <w:t>ECJ</w:t>
      </w:r>
      <w:r w:rsidR="006128D2" w:rsidRPr="007A58EA">
        <w:rPr>
          <w:color w:val="000000" w:themeColor="text1"/>
        </w:rPr>
        <w:t xml:space="preserve">’s </w:t>
      </w:r>
      <w:r w:rsidR="00296B0C" w:rsidRPr="007A58EA">
        <w:rPr>
          <w:color w:val="000000" w:themeColor="text1"/>
        </w:rPr>
        <w:t xml:space="preserve">own </w:t>
      </w:r>
      <w:r w:rsidR="006128D2" w:rsidRPr="007A58EA">
        <w:rPr>
          <w:color w:val="000000" w:themeColor="text1"/>
        </w:rPr>
        <w:t>decision to annul it</w:t>
      </w:r>
      <w:r w:rsidR="009A5EB1" w:rsidRPr="007A58EA">
        <w:rPr>
          <w:color w:val="000000" w:themeColor="text1"/>
        </w:rPr>
        <w:t xml:space="preserve"> – with the national courts </w:t>
      </w:r>
      <w:r w:rsidR="003A31F4" w:rsidRPr="007A58EA">
        <w:rPr>
          <w:color w:val="000000" w:themeColor="text1"/>
        </w:rPr>
        <w:t xml:space="preserve">thence </w:t>
      </w:r>
      <w:r w:rsidR="009A5EB1" w:rsidRPr="007A58EA">
        <w:rPr>
          <w:color w:val="000000" w:themeColor="text1"/>
        </w:rPr>
        <w:t>expected to recognise the Court’s jurisdiction and respect the full consequences of its exercise</w:t>
      </w:r>
      <w:r w:rsidR="0002122F" w:rsidRPr="007A58EA">
        <w:rPr>
          <w:color w:val="000000" w:themeColor="text1"/>
        </w:rPr>
        <w:t>.</w:t>
      </w:r>
      <w:r w:rsidR="00BD77C7" w:rsidRPr="007A58EA">
        <w:rPr>
          <w:color w:val="000000" w:themeColor="text1"/>
        </w:rPr>
        <w:t xml:space="preserve">  </w:t>
      </w:r>
    </w:p>
    <w:p w14:paraId="10A93238" w14:textId="3D075D3B" w:rsidR="007E0CDE" w:rsidRDefault="006128D2" w:rsidP="007E0CDE">
      <w:pPr>
        <w:ind w:firstLine="720"/>
        <w:jc w:val="both"/>
        <w:rPr>
          <w:color w:val="000000" w:themeColor="text1"/>
        </w:rPr>
      </w:pPr>
      <w:r w:rsidRPr="007A58EA">
        <w:rPr>
          <w:color w:val="000000" w:themeColor="text1"/>
        </w:rPr>
        <w:t xml:space="preserve">Of course, there are still </w:t>
      </w:r>
      <w:r w:rsidR="0002122F" w:rsidRPr="007A58EA">
        <w:rPr>
          <w:color w:val="000000" w:themeColor="text1"/>
        </w:rPr>
        <w:t xml:space="preserve">questions </w:t>
      </w:r>
      <w:r w:rsidRPr="007A58EA">
        <w:rPr>
          <w:color w:val="000000" w:themeColor="text1"/>
        </w:rPr>
        <w:t xml:space="preserve">to answer about the </w:t>
      </w:r>
      <w:r w:rsidR="0002122F" w:rsidRPr="007A58EA">
        <w:rPr>
          <w:color w:val="000000" w:themeColor="text1"/>
        </w:rPr>
        <w:t xml:space="preserve">precise nature of </w:t>
      </w:r>
      <w:r w:rsidRPr="007A58EA">
        <w:rPr>
          <w:color w:val="000000" w:themeColor="text1"/>
        </w:rPr>
        <w:t>the “</w:t>
      </w:r>
      <w:r w:rsidR="007174C8" w:rsidRPr="007A58EA">
        <w:rPr>
          <w:color w:val="000000" w:themeColor="text1"/>
        </w:rPr>
        <w:t>specific</w:t>
      </w:r>
      <w:r w:rsidR="0002122F" w:rsidRPr="007A58EA">
        <w:rPr>
          <w:color w:val="000000" w:themeColor="text1"/>
        </w:rPr>
        <w:t xml:space="preserve"> legal remedy</w:t>
      </w:r>
      <w:r w:rsidRPr="007A58EA">
        <w:rPr>
          <w:color w:val="000000" w:themeColor="text1"/>
        </w:rPr>
        <w:t>”</w:t>
      </w:r>
      <w:r w:rsidR="0002122F" w:rsidRPr="007A58EA">
        <w:rPr>
          <w:color w:val="000000" w:themeColor="text1"/>
        </w:rPr>
        <w:t xml:space="preserve"> </w:t>
      </w:r>
      <w:r w:rsidR="00A25992" w:rsidRPr="007A58EA">
        <w:rPr>
          <w:color w:val="000000" w:themeColor="text1"/>
        </w:rPr>
        <w:t xml:space="preserve">at issue in </w:t>
      </w:r>
      <w:r w:rsidRPr="007A58EA">
        <w:rPr>
          <w:i/>
          <w:iCs/>
          <w:color w:val="000000" w:themeColor="text1"/>
        </w:rPr>
        <w:t>Rimšēvičs</w:t>
      </w:r>
      <w:r w:rsidR="0002122F" w:rsidRPr="007A58EA">
        <w:rPr>
          <w:color w:val="000000" w:themeColor="text1"/>
        </w:rPr>
        <w:t xml:space="preserve">.  </w:t>
      </w:r>
      <w:r w:rsidR="00A25992" w:rsidRPr="007A58EA">
        <w:rPr>
          <w:color w:val="000000" w:themeColor="text1"/>
        </w:rPr>
        <w:t xml:space="preserve">Not least: </w:t>
      </w:r>
      <w:r w:rsidR="00685100" w:rsidRPr="007A58EA">
        <w:rPr>
          <w:color w:val="000000" w:themeColor="text1"/>
        </w:rPr>
        <w:t xml:space="preserve">while </w:t>
      </w:r>
      <w:r w:rsidR="00A25992" w:rsidRPr="007A58EA">
        <w:rPr>
          <w:i/>
          <w:iCs/>
          <w:color w:val="000000" w:themeColor="text1"/>
        </w:rPr>
        <w:t>Rimšēvičs</w:t>
      </w:r>
      <w:r w:rsidR="00A25992" w:rsidRPr="007A58EA">
        <w:rPr>
          <w:color w:val="000000" w:themeColor="text1"/>
        </w:rPr>
        <w:t xml:space="preserve"> </w:t>
      </w:r>
      <w:r w:rsidR="00685100" w:rsidRPr="007A58EA">
        <w:rPr>
          <w:color w:val="000000" w:themeColor="text1"/>
        </w:rPr>
        <w:t>go</w:t>
      </w:r>
      <w:r w:rsidR="00922154" w:rsidRPr="007A58EA">
        <w:rPr>
          <w:color w:val="000000" w:themeColor="text1"/>
        </w:rPr>
        <w:t>es</w:t>
      </w:r>
      <w:r w:rsidR="00685100" w:rsidRPr="007A58EA">
        <w:rPr>
          <w:color w:val="000000" w:themeColor="text1"/>
        </w:rPr>
        <w:t xml:space="preserve"> further than </w:t>
      </w:r>
      <w:r w:rsidR="00685100" w:rsidRPr="007A58EA">
        <w:rPr>
          <w:i/>
          <w:iCs/>
          <w:color w:val="000000" w:themeColor="text1"/>
        </w:rPr>
        <w:t>Berlusconi</w:t>
      </w:r>
      <w:r w:rsidR="00685100" w:rsidRPr="007A58EA">
        <w:rPr>
          <w:color w:val="000000" w:themeColor="text1"/>
        </w:rPr>
        <w:t xml:space="preserve"> in that </w:t>
      </w:r>
      <w:r w:rsidR="00A25992" w:rsidRPr="007A58EA">
        <w:rPr>
          <w:color w:val="000000" w:themeColor="text1"/>
        </w:rPr>
        <w:t xml:space="preserve">the </w:t>
      </w:r>
      <w:r w:rsidR="00685100" w:rsidRPr="007A58EA">
        <w:rPr>
          <w:color w:val="000000" w:themeColor="text1"/>
        </w:rPr>
        <w:t xml:space="preserve">Court </w:t>
      </w:r>
      <w:r w:rsidR="00296B0C" w:rsidRPr="007A58EA">
        <w:rPr>
          <w:color w:val="000000" w:themeColor="text1"/>
        </w:rPr>
        <w:t xml:space="preserve">expressly </w:t>
      </w:r>
      <w:r w:rsidR="00685100" w:rsidRPr="007A58EA">
        <w:rPr>
          <w:color w:val="000000" w:themeColor="text1"/>
        </w:rPr>
        <w:t>assumes direct jurisdiction</w:t>
      </w:r>
      <w:r w:rsidR="001D4849" w:rsidRPr="007A58EA">
        <w:rPr>
          <w:color w:val="000000" w:themeColor="text1"/>
        </w:rPr>
        <w:t xml:space="preserve"> over </w:t>
      </w:r>
      <w:r w:rsidR="00A25992" w:rsidRPr="007A58EA">
        <w:rPr>
          <w:color w:val="000000" w:themeColor="text1"/>
        </w:rPr>
        <w:t xml:space="preserve">the lawfulness of </w:t>
      </w:r>
      <w:r w:rsidR="001D4849" w:rsidRPr="007A58EA">
        <w:rPr>
          <w:color w:val="000000" w:themeColor="text1"/>
        </w:rPr>
        <w:t>national removal decision</w:t>
      </w:r>
      <w:r w:rsidR="00A25992" w:rsidRPr="007A58EA">
        <w:rPr>
          <w:color w:val="000000" w:themeColor="text1"/>
        </w:rPr>
        <w:t>s</w:t>
      </w:r>
      <w:r w:rsidR="00922154" w:rsidRPr="007A58EA">
        <w:rPr>
          <w:color w:val="000000" w:themeColor="text1"/>
        </w:rPr>
        <w:t xml:space="preserve">, </w:t>
      </w:r>
      <w:r w:rsidR="00A25992" w:rsidRPr="007A58EA">
        <w:rPr>
          <w:color w:val="000000" w:themeColor="text1"/>
        </w:rPr>
        <w:t xml:space="preserve">it remains </w:t>
      </w:r>
      <w:r w:rsidR="00922154" w:rsidRPr="007A58EA">
        <w:rPr>
          <w:color w:val="000000" w:themeColor="text1"/>
        </w:rPr>
        <w:t xml:space="preserve">unclear whether such jurisdiction </w:t>
      </w:r>
      <w:r w:rsidR="009F32AE" w:rsidRPr="007A58EA">
        <w:rPr>
          <w:color w:val="000000" w:themeColor="text1"/>
        </w:rPr>
        <w:t>should</w:t>
      </w:r>
      <w:r w:rsidR="00922154" w:rsidRPr="007A58EA">
        <w:rPr>
          <w:color w:val="000000" w:themeColor="text1"/>
        </w:rPr>
        <w:t xml:space="preserve"> also</w:t>
      </w:r>
      <w:r w:rsidR="001D4849" w:rsidRPr="007A58EA">
        <w:rPr>
          <w:color w:val="000000" w:themeColor="text1"/>
        </w:rPr>
        <w:t xml:space="preserve"> </w:t>
      </w:r>
      <w:r w:rsidR="009F32AE" w:rsidRPr="007A58EA">
        <w:rPr>
          <w:color w:val="000000" w:themeColor="text1"/>
        </w:rPr>
        <w:t xml:space="preserve">be considered </w:t>
      </w:r>
      <w:r w:rsidR="001D4849" w:rsidRPr="007A58EA">
        <w:rPr>
          <w:color w:val="000000" w:themeColor="text1"/>
        </w:rPr>
        <w:t>exclusive</w:t>
      </w:r>
      <w:r w:rsidR="00685100" w:rsidRPr="007A58EA">
        <w:rPr>
          <w:color w:val="000000" w:themeColor="text1"/>
        </w:rPr>
        <w:t>, so that national courts (</w:t>
      </w:r>
      <w:r w:rsidR="00922154" w:rsidRPr="007A58EA">
        <w:rPr>
          <w:color w:val="000000" w:themeColor="text1"/>
        </w:rPr>
        <w:t xml:space="preserve">indeed, </w:t>
      </w:r>
      <w:r w:rsidR="00685100" w:rsidRPr="007A58EA">
        <w:rPr>
          <w:color w:val="000000" w:themeColor="text1"/>
        </w:rPr>
        <w:t xml:space="preserve">as </w:t>
      </w:r>
      <w:r w:rsidR="00450371" w:rsidRPr="007A58EA">
        <w:rPr>
          <w:color w:val="000000" w:themeColor="text1"/>
        </w:rPr>
        <w:t xml:space="preserve">was the case </w:t>
      </w:r>
      <w:r w:rsidR="00685100" w:rsidRPr="007A58EA">
        <w:rPr>
          <w:color w:val="000000" w:themeColor="text1"/>
        </w:rPr>
        <w:t xml:space="preserve">in </w:t>
      </w:r>
      <w:r w:rsidR="00685100" w:rsidRPr="007A58EA">
        <w:rPr>
          <w:i/>
          <w:iCs/>
          <w:color w:val="000000" w:themeColor="text1"/>
        </w:rPr>
        <w:t>Berlusconi</w:t>
      </w:r>
      <w:r w:rsidR="00685100" w:rsidRPr="007A58EA">
        <w:rPr>
          <w:color w:val="000000" w:themeColor="text1"/>
        </w:rPr>
        <w:t xml:space="preserve">) are expected to renounce </w:t>
      </w:r>
      <w:r w:rsidR="00A25992" w:rsidRPr="007A58EA">
        <w:rPr>
          <w:color w:val="000000" w:themeColor="text1"/>
        </w:rPr>
        <w:t xml:space="preserve">their </w:t>
      </w:r>
      <w:r w:rsidR="00685100" w:rsidRPr="007A58EA">
        <w:rPr>
          <w:color w:val="000000" w:themeColor="text1"/>
        </w:rPr>
        <w:t xml:space="preserve">own domestic jurisdiction over </w:t>
      </w:r>
      <w:r w:rsidR="00A25992" w:rsidRPr="007A58EA">
        <w:rPr>
          <w:color w:val="000000" w:themeColor="text1"/>
        </w:rPr>
        <w:t xml:space="preserve">the </w:t>
      </w:r>
      <w:r w:rsidR="00685100" w:rsidRPr="007A58EA">
        <w:rPr>
          <w:color w:val="000000" w:themeColor="text1"/>
        </w:rPr>
        <w:t xml:space="preserve">same </w:t>
      </w:r>
      <w:r w:rsidR="00E6695C" w:rsidRPr="007A58EA">
        <w:rPr>
          <w:color w:val="000000" w:themeColor="text1"/>
        </w:rPr>
        <w:t xml:space="preserve">category of </w:t>
      </w:r>
      <w:r w:rsidR="00A25992" w:rsidRPr="007A58EA">
        <w:rPr>
          <w:color w:val="000000" w:themeColor="text1"/>
        </w:rPr>
        <w:t xml:space="preserve">national </w:t>
      </w:r>
      <w:r w:rsidR="00685100" w:rsidRPr="007A58EA">
        <w:rPr>
          <w:color w:val="000000" w:themeColor="text1"/>
        </w:rPr>
        <w:t>act</w:t>
      </w:r>
      <w:r w:rsidR="00A25992" w:rsidRPr="007A58EA">
        <w:rPr>
          <w:color w:val="000000" w:themeColor="text1"/>
        </w:rPr>
        <w:t xml:space="preserve">.  </w:t>
      </w:r>
      <w:r w:rsidR="00DF6D70" w:rsidRPr="007A58EA">
        <w:rPr>
          <w:color w:val="000000" w:themeColor="text1"/>
        </w:rPr>
        <w:t xml:space="preserve">Advocate General Kokott seemed to suggest not only that the substantive grounds for removal of a national central bank Governor were exclusively governed by EU law; but also that jurisdiction to evaluate compliance with those </w:t>
      </w:r>
      <w:r w:rsidR="00296B0C" w:rsidRPr="007A58EA">
        <w:rPr>
          <w:color w:val="000000" w:themeColor="text1"/>
        </w:rPr>
        <w:t xml:space="preserve">substantive </w:t>
      </w:r>
      <w:r w:rsidR="00DF6D70" w:rsidRPr="007A58EA">
        <w:rPr>
          <w:color w:val="000000" w:themeColor="text1"/>
        </w:rPr>
        <w:t xml:space="preserve">Union rules </w:t>
      </w:r>
      <w:r w:rsidR="00296B0C" w:rsidRPr="007A58EA">
        <w:rPr>
          <w:color w:val="000000" w:themeColor="text1"/>
        </w:rPr>
        <w:t xml:space="preserve">should </w:t>
      </w:r>
      <w:r w:rsidR="00DF6D70" w:rsidRPr="007A58EA">
        <w:rPr>
          <w:color w:val="000000" w:themeColor="text1"/>
        </w:rPr>
        <w:t>vest solely in the ECJ.</w:t>
      </w:r>
      <w:r w:rsidR="00DF6D70" w:rsidRPr="007A58EA">
        <w:rPr>
          <w:rStyle w:val="FootnoteReference"/>
          <w:color w:val="000000" w:themeColor="text1"/>
        </w:rPr>
        <w:footnoteReference w:id="51"/>
      </w:r>
      <w:r w:rsidR="00DF6D70" w:rsidRPr="007A58EA">
        <w:rPr>
          <w:color w:val="000000" w:themeColor="text1"/>
        </w:rPr>
        <w:t xml:space="preserve">  Nevertheless, the </w:t>
      </w:r>
      <w:r w:rsidR="00A25992" w:rsidRPr="007A58EA">
        <w:rPr>
          <w:color w:val="000000" w:themeColor="text1"/>
        </w:rPr>
        <w:t xml:space="preserve">Court </w:t>
      </w:r>
      <w:r w:rsidR="006244CD" w:rsidRPr="007A58EA">
        <w:rPr>
          <w:color w:val="000000" w:themeColor="text1"/>
        </w:rPr>
        <w:t xml:space="preserve">itself did not explicitly assert </w:t>
      </w:r>
      <w:r w:rsidR="00A25992" w:rsidRPr="007A58EA">
        <w:rPr>
          <w:color w:val="000000" w:themeColor="text1"/>
        </w:rPr>
        <w:t xml:space="preserve">the </w:t>
      </w:r>
      <w:r w:rsidR="006244CD" w:rsidRPr="007A58EA">
        <w:rPr>
          <w:color w:val="000000" w:themeColor="text1"/>
        </w:rPr>
        <w:t>exclusivity of its own direct jurisdiction</w:t>
      </w:r>
      <w:r w:rsidR="00DF6D70" w:rsidRPr="007A58EA">
        <w:rPr>
          <w:color w:val="000000" w:themeColor="text1"/>
        </w:rPr>
        <w:t xml:space="preserve"> – merely </w:t>
      </w:r>
      <w:r w:rsidR="006244CD" w:rsidRPr="007A58EA">
        <w:rPr>
          <w:color w:val="000000" w:themeColor="text1"/>
        </w:rPr>
        <w:t>stress</w:t>
      </w:r>
      <w:r w:rsidR="00DF6D70" w:rsidRPr="007A58EA">
        <w:rPr>
          <w:color w:val="000000" w:themeColor="text1"/>
        </w:rPr>
        <w:t>ing</w:t>
      </w:r>
      <w:r w:rsidR="006244CD" w:rsidRPr="007A58EA">
        <w:rPr>
          <w:color w:val="000000" w:themeColor="text1"/>
        </w:rPr>
        <w:t xml:space="preserve"> that </w:t>
      </w:r>
      <w:r w:rsidR="00A25992" w:rsidRPr="007A58EA">
        <w:rPr>
          <w:color w:val="000000" w:themeColor="text1"/>
        </w:rPr>
        <w:t xml:space="preserve">the </w:t>
      </w:r>
      <w:r w:rsidR="007174C8" w:rsidRPr="007A58EA">
        <w:rPr>
          <w:color w:val="000000" w:themeColor="text1"/>
        </w:rPr>
        <w:t>specific</w:t>
      </w:r>
      <w:r w:rsidR="006244CD" w:rsidRPr="007A58EA">
        <w:rPr>
          <w:color w:val="000000" w:themeColor="text1"/>
        </w:rPr>
        <w:t xml:space="preserve"> legal remedy </w:t>
      </w:r>
      <w:r w:rsidR="00A25992" w:rsidRPr="007A58EA">
        <w:rPr>
          <w:color w:val="000000" w:themeColor="text1"/>
        </w:rPr>
        <w:t xml:space="preserve">against removal, as provided for under Article 14 of Protocol No 4, </w:t>
      </w:r>
      <w:r w:rsidR="006244CD" w:rsidRPr="007A58EA">
        <w:rPr>
          <w:color w:val="000000" w:themeColor="text1"/>
        </w:rPr>
        <w:t>is without prejudice to other purely national procedures</w:t>
      </w:r>
      <w:r w:rsidR="00A25992" w:rsidRPr="007A58EA">
        <w:rPr>
          <w:color w:val="000000" w:themeColor="text1"/>
        </w:rPr>
        <w:t xml:space="preserve"> such as </w:t>
      </w:r>
      <w:r w:rsidR="006244CD" w:rsidRPr="007A58EA">
        <w:rPr>
          <w:color w:val="000000" w:themeColor="text1"/>
        </w:rPr>
        <w:t xml:space="preserve">criminal </w:t>
      </w:r>
      <w:r w:rsidR="00A25992" w:rsidRPr="007A58EA">
        <w:rPr>
          <w:color w:val="000000" w:themeColor="text1"/>
        </w:rPr>
        <w:t xml:space="preserve">investigations </w:t>
      </w:r>
      <w:r w:rsidR="006244CD" w:rsidRPr="007A58EA">
        <w:rPr>
          <w:color w:val="000000" w:themeColor="text1"/>
        </w:rPr>
        <w:t xml:space="preserve">into </w:t>
      </w:r>
      <w:r w:rsidR="00E244B0" w:rsidRPr="007A58EA">
        <w:rPr>
          <w:color w:val="000000" w:themeColor="text1"/>
        </w:rPr>
        <w:t xml:space="preserve">the behaviour of a </w:t>
      </w:r>
      <w:r w:rsidR="00A25992" w:rsidRPr="007A58EA">
        <w:rPr>
          <w:color w:val="000000" w:themeColor="text1"/>
        </w:rPr>
        <w:t>national central bank G</w:t>
      </w:r>
      <w:r w:rsidR="006244CD" w:rsidRPr="007A58EA">
        <w:rPr>
          <w:color w:val="000000" w:themeColor="text1"/>
        </w:rPr>
        <w:t>overnor.</w:t>
      </w:r>
      <w:r w:rsidR="002325CC" w:rsidRPr="007A58EA">
        <w:rPr>
          <w:rStyle w:val="FootnoteReference"/>
          <w:color w:val="000000" w:themeColor="text1"/>
        </w:rPr>
        <w:footnoteReference w:id="52"/>
      </w:r>
      <w:r w:rsidR="00274710" w:rsidRPr="007A58EA">
        <w:rPr>
          <w:color w:val="000000" w:themeColor="text1"/>
        </w:rPr>
        <w:t xml:space="preserve">  But if </w:t>
      </w:r>
      <w:r w:rsidR="00A25992" w:rsidRPr="007A58EA">
        <w:rPr>
          <w:color w:val="000000" w:themeColor="text1"/>
        </w:rPr>
        <w:t xml:space="preserve">Article 14 of Protocol No 4 </w:t>
      </w:r>
      <w:r w:rsidR="001D4849" w:rsidRPr="007A58EA">
        <w:rPr>
          <w:color w:val="000000" w:themeColor="text1"/>
        </w:rPr>
        <w:t xml:space="preserve">is </w:t>
      </w:r>
      <w:r w:rsidR="00272ED3" w:rsidRPr="007A58EA">
        <w:rPr>
          <w:color w:val="000000" w:themeColor="text1"/>
        </w:rPr>
        <w:t>truly</w:t>
      </w:r>
      <w:r w:rsidR="00922154" w:rsidRPr="007A58EA">
        <w:rPr>
          <w:color w:val="000000" w:themeColor="text1"/>
        </w:rPr>
        <w:t xml:space="preserve"> </w:t>
      </w:r>
      <w:r w:rsidR="001D4849" w:rsidRPr="007A58EA">
        <w:rPr>
          <w:color w:val="000000" w:themeColor="text1"/>
        </w:rPr>
        <w:t xml:space="preserve">analogous to </w:t>
      </w:r>
      <w:r w:rsidR="00A25992" w:rsidRPr="007A58EA">
        <w:rPr>
          <w:color w:val="000000" w:themeColor="text1"/>
        </w:rPr>
        <w:t xml:space="preserve">an </w:t>
      </w:r>
      <w:r w:rsidR="001D4849" w:rsidRPr="007A58EA">
        <w:rPr>
          <w:color w:val="000000" w:themeColor="text1"/>
        </w:rPr>
        <w:t xml:space="preserve">annulment action, </w:t>
      </w:r>
      <w:r w:rsidR="00272ED3" w:rsidRPr="007A58EA">
        <w:rPr>
          <w:color w:val="000000" w:themeColor="text1"/>
        </w:rPr>
        <w:t xml:space="preserve">we </w:t>
      </w:r>
      <w:r w:rsidR="00E244B0" w:rsidRPr="007A58EA">
        <w:rPr>
          <w:color w:val="000000" w:themeColor="text1"/>
        </w:rPr>
        <w:t xml:space="preserve">might expect </w:t>
      </w:r>
      <w:r w:rsidR="00A25992" w:rsidRPr="007A58EA">
        <w:rPr>
          <w:color w:val="000000" w:themeColor="text1"/>
        </w:rPr>
        <w:t>national removal decisions effectively to be assimilated to Union act</w:t>
      </w:r>
      <w:r w:rsidR="00296B0C" w:rsidRPr="007A58EA">
        <w:rPr>
          <w:color w:val="000000" w:themeColor="text1"/>
        </w:rPr>
        <w:t>s</w:t>
      </w:r>
      <w:r w:rsidR="00A25992" w:rsidRPr="007A58EA">
        <w:rPr>
          <w:color w:val="000000" w:themeColor="text1"/>
        </w:rPr>
        <w:t xml:space="preserve"> in terms of their amenability to judicial scrutiny and thereby </w:t>
      </w:r>
      <w:r w:rsidR="00296B0C" w:rsidRPr="007A58EA">
        <w:rPr>
          <w:color w:val="000000" w:themeColor="text1"/>
        </w:rPr>
        <w:t xml:space="preserve">to </w:t>
      </w:r>
      <w:r w:rsidR="00A25992" w:rsidRPr="007A58EA">
        <w:rPr>
          <w:color w:val="000000" w:themeColor="text1"/>
        </w:rPr>
        <w:t xml:space="preserve">become subject to the same rule of exclusivity: </w:t>
      </w:r>
      <w:r w:rsidR="001D4849" w:rsidRPr="007A58EA">
        <w:rPr>
          <w:color w:val="000000" w:themeColor="text1"/>
        </w:rPr>
        <w:t xml:space="preserve">only </w:t>
      </w:r>
      <w:r w:rsidR="00A25992" w:rsidRPr="007A58EA">
        <w:rPr>
          <w:color w:val="000000" w:themeColor="text1"/>
        </w:rPr>
        <w:t xml:space="preserve">the ECJ </w:t>
      </w:r>
      <w:r w:rsidR="001D4849" w:rsidRPr="007A58EA">
        <w:rPr>
          <w:color w:val="000000" w:themeColor="text1"/>
        </w:rPr>
        <w:t xml:space="preserve">can rule on </w:t>
      </w:r>
      <w:r w:rsidR="00A25992" w:rsidRPr="007A58EA">
        <w:rPr>
          <w:color w:val="000000" w:themeColor="text1"/>
        </w:rPr>
        <w:t xml:space="preserve">the </w:t>
      </w:r>
      <w:r w:rsidR="001D4849" w:rsidRPr="007A58EA">
        <w:rPr>
          <w:color w:val="000000" w:themeColor="text1"/>
        </w:rPr>
        <w:t>legality of removal</w:t>
      </w:r>
      <w:r w:rsidR="00922154" w:rsidRPr="007A58EA">
        <w:rPr>
          <w:color w:val="000000" w:themeColor="text1"/>
        </w:rPr>
        <w:t xml:space="preserve"> decision</w:t>
      </w:r>
      <w:r w:rsidR="00A25992" w:rsidRPr="007A58EA">
        <w:rPr>
          <w:color w:val="000000" w:themeColor="text1"/>
        </w:rPr>
        <w:t>s</w:t>
      </w:r>
      <w:r w:rsidR="00274710" w:rsidRPr="007A58EA">
        <w:rPr>
          <w:color w:val="000000" w:themeColor="text1"/>
        </w:rPr>
        <w:t xml:space="preserve"> as such</w:t>
      </w:r>
      <w:r w:rsidR="00A25992" w:rsidRPr="007A58EA">
        <w:rPr>
          <w:color w:val="000000" w:themeColor="text1"/>
        </w:rPr>
        <w:t>,</w:t>
      </w:r>
      <w:r w:rsidR="00274710" w:rsidRPr="007A58EA">
        <w:rPr>
          <w:color w:val="000000" w:themeColor="text1"/>
        </w:rPr>
        <w:t xml:space="preserve"> and regardless of </w:t>
      </w:r>
      <w:r w:rsidR="00A25992" w:rsidRPr="007A58EA">
        <w:rPr>
          <w:color w:val="000000" w:themeColor="text1"/>
        </w:rPr>
        <w:t xml:space="preserve">the </w:t>
      </w:r>
      <w:r w:rsidR="00274710" w:rsidRPr="007A58EA">
        <w:rPr>
          <w:color w:val="000000" w:themeColor="text1"/>
        </w:rPr>
        <w:t xml:space="preserve">outcome of </w:t>
      </w:r>
      <w:r w:rsidR="00A25992" w:rsidRPr="007A58EA">
        <w:rPr>
          <w:color w:val="000000" w:themeColor="text1"/>
        </w:rPr>
        <w:t xml:space="preserve">any </w:t>
      </w:r>
      <w:r w:rsidR="00274710" w:rsidRPr="007A58EA">
        <w:rPr>
          <w:color w:val="000000" w:themeColor="text1"/>
        </w:rPr>
        <w:t xml:space="preserve">other </w:t>
      </w:r>
      <w:r w:rsidR="00A25992" w:rsidRPr="007A58EA">
        <w:rPr>
          <w:color w:val="000000" w:themeColor="text1"/>
        </w:rPr>
        <w:t xml:space="preserve">domestic </w:t>
      </w:r>
      <w:r w:rsidR="00274710" w:rsidRPr="007A58EA">
        <w:rPr>
          <w:color w:val="000000" w:themeColor="text1"/>
        </w:rPr>
        <w:t>proceedings (however related</w:t>
      </w:r>
      <w:r w:rsidR="007174C8" w:rsidRPr="007A58EA">
        <w:rPr>
          <w:color w:val="000000" w:themeColor="text1"/>
        </w:rPr>
        <w:t xml:space="preserve"> </w:t>
      </w:r>
      <w:r w:rsidR="00942B12" w:rsidRPr="007A58EA">
        <w:rPr>
          <w:color w:val="000000" w:themeColor="text1"/>
        </w:rPr>
        <w:t>those</w:t>
      </w:r>
      <w:r w:rsidR="007174C8" w:rsidRPr="007A58EA">
        <w:rPr>
          <w:color w:val="000000" w:themeColor="text1"/>
        </w:rPr>
        <w:t xml:space="preserve"> may </w:t>
      </w:r>
      <w:r w:rsidR="00A25992" w:rsidRPr="007A58EA">
        <w:rPr>
          <w:color w:val="000000" w:themeColor="text1"/>
        </w:rPr>
        <w:t xml:space="preserve">be </w:t>
      </w:r>
      <w:r w:rsidR="007174C8" w:rsidRPr="007A58EA">
        <w:rPr>
          <w:color w:val="000000" w:themeColor="text1"/>
        </w:rPr>
        <w:t xml:space="preserve">to the wider factual situation </w:t>
      </w:r>
      <w:r w:rsidR="00942B12" w:rsidRPr="007A58EA">
        <w:rPr>
          <w:color w:val="000000" w:themeColor="text1"/>
        </w:rPr>
        <w:t xml:space="preserve">surrounding </w:t>
      </w:r>
      <w:r w:rsidR="00A25992" w:rsidRPr="007A58EA">
        <w:rPr>
          <w:color w:val="000000" w:themeColor="text1"/>
        </w:rPr>
        <w:t xml:space="preserve">the Governor’s position </w:t>
      </w:r>
      <w:r w:rsidR="00942B12" w:rsidRPr="007A58EA">
        <w:rPr>
          <w:color w:val="000000" w:themeColor="text1"/>
        </w:rPr>
        <w:t>or behaviour</w:t>
      </w:r>
      <w:r w:rsidR="00274710" w:rsidRPr="007A58EA">
        <w:rPr>
          <w:color w:val="000000" w:themeColor="text1"/>
        </w:rPr>
        <w:t>)</w:t>
      </w:r>
      <w:r w:rsidR="00A25992" w:rsidRPr="007A58EA">
        <w:rPr>
          <w:color w:val="000000" w:themeColor="text1"/>
        </w:rPr>
        <w:t xml:space="preserve">; </w:t>
      </w:r>
      <w:r w:rsidR="006662CA" w:rsidRPr="007A58EA">
        <w:rPr>
          <w:color w:val="000000" w:themeColor="text1"/>
        </w:rPr>
        <w:t>i</w:t>
      </w:r>
      <w:r w:rsidR="00EA199B" w:rsidRPr="007A58EA">
        <w:rPr>
          <w:color w:val="000000" w:themeColor="text1"/>
        </w:rPr>
        <w:t xml:space="preserve">f </w:t>
      </w:r>
      <w:r w:rsidR="006662CA" w:rsidRPr="007A58EA">
        <w:rPr>
          <w:color w:val="000000" w:themeColor="text1"/>
        </w:rPr>
        <w:t xml:space="preserve">a </w:t>
      </w:r>
      <w:r w:rsidR="001D4849" w:rsidRPr="007A58EA">
        <w:rPr>
          <w:color w:val="000000" w:themeColor="text1"/>
        </w:rPr>
        <w:t xml:space="preserve">removal </w:t>
      </w:r>
      <w:r w:rsidR="006662CA" w:rsidRPr="007A58EA">
        <w:rPr>
          <w:color w:val="000000" w:themeColor="text1"/>
        </w:rPr>
        <w:t xml:space="preserve">decision </w:t>
      </w:r>
      <w:r w:rsidR="004B61DF">
        <w:rPr>
          <w:color w:val="000000" w:themeColor="text1"/>
        </w:rPr>
        <w:t xml:space="preserve">as such </w:t>
      </w:r>
      <w:r w:rsidR="001D4849" w:rsidRPr="007A58EA">
        <w:rPr>
          <w:color w:val="000000" w:themeColor="text1"/>
        </w:rPr>
        <w:t xml:space="preserve">were to be challenged </w:t>
      </w:r>
      <w:r w:rsidR="006662CA" w:rsidRPr="007A58EA">
        <w:rPr>
          <w:color w:val="000000" w:themeColor="text1"/>
        </w:rPr>
        <w:t xml:space="preserve">instead </w:t>
      </w:r>
      <w:r w:rsidR="001D4849" w:rsidRPr="007A58EA">
        <w:rPr>
          <w:color w:val="000000" w:themeColor="text1"/>
        </w:rPr>
        <w:t xml:space="preserve">before </w:t>
      </w:r>
      <w:r w:rsidR="006662CA" w:rsidRPr="007A58EA">
        <w:rPr>
          <w:color w:val="000000" w:themeColor="text1"/>
        </w:rPr>
        <w:t xml:space="preserve">the </w:t>
      </w:r>
      <w:r w:rsidR="001D4849" w:rsidRPr="007A58EA">
        <w:rPr>
          <w:color w:val="000000" w:themeColor="text1"/>
        </w:rPr>
        <w:t>national court</w:t>
      </w:r>
      <w:r w:rsidR="006662CA" w:rsidRPr="007A58EA">
        <w:rPr>
          <w:color w:val="000000" w:themeColor="text1"/>
        </w:rPr>
        <w:t>s</w:t>
      </w:r>
      <w:r w:rsidR="001D4849" w:rsidRPr="007A58EA">
        <w:rPr>
          <w:color w:val="000000" w:themeColor="text1"/>
        </w:rPr>
        <w:t xml:space="preserve">, </w:t>
      </w:r>
      <w:r w:rsidR="006662CA" w:rsidRPr="007A58EA">
        <w:rPr>
          <w:color w:val="000000" w:themeColor="text1"/>
        </w:rPr>
        <w:t xml:space="preserve">the </w:t>
      </w:r>
      <w:r w:rsidR="001D4849" w:rsidRPr="007A58EA">
        <w:rPr>
          <w:color w:val="000000" w:themeColor="text1"/>
        </w:rPr>
        <w:t xml:space="preserve">latter </w:t>
      </w:r>
      <w:r w:rsidR="00EA199B" w:rsidRPr="007A58EA">
        <w:rPr>
          <w:color w:val="000000" w:themeColor="text1"/>
        </w:rPr>
        <w:t>should</w:t>
      </w:r>
      <w:r w:rsidR="001D4849" w:rsidRPr="007A58EA">
        <w:rPr>
          <w:color w:val="000000" w:themeColor="text1"/>
        </w:rPr>
        <w:t xml:space="preserve"> </w:t>
      </w:r>
      <w:r w:rsidR="00922154" w:rsidRPr="007A58EA">
        <w:rPr>
          <w:color w:val="000000" w:themeColor="text1"/>
        </w:rPr>
        <w:t xml:space="preserve">either decline jurisdiction </w:t>
      </w:r>
      <w:r w:rsidR="00EA199B" w:rsidRPr="007A58EA">
        <w:rPr>
          <w:color w:val="000000" w:themeColor="text1"/>
        </w:rPr>
        <w:t>altogether</w:t>
      </w:r>
      <w:r w:rsidR="00184141" w:rsidRPr="007A58EA">
        <w:rPr>
          <w:color w:val="000000" w:themeColor="text1"/>
        </w:rPr>
        <w:t xml:space="preserve"> </w:t>
      </w:r>
      <w:r w:rsidR="00922154" w:rsidRPr="007A58EA">
        <w:rPr>
          <w:color w:val="000000" w:themeColor="text1"/>
        </w:rPr>
        <w:t xml:space="preserve">or (at most) </w:t>
      </w:r>
      <w:r w:rsidR="001D4849" w:rsidRPr="007A58EA">
        <w:rPr>
          <w:color w:val="000000" w:themeColor="text1"/>
        </w:rPr>
        <w:t xml:space="preserve">pass </w:t>
      </w:r>
      <w:r w:rsidR="006662CA" w:rsidRPr="007A58EA">
        <w:rPr>
          <w:color w:val="000000" w:themeColor="text1"/>
        </w:rPr>
        <w:t xml:space="preserve">the </w:t>
      </w:r>
      <w:r w:rsidR="00922154" w:rsidRPr="007A58EA">
        <w:rPr>
          <w:color w:val="000000" w:themeColor="text1"/>
        </w:rPr>
        <w:t xml:space="preserve">challenge </w:t>
      </w:r>
      <w:r w:rsidR="006662CA" w:rsidRPr="007A58EA">
        <w:rPr>
          <w:color w:val="000000" w:themeColor="text1"/>
        </w:rPr>
        <w:t xml:space="preserve">on </w:t>
      </w:r>
      <w:r w:rsidR="00922154" w:rsidRPr="007A58EA">
        <w:rPr>
          <w:color w:val="000000" w:themeColor="text1"/>
        </w:rPr>
        <w:t xml:space="preserve">to </w:t>
      </w:r>
      <w:r w:rsidR="006662CA" w:rsidRPr="007A58EA">
        <w:rPr>
          <w:color w:val="000000" w:themeColor="text1"/>
        </w:rPr>
        <w:t xml:space="preserve">the Court itself </w:t>
      </w:r>
      <w:r w:rsidR="001D4849" w:rsidRPr="007A58EA">
        <w:rPr>
          <w:color w:val="000000" w:themeColor="text1"/>
        </w:rPr>
        <w:t xml:space="preserve">via </w:t>
      </w:r>
      <w:r w:rsidR="006662CA" w:rsidRPr="007A58EA">
        <w:rPr>
          <w:color w:val="000000" w:themeColor="text1"/>
        </w:rPr>
        <w:t xml:space="preserve">a </w:t>
      </w:r>
      <w:r w:rsidR="001D4849" w:rsidRPr="007A58EA">
        <w:rPr>
          <w:color w:val="000000" w:themeColor="text1"/>
        </w:rPr>
        <w:t>preliminary reference</w:t>
      </w:r>
      <w:r w:rsidR="006662CA" w:rsidRPr="007A58EA">
        <w:rPr>
          <w:color w:val="000000" w:themeColor="text1"/>
        </w:rPr>
        <w:t xml:space="preserve"> – presumably subject </w:t>
      </w:r>
      <w:r w:rsidR="001D4849" w:rsidRPr="007A58EA">
        <w:rPr>
          <w:color w:val="000000" w:themeColor="text1"/>
        </w:rPr>
        <w:t xml:space="preserve">to </w:t>
      </w:r>
      <w:r w:rsidR="006662CA" w:rsidRPr="007A58EA">
        <w:rPr>
          <w:color w:val="000000" w:themeColor="text1"/>
        </w:rPr>
        <w:t xml:space="preserve">the </w:t>
      </w:r>
      <w:r w:rsidR="004B61DF">
        <w:rPr>
          <w:color w:val="000000" w:themeColor="text1"/>
        </w:rPr>
        <w:t xml:space="preserve">usual </w:t>
      </w:r>
      <w:r w:rsidR="001D4849" w:rsidRPr="007A58EA">
        <w:rPr>
          <w:i/>
          <w:iCs/>
          <w:color w:val="000000" w:themeColor="text1"/>
        </w:rPr>
        <w:t>TWD</w:t>
      </w:r>
      <w:r w:rsidR="001D4849" w:rsidRPr="007A58EA">
        <w:rPr>
          <w:color w:val="000000" w:themeColor="text1"/>
        </w:rPr>
        <w:t xml:space="preserve"> </w:t>
      </w:r>
      <w:r w:rsidR="006662CA" w:rsidRPr="007A58EA">
        <w:rPr>
          <w:color w:val="000000" w:themeColor="text1"/>
        </w:rPr>
        <w:t>principle that indirect validity references cannot be used to circumvent the two</w:t>
      </w:r>
      <w:r w:rsidR="004B61DF">
        <w:rPr>
          <w:color w:val="000000" w:themeColor="text1"/>
        </w:rPr>
        <w:t>-</w:t>
      </w:r>
      <w:r w:rsidR="001D4849" w:rsidRPr="007A58EA">
        <w:rPr>
          <w:color w:val="000000" w:themeColor="text1"/>
        </w:rPr>
        <w:t xml:space="preserve">month limitation period </w:t>
      </w:r>
      <w:r w:rsidR="00922154" w:rsidRPr="007A58EA">
        <w:rPr>
          <w:color w:val="000000" w:themeColor="text1"/>
        </w:rPr>
        <w:t xml:space="preserve">applicable to </w:t>
      </w:r>
      <w:r w:rsidR="001D4849" w:rsidRPr="007A58EA">
        <w:rPr>
          <w:color w:val="000000" w:themeColor="text1"/>
        </w:rPr>
        <w:t>direct action</w:t>
      </w:r>
      <w:r w:rsidR="006662CA" w:rsidRPr="007A58EA">
        <w:rPr>
          <w:color w:val="000000" w:themeColor="text1"/>
        </w:rPr>
        <w:t>s</w:t>
      </w:r>
      <w:r w:rsidR="001D4849" w:rsidRPr="007A58EA">
        <w:rPr>
          <w:color w:val="000000" w:themeColor="text1"/>
        </w:rPr>
        <w:t>.</w:t>
      </w:r>
      <w:r w:rsidR="00296B0C" w:rsidRPr="007A58EA">
        <w:rPr>
          <w:rStyle w:val="FootnoteReference"/>
          <w:color w:val="000000" w:themeColor="text1"/>
        </w:rPr>
        <w:footnoteReference w:id="53"/>
      </w:r>
      <w:r w:rsidR="001D4849" w:rsidRPr="007A58EA">
        <w:rPr>
          <w:color w:val="000000" w:themeColor="text1"/>
        </w:rPr>
        <w:t xml:space="preserve">  </w:t>
      </w:r>
    </w:p>
    <w:p w14:paraId="3677CE19" w14:textId="77777777" w:rsidR="007E0CDE" w:rsidRDefault="006662CA" w:rsidP="007E0CDE">
      <w:pPr>
        <w:ind w:firstLine="720"/>
        <w:jc w:val="both"/>
        <w:rPr>
          <w:color w:val="000000" w:themeColor="text1"/>
        </w:rPr>
      </w:pPr>
      <w:r w:rsidRPr="007A58EA">
        <w:rPr>
          <w:color w:val="000000" w:themeColor="text1"/>
        </w:rPr>
        <w:t xml:space="preserve">Whatever the answer to the outstanding question about exclusivity, the </w:t>
      </w:r>
      <w:r w:rsidR="00483AF8" w:rsidRPr="007A58EA">
        <w:rPr>
          <w:color w:val="000000" w:themeColor="text1"/>
        </w:rPr>
        <w:t>constitutional</w:t>
      </w:r>
      <w:r w:rsidR="005E31D9" w:rsidRPr="007A58EA">
        <w:rPr>
          <w:color w:val="000000" w:themeColor="text1"/>
        </w:rPr>
        <w:t xml:space="preserve"> significance of </w:t>
      </w:r>
      <w:r w:rsidRPr="007A58EA">
        <w:rPr>
          <w:i/>
          <w:iCs/>
          <w:color w:val="000000" w:themeColor="text1"/>
        </w:rPr>
        <w:t>Rimšēvičs</w:t>
      </w:r>
      <w:r w:rsidRPr="007A58EA">
        <w:rPr>
          <w:color w:val="000000" w:themeColor="text1"/>
        </w:rPr>
        <w:t xml:space="preserve"> </w:t>
      </w:r>
      <w:r w:rsidR="00DE2AD8" w:rsidRPr="007A58EA">
        <w:rPr>
          <w:color w:val="000000" w:themeColor="text1"/>
        </w:rPr>
        <w:t>is</w:t>
      </w:r>
      <w:r w:rsidR="005E31D9" w:rsidRPr="007A58EA">
        <w:rPr>
          <w:color w:val="000000" w:themeColor="text1"/>
        </w:rPr>
        <w:t xml:space="preserve"> clear: </w:t>
      </w:r>
      <w:r w:rsidRPr="007A58EA">
        <w:rPr>
          <w:color w:val="000000" w:themeColor="text1"/>
        </w:rPr>
        <w:t xml:space="preserve">the case confirms, </w:t>
      </w:r>
      <w:r w:rsidR="005E31D9" w:rsidRPr="007A58EA">
        <w:rPr>
          <w:color w:val="000000" w:themeColor="text1"/>
        </w:rPr>
        <w:t xml:space="preserve">not just </w:t>
      </w:r>
      <w:r w:rsidR="00450371" w:rsidRPr="007A58EA">
        <w:rPr>
          <w:color w:val="000000" w:themeColor="text1"/>
        </w:rPr>
        <w:t xml:space="preserve">the existence of a jurisdiction vested directly in the </w:t>
      </w:r>
      <w:r w:rsidR="005E31D9" w:rsidRPr="007A58EA">
        <w:rPr>
          <w:color w:val="000000" w:themeColor="text1"/>
        </w:rPr>
        <w:t>Court</w:t>
      </w:r>
      <w:r w:rsidR="00450371" w:rsidRPr="007A58EA">
        <w:rPr>
          <w:color w:val="000000" w:themeColor="text1"/>
        </w:rPr>
        <w:t xml:space="preserve"> itself </w:t>
      </w:r>
      <w:r w:rsidR="00230543" w:rsidRPr="007A58EA">
        <w:rPr>
          <w:color w:val="000000" w:themeColor="text1"/>
        </w:rPr>
        <w:t xml:space="preserve">to assess and determine </w:t>
      </w:r>
      <w:r w:rsidR="00450371" w:rsidRPr="007A58EA">
        <w:rPr>
          <w:color w:val="000000" w:themeColor="text1"/>
        </w:rPr>
        <w:t xml:space="preserve">the lawfulness of </w:t>
      </w:r>
      <w:r w:rsidR="005E31D9" w:rsidRPr="007A58EA">
        <w:rPr>
          <w:color w:val="000000" w:themeColor="text1"/>
        </w:rPr>
        <w:t>certain national acts</w:t>
      </w:r>
      <w:r w:rsidRPr="007A58EA">
        <w:rPr>
          <w:color w:val="000000" w:themeColor="text1"/>
        </w:rPr>
        <w:t>,</w:t>
      </w:r>
      <w:r w:rsidR="005E31D9" w:rsidRPr="007A58EA">
        <w:rPr>
          <w:color w:val="000000" w:themeColor="text1"/>
        </w:rPr>
        <w:t xml:space="preserve"> </w:t>
      </w:r>
      <w:r w:rsidRPr="007A58EA">
        <w:rPr>
          <w:color w:val="000000" w:themeColor="text1"/>
        </w:rPr>
        <w:t xml:space="preserve">but </w:t>
      </w:r>
      <w:r w:rsidR="005E31D9" w:rsidRPr="007A58EA">
        <w:rPr>
          <w:color w:val="000000" w:themeColor="text1"/>
        </w:rPr>
        <w:t xml:space="preserve">also </w:t>
      </w:r>
      <w:r w:rsidR="00B72AD5" w:rsidRPr="007A58EA">
        <w:rPr>
          <w:color w:val="000000" w:themeColor="text1"/>
        </w:rPr>
        <w:t xml:space="preserve">and as an inherent consequence the </w:t>
      </w:r>
      <w:r w:rsidR="005E31D9" w:rsidRPr="007A58EA">
        <w:rPr>
          <w:color w:val="000000" w:themeColor="text1"/>
        </w:rPr>
        <w:t xml:space="preserve">strengthening of </w:t>
      </w:r>
      <w:r w:rsidRPr="007A58EA">
        <w:rPr>
          <w:color w:val="000000" w:themeColor="text1"/>
        </w:rPr>
        <w:t xml:space="preserve">Union law’s capacity to </w:t>
      </w:r>
      <w:r w:rsidR="00230543" w:rsidRPr="007A58EA">
        <w:rPr>
          <w:color w:val="000000" w:themeColor="text1"/>
        </w:rPr>
        <w:t>prescribe</w:t>
      </w:r>
      <w:r w:rsidRPr="007A58EA">
        <w:rPr>
          <w:color w:val="000000" w:themeColor="text1"/>
        </w:rPr>
        <w:t xml:space="preserve"> the precise legal consequences of incompatibility within the domestic legal system – </w:t>
      </w:r>
      <w:r w:rsidR="006370B0" w:rsidRPr="007A58EA">
        <w:rPr>
          <w:color w:val="000000" w:themeColor="text1"/>
        </w:rPr>
        <w:t>extending</w:t>
      </w:r>
      <w:r w:rsidRPr="007A58EA">
        <w:rPr>
          <w:color w:val="000000" w:themeColor="text1"/>
        </w:rPr>
        <w:t xml:space="preserve"> primacy </w:t>
      </w:r>
      <w:r w:rsidR="006370B0" w:rsidRPr="007A58EA">
        <w:rPr>
          <w:color w:val="000000" w:themeColor="text1"/>
        </w:rPr>
        <w:t xml:space="preserve">beyond the standard expectation of disapplication, so as to create </w:t>
      </w:r>
      <w:r w:rsidR="00B72AD5" w:rsidRPr="007A58EA">
        <w:rPr>
          <w:color w:val="000000" w:themeColor="text1"/>
        </w:rPr>
        <w:t xml:space="preserve">a </w:t>
      </w:r>
      <w:r w:rsidR="006370B0" w:rsidRPr="007A58EA">
        <w:rPr>
          <w:color w:val="000000" w:themeColor="text1"/>
        </w:rPr>
        <w:t xml:space="preserve">novel </w:t>
      </w:r>
      <w:r w:rsidR="00B72AD5" w:rsidRPr="007A58EA">
        <w:rPr>
          <w:color w:val="000000" w:themeColor="text1"/>
        </w:rPr>
        <w:t>remedy of nullity</w:t>
      </w:r>
      <w:r w:rsidR="005E31D9" w:rsidRPr="007A58EA">
        <w:rPr>
          <w:color w:val="000000" w:themeColor="text1"/>
        </w:rPr>
        <w:t>.</w:t>
      </w:r>
    </w:p>
    <w:p w14:paraId="028739D6" w14:textId="50FEDAC0" w:rsidR="007E0CDE" w:rsidRDefault="001246D1" w:rsidP="007E0CDE">
      <w:pPr>
        <w:ind w:firstLine="720"/>
        <w:jc w:val="both"/>
        <w:rPr>
          <w:color w:val="000000" w:themeColor="text1"/>
        </w:rPr>
      </w:pPr>
      <w:r>
        <w:rPr>
          <w:color w:val="000000" w:themeColor="text1"/>
        </w:rPr>
        <w:t>A</w:t>
      </w:r>
      <w:r w:rsidR="005E31D9" w:rsidRPr="007A58EA">
        <w:rPr>
          <w:color w:val="000000" w:themeColor="text1"/>
        </w:rPr>
        <w:t>s ever</w:t>
      </w:r>
      <w:r w:rsidR="0016082D" w:rsidRPr="007A58EA">
        <w:rPr>
          <w:color w:val="000000" w:themeColor="text1"/>
        </w:rPr>
        <w:t xml:space="preserve"> under the </w:t>
      </w:r>
      <w:r w:rsidR="0016082D" w:rsidRPr="007A58EA">
        <w:rPr>
          <w:i/>
          <w:iCs/>
          <w:color w:val="000000" w:themeColor="text1"/>
        </w:rPr>
        <w:t>Popławski</w:t>
      </w:r>
      <w:r w:rsidR="0016082D" w:rsidRPr="007A58EA">
        <w:rPr>
          <w:color w:val="000000" w:themeColor="text1"/>
        </w:rPr>
        <w:t xml:space="preserve"> model </w:t>
      </w:r>
      <w:r w:rsidR="00DA3C50" w:rsidRPr="007A58EA">
        <w:rPr>
          <w:color w:val="000000" w:themeColor="text1"/>
        </w:rPr>
        <w:t>of separate, albeit closely interlinked, EU-Member State legal systems</w:t>
      </w:r>
      <w:r w:rsidR="006370B0" w:rsidRPr="007A58EA">
        <w:rPr>
          <w:color w:val="000000" w:themeColor="text1"/>
        </w:rPr>
        <w:t>,</w:t>
      </w:r>
      <w:r w:rsidR="00BD77C7" w:rsidRPr="007A58EA">
        <w:rPr>
          <w:color w:val="000000" w:themeColor="text1"/>
        </w:rPr>
        <w:t xml:space="preserve"> the jurisdictional shift in </w:t>
      </w:r>
      <w:r w:rsidR="006370B0" w:rsidRPr="007A58EA">
        <w:rPr>
          <w:i/>
          <w:iCs/>
          <w:color w:val="000000" w:themeColor="text1"/>
        </w:rPr>
        <w:t>Rimšēvičs</w:t>
      </w:r>
      <w:r w:rsidR="006370B0" w:rsidRPr="007A58EA">
        <w:rPr>
          <w:color w:val="000000" w:themeColor="text1"/>
        </w:rPr>
        <w:t xml:space="preserve"> </w:t>
      </w:r>
      <w:r w:rsidR="00BD77C7" w:rsidRPr="007A58EA">
        <w:rPr>
          <w:color w:val="000000" w:themeColor="text1"/>
        </w:rPr>
        <w:t xml:space="preserve">is only as good as the willingness of </w:t>
      </w:r>
      <w:r w:rsidR="006370B0" w:rsidRPr="007A58EA">
        <w:rPr>
          <w:color w:val="000000" w:themeColor="text1"/>
        </w:rPr>
        <w:t xml:space="preserve">the </w:t>
      </w:r>
      <w:r w:rsidR="00BD77C7" w:rsidRPr="007A58EA">
        <w:rPr>
          <w:color w:val="000000" w:themeColor="text1"/>
        </w:rPr>
        <w:t>national courts to comply in practice</w:t>
      </w:r>
      <w:r w:rsidR="006370B0" w:rsidRPr="007A58EA">
        <w:rPr>
          <w:color w:val="000000" w:themeColor="text1"/>
        </w:rPr>
        <w:t xml:space="preserve">: </w:t>
      </w:r>
      <w:r w:rsidR="004B61DF">
        <w:rPr>
          <w:color w:val="000000" w:themeColor="text1"/>
        </w:rPr>
        <w:t xml:space="preserve">first, </w:t>
      </w:r>
      <w:r w:rsidR="00BD77C7" w:rsidRPr="007A58EA">
        <w:rPr>
          <w:color w:val="000000" w:themeColor="text1"/>
        </w:rPr>
        <w:t xml:space="preserve">by recognising the Court’s competence directly to adjudicate over the validity of national </w:t>
      </w:r>
      <w:r w:rsidR="006370B0" w:rsidRPr="007A58EA">
        <w:rPr>
          <w:color w:val="000000" w:themeColor="text1"/>
        </w:rPr>
        <w:t xml:space="preserve">removal </w:t>
      </w:r>
      <w:r w:rsidR="00BD77C7" w:rsidRPr="007A58EA">
        <w:rPr>
          <w:color w:val="000000" w:themeColor="text1"/>
        </w:rPr>
        <w:t>decision</w:t>
      </w:r>
      <w:r w:rsidR="006370B0" w:rsidRPr="007A58EA">
        <w:rPr>
          <w:color w:val="000000" w:themeColor="text1"/>
        </w:rPr>
        <w:t>s</w:t>
      </w:r>
      <w:r w:rsidR="005E31D9" w:rsidRPr="007A58EA">
        <w:rPr>
          <w:color w:val="000000" w:themeColor="text1"/>
        </w:rPr>
        <w:t>;</w:t>
      </w:r>
      <w:r w:rsidR="00BD77C7" w:rsidRPr="007A58EA">
        <w:rPr>
          <w:color w:val="000000" w:themeColor="text1"/>
        </w:rPr>
        <w:t xml:space="preserve"> </w:t>
      </w:r>
      <w:r w:rsidR="004B61DF">
        <w:rPr>
          <w:color w:val="000000" w:themeColor="text1"/>
        </w:rPr>
        <w:t xml:space="preserve">secondly, </w:t>
      </w:r>
      <w:r w:rsidR="00DE2AD8" w:rsidRPr="007A58EA">
        <w:rPr>
          <w:color w:val="000000" w:themeColor="text1"/>
        </w:rPr>
        <w:t xml:space="preserve">by </w:t>
      </w:r>
      <w:r w:rsidR="005E31D9" w:rsidRPr="007A58EA">
        <w:rPr>
          <w:color w:val="000000" w:themeColor="text1"/>
        </w:rPr>
        <w:t xml:space="preserve">accepting that </w:t>
      </w:r>
      <w:r w:rsidR="00BD77C7" w:rsidRPr="007A58EA">
        <w:rPr>
          <w:color w:val="000000" w:themeColor="text1"/>
        </w:rPr>
        <w:t xml:space="preserve">the latter’s annulment </w:t>
      </w:r>
      <w:r w:rsidR="005E31D9" w:rsidRPr="007A58EA">
        <w:rPr>
          <w:color w:val="000000" w:themeColor="text1"/>
        </w:rPr>
        <w:t xml:space="preserve">may </w:t>
      </w:r>
      <w:r w:rsidR="00BD77C7" w:rsidRPr="007A58EA">
        <w:rPr>
          <w:color w:val="000000" w:themeColor="text1"/>
        </w:rPr>
        <w:t>produce immediate legal effects as such within the domestic legal system</w:t>
      </w:r>
      <w:r w:rsidR="00DE2AD8" w:rsidRPr="007A58EA">
        <w:rPr>
          <w:color w:val="000000" w:themeColor="text1"/>
        </w:rPr>
        <w:t>;</w:t>
      </w:r>
      <w:r w:rsidR="005E31D9" w:rsidRPr="007A58EA">
        <w:rPr>
          <w:color w:val="000000" w:themeColor="text1"/>
        </w:rPr>
        <w:t xml:space="preserve"> </w:t>
      </w:r>
      <w:r w:rsidR="006370B0" w:rsidRPr="007A58EA">
        <w:rPr>
          <w:color w:val="000000" w:themeColor="text1"/>
        </w:rPr>
        <w:t xml:space="preserve">and </w:t>
      </w:r>
      <w:r w:rsidR="004B61DF">
        <w:rPr>
          <w:color w:val="000000" w:themeColor="text1"/>
        </w:rPr>
        <w:t xml:space="preserve">thirdly, </w:t>
      </w:r>
      <w:r w:rsidR="00BD77C7" w:rsidRPr="007A58EA">
        <w:rPr>
          <w:color w:val="000000" w:themeColor="text1"/>
        </w:rPr>
        <w:t>possibly also</w:t>
      </w:r>
      <w:r w:rsidR="006370B0" w:rsidRPr="007A58EA">
        <w:rPr>
          <w:color w:val="000000" w:themeColor="text1"/>
        </w:rPr>
        <w:t xml:space="preserve"> (</w:t>
      </w:r>
      <w:r w:rsidR="00BD77C7" w:rsidRPr="007A58EA">
        <w:rPr>
          <w:color w:val="000000" w:themeColor="text1"/>
        </w:rPr>
        <w:t xml:space="preserve">if the </w:t>
      </w:r>
      <w:r w:rsidR="006370B0" w:rsidRPr="007A58EA">
        <w:rPr>
          <w:color w:val="000000" w:themeColor="text1"/>
        </w:rPr>
        <w:t xml:space="preserve">Court’s </w:t>
      </w:r>
      <w:r w:rsidR="00BD77C7" w:rsidRPr="007A58EA">
        <w:rPr>
          <w:color w:val="000000" w:themeColor="text1"/>
        </w:rPr>
        <w:t>competence is indeed to be considered exclusive</w:t>
      </w:r>
      <w:r w:rsidR="006370B0" w:rsidRPr="007A58EA">
        <w:rPr>
          <w:color w:val="000000" w:themeColor="text1"/>
        </w:rPr>
        <w:t xml:space="preserve">) </w:t>
      </w:r>
      <w:r w:rsidR="00BD77C7" w:rsidRPr="007A58EA">
        <w:rPr>
          <w:color w:val="000000" w:themeColor="text1"/>
        </w:rPr>
        <w:t xml:space="preserve">by refraining from exercising their own national jurisdiction to </w:t>
      </w:r>
      <w:r w:rsidR="006370B0" w:rsidRPr="007A58EA">
        <w:rPr>
          <w:color w:val="000000" w:themeColor="text1"/>
        </w:rPr>
        <w:t xml:space="preserve">undertake the judicial </w:t>
      </w:r>
      <w:r w:rsidR="00BD77C7" w:rsidRPr="007A58EA">
        <w:rPr>
          <w:color w:val="000000" w:themeColor="text1"/>
        </w:rPr>
        <w:t xml:space="preserve">review </w:t>
      </w:r>
      <w:r w:rsidR="006370B0" w:rsidRPr="007A58EA">
        <w:rPr>
          <w:color w:val="000000" w:themeColor="text1"/>
        </w:rPr>
        <w:t xml:space="preserve">of removal </w:t>
      </w:r>
      <w:r w:rsidR="00BD77C7" w:rsidRPr="007A58EA">
        <w:rPr>
          <w:color w:val="000000" w:themeColor="text1"/>
        </w:rPr>
        <w:t>decision</w:t>
      </w:r>
      <w:r w:rsidR="006370B0" w:rsidRPr="007A58EA">
        <w:rPr>
          <w:color w:val="000000" w:themeColor="text1"/>
        </w:rPr>
        <w:t>s</w:t>
      </w:r>
      <w:r w:rsidR="00296B0C" w:rsidRPr="007A58EA">
        <w:rPr>
          <w:color w:val="000000" w:themeColor="text1"/>
        </w:rPr>
        <w:t xml:space="preserve"> (whether </w:t>
      </w:r>
      <w:r w:rsidR="00763434" w:rsidRPr="007A58EA">
        <w:rPr>
          <w:color w:val="000000" w:themeColor="text1"/>
        </w:rPr>
        <w:t xml:space="preserve">pursuant to </w:t>
      </w:r>
      <w:r w:rsidR="00296B0C" w:rsidRPr="007A58EA">
        <w:rPr>
          <w:color w:val="000000" w:themeColor="text1"/>
        </w:rPr>
        <w:t>Union or domestic law)</w:t>
      </w:r>
      <w:r w:rsidR="00BD77C7" w:rsidRPr="007A58EA">
        <w:rPr>
          <w:color w:val="000000" w:themeColor="text1"/>
        </w:rPr>
        <w:t>.</w:t>
      </w:r>
    </w:p>
    <w:p w14:paraId="477AACF3" w14:textId="69A338E2" w:rsidR="00AF0AC3" w:rsidRPr="007A58EA" w:rsidRDefault="00B72AD5" w:rsidP="007E0CDE">
      <w:pPr>
        <w:ind w:firstLine="720"/>
        <w:jc w:val="both"/>
        <w:rPr>
          <w:color w:val="000000" w:themeColor="text1"/>
        </w:rPr>
      </w:pPr>
      <w:r w:rsidRPr="007A58EA">
        <w:rPr>
          <w:color w:val="000000" w:themeColor="text1"/>
        </w:rPr>
        <w:lastRenderedPageBreak/>
        <w:t xml:space="preserve">But </w:t>
      </w:r>
      <w:r w:rsidR="006370B0" w:rsidRPr="007A58EA">
        <w:rPr>
          <w:color w:val="000000" w:themeColor="text1"/>
        </w:rPr>
        <w:t xml:space="preserve">the </w:t>
      </w:r>
      <w:r w:rsidR="00DA3C50" w:rsidRPr="007A58EA">
        <w:rPr>
          <w:color w:val="000000" w:themeColor="text1"/>
        </w:rPr>
        <w:t xml:space="preserve">practical </w:t>
      </w:r>
      <w:r w:rsidR="006370B0" w:rsidRPr="007A58EA">
        <w:rPr>
          <w:color w:val="000000" w:themeColor="text1"/>
        </w:rPr>
        <w:t xml:space="preserve">significance of </w:t>
      </w:r>
      <w:r w:rsidR="006370B0" w:rsidRPr="007A58EA">
        <w:rPr>
          <w:i/>
          <w:iCs/>
          <w:color w:val="000000" w:themeColor="text1"/>
        </w:rPr>
        <w:t>Rimšēvičs</w:t>
      </w:r>
      <w:r w:rsidR="006370B0" w:rsidRPr="007A58EA">
        <w:rPr>
          <w:color w:val="000000" w:themeColor="text1"/>
        </w:rPr>
        <w:t xml:space="preserve"> is </w:t>
      </w:r>
      <w:r w:rsidR="00DA3C50" w:rsidRPr="007A58EA">
        <w:rPr>
          <w:color w:val="000000" w:themeColor="text1"/>
        </w:rPr>
        <w:t xml:space="preserve">also </w:t>
      </w:r>
      <w:r w:rsidR="00B6173B" w:rsidRPr="007A58EA">
        <w:rPr>
          <w:color w:val="000000" w:themeColor="text1"/>
        </w:rPr>
        <w:t>numbed</w:t>
      </w:r>
      <w:r w:rsidR="006370B0" w:rsidRPr="007A58EA">
        <w:rPr>
          <w:color w:val="000000" w:themeColor="text1"/>
        </w:rPr>
        <w:t xml:space="preserve"> by the fact that the underpinning </w:t>
      </w:r>
      <w:r w:rsidRPr="007A58EA">
        <w:rPr>
          <w:color w:val="000000" w:themeColor="text1"/>
        </w:rPr>
        <w:t xml:space="preserve">legal framework </w:t>
      </w:r>
      <w:r w:rsidR="006370B0" w:rsidRPr="007A58EA">
        <w:rPr>
          <w:color w:val="000000" w:themeColor="text1"/>
        </w:rPr>
        <w:t xml:space="preserve">was so </w:t>
      </w:r>
      <w:r w:rsidRPr="007A58EA">
        <w:rPr>
          <w:color w:val="000000" w:themeColor="text1"/>
        </w:rPr>
        <w:t xml:space="preserve">highly unusual </w:t>
      </w:r>
      <w:r w:rsidR="00B6173B" w:rsidRPr="007A58EA">
        <w:rPr>
          <w:color w:val="000000" w:themeColor="text1"/>
        </w:rPr>
        <w:t xml:space="preserve">– as the Court itself </w:t>
      </w:r>
      <w:r w:rsidRPr="007A58EA">
        <w:rPr>
          <w:color w:val="000000" w:themeColor="text1"/>
        </w:rPr>
        <w:t xml:space="preserve">was at pains to stress </w:t>
      </w:r>
      <w:r w:rsidR="00B6173B" w:rsidRPr="007A58EA">
        <w:rPr>
          <w:color w:val="000000" w:themeColor="text1"/>
        </w:rPr>
        <w:t>throughout the</w:t>
      </w:r>
      <w:r w:rsidRPr="007A58EA">
        <w:rPr>
          <w:color w:val="000000" w:themeColor="text1"/>
        </w:rPr>
        <w:t xml:space="preserve"> judgment.  </w:t>
      </w:r>
      <w:r w:rsidR="00B6173B" w:rsidRPr="007A58EA">
        <w:rPr>
          <w:color w:val="000000" w:themeColor="text1"/>
        </w:rPr>
        <w:t>The “s</w:t>
      </w:r>
      <w:r w:rsidRPr="007A58EA">
        <w:rPr>
          <w:color w:val="000000" w:themeColor="text1"/>
        </w:rPr>
        <w:t>pecific legal remedy</w:t>
      </w:r>
      <w:r w:rsidR="00B6173B" w:rsidRPr="007A58EA">
        <w:rPr>
          <w:color w:val="000000" w:themeColor="text1"/>
        </w:rPr>
        <w:t>”</w:t>
      </w:r>
      <w:r w:rsidRPr="007A58EA">
        <w:rPr>
          <w:color w:val="000000" w:themeColor="text1"/>
        </w:rPr>
        <w:t xml:space="preserve"> </w:t>
      </w:r>
      <w:r w:rsidR="00B6173B" w:rsidRPr="007A58EA">
        <w:rPr>
          <w:color w:val="000000" w:themeColor="text1"/>
        </w:rPr>
        <w:t xml:space="preserve">of direct action against national removal decisions was </w:t>
      </w:r>
      <w:r w:rsidRPr="007A58EA">
        <w:rPr>
          <w:color w:val="000000" w:themeColor="text1"/>
        </w:rPr>
        <w:t xml:space="preserve">explicitly created </w:t>
      </w:r>
      <w:r w:rsidR="00B6173B" w:rsidRPr="007A58EA">
        <w:rPr>
          <w:color w:val="000000" w:themeColor="text1"/>
        </w:rPr>
        <w:t xml:space="preserve">under </w:t>
      </w:r>
      <w:r w:rsidRPr="007A58EA">
        <w:rPr>
          <w:color w:val="000000" w:themeColor="text1"/>
        </w:rPr>
        <w:t>Union primary law</w:t>
      </w:r>
      <w:r w:rsidR="00B6173B" w:rsidRPr="007A58EA">
        <w:rPr>
          <w:color w:val="000000" w:themeColor="text1"/>
        </w:rPr>
        <w:t>; it is a</w:t>
      </w:r>
      <w:r w:rsidRPr="007A58EA">
        <w:rPr>
          <w:color w:val="000000" w:themeColor="text1"/>
        </w:rPr>
        <w:t xml:space="preserve">vailable only to </w:t>
      </w:r>
      <w:r w:rsidR="00B6173B" w:rsidRPr="007A58EA">
        <w:rPr>
          <w:color w:val="000000" w:themeColor="text1"/>
        </w:rPr>
        <w:t xml:space="preserve">a </w:t>
      </w:r>
      <w:r w:rsidRPr="007A58EA">
        <w:rPr>
          <w:color w:val="000000" w:themeColor="text1"/>
        </w:rPr>
        <w:t xml:space="preserve">very </w:t>
      </w:r>
      <w:r w:rsidR="00B6173B" w:rsidRPr="007A58EA">
        <w:rPr>
          <w:color w:val="000000" w:themeColor="text1"/>
        </w:rPr>
        <w:t xml:space="preserve">restricted </w:t>
      </w:r>
      <w:r w:rsidRPr="007A58EA">
        <w:rPr>
          <w:color w:val="000000" w:themeColor="text1"/>
        </w:rPr>
        <w:t>class of claimants</w:t>
      </w:r>
      <w:r w:rsidR="00B6173B" w:rsidRPr="007A58EA">
        <w:rPr>
          <w:color w:val="000000" w:themeColor="text1"/>
        </w:rPr>
        <w:t xml:space="preserve">; it relates to </w:t>
      </w:r>
      <w:r w:rsidRPr="007A58EA">
        <w:rPr>
          <w:color w:val="000000" w:themeColor="text1"/>
        </w:rPr>
        <w:t xml:space="preserve">a </w:t>
      </w:r>
      <w:r w:rsidR="00B6173B" w:rsidRPr="007A58EA">
        <w:rPr>
          <w:color w:val="000000" w:themeColor="text1"/>
        </w:rPr>
        <w:t xml:space="preserve">virtually </w:t>
      </w:r>
      <w:r w:rsidRPr="007A58EA">
        <w:rPr>
          <w:color w:val="000000" w:themeColor="text1"/>
        </w:rPr>
        <w:t>unique category of decisions</w:t>
      </w:r>
      <w:r w:rsidR="00B6173B" w:rsidRPr="007A58EA">
        <w:rPr>
          <w:color w:val="000000" w:themeColor="text1"/>
        </w:rPr>
        <w:t xml:space="preserve">; and it can be </w:t>
      </w:r>
      <w:r w:rsidRPr="007A58EA">
        <w:rPr>
          <w:color w:val="000000" w:themeColor="text1"/>
        </w:rPr>
        <w:t xml:space="preserve">exercised </w:t>
      </w:r>
      <w:r w:rsidR="00B6173B" w:rsidRPr="007A58EA">
        <w:rPr>
          <w:color w:val="000000" w:themeColor="text1"/>
        </w:rPr>
        <w:t xml:space="preserve">only </w:t>
      </w:r>
      <w:r w:rsidRPr="007A58EA">
        <w:rPr>
          <w:color w:val="000000" w:themeColor="text1"/>
        </w:rPr>
        <w:t xml:space="preserve">in an exceptional set of circumstances.  </w:t>
      </w:r>
      <w:r w:rsidR="00E91CBB" w:rsidRPr="007A58EA">
        <w:rPr>
          <w:color w:val="000000" w:themeColor="text1"/>
        </w:rPr>
        <w:t>C</w:t>
      </w:r>
      <w:r w:rsidR="00DE2AD8" w:rsidRPr="007A58EA">
        <w:rPr>
          <w:color w:val="000000" w:themeColor="text1"/>
        </w:rPr>
        <w:t xml:space="preserve">ommentators have </w:t>
      </w:r>
      <w:r w:rsidR="00DA3C50" w:rsidRPr="007A58EA">
        <w:rPr>
          <w:color w:val="000000" w:themeColor="text1"/>
        </w:rPr>
        <w:t xml:space="preserve">naturally </w:t>
      </w:r>
      <w:r w:rsidR="00DE2AD8" w:rsidRPr="007A58EA">
        <w:rPr>
          <w:color w:val="000000" w:themeColor="text1"/>
        </w:rPr>
        <w:t xml:space="preserve">speculated </w:t>
      </w:r>
      <w:r w:rsidR="00E91CBB" w:rsidRPr="007A58EA">
        <w:rPr>
          <w:color w:val="000000" w:themeColor="text1"/>
        </w:rPr>
        <w:t xml:space="preserve">about </w:t>
      </w:r>
      <w:r w:rsidR="00DE2AD8" w:rsidRPr="007A58EA">
        <w:rPr>
          <w:color w:val="000000" w:themeColor="text1"/>
        </w:rPr>
        <w:t xml:space="preserve">whether </w:t>
      </w:r>
      <w:r w:rsidR="00B6173B" w:rsidRPr="007A58EA">
        <w:rPr>
          <w:i/>
          <w:iCs/>
          <w:color w:val="000000" w:themeColor="text1"/>
        </w:rPr>
        <w:t>Rimšēvičs</w:t>
      </w:r>
      <w:r w:rsidR="00B6173B" w:rsidRPr="007A58EA">
        <w:rPr>
          <w:color w:val="000000" w:themeColor="text1"/>
        </w:rPr>
        <w:t xml:space="preserve"> </w:t>
      </w:r>
      <w:r w:rsidR="00DE2AD8" w:rsidRPr="007A58EA">
        <w:rPr>
          <w:color w:val="000000" w:themeColor="text1"/>
        </w:rPr>
        <w:t xml:space="preserve">could potentially be extended </w:t>
      </w:r>
      <w:r w:rsidR="00E91CBB" w:rsidRPr="007A58EA">
        <w:rPr>
          <w:color w:val="000000" w:themeColor="text1"/>
        </w:rPr>
        <w:t>to</w:t>
      </w:r>
      <w:r w:rsidR="00DE2AD8" w:rsidRPr="007A58EA">
        <w:rPr>
          <w:color w:val="000000" w:themeColor="text1"/>
        </w:rPr>
        <w:t xml:space="preserve"> other situations</w:t>
      </w:r>
      <w:r w:rsidR="00DA3C50" w:rsidRPr="007A58EA">
        <w:rPr>
          <w:color w:val="000000" w:themeColor="text1"/>
        </w:rPr>
        <w:t>,</w:t>
      </w:r>
      <w:r w:rsidR="00DE2AD8" w:rsidRPr="007A58EA">
        <w:rPr>
          <w:color w:val="000000" w:themeColor="text1"/>
        </w:rPr>
        <w:t xml:space="preserve"> </w:t>
      </w:r>
      <w:r w:rsidR="00DA3C50" w:rsidRPr="007A58EA">
        <w:rPr>
          <w:color w:val="000000" w:themeColor="text1"/>
        </w:rPr>
        <w:t xml:space="preserve">either more or less </w:t>
      </w:r>
      <w:r w:rsidR="00DE2AD8" w:rsidRPr="007A58EA">
        <w:rPr>
          <w:color w:val="000000" w:themeColor="text1"/>
        </w:rPr>
        <w:t>anal</w:t>
      </w:r>
      <w:r w:rsidR="00B6173B" w:rsidRPr="007A58EA">
        <w:rPr>
          <w:color w:val="000000" w:themeColor="text1"/>
        </w:rPr>
        <w:t>o</w:t>
      </w:r>
      <w:r w:rsidR="00DE2AD8" w:rsidRPr="007A58EA">
        <w:rPr>
          <w:color w:val="000000" w:themeColor="text1"/>
        </w:rPr>
        <w:t>gous to the “novel legal construct” of the ECB / ESCB</w:t>
      </w:r>
      <w:r w:rsidR="00B6173B" w:rsidRPr="007A58EA">
        <w:rPr>
          <w:color w:val="000000" w:themeColor="text1"/>
        </w:rPr>
        <w:t xml:space="preserve"> – reflecting the growing interdependence between Union and Member State institutions within Europe’s increasingly complex governance structures</w:t>
      </w:r>
      <w:r w:rsidR="00E91CBB" w:rsidRPr="007A58EA">
        <w:rPr>
          <w:color w:val="000000" w:themeColor="text1"/>
        </w:rPr>
        <w:t xml:space="preserve"> – but the general consensus seems to be that </w:t>
      </w:r>
      <w:r w:rsidR="00B6173B" w:rsidRPr="007A58EA">
        <w:rPr>
          <w:color w:val="000000" w:themeColor="text1"/>
        </w:rPr>
        <w:t xml:space="preserve">further exceptions to the traditional jurisdictional rule dividing Union courts / acts from national courts / acts </w:t>
      </w:r>
      <w:r w:rsidR="00E91CBB" w:rsidRPr="007A58EA">
        <w:rPr>
          <w:color w:val="000000" w:themeColor="text1"/>
        </w:rPr>
        <w:t xml:space="preserve">are unlikely to be recognised without </w:t>
      </w:r>
      <w:r w:rsidR="00DE2AD8" w:rsidRPr="007A58EA">
        <w:rPr>
          <w:color w:val="000000" w:themeColor="text1"/>
        </w:rPr>
        <w:t xml:space="preserve">express authorisation </w:t>
      </w:r>
      <w:r w:rsidR="00B6173B" w:rsidRPr="007A58EA">
        <w:rPr>
          <w:color w:val="000000" w:themeColor="text1"/>
        </w:rPr>
        <w:t xml:space="preserve">under </w:t>
      </w:r>
      <w:r w:rsidR="00DE2AD8" w:rsidRPr="007A58EA">
        <w:rPr>
          <w:color w:val="000000" w:themeColor="text1"/>
        </w:rPr>
        <w:t>Union primary law.</w:t>
      </w:r>
      <w:r w:rsidR="00C33B0C" w:rsidRPr="007A58EA">
        <w:rPr>
          <w:rStyle w:val="FootnoteReference"/>
          <w:color w:val="000000" w:themeColor="text1"/>
        </w:rPr>
        <w:footnoteReference w:id="54"/>
      </w:r>
      <w:r w:rsidR="00DE2AD8" w:rsidRPr="007A58EA">
        <w:rPr>
          <w:color w:val="000000" w:themeColor="text1"/>
        </w:rPr>
        <w:t xml:space="preserve">  </w:t>
      </w:r>
      <w:r w:rsidR="005478CD" w:rsidRPr="007A58EA">
        <w:rPr>
          <w:color w:val="000000" w:themeColor="text1"/>
        </w:rPr>
        <w:t xml:space="preserve">Of course, the </w:t>
      </w:r>
      <w:r w:rsidR="00230543" w:rsidRPr="007A58EA">
        <w:rPr>
          <w:color w:val="000000" w:themeColor="text1"/>
        </w:rPr>
        <w:t xml:space="preserve">fact that such authorisation existed at all gives </w:t>
      </w:r>
      <w:r w:rsidR="00230543" w:rsidRPr="007A58EA">
        <w:rPr>
          <w:i/>
          <w:iCs/>
          <w:color w:val="000000" w:themeColor="text1"/>
        </w:rPr>
        <w:t>Rimšēvičs</w:t>
      </w:r>
      <w:r w:rsidR="00230543" w:rsidRPr="007A58EA">
        <w:rPr>
          <w:color w:val="000000" w:themeColor="text1"/>
        </w:rPr>
        <w:t xml:space="preserve"> the sort of clear constitutional mandate that we argued (in Section </w:t>
      </w:r>
      <w:r w:rsidR="004B61DF">
        <w:rPr>
          <w:color w:val="000000" w:themeColor="text1"/>
        </w:rPr>
        <w:t>3</w:t>
      </w:r>
      <w:r w:rsidR="00230543" w:rsidRPr="007A58EA">
        <w:rPr>
          <w:color w:val="000000" w:themeColor="text1"/>
        </w:rPr>
        <w:t xml:space="preserve">) was </w:t>
      </w:r>
      <w:r w:rsidR="005478CD" w:rsidRPr="007A58EA">
        <w:rPr>
          <w:color w:val="000000" w:themeColor="text1"/>
        </w:rPr>
        <w:t>missing from</w:t>
      </w:r>
      <w:r w:rsidR="00230543" w:rsidRPr="007A58EA">
        <w:rPr>
          <w:color w:val="000000" w:themeColor="text1"/>
        </w:rPr>
        <w:t xml:space="preserve"> academic efforts to interpret the ruling in </w:t>
      </w:r>
      <w:r w:rsidR="00230543" w:rsidRPr="007A58EA">
        <w:rPr>
          <w:i/>
          <w:iCs/>
          <w:color w:val="000000" w:themeColor="text1"/>
        </w:rPr>
        <w:t>Berlusconi</w:t>
      </w:r>
      <w:r w:rsidR="00230543" w:rsidRPr="007A58EA">
        <w:rPr>
          <w:color w:val="000000" w:themeColor="text1"/>
        </w:rPr>
        <w:t xml:space="preserve"> </w:t>
      </w:r>
      <w:r w:rsidR="005478CD" w:rsidRPr="007A58EA">
        <w:rPr>
          <w:color w:val="000000" w:themeColor="text1"/>
        </w:rPr>
        <w:t>to similarly</w:t>
      </w:r>
      <w:r w:rsidR="00230543" w:rsidRPr="007A58EA">
        <w:rPr>
          <w:color w:val="000000" w:themeColor="text1"/>
        </w:rPr>
        <w:t xml:space="preserve"> expansive </w:t>
      </w:r>
      <w:r w:rsidR="005478CD" w:rsidRPr="007A58EA">
        <w:rPr>
          <w:color w:val="000000" w:themeColor="text1"/>
        </w:rPr>
        <w:t>effect</w:t>
      </w:r>
      <w:r w:rsidR="00230543" w:rsidRPr="007A58EA">
        <w:rPr>
          <w:color w:val="000000" w:themeColor="text1"/>
        </w:rPr>
        <w:t xml:space="preserve">.  But for </w:t>
      </w:r>
      <w:r w:rsidR="00B6173B" w:rsidRPr="007A58EA">
        <w:rPr>
          <w:color w:val="000000" w:themeColor="text1"/>
        </w:rPr>
        <w:t xml:space="preserve">that </w:t>
      </w:r>
      <w:r w:rsidR="00230543" w:rsidRPr="007A58EA">
        <w:rPr>
          <w:color w:val="000000" w:themeColor="text1"/>
        </w:rPr>
        <w:t xml:space="preserve">very </w:t>
      </w:r>
      <w:r w:rsidR="00B6173B" w:rsidRPr="007A58EA">
        <w:rPr>
          <w:color w:val="000000" w:themeColor="text1"/>
        </w:rPr>
        <w:t xml:space="preserve">reason, it is </w:t>
      </w:r>
      <w:r w:rsidR="00230543" w:rsidRPr="007A58EA">
        <w:rPr>
          <w:color w:val="000000" w:themeColor="text1"/>
        </w:rPr>
        <w:t xml:space="preserve">also </w:t>
      </w:r>
      <w:r w:rsidRPr="007A58EA">
        <w:rPr>
          <w:color w:val="000000" w:themeColor="text1"/>
        </w:rPr>
        <w:t xml:space="preserve">difficult to regard </w:t>
      </w:r>
      <w:r w:rsidR="00B6173B" w:rsidRPr="007A58EA">
        <w:rPr>
          <w:i/>
          <w:iCs/>
          <w:color w:val="000000" w:themeColor="text1"/>
        </w:rPr>
        <w:t>Rimšēvičs</w:t>
      </w:r>
      <w:r w:rsidR="00B6173B" w:rsidRPr="007A58EA">
        <w:rPr>
          <w:color w:val="000000" w:themeColor="text1"/>
        </w:rPr>
        <w:t xml:space="preserve"> </w:t>
      </w:r>
      <w:r w:rsidRPr="007A58EA">
        <w:rPr>
          <w:color w:val="000000" w:themeColor="text1"/>
        </w:rPr>
        <w:t xml:space="preserve">as </w:t>
      </w:r>
      <w:r w:rsidR="00B6173B" w:rsidRPr="007A58EA">
        <w:rPr>
          <w:color w:val="000000" w:themeColor="text1"/>
        </w:rPr>
        <w:t xml:space="preserve">a </w:t>
      </w:r>
      <w:r w:rsidRPr="007A58EA">
        <w:rPr>
          <w:color w:val="000000" w:themeColor="text1"/>
        </w:rPr>
        <w:t>wider precedent for transform</w:t>
      </w:r>
      <w:r w:rsidR="00CD2526" w:rsidRPr="007A58EA">
        <w:rPr>
          <w:color w:val="000000" w:themeColor="text1"/>
        </w:rPr>
        <w:t>ing</w:t>
      </w:r>
      <w:r w:rsidRPr="007A58EA">
        <w:rPr>
          <w:color w:val="000000" w:themeColor="text1"/>
        </w:rPr>
        <w:t xml:space="preserve"> </w:t>
      </w:r>
      <w:r w:rsidR="00CD2526" w:rsidRPr="007A58EA">
        <w:rPr>
          <w:color w:val="000000" w:themeColor="text1"/>
        </w:rPr>
        <w:t xml:space="preserve">the </w:t>
      </w:r>
      <w:r w:rsidRPr="007A58EA">
        <w:rPr>
          <w:color w:val="000000" w:themeColor="text1"/>
        </w:rPr>
        <w:t xml:space="preserve">relationship between </w:t>
      </w:r>
      <w:r w:rsidR="00763434" w:rsidRPr="007A58EA">
        <w:rPr>
          <w:color w:val="000000" w:themeColor="text1"/>
        </w:rPr>
        <w:t xml:space="preserve">the </w:t>
      </w:r>
      <w:r w:rsidR="00CD2526" w:rsidRPr="007A58EA">
        <w:rPr>
          <w:color w:val="000000" w:themeColor="text1"/>
        </w:rPr>
        <w:t xml:space="preserve">Union </w:t>
      </w:r>
      <w:r w:rsidRPr="007A58EA">
        <w:rPr>
          <w:color w:val="000000" w:themeColor="text1"/>
        </w:rPr>
        <w:t xml:space="preserve">and </w:t>
      </w:r>
      <w:r w:rsidR="00CD2526" w:rsidRPr="007A58EA">
        <w:rPr>
          <w:color w:val="000000" w:themeColor="text1"/>
        </w:rPr>
        <w:t xml:space="preserve">Member State </w:t>
      </w:r>
      <w:r w:rsidRPr="007A58EA">
        <w:rPr>
          <w:color w:val="000000" w:themeColor="text1"/>
        </w:rPr>
        <w:t>legal orders</w:t>
      </w:r>
      <w:r w:rsidR="00CD2526" w:rsidRPr="007A58EA">
        <w:rPr>
          <w:color w:val="000000" w:themeColor="text1"/>
        </w:rPr>
        <w:t>.</w:t>
      </w:r>
    </w:p>
    <w:p w14:paraId="11931368" w14:textId="69123FF9" w:rsidR="0039388E" w:rsidRPr="007A58EA" w:rsidRDefault="0039388E" w:rsidP="00391EA9">
      <w:pPr>
        <w:jc w:val="both"/>
        <w:rPr>
          <w:color w:val="000000" w:themeColor="text1"/>
        </w:rPr>
      </w:pPr>
    </w:p>
    <w:p w14:paraId="7C2D178F" w14:textId="6EF63635" w:rsidR="00070D26" w:rsidRPr="007A58EA" w:rsidRDefault="008748B2" w:rsidP="00391EA9">
      <w:pPr>
        <w:jc w:val="both"/>
        <w:rPr>
          <w:b/>
          <w:bCs/>
          <w:color w:val="000000" w:themeColor="text1"/>
        </w:rPr>
      </w:pPr>
      <w:r w:rsidRPr="007A58EA">
        <w:rPr>
          <w:b/>
          <w:bCs/>
          <w:color w:val="000000" w:themeColor="text1"/>
        </w:rPr>
        <w:t xml:space="preserve">5.  </w:t>
      </w:r>
      <w:r w:rsidR="00CD2526" w:rsidRPr="007A58EA">
        <w:rPr>
          <w:b/>
          <w:bCs/>
          <w:color w:val="000000" w:themeColor="text1"/>
        </w:rPr>
        <w:t>P</w:t>
      </w:r>
      <w:r w:rsidR="00070D26" w:rsidRPr="007A58EA">
        <w:rPr>
          <w:b/>
          <w:bCs/>
          <w:color w:val="000000" w:themeColor="text1"/>
        </w:rPr>
        <w:t xml:space="preserve">rimacy </w:t>
      </w:r>
      <w:r w:rsidR="001246D1">
        <w:rPr>
          <w:b/>
          <w:bCs/>
          <w:color w:val="000000" w:themeColor="text1"/>
        </w:rPr>
        <w:t>e</w:t>
      </w:r>
      <w:r w:rsidR="00CD2526" w:rsidRPr="007A58EA">
        <w:rPr>
          <w:b/>
          <w:bCs/>
          <w:color w:val="000000" w:themeColor="text1"/>
        </w:rPr>
        <w:t xml:space="preserve">xtending its </w:t>
      </w:r>
      <w:r w:rsidR="001246D1">
        <w:rPr>
          <w:b/>
          <w:bCs/>
          <w:color w:val="000000" w:themeColor="text1"/>
        </w:rPr>
        <w:t>e</w:t>
      </w:r>
      <w:r w:rsidR="00CD2526" w:rsidRPr="007A58EA">
        <w:rPr>
          <w:b/>
          <w:bCs/>
          <w:color w:val="000000" w:themeColor="text1"/>
        </w:rPr>
        <w:t xml:space="preserve">ffects </w:t>
      </w:r>
      <w:r w:rsidR="00070D26" w:rsidRPr="007A58EA">
        <w:rPr>
          <w:b/>
          <w:bCs/>
          <w:color w:val="000000" w:themeColor="text1"/>
        </w:rPr>
        <w:t xml:space="preserve">from </w:t>
      </w:r>
      <w:r w:rsidR="001246D1">
        <w:rPr>
          <w:b/>
          <w:bCs/>
          <w:color w:val="000000" w:themeColor="text1"/>
        </w:rPr>
        <w:t>d</w:t>
      </w:r>
      <w:r w:rsidR="00070D26" w:rsidRPr="007A58EA">
        <w:rPr>
          <w:b/>
          <w:bCs/>
          <w:color w:val="000000" w:themeColor="text1"/>
        </w:rPr>
        <w:t xml:space="preserve">isapplication </w:t>
      </w:r>
      <w:r w:rsidR="001246D1">
        <w:rPr>
          <w:b/>
          <w:bCs/>
          <w:color w:val="000000" w:themeColor="text1"/>
        </w:rPr>
        <w:t>t</w:t>
      </w:r>
      <w:r w:rsidR="00CD2526" w:rsidRPr="007A58EA">
        <w:rPr>
          <w:b/>
          <w:bCs/>
          <w:color w:val="000000" w:themeColor="text1"/>
        </w:rPr>
        <w:t xml:space="preserve">owards </w:t>
      </w:r>
      <w:r w:rsidR="001246D1">
        <w:rPr>
          <w:b/>
          <w:bCs/>
          <w:color w:val="000000" w:themeColor="text1"/>
        </w:rPr>
        <w:t>n</w:t>
      </w:r>
      <w:r w:rsidR="00070D26" w:rsidRPr="007A58EA">
        <w:rPr>
          <w:b/>
          <w:bCs/>
          <w:color w:val="000000" w:themeColor="text1"/>
        </w:rPr>
        <w:t>ullity</w:t>
      </w:r>
      <w:r w:rsidR="00CD2526" w:rsidRPr="007A58EA">
        <w:rPr>
          <w:b/>
          <w:bCs/>
          <w:color w:val="000000" w:themeColor="text1"/>
        </w:rPr>
        <w:t xml:space="preserve">: </w:t>
      </w:r>
      <w:r w:rsidR="008E2E72" w:rsidRPr="007A58EA">
        <w:rPr>
          <w:b/>
          <w:bCs/>
          <w:i/>
          <w:iCs/>
          <w:color w:val="000000" w:themeColor="text1"/>
        </w:rPr>
        <w:t>W.Ż.</w:t>
      </w:r>
    </w:p>
    <w:p w14:paraId="0367C4A5" w14:textId="3E160907" w:rsidR="00070D26" w:rsidRPr="007A58EA" w:rsidRDefault="00070D26" w:rsidP="00391EA9">
      <w:pPr>
        <w:jc w:val="both"/>
        <w:rPr>
          <w:color w:val="000000" w:themeColor="text1"/>
        </w:rPr>
      </w:pPr>
    </w:p>
    <w:p w14:paraId="1A71ED2A" w14:textId="28FB96C3" w:rsidR="007E0CDE" w:rsidRDefault="005478CD" w:rsidP="00391EA9">
      <w:pPr>
        <w:jc w:val="both"/>
        <w:rPr>
          <w:color w:val="000000" w:themeColor="text1"/>
        </w:rPr>
      </w:pPr>
      <w:r w:rsidRPr="007A58EA">
        <w:rPr>
          <w:color w:val="000000" w:themeColor="text1"/>
        </w:rPr>
        <w:t xml:space="preserve">And yet, insofar </w:t>
      </w:r>
      <w:r w:rsidR="00763434" w:rsidRPr="007A58EA">
        <w:rPr>
          <w:color w:val="000000" w:themeColor="text1"/>
        </w:rPr>
        <w:t xml:space="preserve">as </w:t>
      </w:r>
      <w:r w:rsidR="00763434" w:rsidRPr="007A58EA">
        <w:rPr>
          <w:i/>
          <w:iCs/>
          <w:color w:val="000000" w:themeColor="text1"/>
        </w:rPr>
        <w:t>Rimšēvičs</w:t>
      </w:r>
      <w:r w:rsidR="00763434" w:rsidRPr="007A58EA">
        <w:rPr>
          <w:color w:val="000000" w:themeColor="text1"/>
        </w:rPr>
        <w:t xml:space="preserve"> necessarily implies the existence of a Union law remedy of nullity</w:t>
      </w:r>
      <w:r w:rsidRPr="007A58EA">
        <w:rPr>
          <w:color w:val="000000" w:themeColor="text1"/>
        </w:rPr>
        <w:t xml:space="preserve"> (</w:t>
      </w:r>
      <w:r w:rsidR="00763434" w:rsidRPr="007A58EA">
        <w:rPr>
          <w:color w:val="000000" w:themeColor="text1"/>
        </w:rPr>
        <w:t>not just disapplication</w:t>
      </w:r>
      <w:r w:rsidRPr="007A58EA">
        <w:rPr>
          <w:color w:val="000000" w:themeColor="text1"/>
        </w:rPr>
        <w:t>)</w:t>
      </w:r>
      <w:r w:rsidR="00763434" w:rsidRPr="007A58EA">
        <w:rPr>
          <w:color w:val="000000" w:themeColor="text1"/>
        </w:rPr>
        <w:t xml:space="preserve"> it </w:t>
      </w:r>
      <w:r w:rsidRPr="007A58EA">
        <w:rPr>
          <w:color w:val="000000" w:themeColor="text1"/>
        </w:rPr>
        <w:t xml:space="preserve">did anticipate an important </w:t>
      </w:r>
      <w:r w:rsidR="001832D3" w:rsidRPr="007A58EA">
        <w:rPr>
          <w:color w:val="000000" w:themeColor="text1"/>
        </w:rPr>
        <w:t xml:space="preserve">dimension to the subsequent </w:t>
      </w:r>
      <w:r w:rsidR="00763434" w:rsidRPr="007A58EA">
        <w:rPr>
          <w:color w:val="000000" w:themeColor="text1"/>
        </w:rPr>
        <w:t xml:space="preserve">ruling in </w:t>
      </w:r>
      <w:r w:rsidR="008E2E72" w:rsidRPr="007A58EA">
        <w:rPr>
          <w:i/>
          <w:iCs/>
          <w:color w:val="000000" w:themeColor="text1"/>
        </w:rPr>
        <w:t>W.Ż.</w:t>
      </w:r>
      <w:r w:rsidR="00763434" w:rsidRPr="007A58EA">
        <w:rPr>
          <w:i/>
          <w:iCs/>
          <w:color w:val="000000" w:themeColor="text1"/>
        </w:rPr>
        <w:t>.</w:t>
      </w:r>
      <w:r w:rsidR="00F31999" w:rsidRPr="007A58EA">
        <w:rPr>
          <w:color w:val="000000" w:themeColor="text1"/>
        </w:rPr>
        <w:t xml:space="preserve"> </w:t>
      </w:r>
      <w:r w:rsidR="00763434" w:rsidRPr="007A58EA">
        <w:rPr>
          <w:color w:val="000000" w:themeColor="text1"/>
        </w:rPr>
        <w:t xml:space="preserve"> The latter </w:t>
      </w:r>
      <w:r w:rsidR="001832D3" w:rsidRPr="007A58EA">
        <w:rPr>
          <w:color w:val="000000" w:themeColor="text1"/>
        </w:rPr>
        <w:t xml:space="preserve">is to be </w:t>
      </w:r>
      <w:r w:rsidR="00763434" w:rsidRPr="007A58EA">
        <w:rPr>
          <w:color w:val="000000" w:themeColor="text1"/>
        </w:rPr>
        <w:t>count</w:t>
      </w:r>
      <w:r w:rsidR="001832D3" w:rsidRPr="007A58EA">
        <w:rPr>
          <w:color w:val="000000" w:themeColor="text1"/>
        </w:rPr>
        <w:t>ed</w:t>
      </w:r>
      <w:r w:rsidR="00763434" w:rsidRPr="007A58EA">
        <w:rPr>
          <w:color w:val="000000" w:themeColor="text1"/>
        </w:rPr>
        <w:t xml:space="preserve"> </w:t>
      </w:r>
      <w:r w:rsidR="000A31B1" w:rsidRPr="007A58EA">
        <w:rPr>
          <w:color w:val="000000" w:themeColor="text1"/>
        </w:rPr>
        <w:t xml:space="preserve">among the many judgments delivered by the </w:t>
      </w:r>
      <w:r w:rsidR="007E22C4">
        <w:rPr>
          <w:color w:val="000000" w:themeColor="text1"/>
        </w:rPr>
        <w:t>ECJ</w:t>
      </w:r>
      <w:r w:rsidR="000A31B1" w:rsidRPr="007A58EA">
        <w:rPr>
          <w:color w:val="000000" w:themeColor="text1"/>
        </w:rPr>
        <w:t xml:space="preserve"> to address the rule of law crisis in Poland and, in particular, the Polish Government’s systematic </w:t>
      </w:r>
      <w:r w:rsidR="003A31F4" w:rsidRPr="007A58EA">
        <w:rPr>
          <w:color w:val="000000" w:themeColor="text1"/>
        </w:rPr>
        <w:t xml:space="preserve">and deplorable </w:t>
      </w:r>
      <w:r w:rsidR="000A31B1" w:rsidRPr="007A58EA">
        <w:rPr>
          <w:color w:val="000000" w:themeColor="text1"/>
        </w:rPr>
        <w:t>attempt</w:t>
      </w:r>
      <w:r w:rsidR="00260708" w:rsidRPr="007A58EA">
        <w:rPr>
          <w:color w:val="000000" w:themeColor="text1"/>
        </w:rPr>
        <w:t>s</w:t>
      </w:r>
      <w:r w:rsidR="000A31B1" w:rsidRPr="007A58EA">
        <w:rPr>
          <w:color w:val="000000" w:themeColor="text1"/>
        </w:rPr>
        <w:t xml:space="preserve"> to undermine the </w:t>
      </w:r>
      <w:r w:rsidR="00260708" w:rsidRPr="007A58EA">
        <w:rPr>
          <w:color w:val="000000" w:themeColor="text1"/>
        </w:rPr>
        <w:t xml:space="preserve">very </w:t>
      </w:r>
      <w:r w:rsidR="000A31B1" w:rsidRPr="007A58EA">
        <w:rPr>
          <w:color w:val="000000" w:themeColor="text1"/>
        </w:rPr>
        <w:t>existence of an independent and impartial judicial system.</w:t>
      </w:r>
      <w:r w:rsidR="00963E34" w:rsidRPr="007A58EA">
        <w:rPr>
          <w:rStyle w:val="FootnoteReference"/>
          <w:color w:val="000000" w:themeColor="text1"/>
        </w:rPr>
        <w:footnoteReference w:id="55"/>
      </w:r>
      <w:r w:rsidR="000A31B1" w:rsidRPr="007A58EA">
        <w:rPr>
          <w:color w:val="000000" w:themeColor="text1"/>
        </w:rPr>
        <w:t xml:space="preserve">  More specifically, </w:t>
      </w:r>
      <w:r w:rsidR="008E2E72" w:rsidRPr="007A58EA">
        <w:rPr>
          <w:i/>
          <w:iCs/>
          <w:color w:val="000000" w:themeColor="text1"/>
        </w:rPr>
        <w:t>W.Ż.</w:t>
      </w:r>
      <w:r w:rsidR="000A31B1" w:rsidRPr="007A58EA">
        <w:rPr>
          <w:color w:val="000000" w:themeColor="text1"/>
        </w:rPr>
        <w:t xml:space="preserve"> </w:t>
      </w:r>
      <w:r w:rsidR="00F31999" w:rsidRPr="007A58EA">
        <w:rPr>
          <w:color w:val="000000" w:themeColor="text1"/>
        </w:rPr>
        <w:t xml:space="preserve">concerned the consequences that should flow from a national court’s finding that the conditions surrounding </w:t>
      </w:r>
      <w:r w:rsidR="00A62CA7" w:rsidRPr="007A58EA">
        <w:rPr>
          <w:color w:val="000000" w:themeColor="text1"/>
        </w:rPr>
        <w:t xml:space="preserve">a given </w:t>
      </w:r>
      <w:r w:rsidR="00F31999" w:rsidRPr="007A58EA">
        <w:rPr>
          <w:color w:val="000000" w:themeColor="text1"/>
        </w:rPr>
        <w:t xml:space="preserve">judicial appointment failed to satisfy </w:t>
      </w:r>
      <w:r w:rsidR="00F31999" w:rsidRPr="007A58EA">
        <w:rPr>
          <w:color w:val="000000" w:themeColor="text1"/>
        </w:rPr>
        <w:lastRenderedPageBreak/>
        <w:t>the need for an independent and impartial tribunal previously established by law in accordance with Article 19(1) TEU.</w:t>
      </w:r>
    </w:p>
    <w:p w14:paraId="2812BA3F" w14:textId="08DF2D1A" w:rsidR="007E0CDE" w:rsidRDefault="00EE0EAC" w:rsidP="007E0CDE">
      <w:pPr>
        <w:ind w:firstLine="720"/>
        <w:jc w:val="both"/>
        <w:rPr>
          <w:color w:val="000000" w:themeColor="text1"/>
        </w:rPr>
      </w:pPr>
      <w:r w:rsidRPr="007A58EA">
        <w:rPr>
          <w:color w:val="000000" w:themeColor="text1"/>
        </w:rPr>
        <w:t>That question arose in a</w:t>
      </w:r>
      <w:r w:rsidR="000A31B1" w:rsidRPr="007A58EA">
        <w:rPr>
          <w:color w:val="000000" w:themeColor="text1"/>
        </w:rPr>
        <w:t xml:space="preserve"> </w:t>
      </w:r>
      <w:r w:rsidR="00FD6FC9" w:rsidRPr="007A58EA">
        <w:rPr>
          <w:color w:val="000000" w:themeColor="text1"/>
        </w:rPr>
        <w:t xml:space="preserve">complex and </w:t>
      </w:r>
      <w:r w:rsidR="000A31B1" w:rsidRPr="007A58EA">
        <w:rPr>
          <w:color w:val="000000" w:themeColor="text1"/>
        </w:rPr>
        <w:t xml:space="preserve">distinctive </w:t>
      </w:r>
      <w:r w:rsidRPr="007A58EA">
        <w:rPr>
          <w:color w:val="000000" w:themeColor="text1"/>
        </w:rPr>
        <w:t xml:space="preserve">factual </w:t>
      </w:r>
      <w:r w:rsidR="00260708" w:rsidRPr="007A58EA">
        <w:rPr>
          <w:color w:val="000000" w:themeColor="text1"/>
        </w:rPr>
        <w:t xml:space="preserve">and legal </w:t>
      </w:r>
      <w:r w:rsidRPr="007A58EA">
        <w:rPr>
          <w:color w:val="000000" w:themeColor="text1"/>
        </w:rPr>
        <w:t>situation</w:t>
      </w:r>
      <w:r w:rsidR="00260708" w:rsidRPr="007A58EA">
        <w:rPr>
          <w:color w:val="000000" w:themeColor="text1"/>
        </w:rPr>
        <w:t>, which can nevertheless be summarised for present purposes as follows</w:t>
      </w:r>
      <w:r w:rsidR="000A31B1" w:rsidRPr="007A58EA">
        <w:rPr>
          <w:color w:val="000000" w:themeColor="text1"/>
        </w:rPr>
        <w:t xml:space="preserve">.  </w:t>
      </w:r>
      <w:r w:rsidR="00260708" w:rsidRPr="007A58EA">
        <w:rPr>
          <w:color w:val="000000" w:themeColor="text1"/>
        </w:rPr>
        <w:t xml:space="preserve">The </w:t>
      </w:r>
      <w:r w:rsidRPr="007A58EA">
        <w:rPr>
          <w:color w:val="000000" w:themeColor="text1"/>
        </w:rPr>
        <w:t xml:space="preserve">claimant </w:t>
      </w:r>
      <w:r w:rsidR="00260708" w:rsidRPr="007A58EA">
        <w:rPr>
          <w:color w:val="000000" w:themeColor="text1"/>
        </w:rPr>
        <w:t xml:space="preserve">was </w:t>
      </w:r>
      <w:r w:rsidRPr="007A58EA">
        <w:rPr>
          <w:color w:val="000000" w:themeColor="text1"/>
        </w:rPr>
        <w:t xml:space="preserve">transferred </w:t>
      </w:r>
      <w:r w:rsidR="00FD6FC9" w:rsidRPr="007A58EA">
        <w:rPr>
          <w:color w:val="000000" w:themeColor="text1"/>
        </w:rPr>
        <w:t xml:space="preserve">(in effect, demoted) </w:t>
      </w:r>
      <w:r w:rsidRPr="007A58EA">
        <w:rPr>
          <w:color w:val="000000" w:themeColor="text1"/>
        </w:rPr>
        <w:t>from his judicial post without consent</w:t>
      </w:r>
      <w:r w:rsidR="000A31B1" w:rsidRPr="007A58EA">
        <w:rPr>
          <w:color w:val="000000" w:themeColor="text1"/>
        </w:rPr>
        <w:t xml:space="preserve">.  However, </w:t>
      </w:r>
      <w:r w:rsidRPr="007A58EA">
        <w:rPr>
          <w:color w:val="000000" w:themeColor="text1"/>
        </w:rPr>
        <w:t xml:space="preserve">the </w:t>
      </w:r>
      <w:r w:rsidR="000A31B1" w:rsidRPr="007A58EA">
        <w:rPr>
          <w:color w:val="000000" w:themeColor="text1"/>
        </w:rPr>
        <w:t xml:space="preserve">National Council of the Judiciary (acting as </w:t>
      </w:r>
      <w:r w:rsidRPr="007A58EA">
        <w:rPr>
          <w:color w:val="000000" w:themeColor="text1"/>
        </w:rPr>
        <w:t>first instance tribunal</w:t>
      </w:r>
      <w:r w:rsidR="000A31B1" w:rsidRPr="007A58EA">
        <w:rPr>
          <w:color w:val="000000" w:themeColor="text1"/>
        </w:rPr>
        <w:t>)</w:t>
      </w:r>
      <w:r w:rsidRPr="007A58EA">
        <w:rPr>
          <w:color w:val="000000" w:themeColor="text1"/>
        </w:rPr>
        <w:t xml:space="preserve"> resolved that there was no need to adjudicate over his legal challenge to that </w:t>
      </w:r>
      <w:r w:rsidR="000A31B1" w:rsidRPr="007A58EA">
        <w:rPr>
          <w:color w:val="000000" w:themeColor="text1"/>
        </w:rPr>
        <w:t xml:space="preserve">non-consensual judicial </w:t>
      </w:r>
      <w:r w:rsidRPr="007A58EA">
        <w:rPr>
          <w:color w:val="000000" w:themeColor="text1"/>
        </w:rPr>
        <w:t>transfer</w:t>
      </w:r>
      <w:r w:rsidR="003A31F4" w:rsidRPr="007A58EA">
        <w:rPr>
          <w:color w:val="000000" w:themeColor="text1"/>
        </w:rPr>
        <w:t>ral</w:t>
      </w:r>
      <w:r w:rsidR="000A31B1" w:rsidRPr="007A58EA">
        <w:rPr>
          <w:color w:val="000000" w:themeColor="text1"/>
        </w:rPr>
        <w:t xml:space="preserve">.  The </w:t>
      </w:r>
      <w:r w:rsidRPr="007A58EA">
        <w:rPr>
          <w:color w:val="000000" w:themeColor="text1"/>
        </w:rPr>
        <w:t xml:space="preserve">claimant </w:t>
      </w:r>
      <w:r w:rsidR="00260708" w:rsidRPr="007A58EA">
        <w:rPr>
          <w:color w:val="000000" w:themeColor="text1"/>
        </w:rPr>
        <w:t xml:space="preserve">then </w:t>
      </w:r>
      <w:r w:rsidRPr="007A58EA">
        <w:rPr>
          <w:color w:val="000000" w:themeColor="text1"/>
        </w:rPr>
        <w:t xml:space="preserve">appealed </w:t>
      </w:r>
      <w:r w:rsidR="00CF3748" w:rsidRPr="007A58EA">
        <w:rPr>
          <w:color w:val="000000" w:themeColor="text1"/>
        </w:rPr>
        <w:t xml:space="preserve">to the Supreme Court </w:t>
      </w:r>
      <w:r w:rsidR="000A31B1" w:rsidRPr="007A58EA">
        <w:rPr>
          <w:color w:val="000000" w:themeColor="text1"/>
        </w:rPr>
        <w:t xml:space="preserve">against that first instance </w:t>
      </w:r>
      <w:r w:rsidR="00E70EAA" w:rsidRPr="007A58EA">
        <w:rPr>
          <w:color w:val="000000" w:themeColor="text1"/>
        </w:rPr>
        <w:t>resolution</w:t>
      </w:r>
      <w:r w:rsidR="00CF3748" w:rsidRPr="007A58EA">
        <w:rPr>
          <w:color w:val="000000" w:themeColor="text1"/>
        </w:rPr>
        <w:t xml:space="preserve">.  His appeal fell within the jurisdiction of the </w:t>
      </w:r>
      <w:r w:rsidR="00260708" w:rsidRPr="007A58EA">
        <w:rPr>
          <w:color w:val="000000" w:themeColor="text1"/>
        </w:rPr>
        <w:t xml:space="preserve">Chamber of Extraordinary Control and Public Affairs – </w:t>
      </w:r>
      <w:r w:rsidR="00CF3748" w:rsidRPr="007A58EA">
        <w:rPr>
          <w:color w:val="000000" w:themeColor="text1"/>
        </w:rPr>
        <w:t xml:space="preserve">but </w:t>
      </w:r>
      <w:r w:rsidR="000A31B1" w:rsidRPr="007A58EA">
        <w:rPr>
          <w:color w:val="000000" w:themeColor="text1"/>
        </w:rPr>
        <w:t xml:space="preserve">the </w:t>
      </w:r>
      <w:r w:rsidR="00CF3748" w:rsidRPr="007A58EA">
        <w:rPr>
          <w:color w:val="000000" w:themeColor="text1"/>
        </w:rPr>
        <w:t xml:space="preserve">claimant further requested that the </w:t>
      </w:r>
      <w:r w:rsidR="000A31B1" w:rsidRPr="007A58EA">
        <w:rPr>
          <w:color w:val="000000" w:themeColor="text1"/>
        </w:rPr>
        <w:t>Supreme Court</w:t>
      </w:r>
      <w:r w:rsidR="00CF3748" w:rsidRPr="007A58EA">
        <w:rPr>
          <w:color w:val="000000" w:themeColor="text1"/>
        </w:rPr>
        <w:t xml:space="preserve"> should recuse all the </w:t>
      </w:r>
      <w:r w:rsidR="000A31B1" w:rsidRPr="007A58EA">
        <w:rPr>
          <w:color w:val="000000" w:themeColor="text1"/>
        </w:rPr>
        <w:t xml:space="preserve">judges </w:t>
      </w:r>
      <w:r w:rsidR="00CF3748" w:rsidRPr="007A58EA">
        <w:rPr>
          <w:color w:val="000000" w:themeColor="text1"/>
        </w:rPr>
        <w:t xml:space="preserve">currently sitting in </w:t>
      </w:r>
      <w:r w:rsidR="00FD6FC9" w:rsidRPr="007A58EA">
        <w:rPr>
          <w:color w:val="000000" w:themeColor="text1"/>
        </w:rPr>
        <w:t>that</w:t>
      </w:r>
      <w:r w:rsidR="00CF3748" w:rsidRPr="007A58EA">
        <w:rPr>
          <w:color w:val="000000" w:themeColor="text1"/>
        </w:rPr>
        <w:t xml:space="preserve"> Chamber </w:t>
      </w:r>
      <w:r w:rsidR="00E70EAA" w:rsidRPr="007A58EA">
        <w:rPr>
          <w:color w:val="000000" w:themeColor="text1"/>
        </w:rPr>
        <w:t>from hearing his appeal, on the grounds that they could not be considered independent and impartial</w:t>
      </w:r>
      <w:r w:rsidR="00CF3748" w:rsidRPr="007A58EA">
        <w:rPr>
          <w:color w:val="000000" w:themeColor="text1"/>
        </w:rPr>
        <w:t xml:space="preserve">, due to fundamental flaws in their </w:t>
      </w:r>
      <w:r w:rsidR="007E22C4">
        <w:rPr>
          <w:color w:val="000000" w:themeColor="text1"/>
        </w:rPr>
        <w:t xml:space="preserve">own </w:t>
      </w:r>
      <w:r w:rsidR="00CF3748" w:rsidRPr="007A58EA">
        <w:rPr>
          <w:color w:val="000000" w:themeColor="text1"/>
        </w:rPr>
        <w:t>judicial appointment</w:t>
      </w:r>
      <w:r w:rsidR="000A31B1" w:rsidRPr="007A58EA">
        <w:rPr>
          <w:color w:val="000000" w:themeColor="text1"/>
        </w:rPr>
        <w:t>.</w:t>
      </w:r>
      <w:r w:rsidR="00E70EAA" w:rsidRPr="007A58EA">
        <w:rPr>
          <w:color w:val="000000" w:themeColor="text1"/>
        </w:rPr>
        <w:t xml:space="preserve">  Nevertheless, a single judge from the </w:t>
      </w:r>
      <w:r w:rsidR="00CF3748" w:rsidRPr="007A58EA">
        <w:rPr>
          <w:color w:val="000000" w:themeColor="text1"/>
        </w:rPr>
        <w:t>Chamber</w:t>
      </w:r>
      <w:r w:rsidR="00FD6FC9" w:rsidRPr="007A58EA">
        <w:rPr>
          <w:color w:val="000000" w:themeColor="text1"/>
        </w:rPr>
        <w:t xml:space="preserve"> </w:t>
      </w:r>
      <w:r w:rsidR="00E70EAA" w:rsidRPr="007A58EA">
        <w:rPr>
          <w:color w:val="000000" w:themeColor="text1"/>
        </w:rPr>
        <w:t>– without awaiting the outcome of the claimant’s recusal request, without access to the relevant casefile</w:t>
      </w:r>
      <w:r w:rsidR="009A3E9C" w:rsidRPr="007A58EA">
        <w:rPr>
          <w:color w:val="000000" w:themeColor="text1"/>
        </w:rPr>
        <w:t>,</w:t>
      </w:r>
      <w:r w:rsidR="00E70EAA" w:rsidRPr="007A58EA">
        <w:rPr>
          <w:color w:val="000000" w:themeColor="text1"/>
        </w:rPr>
        <w:t xml:space="preserve"> without offering the claimant any opportunity to present his case</w:t>
      </w:r>
      <w:r w:rsidR="009A3E9C" w:rsidRPr="007A58EA">
        <w:rPr>
          <w:color w:val="000000" w:themeColor="text1"/>
        </w:rPr>
        <w:t xml:space="preserve">, </w:t>
      </w:r>
      <w:r w:rsidR="00CF3748" w:rsidRPr="007A58EA">
        <w:rPr>
          <w:color w:val="000000" w:themeColor="text1"/>
        </w:rPr>
        <w:t xml:space="preserve">and </w:t>
      </w:r>
      <w:r w:rsidR="009A3E9C" w:rsidRPr="007A58EA">
        <w:rPr>
          <w:color w:val="000000" w:themeColor="text1"/>
        </w:rPr>
        <w:t>purportedly ruling as tribunal of last instance</w:t>
      </w:r>
      <w:r w:rsidR="00E70EAA" w:rsidRPr="007A58EA">
        <w:rPr>
          <w:color w:val="000000" w:themeColor="text1"/>
        </w:rPr>
        <w:t xml:space="preserve"> – found the </w:t>
      </w:r>
      <w:r w:rsidR="0026031D" w:rsidRPr="007A58EA">
        <w:rPr>
          <w:color w:val="000000" w:themeColor="text1"/>
        </w:rPr>
        <w:t>claimant’s</w:t>
      </w:r>
      <w:r w:rsidR="00E70EAA" w:rsidRPr="007A58EA">
        <w:rPr>
          <w:color w:val="000000" w:themeColor="text1"/>
        </w:rPr>
        <w:t xml:space="preserve"> appeal against the resolution of the National Council of the Judiciary to be inadmissible.  </w:t>
      </w:r>
    </w:p>
    <w:p w14:paraId="6F31DB7F" w14:textId="77777777" w:rsidR="007E0CDE" w:rsidRDefault="00540251" w:rsidP="007E0CDE">
      <w:pPr>
        <w:ind w:firstLine="720"/>
        <w:jc w:val="both"/>
        <w:rPr>
          <w:color w:val="000000" w:themeColor="text1"/>
        </w:rPr>
      </w:pPr>
      <w:r w:rsidRPr="007A58EA">
        <w:rPr>
          <w:color w:val="000000" w:themeColor="text1"/>
        </w:rPr>
        <w:t xml:space="preserve">Against that background, the competent </w:t>
      </w:r>
      <w:r w:rsidR="009B5DE6" w:rsidRPr="007A58EA">
        <w:rPr>
          <w:color w:val="000000" w:themeColor="text1"/>
        </w:rPr>
        <w:t xml:space="preserve">Supreme Court </w:t>
      </w:r>
      <w:r w:rsidR="00E70EAA" w:rsidRPr="007A58EA">
        <w:rPr>
          <w:color w:val="000000" w:themeColor="text1"/>
        </w:rPr>
        <w:t xml:space="preserve">panel </w:t>
      </w:r>
      <w:r w:rsidRPr="007A58EA">
        <w:rPr>
          <w:color w:val="000000" w:themeColor="text1"/>
        </w:rPr>
        <w:t xml:space="preserve">charged with deciding on the claimant’s recusal request needed to know whether the </w:t>
      </w:r>
      <w:r w:rsidR="009B5DE6" w:rsidRPr="007A58EA">
        <w:rPr>
          <w:color w:val="000000" w:themeColor="text1"/>
        </w:rPr>
        <w:t xml:space="preserve">relevant </w:t>
      </w:r>
      <w:r w:rsidRPr="007A58EA">
        <w:rPr>
          <w:color w:val="000000" w:themeColor="text1"/>
        </w:rPr>
        <w:t xml:space="preserve">judge from the </w:t>
      </w:r>
      <w:r w:rsidR="009B5DE6" w:rsidRPr="007A58EA">
        <w:rPr>
          <w:color w:val="000000" w:themeColor="text1"/>
        </w:rPr>
        <w:t xml:space="preserve">Chamber of Extraordinary Control and Public Affairs </w:t>
      </w:r>
      <w:r w:rsidRPr="007A58EA">
        <w:rPr>
          <w:color w:val="000000" w:themeColor="text1"/>
        </w:rPr>
        <w:t xml:space="preserve">even had the status of “judge” in the first place, and therefore, whether his decision on the claimant’s appeal in fact </w:t>
      </w:r>
      <w:r w:rsidR="0092468F" w:rsidRPr="007A58EA">
        <w:rPr>
          <w:color w:val="000000" w:themeColor="text1"/>
        </w:rPr>
        <w:t>enjoyed</w:t>
      </w:r>
      <w:r w:rsidRPr="007A58EA">
        <w:rPr>
          <w:color w:val="000000" w:themeColor="text1"/>
        </w:rPr>
        <w:t xml:space="preserve"> any legal existence.  That distinction would have important procedural consequences: if the judge were legitimate and his decision </w:t>
      </w:r>
      <w:r w:rsidR="007A3F32" w:rsidRPr="007A58EA">
        <w:rPr>
          <w:color w:val="000000" w:themeColor="text1"/>
        </w:rPr>
        <w:t xml:space="preserve">legally existent, the </w:t>
      </w:r>
      <w:r w:rsidR="004C03C7" w:rsidRPr="007A58EA">
        <w:rPr>
          <w:color w:val="000000" w:themeColor="text1"/>
        </w:rPr>
        <w:t xml:space="preserve">competent </w:t>
      </w:r>
      <w:r w:rsidR="007A3F32" w:rsidRPr="007A58EA">
        <w:rPr>
          <w:color w:val="000000" w:themeColor="text1"/>
        </w:rPr>
        <w:t xml:space="preserve">Supreme Court </w:t>
      </w:r>
      <w:r w:rsidR="009B5DE6" w:rsidRPr="007A58EA">
        <w:rPr>
          <w:color w:val="000000" w:themeColor="text1"/>
        </w:rPr>
        <w:t xml:space="preserve">panel </w:t>
      </w:r>
      <w:r w:rsidR="004C03C7" w:rsidRPr="007A58EA">
        <w:rPr>
          <w:color w:val="000000" w:themeColor="text1"/>
        </w:rPr>
        <w:t>w</w:t>
      </w:r>
      <w:r w:rsidR="007A3F32" w:rsidRPr="007A58EA">
        <w:rPr>
          <w:color w:val="000000" w:themeColor="text1"/>
        </w:rPr>
        <w:t xml:space="preserve">ould be obliged to terminate proceedings into the claimant’s recusal request because the latter had become devoid of purpose; whereas if the judge were in fact a non-judge and his decision </w:t>
      </w:r>
      <w:r w:rsidR="004C03C7" w:rsidRPr="007A58EA">
        <w:rPr>
          <w:color w:val="000000" w:themeColor="text1"/>
        </w:rPr>
        <w:t xml:space="preserve">was to be considered </w:t>
      </w:r>
      <w:r w:rsidR="007A3F32" w:rsidRPr="007A58EA">
        <w:rPr>
          <w:color w:val="000000" w:themeColor="text1"/>
        </w:rPr>
        <w:t xml:space="preserve">legally non-existent, the </w:t>
      </w:r>
      <w:r w:rsidR="004C03C7" w:rsidRPr="007A58EA">
        <w:rPr>
          <w:color w:val="000000" w:themeColor="text1"/>
        </w:rPr>
        <w:t xml:space="preserve">competent </w:t>
      </w:r>
      <w:r w:rsidR="009B5DE6" w:rsidRPr="007A58EA">
        <w:rPr>
          <w:color w:val="000000" w:themeColor="text1"/>
        </w:rPr>
        <w:t xml:space="preserve">Supreme Court </w:t>
      </w:r>
      <w:r w:rsidR="004C03C7" w:rsidRPr="007A58EA">
        <w:rPr>
          <w:color w:val="000000" w:themeColor="text1"/>
        </w:rPr>
        <w:t>panel sh</w:t>
      </w:r>
      <w:r w:rsidR="007A3F32" w:rsidRPr="007A58EA">
        <w:rPr>
          <w:color w:val="000000" w:themeColor="text1"/>
        </w:rPr>
        <w:t xml:space="preserve">ould proceed to rule on the claimant’s recusal application as a preliminary issue to his appeal against non-consensual transfer.  </w:t>
      </w:r>
      <w:r w:rsidR="00686DDB" w:rsidRPr="007A58EA">
        <w:rPr>
          <w:color w:val="000000" w:themeColor="text1"/>
        </w:rPr>
        <w:t xml:space="preserve">The competent </w:t>
      </w:r>
      <w:r w:rsidR="009B5DE6" w:rsidRPr="007A58EA">
        <w:rPr>
          <w:color w:val="000000" w:themeColor="text1"/>
        </w:rPr>
        <w:t xml:space="preserve">Supreme Court </w:t>
      </w:r>
      <w:r w:rsidR="00686DDB" w:rsidRPr="007A58EA">
        <w:rPr>
          <w:color w:val="000000" w:themeColor="text1"/>
        </w:rPr>
        <w:t>panel referred that question to another panel of the same court</w:t>
      </w:r>
      <w:r w:rsidR="0092468F" w:rsidRPr="007A58EA">
        <w:rPr>
          <w:color w:val="000000" w:themeColor="text1"/>
        </w:rPr>
        <w:t xml:space="preserve"> and</w:t>
      </w:r>
      <w:r w:rsidR="00686DDB" w:rsidRPr="007A58EA">
        <w:rPr>
          <w:color w:val="000000" w:themeColor="text1"/>
        </w:rPr>
        <w:t xml:space="preserve"> it was the latter that decided to make a preliminary reference to Luxembourg</w:t>
      </w:r>
      <w:r w:rsidR="0092468F" w:rsidRPr="007A58EA">
        <w:rPr>
          <w:color w:val="000000" w:themeColor="text1"/>
        </w:rPr>
        <w:t>.  S</w:t>
      </w:r>
      <w:r w:rsidR="004C03C7" w:rsidRPr="007A58EA">
        <w:rPr>
          <w:color w:val="000000" w:themeColor="text1"/>
        </w:rPr>
        <w:t xml:space="preserve">ince the </w:t>
      </w:r>
      <w:r w:rsidR="009A3E9C" w:rsidRPr="007A58EA">
        <w:rPr>
          <w:color w:val="000000" w:themeColor="text1"/>
        </w:rPr>
        <w:t xml:space="preserve">proper </w:t>
      </w:r>
      <w:r w:rsidR="004C03C7" w:rsidRPr="007A58EA">
        <w:rPr>
          <w:color w:val="000000" w:themeColor="text1"/>
        </w:rPr>
        <w:t xml:space="preserve">status </w:t>
      </w:r>
      <w:r w:rsidR="009A3E9C" w:rsidRPr="007A58EA">
        <w:rPr>
          <w:color w:val="000000" w:themeColor="text1"/>
        </w:rPr>
        <w:t xml:space="preserve">or otherwise of the disputed judge </w:t>
      </w:r>
      <w:r w:rsidR="009B5DE6" w:rsidRPr="007A58EA">
        <w:rPr>
          <w:color w:val="000000" w:themeColor="text1"/>
        </w:rPr>
        <w:t xml:space="preserve">from the Chamber of Extraordinary Control and Public Affairs </w:t>
      </w:r>
      <w:r w:rsidR="009A3E9C" w:rsidRPr="007A58EA">
        <w:rPr>
          <w:color w:val="000000" w:themeColor="text1"/>
        </w:rPr>
        <w:t xml:space="preserve">hinged upon Poland’s compliance with its obligations under Article 19(1) TEU, the ECJ was asked for guidance both on the substantive questions surrounding judicial independence and as to the consequences of a finding of non-compliance in this particular case.  </w:t>
      </w:r>
    </w:p>
    <w:p w14:paraId="035D36DA" w14:textId="09B1C028" w:rsidR="007E0CDE" w:rsidRDefault="009A3E9C" w:rsidP="007E0CDE">
      <w:pPr>
        <w:ind w:firstLine="720"/>
        <w:jc w:val="both"/>
        <w:rPr>
          <w:color w:val="000000" w:themeColor="text1"/>
        </w:rPr>
      </w:pPr>
      <w:r w:rsidRPr="007A58EA">
        <w:rPr>
          <w:color w:val="000000" w:themeColor="text1"/>
        </w:rPr>
        <w:t xml:space="preserve">Having considered the substantive questions in considerable detail, the ECJ held that – if the </w:t>
      </w:r>
      <w:r w:rsidR="00686DDB" w:rsidRPr="007A58EA">
        <w:rPr>
          <w:color w:val="000000" w:themeColor="text1"/>
        </w:rPr>
        <w:t xml:space="preserve">referring </w:t>
      </w:r>
      <w:r w:rsidRPr="007A58EA">
        <w:rPr>
          <w:color w:val="000000" w:themeColor="text1"/>
        </w:rPr>
        <w:t xml:space="preserve">court were to consider that the disputed judge’s appointment </w:t>
      </w:r>
      <w:r w:rsidR="00FF268E">
        <w:rPr>
          <w:color w:val="000000" w:themeColor="text1"/>
        </w:rPr>
        <w:t xml:space="preserve">indeed </w:t>
      </w:r>
      <w:r w:rsidRPr="007A58EA">
        <w:rPr>
          <w:color w:val="000000" w:themeColor="text1"/>
        </w:rPr>
        <w:t xml:space="preserve">failed to satisfy the requirements of Article 19(1) TEU </w:t>
      </w:r>
      <w:r w:rsidR="00686DDB" w:rsidRPr="007A58EA">
        <w:rPr>
          <w:color w:val="000000" w:themeColor="text1"/>
        </w:rPr>
        <w:t>–</w:t>
      </w:r>
      <w:r w:rsidRPr="007A58EA">
        <w:rPr>
          <w:color w:val="000000" w:themeColor="text1"/>
        </w:rPr>
        <w:t xml:space="preserve"> </w:t>
      </w:r>
      <w:r w:rsidR="00686DDB" w:rsidRPr="007A58EA">
        <w:rPr>
          <w:color w:val="000000" w:themeColor="text1"/>
        </w:rPr>
        <w:t xml:space="preserve">it should respond </w:t>
      </w:r>
      <w:r w:rsidR="009B5DE6" w:rsidRPr="007A58EA">
        <w:rPr>
          <w:color w:val="000000" w:themeColor="text1"/>
        </w:rPr>
        <w:t xml:space="preserve">as follows </w:t>
      </w:r>
      <w:r w:rsidR="00686DDB" w:rsidRPr="007A58EA">
        <w:rPr>
          <w:color w:val="000000" w:themeColor="text1"/>
        </w:rPr>
        <w:t xml:space="preserve">to the competent </w:t>
      </w:r>
      <w:r w:rsidR="009B5DE6" w:rsidRPr="007A58EA">
        <w:rPr>
          <w:color w:val="000000" w:themeColor="text1"/>
        </w:rPr>
        <w:t xml:space="preserve">Supreme Court </w:t>
      </w:r>
      <w:r w:rsidR="00686DDB" w:rsidRPr="007A58EA">
        <w:rPr>
          <w:color w:val="000000" w:themeColor="text1"/>
        </w:rPr>
        <w:t xml:space="preserve">panel </w:t>
      </w:r>
      <w:r w:rsidR="009B5DE6" w:rsidRPr="007A58EA">
        <w:rPr>
          <w:color w:val="000000" w:themeColor="text1"/>
        </w:rPr>
        <w:t>responsible for deciding upon the claimant’s recusal request</w:t>
      </w:r>
      <w:r w:rsidR="00A62CA7" w:rsidRPr="007A58EA">
        <w:rPr>
          <w:color w:val="000000" w:themeColor="text1"/>
        </w:rPr>
        <w:t xml:space="preserve">: in </w:t>
      </w:r>
      <w:r w:rsidR="00686DDB" w:rsidRPr="007A58EA">
        <w:rPr>
          <w:color w:val="000000" w:themeColor="text1"/>
        </w:rPr>
        <w:t xml:space="preserve">accordance with the principle of primacy, the disputed judge’s decision to dismiss the claimant’s appeal </w:t>
      </w:r>
      <w:r w:rsidR="00A62CA7" w:rsidRPr="007A58EA">
        <w:rPr>
          <w:color w:val="000000" w:themeColor="text1"/>
        </w:rPr>
        <w:t>must be declared</w:t>
      </w:r>
      <w:r w:rsidR="00686DDB" w:rsidRPr="007A58EA">
        <w:rPr>
          <w:color w:val="000000" w:themeColor="text1"/>
        </w:rPr>
        <w:t xml:space="preserve"> null and void, without any provision of national law being able to preclude this.</w:t>
      </w:r>
    </w:p>
    <w:p w14:paraId="53EC9A82" w14:textId="77777777" w:rsidR="007E0CDE" w:rsidRDefault="00686DDB" w:rsidP="007E0CDE">
      <w:pPr>
        <w:ind w:firstLine="720"/>
        <w:jc w:val="both"/>
        <w:rPr>
          <w:color w:val="000000" w:themeColor="text1"/>
        </w:rPr>
      </w:pPr>
      <w:r w:rsidRPr="007A58EA">
        <w:rPr>
          <w:color w:val="000000" w:themeColor="text1"/>
        </w:rPr>
        <w:t xml:space="preserve">To reach that conclusion, the Court recalled that the principle of primacy establishes the preminence of EU law over national law and requires all Member State bodies to give full effect to EU law.  </w:t>
      </w:r>
      <w:r w:rsidR="007411A4" w:rsidRPr="007A58EA">
        <w:rPr>
          <w:color w:val="000000" w:themeColor="text1"/>
        </w:rPr>
        <w:t xml:space="preserve">The Member State cannot rely on rules, even of a constitutional nature, to undermine the unity and effectiveness of EU law.  As bodies of the Member State, any national court hearing a case within its jurisdiction is obliged to disapply any provision of domestic law that is contrary to directly effective EU law.  Given that Article 19(1) TEU imposes on Member States a clear, precise and unconditional obligation as to result, the </w:t>
      </w:r>
      <w:r w:rsidR="009B5DE6" w:rsidRPr="007A58EA">
        <w:rPr>
          <w:color w:val="000000" w:themeColor="text1"/>
        </w:rPr>
        <w:t xml:space="preserve">Polish </w:t>
      </w:r>
      <w:r w:rsidR="007411A4" w:rsidRPr="007A58EA">
        <w:rPr>
          <w:color w:val="000000" w:themeColor="text1"/>
        </w:rPr>
        <w:t xml:space="preserve">Supreme Court is required to ensure the full effectiveness of that Treaty provision.  Here, taking into account the particular procedural features identified by the referring court, compliance by the </w:t>
      </w:r>
      <w:r w:rsidR="009B5DE6" w:rsidRPr="007A58EA">
        <w:rPr>
          <w:color w:val="000000" w:themeColor="text1"/>
        </w:rPr>
        <w:t xml:space="preserve">competent </w:t>
      </w:r>
      <w:r w:rsidR="007411A4" w:rsidRPr="007A58EA">
        <w:rPr>
          <w:color w:val="000000" w:themeColor="text1"/>
        </w:rPr>
        <w:t xml:space="preserve">Supreme Court </w:t>
      </w:r>
      <w:r w:rsidR="009B5DE6" w:rsidRPr="007A58EA">
        <w:rPr>
          <w:color w:val="000000" w:themeColor="text1"/>
        </w:rPr>
        <w:t xml:space="preserve">panel </w:t>
      </w:r>
      <w:r w:rsidR="007411A4" w:rsidRPr="007A58EA">
        <w:rPr>
          <w:color w:val="000000" w:themeColor="text1"/>
        </w:rPr>
        <w:t>with its obligations under Article 19(1) TEU require</w:t>
      </w:r>
      <w:r w:rsidR="004313BD" w:rsidRPr="007A58EA">
        <w:rPr>
          <w:color w:val="000000" w:themeColor="text1"/>
        </w:rPr>
        <w:t>s</w:t>
      </w:r>
      <w:r w:rsidR="007411A4" w:rsidRPr="007A58EA">
        <w:rPr>
          <w:color w:val="000000" w:themeColor="text1"/>
        </w:rPr>
        <w:t xml:space="preserve"> that the disputed </w:t>
      </w:r>
      <w:r w:rsidR="007411A4" w:rsidRPr="007A58EA">
        <w:rPr>
          <w:color w:val="000000" w:themeColor="text1"/>
        </w:rPr>
        <w:lastRenderedPageBreak/>
        <w:t xml:space="preserve">judge’s decision </w:t>
      </w:r>
      <w:r w:rsidR="009B5DE6" w:rsidRPr="007A58EA">
        <w:rPr>
          <w:color w:val="000000" w:themeColor="text1"/>
        </w:rPr>
        <w:t xml:space="preserve">be </w:t>
      </w:r>
      <w:r w:rsidR="007411A4" w:rsidRPr="007A58EA">
        <w:rPr>
          <w:color w:val="000000" w:themeColor="text1"/>
        </w:rPr>
        <w:t>declared null and void.</w:t>
      </w:r>
      <w:r w:rsidR="009E2639" w:rsidRPr="007A58EA">
        <w:rPr>
          <w:color w:val="000000" w:themeColor="text1"/>
        </w:rPr>
        <w:t xml:space="preserve">  No </w:t>
      </w:r>
      <w:r w:rsidR="00C06147" w:rsidRPr="007A58EA">
        <w:rPr>
          <w:color w:val="000000" w:themeColor="text1"/>
        </w:rPr>
        <w:t xml:space="preserve">national legal </w:t>
      </w:r>
      <w:r w:rsidR="009E2639" w:rsidRPr="007A58EA">
        <w:rPr>
          <w:color w:val="000000" w:themeColor="text1"/>
        </w:rPr>
        <w:t>considerations</w:t>
      </w:r>
      <w:r w:rsidR="00C06147" w:rsidRPr="007A58EA">
        <w:rPr>
          <w:color w:val="000000" w:themeColor="text1"/>
        </w:rPr>
        <w:t xml:space="preserve"> relating </w:t>
      </w:r>
      <w:r w:rsidR="004313BD" w:rsidRPr="007A58EA">
        <w:rPr>
          <w:color w:val="000000" w:themeColor="text1"/>
        </w:rPr>
        <w:t xml:space="preserve">to </w:t>
      </w:r>
      <w:r w:rsidR="00C06147" w:rsidRPr="007A58EA">
        <w:rPr>
          <w:color w:val="000000" w:themeColor="text1"/>
        </w:rPr>
        <w:t xml:space="preserve">the principle of legal certainty or finality of decisions can be relied </w:t>
      </w:r>
      <w:r w:rsidR="009B5DE6" w:rsidRPr="007A58EA">
        <w:rPr>
          <w:color w:val="000000" w:themeColor="text1"/>
        </w:rPr>
        <w:t>up</w:t>
      </w:r>
      <w:r w:rsidR="00C06147" w:rsidRPr="007A58EA">
        <w:rPr>
          <w:color w:val="000000" w:themeColor="text1"/>
        </w:rPr>
        <w:t xml:space="preserve">on to prevent that outcome.  </w:t>
      </w:r>
      <w:r w:rsidR="00E52B57" w:rsidRPr="007A58EA">
        <w:rPr>
          <w:color w:val="000000" w:themeColor="text1"/>
        </w:rPr>
        <w:t xml:space="preserve">As the Court concluded in the operative part of its judgment: </w:t>
      </w:r>
      <w:r w:rsidR="00C06147" w:rsidRPr="007A58EA">
        <w:rPr>
          <w:color w:val="000000" w:themeColor="text1"/>
        </w:rPr>
        <w:t xml:space="preserve">a national court seised of a recusal request, as an adjunct to an appeal against the claimant’s non-consensual judicial transfer, must – where such </w:t>
      </w:r>
      <w:r w:rsidR="009C287B" w:rsidRPr="007A58EA">
        <w:rPr>
          <w:color w:val="000000" w:themeColor="text1"/>
        </w:rPr>
        <w:t xml:space="preserve">a </w:t>
      </w:r>
      <w:r w:rsidR="00C06147" w:rsidRPr="007A58EA">
        <w:rPr>
          <w:color w:val="000000" w:themeColor="text1"/>
        </w:rPr>
        <w:t>consequence is essential in view of the procedural situation at issue</w:t>
      </w:r>
      <w:r w:rsidR="009C287B" w:rsidRPr="007A58EA">
        <w:rPr>
          <w:color w:val="000000" w:themeColor="text1"/>
        </w:rPr>
        <w:t>,</w:t>
      </w:r>
      <w:r w:rsidR="00C06147" w:rsidRPr="007A58EA">
        <w:rPr>
          <w:color w:val="000000" w:themeColor="text1"/>
        </w:rPr>
        <w:t xml:space="preserve"> in order to ensure the primacy of EU law – declare null and void a decision </w:t>
      </w:r>
      <w:r w:rsidR="0092468F" w:rsidRPr="007A58EA">
        <w:rPr>
          <w:color w:val="000000" w:themeColor="text1"/>
        </w:rPr>
        <w:t>dis</w:t>
      </w:r>
      <w:r w:rsidR="00C06147" w:rsidRPr="007A58EA">
        <w:rPr>
          <w:color w:val="000000" w:themeColor="text1"/>
        </w:rPr>
        <w:t xml:space="preserve">missing that appeal, </w:t>
      </w:r>
      <w:r w:rsidR="009C287B" w:rsidRPr="007A58EA">
        <w:rPr>
          <w:color w:val="000000" w:themeColor="text1"/>
        </w:rPr>
        <w:t xml:space="preserve">if </w:t>
      </w:r>
      <w:r w:rsidR="00C06147" w:rsidRPr="007A58EA">
        <w:rPr>
          <w:color w:val="000000" w:themeColor="text1"/>
        </w:rPr>
        <w:t>the circumstances of the relevant judge’s appointment fail to satisfy the requirements of Article 19(1) TEU.</w:t>
      </w:r>
    </w:p>
    <w:p w14:paraId="55232C09" w14:textId="1C837FC1" w:rsidR="007E0CDE" w:rsidRDefault="00D91EF5" w:rsidP="007E0CDE">
      <w:pPr>
        <w:ind w:firstLine="720"/>
        <w:jc w:val="both"/>
        <w:rPr>
          <w:color w:val="000000" w:themeColor="text1"/>
        </w:rPr>
      </w:pPr>
      <w:r w:rsidRPr="007A58EA">
        <w:rPr>
          <w:color w:val="000000" w:themeColor="text1"/>
        </w:rPr>
        <w:t>T</w:t>
      </w:r>
      <w:r w:rsidR="009C287B" w:rsidRPr="007A58EA">
        <w:rPr>
          <w:color w:val="000000" w:themeColor="text1"/>
        </w:rPr>
        <w:t xml:space="preserve">he </w:t>
      </w:r>
      <w:r w:rsidR="008E2E72" w:rsidRPr="007A58EA">
        <w:rPr>
          <w:i/>
          <w:iCs/>
          <w:color w:val="000000" w:themeColor="text1"/>
        </w:rPr>
        <w:t>W.Ż.</w:t>
      </w:r>
      <w:r w:rsidR="00E52B57" w:rsidRPr="007A58EA">
        <w:rPr>
          <w:color w:val="000000" w:themeColor="text1"/>
        </w:rPr>
        <w:t xml:space="preserve"> </w:t>
      </w:r>
      <w:r w:rsidR="009C287B" w:rsidRPr="007A58EA">
        <w:rPr>
          <w:color w:val="000000" w:themeColor="text1"/>
        </w:rPr>
        <w:t xml:space="preserve">case differs from both </w:t>
      </w:r>
      <w:r w:rsidR="009C287B" w:rsidRPr="007A58EA">
        <w:rPr>
          <w:i/>
          <w:iCs/>
          <w:color w:val="000000" w:themeColor="text1"/>
        </w:rPr>
        <w:t>Berlusconi</w:t>
      </w:r>
      <w:r w:rsidR="009C287B" w:rsidRPr="007A58EA">
        <w:rPr>
          <w:color w:val="000000" w:themeColor="text1"/>
        </w:rPr>
        <w:t xml:space="preserve"> and </w:t>
      </w:r>
      <w:r w:rsidR="00E52B57" w:rsidRPr="007A58EA">
        <w:rPr>
          <w:i/>
          <w:iCs/>
          <w:color w:val="000000" w:themeColor="text1"/>
        </w:rPr>
        <w:t>Rimšēvičs</w:t>
      </w:r>
      <w:r w:rsidR="00E52B57" w:rsidRPr="007A58EA">
        <w:rPr>
          <w:color w:val="000000" w:themeColor="text1"/>
        </w:rPr>
        <w:t xml:space="preserve"> </w:t>
      </w:r>
      <w:r w:rsidR="009C287B" w:rsidRPr="007A58EA">
        <w:rPr>
          <w:color w:val="000000" w:themeColor="text1"/>
        </w:rPr>
        <w:t xml:space="preserve">insofar as the Court in </w:t>
      </w:r>
      <w:r w:rsidR="008E2E72" w:rsidRPr="007A58EA">
        <w:rPr>
          <w:i/>
          <w:iCs/>
          <w:color w:val="000000" w:themeColor="text1"/>
        </w:rPr>
        <w:t>W.Ż.</w:t>
      </w:r>
      <w:r w:rsidR="009C287B" w:rsidRPr="007A58EA">
        <w:rPr>
          <w:color w:val="000000" w:themeColor="text1"/>
        </w:rPr>
        <w:t xml:space="preserve"> leaves intact the traditional division of jurisdiction between the </w:t>
      </w:r>
      <w:r w:rsidR="00E52B57" w:rsidRPr="007A58EA">
        <w:rPr>
          <w:color w:val="000000" w:themeColor="text1"/>
        </w:rPr>
        <w:t>Union</w:t>
      </w:r>
      <w:r w:rsidR="009C287B" w:rsidRPr="007A58EA">
        <w:rPr>
          <w:color w:val="000000" w:themeColor="text1"/>
        </w:rPr>
        <w:t xml:space="preserve"> and national courts</w:t>
      </w:r>
      <w:r w:rsidR="0026031D" w:rsidRPr="007A58EA">
        <w:rPr>
          <w:color w:val="000000" w:themeColor="text1"/>
        </w:rPr>
        <w:t xml:space="preserve">.  The </w:t>
      </w:r>
      <w:r w:rsidR="00FF268E">
        <w:rPr>
          <w:color w:val="000000" w:themeColor="text1"/>
        </w:rPr>
        <w:t>CJEU</w:t>
      </w:r>
      <w:r w:rsidR="009C287B" w:rsidRPr="007A58EA">
        <w:rPr>
          <w:color w:val="000000" w:themeColor="text1"/>
        </w:rPr>
        <w:t xml:space="preserve"> does not seek to assert </w:t>
      </w:r>
      <w:r w:rsidR="00E52B57" w:rsidRPr="007A58EA">
        <w:rPr>
          <w:color w:val="000000" w:themeColor="text1"/>
        </w:rPr>
        <w:t xml:space="preserve">its own </w:t>
      </w:r>
      <w:r w:rsidR="009C287B" w:rsidRPr="007A58EA">
        <w:rPr>
          <w:color w:val="000000" w:themeColor="text1"/>
        </w:rPr>
        <w:t xml:space="preserve">direct jurisdiction, </w:t>
      </w:r>
      <w:r w:rsidR="00A41A1B" w:rsidRPr="007A58EA">
        <w:rPr>
          <w:color w:val="000000" w:themeColor="text1"/>
        </w:rPr>
        <w:t>n</w:t>
      </w:r>
      <w:r w:rsidR="009C287B" w:rsidRPr="007A58EA">
        <w:rPr>
          <w:color w:val="000000" w:themeColor="text1"/>
        </w:rPr>
        <w:t xml:space="preserve">or </w:t>
      </w:r>
      <w:r w:rsidR="00E52B57" w:rsidRPr="007A58EA">
        <w:rPr>
          <w:color w:val="000000" w:themeColor="text1"/>
        </w:rPr>
        <w:t xml:space="preserve">to </w:t>
      </w:r>
      <w:r w:rsidR="009C287B" w:rsidRPr="007A58EA">
        <w:rPr>
          <w:color w:val="000000" w:themeColor="text1"/>
        </w:rPr>
        <w:t xml:space="preserve">suppress </w:t>
      </w:r>
      <w:r w:rsidR="00E52B57" w:rsidRPr="007A58EA">
        <w:rPr>
          <w:color w:val="000000" w:themeColor="text1"/>
        </w:rPr>
        <w:t>existing domestic</w:t>
      </w:r>
      <w:r w:rsidR="009C287B" w:rsidRPr="007A58EA">
        <w:rPr>
          <w:color w:val="000000" w:themeColor="text1"/>
        </w:rPr>
        <w:t xml:space="preserve"> jurisdiction, in relation to any national acts</w:t>
      </w:r>
      <w:r w:rsidR="0026031D" w:rsidRPr="007A58EA">
        <w:rPr>
          <w:color w:val="000000" w:themeColor="text1"/>
        </w:rPr>
        <w:t xml:space="preserve">.  Far from it: </w:t>
      </w:r>
      <w:r w:rsidR="009C287B" w:rsidRPr="007A58EA">
        <w:rPr>
          <w:color w:val="000000" w:themeColor="text1"/>
        </w:rPr>
        <w:t>the Court</w:t>
      </w:r>
      <w:r w:rsidR="0026031D" w:rsidRPr="007A58EA">
        <w:rPr>
          <w:color w:val="000000" w:themeColor="text1"/>
        </w:rPr>
        <w:t xml:space="preserve"> expressly affirms that it</w:t>
      </w:r>
      <w:r w:rsidR="009C287B" w:rsidRPr="007A58EA">
        <w:rPr>
          <w:color w:val="000000" w:themeColor="text1"/>
        </w:rPr>
        <w:t xml:space="preserve">s </w:t>
      </w:r>
      <w:r w:rsidR="003B2C47" w:rsidRPr="007A58EA">
        <w:rPr>
          <w:color w:val="000000" w:themeColor="text1"/>
        </w:rPr>
        <w:t xml:space="preserve">proper </w:t>
      </w:r>
      <w:r w:rsidR="009C287B" w:rsidRPr="007A58EA">
        <w:rPr>
          <w:color w:val="000000" w:themeColor="text1"/>
        </w:rPr>
        <w:t xml:space="preserve">role </w:t>
      </w:r>
      <w:r w:rsidR="003B2C47" w:rsidRPr="007A58EA">
        <w:rPr>
          <w:color w:val="000000" w:themeColor="text1"/>
        </w:rPr>
        <w:t xml:space="preserve">here </w:t>
      </w:r>
      <w:r w:rsidR="009C287B" w:rsidRPr="007A58EA">
        <w:rPr>
          <w:color w:val="000000" w:themeColor="text1"/>
        </w:rPr>
        <w:t xml:space="preserve">is to provide guidance as to the interpretation and application of Union law, so that the national court may undertake its own assessment of the compatibility of domestic law with the Member State’s Treaty obligations.  </w:t>
      </w:r>
      <w:r w:rsidRPr="007A58EA">
        <w:rPr>
          <w:color w:val="000000" w:themeColor="text1"/>
        </w:rPr>
        <w:t xml:space="preserve">To a far greater and more explicit extent than </w:t>
      </w:r>
      <w:r w:rsidR="00DA3C50" w:rsidRPr="007A58EA">
        <w:rPr>
          <w:color w:val="000000" w:themeColor="text1"/>
        </w:rPr>
        <w:t xml:space="preserve">either </w:t>
      </w:r>
      <w:r w:rsidRPr="007A58EA">
        <w:rPr>
          <w:i/>
          <w:iCs/>
          <w:color w:val="000000" w:themeColor="text1"/>
        </w:rPr>
        <w:t>Berlusconi</w:t>
      </w:r>
      <w:r w:rsidRPr="007A58EA">
        <w:rPr>
          <w:color w:val="000000" w:themeColor="text1"/>
        </w:rPr>
        <w:t xml:space="preserve"> </w:t>
      </w:r>
      <w:r w:rsidR="00DA3C50" w:rsidRPr="007A58EA">
        <w:rPr>
          <w:color w:val="000000" w:themeColor="text1"/>
        </w:rPr>
        <w:t xml:space="preserve">or even </w:t>
      </w:r>
      <w:r w:rsidR="00E52B57" w:rsidRPr="007A58EA">
        <w:rPr>
          <w:i/>
          <w:iCs/>
          <w:color w:val="000000" w:themeColor="text1"/>
        </w:rPr>
        <w:t>Rimšēvičs</w:t>
      </w:r>
      <w:r w:rsidRPr="007A58EA">
        <w:rPr>
          <w:color w:val="000000" w:themeColor="text1"/>
        </w:rPr>
        <w:t xml:space="preserve">, the Court in </w:t>
      </w:r>
      <w:r w:rsidR="008E2E72" w:rsidRPr="007A58EA">
        <w:rPr>
          <w:i/>
          <w:iCs/>
          <w:color w:val="000000" w:themeColor="text1"/>
        </w:rPr>
        <w:t>W.Ż.</w:t>
      </w:r>
      <w:r w:rsidR="00E52B57" w:rsidRPr="007A58EA">
        <w:rPr>
          <w:color w:val="000000" w:themeColor="text1"/>
        </w:rPr>
        <w:t xml:space="preserve"> </w:t>
      </w:r>
      <w:r w:rsidRPr="007A58EA">
        <w:rPr>
          <w:color w:val="000000" w:themeColor="text1"/>
        </w:rPr>
        <w:t xml:space="preserve">focuses instead on the legal consequences that should flow, within the domestic legal system, from a finding of incompatibility </w:t>
      </w:r>
      <w:r w:rsidR="003B2C47" w:rsidRPr="007A58EA">
        <w:rPr>
          <w:color w:val="000000" w:themeColor="text1"/>
        </w:rPr>
        <w:t xml:space="preserve">reached </w:t>
      </w:r>
      <w:r w:rsidR="00E52B57" w:rsidRPr="007A58EA">
        <w:rPr>
          <w:color w:val="000000" w:themeColor="text1"/>
        </w:rPr>
        <w:t xml:space="preserve">as such </w:t>
      </w:r>
      <w:r w:rsidRPr="007A58EA">
        <w:rPr>
          <w:color w:val="000000" w:themeColor="text1"/>
        </w:rPr>
        <w:t>by the national court.</w:t>
      </w:r>
    </w:p>
    <w:p w14:paraId="7CCEA6B9" w14:textId="5FA46F1D" w:rsidR="007D5669" w:rsidRPr="007A58EA" w:rsidRDefault="00D91EF5" w:rsidP="007E0CDE">
      <w:pPr>
        <w:ind w:firstLine="720"/>
        <w:jc w:val="both"/>
        <w:rPr>
          <w:color w:val="000000" w:themeColor="text1"/>
        </w:rPr>
      </w:pPr>
      <w:r w:rsidRPr="007A58EA">
        <w:rPr>
          <w:color w:val="000000" w:themeColor="text1"/>
        </w:rPr>
        <w:t xml:space="preserve">In that regard, much of </w:t>
      </w:r>
      <w:r w:rsidR="008E2E72" w:rsidRPr="007A58EA">
        <w:rPr>
          <w:i/>
          <w:iCs/>
          <w:color w:val="000000" w:themeColor="text1"/>
        </w:rPr>
        <w:t>W.Ż.</w:t>
      </w:r>
      <w:r w:rsidRPr="007A58EA">
        <w:rPr>
          <w:color w:val="000000" w:themeColor="text1"/>
        </w:rPr>
        <w:t xml:space="preserve"> </w:t>
      </w:r>
      <w:r w:rsidR="004835EE" w:rsidRPr="007A58EA">
        <w:rPr>
          <w:color w:val="000000" w:themeColor="text1"/>
        </w:rPr>
        <w:t xml:space="preserve">draws upon </w:t>
      </w:r>
      <w:r w:rsidRPr="007A58EA">
        <w:rPr>
          <w:color w:val="000000" w:themeColor="text1"/>
        </w:rPr>
        <w:t>traditional and familiar</w:t>
      </w:r>
      <w:r w:rsidR="004835EE" w:rsidRPr="007A58EA">
        <w:rPr>
          <w:color w:val="000000" w:themeColor="text1"/>
        </w:rPr>
        <w:t xml:space="preserve"> caselaw, as indeed </w:t>
      </w:r>
      <w:r w:rsidR="00D4161E" w:rsidRPr="007A58EA">
        <w:rPr>
          <w:color w:val="000000" w:themeColor="text1"/>
        </w:rPr>
        <w:t>do</w:t>
      </w:r>
      <w:r w:rsidR="004835EE" w:rsidRPr="007A58EA">
        <w:rPr>
          <w:color w:val="000000" w:themeColor="text1"/>
        </w:rPr>
        <w:t xml:space="preserve"> previous </w:t>
      </w:r>
      <w:r w:rsidR="00D4161E" w:rsidRPr="007A58EA">
        <w:rPr>
          <w:color w:val="000000" w:themeColor="text1"/>
        </w:rPr>
        <w:t xml:space="preserve">and subsequent </w:t>
      </w:r>
      <w:r w:rsidR="004835EE" w:rsidRPr="007A58EA">
        <w:rPr>
          <w:color w:val="000000" w:themeColor="text1"/>
        </w:rPr>
        <w:t xml:space="preserve">rulings </w:t>
      </w:r>
      <w:r w:rsidR="00542330" w:rsidRPr="007A58EA">
        <w:rPr>
          <w:color w:val="000000" w:themeColor="text1"/>
        </w:rPr>
        <w:t xml:space="preserve">also </w:t>
      </w:r>
      <w:r w:rsidR="004835EE" w:rsidRPr="007A58EA">
        <w:rPr>
          <w:color w:val="000000" w:themeColor="text1"/>
        </w:rPr>
        <w:t>delivered in the context of the Polish rule of law crisis</w:t>
      </w:r>
      <w:r w:rsidRPr="007A58EA">
        <w:rPr>
          <w:color w:val="000000" w:themeColor="text1"/>
        </w:rPr>
        <w:t xml:space="preserve"> – from the general statement that all national bodies are obliged to ensure the full effectiveness of Union law, to the more specific </w:t>
      </w:r>
      <w:r w:rsidR="00FF268E">
        <w:rPr>
          <w:color w:val="000000" w:themeColor="text1"/>
        </w:rPr>
        <w:t>re</w:t>
      </w:r>
      <w:r w:rsidRPr="007A58EA">
        <w:rPr>
          <w:color w:val="000000" w:themeColor="text1"/>
        </w:rPr>
        <w:t>iteration that domestic courts are obliged to disapply provisions deemed incompatible with directly effective EU measures</w:t>
      </w:r>
      <w:r w:rsidR="007D5669" w:rsidRPr="007A58EA">
        <w:rPr>
          <w:color w:val="000000" w:themeColor="text1"/>
        </w:rPr>
        <w:t xml:space="preserve"> – with Article 19(1) TEU included among the EU acts that are to be treated as directly effective</w:t>
      </w:r>
      <w:r w:rsidR="00E52B57" w:rsidRPr="007A58EA">
        <w:rPr>
          <w:color w:val="000000" w:themeColor="text1"/>
        </w:rPr>
        <w:t xml:space="preserve"> for those purposes</w:t>
      </w:r>
      <w:r w:rsidRPr="007A58EA">
        <w:rPr>
          <w:color w:val="000000" w:themeColor="text1"/>
        </w:rPr>
        <w:t>.</w:t>
      </w:r>
      <w:r w:rsidR="004835EE" w:rsidRPr="007A58EA">
        <w:rPr>
          <w:rStyle w:val="FootnoteReference"/>
          <w:color w:val="000000" w:themeColor="text1"/>
        </w:rPr>
        <w:footnoteReference w:id="56"/>
      </w:r>
      <w:r w:rsidR="007D5669" w:rsidRPr="007A58EA">
        <w:rPr>
          <w:color w:val="000000" w:themeColor="text1"/>
        </w:rPr>
        <w:t xml:space="preserve">  Where </w:t>
      </w:r>
      <w:r w:rsidR="008E2E72" w:rsidRPr="007A58EA">
        <w:rPr>
          <w:i/>
          <w:iCs/>
          <w:color w:val="000000" w:themeColor="text1"/>
        </w:rPr>
        <w:t>W.Ż.</w:t>
      </w:r>
      <w:r w:rsidR="00E52B57" w:rsidRPr="007A58EA">
        <w:rPr>
          <w:color w:val="000000" w:themeColor="text1"/>
        </w:rPr>
        <w:t xml:space="preserve"> </w:t>
      </w:r>
      <w:r w:rsidR="007D5669" w:rsidRPr="007A58EA">
        <w:rPr>
          <w:color w:val="000000" w:themeColor="text1"/>
        </w:rPr>
        <w:t>appears to break new ground is the Court’s explicit extension of the national court’s obligation, beyond mere disapplication of the disputed domestic act, so as to declare and treat the latter simply as null and void.</w:t>
      </w:r>
      <w:r w:rsidR="009C2F90" w:rsidRPr="007A58EA">
        <w:rPr>
          <w:rStyle w:val="FootnoteReference"/>
          <w:color w:val="000000" w:themeColor="text1"/>
        </w:rPr>
        <w:footnoteReference w:id="57"/>
      </w:r>
      <w:r w:rsidR="001B7866" w:rsidRPr="007A58EA">
        <w:rPr>
          <w:color w:val="000000" w:themeColor="text1"/>
        </w:rPr>
        <w:t xml:space="preserve">  </w:t>
      </w:r>
      <w:r w:rsidR="00A764D3" w:rsidRPr="007A58EA">
        <w:rPr>
          <w:color w:val="000000" w:themeColor="text1"/>
        </w:rPr>
        <w:t>I</w:t>
      </w:r>
      <w:r w:rsidR="00FA0955" w:rsidRPr="007A58EA">
        <w:rPr>
          <w:color w:val="000000" w:themeColor="text1"/>
        </w:rPr>
        <w:t>s</w:t>
      </w:r>
      <w:r w:rsidR="007D5669" w:rsidRPr="007A58EA">
        <w:rPr>
          <w:color w:val="000000" w:themeColor="text1"/>
        </w:rPr>
        <w:t xml:space="preserve"> this </w:t>
      </w:r>
      <w:r w:rsidR="00AE3968" w:rsidRPr="007A58EA">
        <w:rPr>
          <w:color w:val="000000" w:themeColor="text1"/>
        </w:rPr>
        <w:t xml:space="preserve">concrete evidence that the Court conceives of primacy not only </w:t>
      </w:r>
      <w:r w:rsidR="00E52B57" w:rsidRPr="007A58EA">
        <w:rPr>
          <w:color w:val="000000" w:themeColor="text1"/>
        </w:rPr>
        <w:t xml:space="preserve">in terms of the traditional </w:t>
      </w:r>
      <w:r w:rsidR="00AE3968" w:rsidRPr="007A58EA">
        <w:rPr>
          <w:color w:val="000000" w:themeColor="text1"/>
        </w:rPr>
        <w:t>remedy of disapplication</w:t>
      </w:r>
      <w:r w:rsidR="00542330" w:rsidRPr="007A58EA">
        <w:rPr>
          <w:color w:val="000000" w:themeColor="text1"/>
        </w:rPr>
        <w:t>,</w:t>
      </w:r>
      <w:r w:rsidR="00AE3968" w:rsidRPr="007A58EA">
        <w:rPr>
          <w:color w:val="000000" w:themeColor="text1"/>
        </w:rPr>
        <w:t xml:space="preserve"> but potentially also </w:t>
      </w:r>
      <w:r w:rsidR="00E52B57" w:rsidRPr="007A58EA">
        <w:rPr>
          <w:color w:val="000000" w:themeColor="text1"/>
        </w:rPr>
        <w:t xml:space="preserve">as embracing </w:t>
      </w:r>
      <w:r w:rsidR="00AE3968" w:rsidRPr="007A58EA">
        <w:rPr>
          <w:color w:val="000000" w:themeColor="text1"/>
        </w:rPr>
        <w:t xml:space="preserve">a </w:t>
      </w:r>
      <w:r w:rsidR="00E52B57" w:rsidRPr="007A58EA">
        <w:rPr>
          <w:color w:val="000000" w:themeColor="text1"/>
        </w:rPr>
        <w:t xml:space="preserve">novel </w:t>
      </w:r>
      <w:r w:rsidR="00AE3968" w:rsidRPr="007A58EA">
        <w:rPr>
          <w:color w:val="000000" w:themeColor="text1"/>
        </w:rPr>
        <w:t xml:space="preserve">remedy of nullity?  Read together with the implicit consequences of </w:t>
      </w:r>
      <w:r w:rsidR="00E52B57" w:rsidRPr="007A58EA">
        <w:rPr>
          <w:i/>
          <w:iCs/>
          <w:color w:val="000000" w:themeColor="text1"/>
        </w:rPr>
        <w:t>Rimšēvičs</w:t>
      </w:r>
      <w:r w:rsidR="00AE3968" w:rsidRPr="007A58EA">
        <w:rPr>
          <w:color w:val="000000" w:themeColor="text1"/>
        </w:rPr>
        <w:t xml:space="preserve">, does </w:t>
      </w:r>
      <w:r w:rsidR="008E2E72" w:rsidRPr="007A58EA">
        <w:rPr>
          <w:i/>
          <w:iCs/>
          <w:color w:val="000000" w:themeColor="text1"/>
        </w:rPr>
        <w:t>W.Ż.</w:t>
      </w:r>
      <w:r w:rsidR="00AE3968" w:rsidRPr="007A58EA">
        <w:rPr>
          <w:color w:val="000000" w:themeColor="text1"/>
        </w:rPr>
        <w:t xml:space="preserve"> </w:t>
      </w:r>
      <w:r w:rsidR="00E52B57" w:rsidRPr="007A58EA">
        <w:rPr>
          <w:color w:val="000000" w:themeColor="text1"/>
        </w:rPr>
        <w:t xml:space="preserve">thereby </w:t>
      </w:r>
      <w:r w:rsidR="00AE3968" w:rsidRPr="007A58EA">
        <w:rPr>
          <w:color w:val="000000" w:themeColor="text1"/>
        </w:rPr>
        <w:t>suggest the beginnings of a wider trend – whereby the Court adjusts</w:t>
      </w:r>
      <w:r w:rsidR="000E469F" w:rsidRPr="007A58EA">
        <w:rPr>
          <w:color w:val="000000" w:themeColor="text1"/>
        </w:rPr>
        <w:t xml:space="preserve"> (</w:t>
      </w:r>
      <w:r w:rsidR="00AE3968" w:rsidRPr="007A58EA">
        <w:rPr>
          <w:color w:val="000000" w:themeColor="text1"/>
        </w:rPr>
        <w:t>even revolutionises</w:t>
      </w:r>
      <w:r w:rsidR="000E469F" w:rsidRPr="007A58EA">
        <w:rPr>
          <w:color w:val="000000" w:themeColor="text1"/>
        </w:rPr>
        <w:t>)</w:t>
      </w:r>
      <w:r w:rsidR="00AE3968" w:rsidRPr="007A58EA">
        <w:rPr>
          <w:color w:val="000000" w:themeColor="text1"/>
        </w:rPr>
        <w:t xml:space="preserve"> the Treaties’ relationship with and status within the national legal systems, by </w:t>
      </w:r>
      <w:r w:rsidR="000E469F" w:rsidRPr="007A58EA">
        <w:rPr>
          <w:color w:val="000000" w:themeColor="text1"/>
        </w:rPr>
        <w:t xml:space="preserve">launching a </w:t>
      </w:r>
      <w:r w:rsidR="00AE3968" w:rsidRPr="007A58EA">
        <w:rPr>
          <w:color w:val="000000" w:themeColor="text1"/>
        </w:rPr>
        <w:t xml:space="preserve">more far-reaching incursion into the </w:t>
      </w:r>
      <w:r w:rsidR="000E469F" w:rsidRPr="007A58EA">
        <w:rPr>
          <w:color w:val="000000" w:themeColor="text1"/>
        </w:rPr>
        <w:t>competence of the domestic courts to manage the proper legal consequences of incompatibility</w:t>
      </w:r>
      <w:r w:rsidR="00AE3968" w:rsidRPr="007A58EA">
        <w:rPr>
          <w:color w:val="000000" w:themeColor="text1"/>
        </w:rPr>
        <w:t>?</w:t>
      </w:r>
    </w:p>
    <w:p w14:paraId="6C90DFDF" w14:textId="3DD2914A" w:rsidR="007D5669" w:rsidRPr="007A58EA" w:rsidRDefault="007D5669" w:rsidP="00391EA9">
      <w:pPr>
        <w:jc w:val="both"/>
        <w:rPr>
          <w:i/>
          <w:iCs/>
          <w:color w:val="000000" w:themeColor="text1"/>
        </w:rPr>
      </w:pPr>
    </w:p>
    <w:p w14:paraId="521C8C7D" w14:textId="0CB79761" w:rsidR="00542330" w:rsidRPr="007A58EA" w:rsidRDefault="00542330" w:rsidP="00391EA9">
      <w:pPr>
        <w:jc w:val="both"/>
        <w:rPr>
          <w:b/>
          <w:bCs/>
          <w:color w:val="000000" w:themeColor="text1"/>
        </w:rPr>
      </w:pPr>
      <w:r w:rsidRPr="007A58EA">
        <w:rPr>
          <w:b/>
          <w:bCs/>
          <w:color w:val="000000" w:themeColor="text1"/>
        </w:rPr>
        <w:t>6.  Evaluation</w:t>
      </w:r>
      <w:r w:rsidR="007A30CE" w:rsidRPr="007A58EA">
        <w:rPr>
          <w:b/>
          <w:bCs/>
          <w:color w:val="000000" w:themeColor="text1"/>
        </w:rPr>
        <w:t>: A new Union law remedy of nullity?</w:t>
      </w:r>
    </w:p>
    <w:p w14:paraId="21AF73CE" w14:textId="77777777" w:rsidR="008E2E72" w:rsidRPr="007A58EA" w:rsidRDefault="008E2E72" w:rsidP="00391EA9">
      <w:pPr>
        <w:jc w:val="both"/>
        <w:rPr>
          <w:color w:val="000000" w:themeColor="text1"/>
        </w:rPr>
      </w:pPr>
    </w:p>
    <w:p w14:paraId="748975DE" w14:textId="15A5403C" w:rsidR="007E0CDE" w:rsidRDefault="00045DAF" w:rsidP="00391EA9">
      <w:pPr>
        <w:jc w:val="both"/>
        <w:rPr>
          <w:color w:val="000000" w:themeColor="text1"/>
        </w:rPr>
      </w:pPr>
      <w:r w:rsidRPr="007A58EA">
        <w:rPr>
          <w:color w:val="000000" w:themeColor="text1"/>
        </w:rPr>
        <w:t>I</w:t>
      </w:r>
      <w:r w:rsidR="002B00C1" w:rsidRPr="007A58EA">
        <w:rPr>
          <w:color w:val="000000" w:themeColor="text1"/>
        </w:rPr>
        <w:t xml:space="preserve">t is possible to offer a </w:t>
      </w:r>
      <w:r w:rsidR="007522CA" w:rsidRPr="007A58EA">
        <w:rPr>
          <w:color w:val="000000" w:themeColor="text1"/>
        </w:rPr>
        <w:t>minimalist interpretation</w:t>
      </w:r>
      <w:r w:rsidR="002B00C1" w:rsidRPr="007A58EA">
        <w:rPr>
          <w:color w:val="000000" w:themeColor="text1"/>
        </w:rPr>
        <w:t xml:space="preserve"> of the ruling in </w:t>
      </w:r>
      <w:r w:rsidR="008E2E72" w:rsidRPr="007A58EA">
        <w:rPr>
          <w:i/>
          <w:iCs/>
          <w:color w:val="000000" w:themeColor="text1"/>
        </w:rPr>
        <w:t>W.Ż.</w:t>
      </w:r>
      <w:r w:rsidR="002B00C1" w:rsidRPr="007A58EA">
        <w:rPr>
          <w:color w:val="000000" w:themeColor="text1"/>
        </w:rPr>
        <w:t xml:space="preserve">.  </w:t>
      </w:r>
      <w:r w:rsidR="007522CA" w:rsidRPr="007A58EA">
        <w:rPr>
          <w:color w:val="000000" w:themeColor="text1"/>
        </w:rPr>
        <w:t xml:space="preserve">Save in the </w:t>
      </w:r>
      <w:r w:rsidR="00E52B57" w:rsidRPr="007A58EA">
        <w:rPr>
          <w:color w:val="000000" w:themeColor="text1"/>
        </w:rPr>
        <w:t xml:space="preserve">truly </w:t>
      </w:r>
      <w:r w:rsidR="007522CA" w:rsidRPr="007A58EA">
        <w:rPr>
          <w:color w:val="000000" w:themeColor="text1"/>
        </w:rPr>
        <w:t xml:space="preserve">exceptional circumstances of </w:t>
      </w:r>
      <w:r w:rsidR="00E52B57" w:rsidRPr="007A58EA">
        <w:rPr>
          <w:i/>
          <w:iCs/>
          <w:color w:val="000000" w:themeColor="text1"/>
        </w:rPr>
        <w:t>Rimšēvičs</w:t>
      </w:r>
      <w:r w:rsidR="007522CA" w:rsidRPr="007A58EA">
        <w:rPr>
          <w:color w:val="000000" w:themeColor="text1"/>
        </w:rPr>
        <w:t xml:space="preserve">, EU law cannot directly render national acts null and void; </w:t>
      </w:r>
      <w:r w:rsidRPr="007A58EA">
        <w:rPr>
          <w:color w:val="000000" w:themeColor="text1"/>
        </w:rPr>
        <w:t xml:space="preserve">and </w:t>
      </w:r>
      <w:r w:rsidR="007522CA" w:rsidRPr="007A58EA">
        <w:rPr>
          <w:color w:val="000000" w:themeColor="text1"/>
        </w:rPr>
        <w:t>no</w:t>
      </w:r>
      <w:r w:rsidRPr="007A58EA">
        <w:rPr>
          <w:color w:val="000000" w:themeColor="text1"/>
        </w:rPr>
        <w:t>r</w:t>
      </w:r>
      <w:r w:rsidR="007522CA" w:rsidRPr="007A58EA">
        <w:rPr>
          <w:color w:val="000000" w:themeColor="text1"/>
        </w:rPr>
        <w:t xml:space="preserve"> </w:t>
      </w:r>
      <w:r w:rsidRPr="007A58EA">
        <w:rPr>
          <w:color w:val="000000" w:themeColor="text1"/>
        </w:rPr>
        <w:t xml:space="preserve">can the Court </w:t>
      </w:r>
      <w:r w:rsidR="007522CA" w:rsidRPr="007A58EA">
        <w:rPr>
          <w:color w:val="000000" w:themeColor="text1"/>
        </w:rPr>
        <w:t xml:space="preserve">even require the </w:t>
      </w:r>
      <w:r w:rsidRPr="007A58EA">
        <w:rPr>
          <w:color w:val="000000" w:themeColor="text1"/>
        </w:rPr>
        <w:t xml:space="preserve">domestic judges </w:t>
      </w:r>
      <w:r w:rsidR="007522CA" w:rsidRPr="007A58EA">
        <w:rPr>
          <w:color w:val="000000" w:themeColor="text1"/>
        </w:rPr>
        <w:t xml:space="preserve">to treat national acts as </w:t>
      </w:r>
      <w:r w:rsidR="00FF268E">
        <w:rPr>
          <w:color w:val="000000" w:themeColor="text1"/>
        </w:rPr>
        <w:t xml:space="preserve">non-existent </w:t>
      </w:r>
      <w:r w:rsidR="007522CA" w:rsidRPr="007A58EA">
        <w:rPr>
          <w:color w:val="000000" w:themeColor="text1"/>
        </w:rPr>
        <w:t xml:space="preserve">as a legal consequence of incompatibility, direct effect and primacy.  Despite initial appearances, the judgment in </w:t>
      </w:r>
      <w:r w:rsidR="008E2E72" w:rsidRPr="007A58EA">
        <w:rPr>
          <w:i/>
          <w:iCs/>
          <w:color w:val="000000" w:themeColor="text1"/>
        </w:rPr>
        <w:t>W.Ż.</w:t>
      </w:r>
      <w:r w:rsidR="009A6A02" w:rsidRPr="007A58EA">
        <w:rPr>
          <w:color w:val="000000" w:themeColor="text1"/>
        </w:rPr>
        <w:t xml:space="preserve"> </w:t>
      </w:r>
      <w:r w:rsidR="007522CA" w:rsidRPr="007A58EA">
        <w:rPr>
          <w:color w:val="000000" w:themeColor="text1"/>
        </w:rPr>
        <w:t xml:space="preserve">does not contradict that </w:t>
      </w:r>
      <w:r w:rsidR="009A6A02" w:rsidRPr="007A58EA">
        <w:rPr>
          <w:color w:val="000000" w:themeColor="text1"/>
        </w:rPr>
        <w:t xml:space="preserve">fundamental </w:t>
      </w:r>
      <w:r w:rsidR="007522CA" w:rsidRPr="007A58EA">
        <w:rPr>
          <w:color w:val="000000" w:themeColor="text1"/>
        </w:rPr>
        <w:t xml:space="preserve">proposition.  In </w:t>
      </w:r>
      <w:r w:rsidR="008E2E72" w:rsidRPr="007A58EA">
        <w:rPr>
          <w:i/>
          <w:iCs/>
          <w:color w:val="000000" w:themeColor="text1"/>
        </w:rPr>
        <w:t>W.Ż.</w:t>
      </w:r>
      <w:r w:rsidR="007522CA" w:rsidRPr="007A58EA">
        <w:rPr>
          <w:color w:val="000000" w:themeColor="text1"/>
        </w:rPr>
        <w:t xml:space="preserve">, it was the national legal order itself that offered a remedy of nullity; indeed, it was the </w:t>
      </w:r>
      <w:r w:rsidR="009A6A02" w:rsidRPr="007A58EA">
        <w:rPr>
          <w:color w:val="000000" w:themeColor="text1"/>
        </w:rPr>
        <w:t xml:space="preserve">domestic </w:t>
      </w:r>
      <w:r w:rsidR="007522CA" w:rsidRPr="007A58EA">
        <w:rPr>
          <w:color w:val="000000" w:themeColor="text1"/>
        </w:rPr>
        <w:t xml:space="preserve">courts themselves that framed the </w:t>
      </w:r>
      <w:r w:rsidR="00F450E1" w:rsidRPr="007A58EA">
        <w:rPr>
          <w:color w:val="000000" w:themeColor="text1"/>
        </w:rPr>
        <w:t xml:space="preserve">incompatibility </w:t>
      </w:r>
      <w:r w:rsidR="007522CA" w:rsidRPr="007A58EA">
        <w:rPr>
          <w:color w:val="000000" w:themeColor="text1"/>
        </w:rPr>
        <w:t xml:space="preserve">issue in terms of </w:t>
      </w:r>
      <w:r w:rsidR="004D3B26">
        <w:rPr>
          <w:color w:val="000000" w:themeColor="text1"/>
        </w:rPr>
        <w:t>non-existence</w:t>
      </w:r>
      <w:r w:rsidR="007522CA" w:rsidRPr="007A58EA">
        <w:rPr>
          <w:color w:val="000000" w:themeColor="text1"/>
        </w:rPr>
        <w:t xml:space="preserve">.  The Court’s </w:t>
      </w:r>
      <w:r w:rsidR="007522CA" w:rsidRPr="007A58EA">
        <w:rPr>
          <w:color w:val="000000" w:themeColor="text1"/>
        </w:rPr>
        <w:lastRenderedPageBreak/>
        <w:t xml:space="preserve">response merely tailored the principle of primacy to the palette of consequences </w:t>
      </w:r>
      <w:r w:rsidR="003A7467" w:rsidRPr="007A58EA">
        <w:rPr>
          <w:color w:val="000000" w:themeColor="text1"/>
        </w:rPr>
        <w:t xml:space="preserve">made available under domestic law – in fact, to the range of possible outcomes dictated by the Member State’s own </w:t>
      </w:r>
      <w:r w:rsidR="002F6A63" w:rsidRPr="007A58EA">
        <w:rPr>
          <w:color w:val="000000" w:themeColor="text1"/>
        </w:rPr>
        <w:t xml:space="preserve">peculiar </w:t>
      </w:r>
      <w:r w:rsidR="003A7467" w:rsidRPr="007A58EA">
        <w:rPr>
          <w:color w:val="000000" w:themeColor="text1"/>
        </w:rPr>
        <w:t xml:space="preserve">national procedural logic.  But </w:t>
      </w:r>
      <w:r w:rsidR="00F450E1" w:rsidRPr="007A58EA">
        <w:rPr>
          <w:color w:val="000000" w:themeColor="text1"/>
        </w:rPr>
        <w:t xml:space="preserve">surely </w:t>
      </w:r>
      <w:r w:rsidR="003A7467" w:rsidRPr="007A58EA">
        <w:rPr>
          <w:color w:val="000000" w:themeColor="text1"/>
        </w:rPr>
        <w:t>the Court would not have used the same approach, or employed the same language, in other factual and legal situations and / or as regards the procedural systems of other Member States</w:t>
      </w:r>
      <w:r w:rsidR="009A6A02" w:rsidRPr="007A58EA">
        <w:rPr>
          <w:color w:val="000000" w:themeColor="text1"/>
        </w:rPr>
        <w:t>, where nullity was not among the outcomes positively available to (indeed, logically demanded by) the competent domestic courts in order to resolve the consequences of incompatibility</w:t>
      </w:r>
      <w:r w:rsidR="003A7467" w:rsidRPr="007A58EA">
        <w:rPr>
          <w:color w:val="000000" w:themeColor="text1"/>
        </w:rPr>
        <w:t>.</w:t>
      </w:r>
      <w:r w:rsidR="00D92C51" w:rsidRPr="007A58EA">
        <w:rPr>
          <w:rStyle w:val="FootnoteReference"/>
          <w:color w:val="000000" w:themeColor="text1"/>
        </w:rPr>
        <w:footnoteReference w:id="58"/>
      </w:r>
      <w:r w:rsidR="003A7467" w:rsidRPr="007A58EA">
        <w:rPr>
          <w:color w:val="000000" w:themeColor="text1"/>
        </w:rPr>
        <w:t xml:space="preserve">  </w:t>
      </w:r>
    </w:p>
    <w:p w14:paraId="624BA1F1" w14:textId="77D8D388" w:rsidR="007E0CDE" w:rsidRPr="00C52420" w:rsidRDefault="00045DAF" w:rsidP="00AE735D">
      <w:pPr>
        <w:ind w:firstLine="720"/>
        <w:jc w:val="both"/>
      </w:pPr>
      <w:r w:rsidRPr="007A58EA">
        <w:rPr>
          <w:color w:val="000000" w:themeColor="text1"/>
        </w:rPr>
        <w:t xml:space="preserve">The trouble with such a minimalist interpretation is that it does seem to airbrush out of the </w:t>
      </w:r>
      <w:r w:rsidR="008E2E72" w:rsidRPr="007A58EA">
        <w:rPr>
          <w:i/>
          <w:iCs/>
          <w:color w:val="000000" w:themeColor="text1"/>
        </w:rPr>
        <w:t>W.Ż.</w:t>
      </w:r>
      <w:r w:rsidRPr="007A58EA">
        <w:rPr>
          <w:color w:val="000000" w:themeColor="text1"/>
        </w:rPr>
        <w:t xml:space="preserve"> ruling some of the Court’s </w:t>
      </w:r>
      <w:r w:rsidR="00EF6A21" w:rsidRPr="007A58EA">
        <w:rPr>
          <w:color w:val="000000" w:themeColor="text1"/>
        </w:rPr>
        <w:t xml:space="preserve">own </w:t>
      </w:r>
      <w:r w:rsidRPr="007A58EA">
        <w:rPr>
          <w:color w:val="000000" w:themeColor="text1"/>
        </w:rPr>
        <w:t xml:space="preserve">clear judicial intentions.  </w:t>
      </w:r>
      <w:r w:rsidR="00C52420">
        <w:rPr>
          <w:color w:val="000000" w:themeColor="text1"/>
        </w:rPr>
        <w:t xml:space="preserve">The </w:t>
      </w:r>
      <w:r w:rsidRPr="007A58EA">
        <w:rPr>
          <w:color w:val="000000" w:themeColor="text1"/>
        </w:rPr>
        <w:t xml:space="preserve">expectation of nullity </w:t>
      </w:r>
      <w:r w:rsidR="00C52420">
        <w:rPr>
          <w:color w:val="000000" w:themeColor="text1"/>
        </w:rPr>
        <w:t xml:space="preserve">is </w:t>
      </w:r>
      <w:r w:rsidRPr="007A58EA">
        <w:rPr>
          <w:color w:val="000000" w:themeColor="text1"/>
        </w:rPr>
        <w:t>phrased in mandatory terms</w:t>
      </w:r>
      <w:r w:rsidR="00C52420">
        <w:rPr>
          <w:color w:val="000000" w:themeColor="text1"/>
        </w:rPr>
        <w:t xml:space="preserve">.  Indeed, the French </w:t>
      </w:r>
      <w:r w:rsidR="009E501E">
        <w:rPr>
          <w:color w:val="000000" w:themeColor="text1"/>
        </w:rPr>
        <w:t xml:space="preserve">text </w:t>
      </w:r>
      <w:r w:rsidR="00C52420">
        <w:rPr>
          <w:color w:val="000000" w:themeColor="text1"/>
        </w:rPr>
        <w:t xml:space="preserve">of the ruling goes even further than the English </w:t>
      </w:r>
      <w:r w:rsidR="009E501E">
        <w:rPr>
          <w:color w:val="000000" w:themeColor="text1"/>
        </w:rPr>
        <w:t>version</w:t>
      </w:r>
      <w:r w:rsidR="00AE735D">
        <w:rPr>
          <w:color w:val="000000" w:themeColor="text1"/>
        </w:rPr>
        <w:t xml:space="preserve"> in that regard</w:t>
      </w:r>
      <w:r w:rsidR="00C52420" w:rsidRPr="00C52420">
        <w:rPr>
          <w:color w:val="000000" w:themeColor="text1"/>
        </w:rPr>
        <w:t xml:space="preserve">: </w:t>
      </w:r>
      <w:r w:rsidR="00AE735D" w:rsidRPr="007A58EA">
        <w:rPr>
          <w:color w:val="000000" w:themeColor="text1"/>
        </w:rPr>
        <w:t xml:space="preserve">the disputed judge’s decision must be declared </w:t>
      </w:r>
      <w:r w:rsidR="00C52420" w:rsidRPr="00AE735D">
        <w:rPr>
          <w:i/>
          <w:iCs/>
          <w:color w:val="000000" w:themeColor="text1"/>
        </w:rPr>
        <w:t>non avenue</w:t>
      </w:r>
      <w:r w:rsidR="00AE735D">
        <w:rPr>
          <w:color w:val="000000" w:themeColor="text1"/>
        </w:rPr>
        <w:t xml:space="preserve">, i.e. </w:t>
      </w:r>
      <w:r w:rsidR="004D3B26">
        <w:rPr>
          <w:color w:val="000000" w:themeColor="text1"/>
        </w:rPr>
        <w:t xml:space="preserve">implying </w:t>
      </w:r>
      <w:r w:rsidR="00AE735D">
        <w:rPr>
          <w:color w:val="000000" w:themeColor="text1"/>
        </w:rPr>
        <w:t xml:space="preserve">a form of legal non-existence that is conceptually and practically distinct from and </w:t>
      </w:r>
      <w:r w:rsidR="004D3B26">
        <w:rPr>
          <w:color w:val="000000" w:themeColor="text1"/>
        </w:rPr>
        <w:t xml:space="preserve">even </w:t>
      </w:r>
      <w:r w:rsidR="00AE735D">
        <w:rPr>
          <w:color w:val="000000" w:themeColor="text1"/>
        </w:rPr>
        <w:t>more far-reaching than an act’s annulment</w:t>
      </w:r>
      <w:r w:rsidR="00C52420" w:rsidRPr="00D14A16">
        <w:rPr>
          <w:color w:val="000000" w:themeColor="text1"/>
        </w:rPr>
        <w:t>.</w:t>
      </w:r>
      <w:r w:rsidR="00AE735D" w:rsidRPr="00D14A16">
        <w:rPr>
          <w:rStyle w:val="FootnoteReference"/>
          <w:color w:val="000000" w:themeColor="text1"/>
        </w:rPr>
        <w:footnoteReference w:id="59"/>
      </w:r>
      <w:r w:rsidR="00C52420" w:rsidRPr="00D14A16">
        <w:rPr>
          <w:color w:val="000000" w:themeColor="text1"/>
        </w:rPr>
        <w:t xml:space="preserve">  </w:t>
      </w:r>
      <w:r w:rsidR="00D14A16">
        <w:rPr>
          <w:color w:val="000000" w:themeColor="text1"/>
        </w:rPr>
        <w:t xml:space="preserve">Even recalling our introductory point – that we are not concerned as such with the different varieties of nullity or non-existence that might be more or less familiar across different national legal systems – </w:t>
      </w:r>
      <w:r w:rsidR="009E501E">
        <w:rPr>
          <w:color w:val="000000" w:themeColor="text1"/>
        </w:rPr>
        <w:t xml:space="preserve">surely </w:t>
      </w:r>
      <w:r w:rsidR="00D14A16">
        <w:rPr>
          <w:color w:val="000000" w:themeColor="text1"/>
        </w:rPr>
        <w:t xml:space="preserve">the French </w:t>
      </w:r>
      <w:r w:rsidR="009E501E">
        <w:rPr>
          <w:color w:val="000000" w:themeColor="text1"/>
        </w:rPr>
        <w:t>text</w:t>
      </w:r>
      <w:r w:rsidR="00D14A16">
        <w:rPr>
          <w:color w:val="000000" w:themeColor="text1"/>
        </w:rPr>
        <w:t xml:space="preserve"> </w:t>
      </w:r>
      <w:r w:rsidR="009E501E">
        <w:rPr>
          <w:color w:val="000000" w:themeColor="text1"/>
        </w:rPr>
        <w:t>nevertheless</w:t>
      </w:r>
      <w:r w:rsidR="00D14A16">
        <w:rPr>
          <w:color w:val="000000" w:themeColor="text1"/>
        </w:rPr>
        <w:t xml:space="preserve"> reinforces the point that </w:t>
      </w:r>
      <w:r w:rsidR="009E501E">
        <w:rPr>
          <w:color w:val="000000" w:themeColor="text1"/>
        </w:rPr>
        <w:t xml:space="preserve">the Court in </w:t>
      </w:r>
      <w:r w:rsidR="009E501E" w:rsidRPr="007A58EA">
        <w:rPr>
          <w:i/>
          <w:iCs/>
          <w:color w:val="000000" w:themeColor="text1"/>
        </w:rPr>
        <w:t>W.Ż.</w:t>
      </w:r>
      <w:r w:rsidR="009E501E" w:rsidRPr="007A58EA">
        <w:rPr>
          <w:color w:val="000000" w:themeColor="text1"/>
        </w:rPr>
        <w:t xml:space="preserve"> </w:t>
      </w:r>
      <w:r w:rsidR="009E501E">
        <w:rPr>
          <w:color w:val="000000" w:themeColor="text1"/>
        </w:rPr>
        <w:t>was in the mood for giving positive directions, not offering mere suggestions</w:t>
      </w:r>
      <w:r w:rsidR="00D14A16">
        <w:rPr>
          <w:color w:val="000000" w:themeColor="text1"/>
        </w:rPr>
        <w:t>.  M</w:t>
      </w:r>
      <w:r w:rsidR="00C52420">
        <w:rPr>
          <w:color w:val="000000" w:themeColor="text1"/>
        </w:rPr>
        <w:t xml:space="preserve">oreover, </w:t>
      </w:r>
      <w:r w:rsidRPr="007A58EA">
        <w:rPr>
          <w:color w:val="000000" w:themeColor="text1"/>
        </w:rPr>
        <w:t xml:space="preserve">the Court </w:t>
      </w:r>
      <w:r w:rsidR="00EF6A21" w:rsidRPr="007A58EA">
        <w:rPr>
          <w:color w:val="000000" w:themeColor="text1"/>
        </w:rPr>
        <w:t xml:space="preserve">furthermore </w:t>
      </w:r>
      <w:r w:rsidRPr="007A58EA">
        <w:rPr>
          <w:color w:val="000000" w:themeColor="text1"/>
        </w:rPr>
        <w:t xml:space="preserve">specifically orders that no other domestic principle </w:t>
      </w:r>
      <w:r w:rsidR="009A6A02" w:rsidRPr="007A58EA">
        <w:rPr>
          <w:color w:val="000000" w:themeColor="text1"/>
        </w:rPr>
        <w:t>(</w:t>
      </w:r>
      <w:r w:rsidRPr="007A58EA">
        <w:rPr>
          <w:color w:val="000000" w:themeColor="text1"/>
        </w:rPr>
        <w:t xml:space="preserve">such as legal certainty or the finality of </w:t>
      </w:r>
      <w:r w:rsidR="00170127" w:rsidRPr="007A58EA">
        <w:rPr>
          <w:color w:val="000000" w:themeColor="text1"/>
        </w:rPr>
        <w:t>decisions</w:t>
      </w:r>
      <w:r w:rsidR="009A6A02" w:rsidRPr="007A58EA">
        <w:rPr>
          <w:color w:val="000000" w:themeColor="text1"/>
        </w:rPr>
        <w:t>)</w:t>
      </w:r>
      <w:r w:rsidR="00170127" w:rsidRPr="007A58EA">
        <w:rPr>
          <w:color w:val="000000" w:themeColor="text1"/>
        </w:rPr>
        <w:t xml:space="preserve"> can </w:t>
      </w:r>
      <w:r w:rsidR="00EF6A21" w:rsidRPr="007A58EA">
        <w:rPr>
          <w:color w:val="000000" w:themeColor="text1"/>
        </w:rPr>
        <w:t>relieve the national court from its obligation to declare the incompatible domestic act null and void</w:t>
      </w:r>
      <w:r w:rsidR="004D3B26">
        <w:rPr>
          <w:color w:val="000000" w:themeColor="text1"/>
        </w:rPr>
        <w:t xml:space="preserve"> / non-existent</w:t>
      </w:r>
      <w:r w:rsidR="00EF6A21" w:rsidRPr="007A58EA">
        <w:rPr>
          <w:color w:val="000000" w:themeColor="text1"/>
        </w:rPr>
        <w:t xml:space="preserve">.  </w:t>
      </w:r>
      <w:r w:rsidR="00D14A16">
        <w:rPr>
          <w:color w:val="000000" w:themeColor="text1"/>
        </w:rPr>
        <w:t xml:space="preserve">Again, that </w:t>
      </w:r>
      <w:r w:rsidR="00EF6A21" w:rsidRPr="007A58EA">
        <w:rPr>
          <w:color w:val="000000" w:themeColor="text1"/>
        </w:rPr>
        <w:t xml:space="preserve">hardly supports an interpretation that would reduce the ruling in </w:t>
      </w:r>
      <w:r w:rsidR="008E2E72" w:rsidRPr="007A58EA">
        <w:rPr>
          <w:i/>
          <w:iCs/>
          <w:color w:val="000000" w:themeColor="text1"/>
        </w:rPr>
        <w:t>W.Ż.</w:t>
      </w:r>
      <w:r w:rsidR="009A6A02" w:rsidRPr="007A58EA">
        <w:rPr>
          <w:color w:val="000000" w:themeColor="text1"/>
        </w:rPr>
        <w:t xml:space="preserve"> </w:t>
      </w:r>
      <w:r w:rsidR="00EF6A21" w:rsidRPr="007A58EA">
        <w:rPr>
          <w:color w:val="000000" w:themeColor="text1"/>
        </w:rPr>
        <w:t xml:space="preserve">to no more than a matter of the Member State’s </w:t>
      </w:r>
      <w:r w:rsidR="004D3B26">
        <w:rPr>
          <w:color w:val="000000" w:themeColor="text1"/>
        </w:rPr>
        <w:t xml:space="preserve">own </w:t>
      </w:r>
      <w:r w:rsidR="00EF6A21" w:rsidRPr="007A58EA">
        <w:rPr>
          <w:color w:val="000000" w:themeColor="text1"/>
        </w:rPr>
        <w:t xml:space="preserve">voluntary action within the confines of its pre-existing domestic procedural framework.  </w:t>
      </w:r>
    </w:p>
    <w:p w14:paraId="38CC7D86" w14:textId="77777777" w:rsidR="007E0CDE" w:rsidRDefault="00EF6A21" w:rsidP="007E0CDE">
      <w:pPr>
        <w:ind w:firstLine="720"/>
        <w:jc w:val="both"/>
        <w:rPr>
          <w:color w:val="000000" w:themeColor="text1"/>
        </w:rPr>
      </w:pPr>
      <w:r w:rsidRPr="007A58EA">
        <w:rPr>
          <w:color w:val="000000" w:themeColor="text1"/>
        </w:rPr>
        <w:t xml:space="preserve">The alternative and more expansive </w:t>
      </w:r>
      <w:r w:rsidR="002B00C1" w:rsidRPr="007A58EA">
        <w:rPr>
          <w:color w:val="000000" w:themeColor="text1"/>
        </w:rPr>
        <w:t xml:space="preserve">interpretation of </w:t>
      </w:r>
      <w:r w:rsidR="008E2E72" w:rsidRPr="007A58EA">
        <w:rPr>
          <w:i/>
          <w:iCs/>
          <w:color w:val="000000" w:themeColor="text1"/>
        </w:rPr>
        <w:t>W.Ż.</w:t>
      </w:r>
      <w:r w:rsidR="00045DAF" w:rsidRPr="007A58EA">
        <w:rPr>
          <w:color w:val="000000" w:themeColor="text1"/>
        </w:rPr>
        <w:t xml:space="preserve">, </w:t>
      </w:r>
      <w:r w:rsidRPr="007A58EA">
        <w:rPr>
          <w:color w:val="000000" w:themeColor="text1"/>
        </w:rPr>
        <w:t xml:space="preserve">is that the ruling does indeed </w:t>
      </w:r>
      <w:r w:rsidR="002B00C1" w:rsidRPr="007A58EA">
        <w:rPr>
          <w:color w:val="000000" w:themeColor="text1"/>
        </w:rPr>
        <w:t xml:space="preserve">mark an important evolution in the legal consequences that </w:t>
      </w:r>
      <w:r w:rsidRPr="007A58EA">
        <w:rPr>
          <w:color w:val="000000" w:themeColor="text1"/>
        </w:rPr>
        <w:t xml:space="preserve">might </w:t>
      </w:r>
      <w:r w:rsidR="002B00C1" w:rsidRPr="007A58EA">
        <w:rPr>
          <w:color w:val="000000" w:themeColor="text1"/>
        </w:rPr>
        <w:t>flow</w:t>
      </w:r>
      <w:r w:rsidR="00BF59EA" w:rsidRPr="007A58EA">
        <w:rPr>
          <w:color w:val="000000" w:themeColor="text1"/>
        </w:rPr>
        <w:t>,</w:t>
      </w:r>
      <w:r w:rsidR="002B00C1" w:rsidRPr="007A58EA">
        <w:rPr>
          <w:color w:val="000000" w:themeColor="text1"/>
        </w:rPr>
        <w:t xml:space="preserve"> </w:t>
      </w:r>
      <w:r w:rsidR="00BF59EA" w:rsidRPr="007A58EA">
        <w:rPr>
          <w:color w:val="000000" w:themeColor="text1"/>
        </w:rPr>
        <w:t xml:space="preserve">as a matter of Union law itself, </w:t>
      </w:r>
      <w:r w:rsidR="002B00C1" w:rsidRPr="007A58EA">
        <w:rPr>
          <w:color w:val="000000" w:themeColor="text1"/>
        </w:rPr>
        <w:t>from the principle of primacy</w:t>
      </w:r>
      <w:r w:rsidR="00683BF3" w:rsidRPr="007A58EA">
        <w:rPr>
          <w:color w:val="000000" w:themeColor="text1"/>
        </w:rPr>
        <w:t xml:space="preserve"> – </w:t>
      </w:r>
      <w:r w:rsidR="002F6A63" w:rsidRPr="007A58EA">
        <w:rPr>
          <w:color w:val="000000" w:themeColor="text1"/>
        </w:rPr>
        <w:t>insofar</w:t>
      </w:r>
      <w:r w:rsidR="00683BF3" w:rsidRPr="007A58EA">
        <w:rPr>
          <w:color w:val="000000" w:themeColor="text1"/>
        </w:rPr>
        <w:t xml:space="preserve"> </w:t>
      </w:r>
      <w:r w:rsidR="002F6A63" w:rsidRPr="007A58EA">
        <w:rPr>
          <w:color w:val="000000" w:themeColor="text1"/>
        </w:rPr>
        <w:t xml:space="preserve">as </w:t>
      </w:r>
      <w:r w:rsidR="00683BF3" w:rsidRPr="007A58EA">
        <w:rPr>
          <w:color w:val="000000" w:themeColor="text1"/>
        </w:rPr>
        <w:t>the Court laid the foundations for a novel remedy of nullity that positively instructs the national courts to treat certain incompatible domestic acts as non-existent within the Member State’s own legal order.</w:t>
      </w:r>
      <w:r w:rsidR="00BF59EA" w:rsidRPr="007A58EA">
        <w:rPr>
          <w:color w:val="000000" w:themeColor="text1"/>
        </w:rPr>
        <w:t xml:space="preserve"> </w:t>
      </w:r>
      <w:r w:rsidR="00683BF3" w:rsidRPr="007A58EA">
        <w:rPr>
          <w:color w:val="000000" w:themeColor="text1"/>
        </w:rPr>
        <w:t xml:space="preserve"> </w:t>
      </w:r>
    </w:p>
    <w:p w14:paraId="4A6D6ADF" w14:textId="177A5C43" w:rsidR="007E0CDE" w:rsidRDefault="00683BF3" w:rsidP="007E0CDE">
      <w:pPr>
        <w:ind w:firstLine="720"/>
        <w:jc w:val="both"/>
        <w:rPr>
          <w:color w:val="000000" w:themeColor="text1"/>
        </w:rPr>
      </w:pPr>
      <w:r w:rsidRPr="007A58EA">
        <w:rPr>
          <w:color w:val="000000" w:themeColor="text1"/>
        </w:rPr>
        <w:t xml:space="preserve">In one sense, </w:t>
      </w:r>
      <w:r w:rsidR="00BF5A8D" w:rsidRPr="007A58EA">
        <w:rPr>
          <w:color w:val="000000" w:themeColor="text1"/>
        </w:rPr>
        <w:t xml:space="preserve">it is fair to say that </w:t>
      </w:r>
      <w:r w:rsidRPr="007A58EA">
        <w:rPr>
          <w:i/>
          <w:iCs/>
          <w:color w:val="000000" w:themeColor="text1"/>
        </w:rPr>
        <w:t xml:space="preserve">W.Ż. </w:t>
      </w:r>
      <w:r w:rsidRPr="007A58EA">
        <w:rPr>
          <w:color w:val="000000" w:themeColor="text1"/>
        </w:rPr>
        <w:t>is not so constitutionally radical as</w:t>
      </w:r>
      <w:r w:rsidRPr="007A58EA">
        <w:rPr>
          <w:i/>
          <w:iCs/>
          <w:color w:val="000000" w:themeColor="text1"/>
        </w:rPr>
        <w:t xml:space="preserve"> Rimšēvičs</w:t>
      </w:r>
      <w:r w:rsidR="00BF5A8D" w:rsidRPr="007A58EA">
        <w:rPr>
          <w:color w:val="000000" w:themeColor="text1"/>
        </w:rPr>
        <w:t xml:space="preserve">: after all, </w:t>
      </w:r>
      <w:r w:rsidRPr="007A58EA">
        <w:rPr>
          <w:color w:val="000000" w:themeColor="text1"/>
        </w:rPr>
        <w:t xml:space="preserve">the Court in </w:t>
      </w:r>
      <w:r w:rsidRPr="007A58EA">
        <w:rPr>
          <w:i/>
          <w:iCs/>
          <w:color w:val="000000" w:themeColor="text1"/>
        </w:rPr>
        <w:t xml:space="preserve">W.Ż. </w:t>
      </w:r>
      <w:r w:rsidRPr="007A58EA">
        <w:rPr>
          <w:color w:val="000000" w:themeColor="text1"/>
        </w:rPr>
        <w:t>is not directly establishing a finding of incompatibility and annulling the offending national act for itself</w:t>
      </w:r>
      <w:r w:rsidR="00BF5A8D" w:rsidRPr="007A58EA">
        <w:rPr>
          <w:color w:val="000000" w:themeColor="text1"/>
        </w:rPr>
        <w:t>,</w:t>
      </w:r>
      <w:r w:rsidRPr="007A58EA">
        <w:rPr>
          <w:color w:val="000000" w:themeColor="text1"/>
        </w:rPr>
        <w:t xml:space="preserve"> but rather </w:t>
      </w:r>
      <w:r w:rsidR="00BF5A8D" w:rsidRPr="007A58EA">
        <w:rPr>
          <w:color w:val="000000" w:themeColor="text1"/>
        </w:rPr>
        <w:t xml:space="preserve">simply </w:t>
      </w:r>
      <w:r w:rsidRPr="007A58EA">
        <w:rPr>
          <w:color w:val="000000" w:themeColor="text1"/>
        </w:rPr>
        <w:t>interpreting the principle of primacy</w:t>
      </w:r>
      <w:r w:rsidR="00BF5A8D" w:rsidRPr="007A58EA">
        <w:rPr>
          <w:color w:val="000000" w:themeColor="text1"/>
        </w:rPr>
        <w:t xml:space="preserve">, to the effect that </w:t>
      </w:r>
      <w:r w:rsidRPr="007A58EA">
        <w:rPr>
          <w:color w:val="000000" w:themeColor="text1"/>
        </w:rPr>
        <w:t xml:space="preserve">nullity is a legal consequence the national courts should positively draw </w:t>
      </w:r>
      <w:r w:rsidR="00BF5A8D" w:rsidRPr="007A58EA">
        <w:rPr>
          <w:color w:val="000000" w:themeColor="text1"/>
        </w:rPr>
        <w:t xml:space="preserve">from their own exercise of jurisdiction over </w:t>
      </w:r>
      <w:r w:rsidRPr="007A58EA">
        <w:rPr>
          <w:color w:val="000000" w:themeColor="text1"/>
        </w:rPr>
        <w:t>incompatib</w:t>
      </w:r>
      <w:r w:rsidR="00BF5A8D" w:rsidRPr="007A58EA">
        <w:rPr>
          <w:color w:val="000000" w:themeColor="text1"/>
        </w:rPr>
        <w:t>le</w:t>
      </w:r>
      <w:r w:rsidRPr="007A58EA">
        <w:rPr>
          <w:color w:val="000000" w:themeColor="text1"/>
        </w:rPr>
        <w:t xml:space="preserve"> </w:t>
      </w:r>
      <w:r w:rsidR="00BF5A8D" w:rsidRPr="007A58EA">
        <w:rPr>
          <w:color w:val="000000" w:themeColor="text1"/>
        </w:rPr>
        <w:t>domestic measures</w:t>
      </w:r>
      <w:r w:rsidRPr="007A58EA">
        <w:rPr>
          <w:color w:val="000000" w:themeColor="text1"/>
        </w:rPr>
        <w:t xml:space="preserve">.  But </w:t>
      </w:r>
      <w:r w:rsidR="00BF5A8D" w:rsidRPr="007A58EA">
        <w:rPr>
          <w:color w:val="000000" w:themeColor="text1"/>
        </w:rPr>
        <w:t>for precisely that reason</w:t>
      </w:r>
      <w:r w:rsidRPr="007A58EA">
        <w:rPr>
          <w:color w:val="000000" w:themeColor="text1"/>
        </w:rPr>
        <w:t xml:space="preserve">, </w:t>
      </w:r>
      <w:r w:rsidR="007D4E0A" w:rsidRPr="007A58EA">
        <w:rPr>
          <w:color w:val="000000" w:themeColor="text1"/>
        </w:rPr>
        <w:t xml:space="preserve">surely </w:t>
      </w:r>
      <w:r w:rsidRPr="007A58EA">
        <w:rPr>
          <w:i/>
          <w:iCs/>
          <w:color w:val="000000" w:themeColor="text1"/>
        </w:rPr>
        <w:t xml:space="preserve">W.Ż. </w:t>
      </w:r>
      <w:r w:rsidRPr="007A58EA">
        <w:rPr>
          <w:color w:val="000000" w:themeColor="text1"/>
        </w:rPr>
        <w:t xml:space="preserve">is potentially more </w:t>
      </w:r>
      <w:r w:rsidR="00BF5A8D" w:rsidRPr="007A58EA">
        <w:rPr>
          <w:color w:val="000000" w:themeColor="text1"/>
        </w:rPr>
        <w:t>significant</w:t>
      </w:r>
      <w:r w:rsidR="004D3B26">
        <w:rPr>
          <w:color w:val="000000" w:themeColor="text1"/>
        </w:rPr>
        <w:t>,</w:t>
      </w:r>
      <w:r w:rsidR="00BF5A8D" w:rsidRPr="007A58EA">
        <w:rPr>
          <w:color w:val="000000" w:themeColor="text1"/>
        </w:rPr>
        <w:t xml:space="preserve"> and </w:t>
      </w:r>
      <w:r w:rsidR="004D3B26">
        <w:rPr>
          <w:color w:val="000000" w:themeColor="text1"/>
        </w:rPr>
        <w:t xml:space="preserve">potentially significantly more </w:t>
      </w:r>
      <w:r w:rsidRPr="007A58EA">
        <w:rPr>
          <w:color w:val="000000" w:themeColor="text1"/>
        </w:rPr>
        <w:t>far-reaching</w:t>
      </w:r>
      <w:r w:rsidR="004D3B26">
        <w:rPr>
          <w:color w:val="000000" w:themeColor="text1"/>
        </w:rPr>
        <w:t>,</w:t>
      </w:r>
      <w:r w:rsidRPr="007A58EA">
        <w:rPr>
          <w:color w:val="000000" w:themeColor="text1"/>
        </w:rPr>
        <w:t xml:space="preserve"> than </w:t>
      </w:r>
      <w:r w:rsidRPr="007A58EA">
        <w:rPr>
          <w:i/>
          <w:iCs/>
          <w:color w:val="000000" w:themeColor="text1"/>
        </w:rPr>
        <w:t>Rimšēvičs</w:t>
      </w:r>
      <w:r w:rsidR="007D4E0A" w:rsidRPr="007A58EA">
        <w:rPr>
          <w:color w:val="000000" w:themeColor="text1"/>
        </w:rPr>
        <w:t xml:space="preserve">: to support its innovative approach to the consequences of incompatibility, </w:t>
      </w:r>
      <w:r w:rsidR="00BF5A8D" w:rsidRPr="007A58EA">
        <w:rPr>
          <w:color w:val="000000" w:themeColor="text1"/>
        </w:rPr>
        <w:t xml:space="preserve">the Court in </w:t>
      </w:r>
      <w:r w:rsidR="00BF5A8D" w:rsidRPr="007A58EA">
        <w:rPr>
          <w:i/>
          <w:iCs/>
          <w:color w:val="000000" w:themeColor="text1"/>
        </w:rPr>
        <w:t xml:space="preserve">W.Ż. </w:t>
      </w:r>
      <w:r w:rsidR="00BF5A8D" w:rsidRPr="007A58EA">
        <w:rPr>
          <w:color w:val="000000" w:themeColor="text1"/>
        </w:rPr>
        <w:t xml:space="preserve">is not drawing upon any explicit and effectively unique </w:t>
      </w:r>
      <w:r w:rsidR="007D4E0A" w:rsidRPr="007A58EA">
        <w:rPr>
          <w:color w:val="000000" w:themeColor="text1"/>
        </w:rPr>
        <w:t xml:space="preserve">authorisation </w:t>
      </w:r>
      <w:r w:rsidR="00BF5A8D" w:rsidRPr="007A58EA">
        <w:rPr>
          <w:color w:val="000000" w:themeColor="text1"/>
        </w:rPr>
        <w:t xml:space="preserve">in </w:t>
      </w:r>
      <w:r w:rsidR="00DA7300" w:rsidRPr="007A58EA">
        <w:rPr>
          <w:color w:val="000000" w:themeColor="text1"/>
        </w:rPr>
        <w:t xml:space="preserve">written </w:t>
      </w:r>
      <w:r w:rsidR="00BF5A8D" w:rsidRPr="007A58EA">
        <w:rPr>
          <w:color w:val="000000" w:themeColor="text1"/>
        </w:rPr>
        <w:t>Union prima</w:t>
      </w:r>
      <w:r w:rsidR="0098041A">
        <w:rPr>
          <w:color w:val="000000" w:themeColor="text1"/>
        </w:rPr>
        <w:t>r</w:t>
      </w:r>
      <w:r w:rsidR="00BF5A8D" w:rsidRPr="007A58EA">
        <w:rPr>
          <w:color w:val="000000" w:themeColor="text1"/>
        </w:rPr>
        <w:t xml:space="preserve">y law, but exercising its ordinary judicial power to </w:t>
      </w:r>
      <w:r w:rsidR="007D4E0A" w:rsidRPr="007A58EA">
        <w:rPr>
          <w:color w:val="000000" w:themeColor="text1"/>
        </w:rPr>
        <w:t xml:space="preserve">provide binding guidance to the </w:t>
      </w:r>
      <w:r w:rsidR="00BF5A8D" w:rsidRPr="007A58EA">
        <w:rPr>
          <w:color w:val="000000" w:themeColor="text1"/>
        </w:rPr>
        <w:t xml:space="preserve">national courts </w:t>
      </w:r>
      <w:r w:rsidR="007D4E0A" w:rsidRPr="007A58EA">
        <w:rPr>
          <w:color w:val="000000" w:themeColor="text1"/>
        </w:rPr>
        <w:t xml:space="preserve">about </w:t>
      </w:r>
      <w:r w:rsidR="00BF5A8D" w:rsidRPr="007A58EA">
        <w:rPr>
          <w:color w:val="000000" w:themeColor="text1"/>
        </w:rPr>
        <w:t>the</w:t>
      </w:r>
      <w:r w:rsidR="007D4E0A" w:rsidRPr="007A58EA">
        <w:rPr>
          <w:color w:val="000000" w:themeColor="text1"/>
        </w:rPr>
        <w:t xml:space="preserve">ir obligations </w:t>
      </w:r>
      <w:r w:rsidR="007D4E0A" w:rsidRPr="007A58EA">
        <w:rPr>
          <w:i/>
          <w:iCs/>
          <w:color w:val="000000" w:themeColor="text1"/>
        </w:rPr>
        <w:t>qua</w:t>
      </w:r>
      <w:r w:rsidR="007D4E0A" w:rsidRPr="007A58EA">
        <w:rPr>
          <w:color w:val="000000" w:themeColor="text1"/>
        </w:rPr>
        <w:t xml:space="preserve"> Union courts.  </w:t>
      </w:r>
      <w:r w:rsidR="00DA7300" w:rsidRPr="007A58EA">
        <w:rPr>
          <w:color w:val="000000" w:themeColor="text1"/>
        </w:rPr>
        <w:t>I</w:t>
      </w:r>
      <w:r w:rsidR="007D4E0A" w:rsidRPr="007A58EA">
        <w:rPr>
          <w:color w:val="000000" w:themeColor="text1"/>
        </w:rPr>
        <w:t xml:space="preserve">f and insofar as </w:t>
      </w:r>
      <w:r w:rsidR="007D4E0A" w:rsidRPr="007A58EA">
        <w:rPr>
          <w:i/>
          <w:iCs/>
          <w:color w:val="000000" w:themeColor="text1"/>
        </w:rPr>
        <w:t xml:space="preserve">W.Ż. </w:t>
      </w:r>
      <w:r w:rsidR="007D4E0A" w:rsidRPr="007A58EA">
        <w:rPr>
          <w:color w:val="000000" w:themeColor="text1"/>
        </w:rPr>
        <w:t xml:space="preserve">does stand as persuasive authority for the evolution of a novel remedy of nullity, </w:t>
      </w:r>
      <w:r w:rsidR="00FC261A" w:rsidRPr="007A58EA">
        <w:rPr>
          <w:color w:val="000000" w:themeColor="text1"/>
        </w:rPr>
        <w:t xml:space="preserve">the </w:t>
      </w:r>
      <w:r w:rsidR="007D4E0A" w:rsidRPr="007A58EA">
        <w:rPr>
          <w:color w:val="000000" w:themeColor="text1"/>
        </w:rPr>
        <w:t xml:space="preserve">capacity </w:t>
      </w:r>
      <w:r w:rsidR="00FC261A" w:rsidRPr="007A58EA">
        <w:rPr>
          <w:color w:val="000000" w:themeColor="text1"/>
        </w:rPr>
        <w:t xml:space="preserve">of that innovation </w:t>
      </w:r>
      <w:r w:rsidR="007D4E0A" w:rsidRPr="007A58EA">
        <w:rPr>
          <w:color w:val="000000" w:themeColor="text1"/>
        </w:rPr>
        <w:t xml:space="preserve">to reverberate across </w:t>
      </w:r>
      <w:r w:rsidR="00BF5A8D" w:rsidRPr="007A58EA">
        <w:rPr>
          <w:color w:val="000000" w:themeColor="text1"/>
        </w:rPr>
        <w:t>the domestic legal system</w:t>
      </w:r>
      <w:r w:rsidR="007D4E0A" w:rsidRPr="007A58EA">
        <w:rPr>
          <w:color w:val="000000" w:themeColor="text1"/>
        </w:rPr>
        <w:t xml:space="preserve">s is </w:t>
      </w:r>
      <w:r w:rsidR="00FC261A" w:rsidRPr="007A58EA">
        <w:rPr>
          <w:color w:val="000000" w:themeColor="text1"/>
        </w:rPr>
        <w:t xml:space="preserve">surely </w:t>
      </w:r>
      <w:r w:rsidR="007D4E0A" w:rsidRPr="007A58EA">
        <w:rPr>
          <w:color w:val="000000" w:themeColor="text1"/>
        </w:rPr>
        <w:t xml:space="preserve">substantially greater than that of </w:t>
      </w:r>
      <w:r w:rsidR="007D4E0A" w:rsidRPr="007A58EA">
        <w:rPr>
          <w:i/>
          <w:iCs/>
          <w:color w:val="000000" w:themeColor="text1"/>
        </w:rPr>
        <w:t>Rimšēvičs</w:t>
      </w:r>
      <w:r w:rsidR="00BF5A8D" w:rsidRPr="007A58EA">
        <w:rPr>
          <w:color w:val="000000" w:themeColor="text1"/>
        </w:rPr>
        <w:t xml:space="preserve">. </w:t>
      </w:r>
    </w:p>
    <w:p w14:paraId="648EA32E" w14:textId="2B3FD224" w:rsidR="00ED676F" w:rsidRPr="007A58EA" w:rsidRDefault="00FC261A" w:rsidP="007E0CDE">
      <w:pPr>
        <w:ind w:firstLine="720"/>
        <w:jc w:val="both"/>
        <w:rPr>
          <w:color w:val="000000" w:themeColor="text1"/>
        </w:rPr>
      </w:pPr>
      <w:r w:rsidRPr="007A58EA">
        <w:rPr>
          <w:color w:val="000000" w:themeColor="text1"/>
        </w:rPr>
        <w:t xml:space="preserve">So: how persuasive is this </w:t>
      </w:r>
      <w:r w:rsidR="00ED676F" w:rsidRPr="007A58EA">
        <w:rPr>
          <w:color w:val="000000" w:themeColor="text1"/>
        </w:rPr>
        <w:t>alternative</w:t>
      </w:r>
      <w:r w:rsidRPr="007A58EA">
        <w:rPr>
          <w:color w:val="000000" w:themeColor="text1"/>
        </w:rPr>
        <w:t>, more expansive interpretation</w:t>
      </w:r>
      <w:r w:rsidR="00ED676F" w:rsidRPr="007A58EA">
        <w:rPr>
          <w:color w:val="000000" w:themeColor="text1"/>
        </w:rPr>
        <w:t xml:space="preserve"> </w:t>
      </w:r>
      <w:r w:rsidRPr="007A58EA">
        <w:rPr>
          <w:color w:val="000000" w:themeColor="text1"/>
        </w:rPr>
        <w:t xml:space="preserve">of </w:t>
      </w:r>
      <w:r w:rsidRPr="007A58EA">
        <w:rPr>
          <w:i/>
          <w:iCs/>
          <w:color w:val="000000" w:themeColor="text1"/>
        </w:rPr>
        <w:t>W.Ż.</w:t>
      </w:r>
      <w:r w:rsidRPr="007A58EA">
        <w:rPr>
          <w:color w:val="000000" w:themeColor="text1"/>
        </w:rPr>
        <w:t xml:space="preserve">?  We will now consider two main </w:t>
      </w:r>
      <w:r w:rsidR="00ED676F" w:rsidRPr="007A58EA">
        <w:rPr>
          <w:color w:val="000000" w:themeColor="text1"/>
        </w:rPr>
        <w:t>questions.  In the first place</w:t>
      </w:r>
      <w:r w:rsidR="007A30CE" w:rsidRPr="007A58EA">
        <w:rPr>
          <w:color w:val="000000" w:themeColor="text1"/>
        </w:rPr>
        <w:t>: in principle,</w:t>
      </w:r>
      <w:r w:rsidR="00ED676F" w:rsidRPr="007A58EA">
        <w:rPr>
          <w:color w:val="000000" w:themeColor="text1"/>
        </w:rPr>
        <w:t xml:space="preserve"> should we regard a remedy of nullity as even compatible with the existing framework governing Union-Member State </w:t>
      </w:r>
      <w:r w:rsidR="00ED676F" w:rsidRPr="007A58EA">
        <w:rPr>
          <w:color w:val="000000" w:themeColor="text1"/>
        </w:rPr>
        <w:lastRenderedPageBreak/>
        <w:t>relations?  In the second place</w:t>
      </w:r>
      <w:r w:rsidR="007A30CE" w:rsidRPr="007A58EA">
        <w:rPr>
          <w:color w:val="000000" w:themeColor="text1"/>
        </w:rPr>
        <w:t>: in practice,</w:t>
      </w:r>
      <w:r w:rsidR="00ED676F" w:rsidRPr="007A58EA">
        <w:rPr>
          <w:color w:val="000000" w:themeColor="text1"/>
        </w:rPr>
        <w:t xml:space="preserve"> </w:t>
      </w:r>
      <w:r w:rsidR="00610F23" w:rsidRPr="007A58EA">
        <w:rPr>
          <w:color w:val="000000" w:themeColor="text1"/>
        </w:rPr>
        <w:t>according to what criteria might the Court treat nullity (rather than disapplication) as the appropriate legal consequence of primacy?</w:t>
      </w:r>
    </w:p>
    <w:p w14:paraId="3F13BAC3" w14:textId="7014F1EC" w:rsidR="00ED676F" w:rsidRPr="007A58EA" w:rsidRDefault="00ED676F" w:rsidP="00391EA9">
      <w:pPr>
        <w:jc w:val="both"/>
        <w:rPr>
          <w:color w:val="000000" w:themeColor="text1"/>
        </w:rPr>
      </w:pPr>
    </w:p>
    <w:p w14:paraId="6E91CF5C" w14:textId="13B9DA2C" w:rsidR="00FC261A" w:rsidRPr="007A58EA" w:rsidRDefault="00FC261A" w:rsidP="00391EA9">
      <w:pPr>
        <w:jc w:val="both"/>
        <w:rPr>
          <w:i/>
          <w:iCs/>
          <w:color w:val="000000" w:themeColor="text1"/>
        </w:rPr>
      </w:pPr>
      <w:r w:rsidRPr="007A58EA">
        <w:rPr>
          <w:i/>
          <w:iCs/>
          <w:color w:val="000000" w:themeColor="text1"/>
        </w:rPr>
        <w:t>6.1.  Nullity in principle?</w:t>
      </w:r>
    </w:p>
    <w:p w14:paraId="54B3DB7E" w14:textId="77777777" w:rsidR="00FC261A" w:rsidRPr="007A58EA" w:rsidRDefault="00FC261A" w:rsidP="00391EA9">
      <w:pPr>
        <w:jc w:val="both"/>
        <w:rPr>
          <w:color w:val="000000" w:themeColor="text1"/>
        </w:rPr>
      </w:pPr>
    </w:p>
    <w:p w14:paraId="7F1894D3" w14:textId="75EB775A" w:rsidR="002421A9" w:rsidRDefault="00610F23" w:rsidP="00391EA9">
      <w:pPr>
        <w:jc w:val="both"/>
        <w:rPr>
          <w:color w:val="000000" w:themeColor="text1"/>
        </w:rPr>
      </w:pPr>
      <w:r w:rsidRPr="007A58EA">
        <w:rPr>
          <w:color w:val="000000" w:themeColor="text1"/>
        </w:rPr>
        <w:t xml:space="preserve">Dealing with the first question – whether a Union demand for nullity sits uncomfortably with the established framework of EU-Member State </w:t>
      </w:r>
      <w:r w:rsidR="002421A9">
        <w:rPr>
          <w:color w:val="000000" w:themeColor="text1"/>
        </w:rPr>
        <w:t xml:space="preserve">legal </w:t>
      </w:r>
      <w:r w:rsidRPr="007A58EA">
        <w:rPr>
          <w:color w:val="000000" w:themeColor="text1"/>
        </w:rPr>
        <w:t xml:space="preserve">relations – the argument against an expansive interpretation of </w:t>
      </w:r>
      <w:r w:rsidRPr="007A58EA">
        <w:rPr>
          <w:i/>
          <w:iCs/>
          <w:color w:val="000000" w:themeColor="text1"/>
        </w:rPr>
        <w:t xml:space="preserve">W.Ż. </w:t>
      </w:r>
      <w:r w:rsidRPr="007A58EA">
        <w:rPr>
          <w:color w:val="000000" w:themeColor="text1"/>
        </w:rPr>
        <w:t>might proceed as follows.</w:t>
      </w:r>
    </w:p>
    <w:p w14:paraId="106FDEE2" w14:textId="4A908FC9" w:rsidR="007E0CDE" w:rsidRDefault="00610F23" w:rsidP="002421A9">
      <w:pPr>
        <w:ind w:firstLine="720"/>
        <w:jc w:val="both"/>
        <w:rPr>
          <w:color w:val="000000" w:themeColor="text1"/>
        </w:rPr>
      </w:pPr>
      <w:r w:rsidRPr="007A58EA">
        <w:rPr>
          <w:color w:val="000000" w:themeColor="text1"/>
        </w:rPr>
        <w:t xml:space="preserve">Particularly since the critical constitutional clarifications laid down in </w:t>
      </w:r>
      <w:r w:rsidRPr="007A58EA">
        <w:rPr>
          <w:i/>
          <w:iCs/>
          <w:color w:val="000000" w:themeColor="text1"/>
        </w:rPr>
        <w:t>Popławski</w:t>
      </w:r>
      <w:r w:rsidR="001A2CBE" w:rsidRPr="007A58EA">
        <w:rPr>
          <w:color w:val="000000" w:themeColor="text1"/>
        </w:rPr>
        <w:t xml:space="preserve"> – affirming the indispensable character of the principle of direct effect as a means of translating Union provisions into domestically cognisable legal acts, and denying the capacity of the principle of primacy to operate independently against incompatible national measures – the Court appears to endorse an understanding of the Union and domestic legal systems as essentially separate</w:t>
      </w:r>
      <w:r w:rsidR="000C5E60" w:rsidRPr="007A58EA">
        <w:rPr>
          <w:color w:val="000000" w:themeColor="text1"/>
        </w:rPr>
        <w:t>,</w:t>
      </w:r>
      <w:r w:rsidR="001A2CBE" w:rsidRPr="007A58EA">
        <w:rPr>
          <w:color w:val="000000" w:themeColor="text1"/>
        </w:rPr>
        <w:t xml:space="preserve"> albeit closely interlinked, rather than as </w:t>
      </w:r>
      <w:r w:rsidR="005A6B64" w:rsidRPr="007A58EA">
        <w:rPr>
          <w:color w:val="000000" w:themeColor="text1"/>
        </w:rPr>
        <w:t xml:space="preserve">effectively </w:t>
      </w:r>
      <w:r w:rsidR="001A2CBE" w:rsidRPr="007A58EA">
        <w:rPr>
          <w:color w:val="000000" w:themeColor="text1"/>
        </w:rPr>
        <w:t xml:space="preserve">unitary and </w:t>
      </w:r>
      <w:r w:rsidR="005A6B64" w:rsidRPr="007A58EA">
        <w:rPr>
          <w:color w:val="000000" w:themeColor="text1"/>
        </w:rPr>
        <w:t>seamlessly interwoven.</w:t>
      </w:r>
      <w:r w:rsidR="007C56C6" w:rsidRPr="007A58EA">
        <w:rPr>
          <w:rStyle w:val="FootnoteReference"/>
          <w:color w:val="000000" w:themeColor="text1"/>
        </w:rPr>
        <w:footnoteReference w:id="60"/>
      </w:r>
      <w:r w:rsidR="005A6B64" w:rsidRPr="007A58EA">
        <w:rPr>
          <w:color w:val="000000" w:themeColor="text1"/>
        </w:rPr>
        <w:t xml:space="preserve">  Disapplication expresses that understanding perfectly: Union law has no capacity to render incompatible domestic acts null and void within their own legal system; it falls to the Member State to rectify its breach of the Treaties and, in the meantime, for the national courts to refrain from enforcing incompatible measures.  By contrast, nullity appears better suited to a more unitary conception of Union-Member State relations: </w:t>
      </w:r>
      <w:r w:rsidR="00691FAA" w:rsidRPr="007A58EA">
        <w:rPr>
          <w:color w:val="000000" w:themeColor="text1"/>
        </w:rPr>
        <w:t>it reflects the capacity of Union law to correct situations of incompatibility</w:t>
      </w:r>
      <w:r w:rsidR="000C5E60" w:rsidRPr="007A58EA">
        <w:rPr>
          <w:color w:val="000000" w:themeColor="text1"/>
        </w:rPr>
        <w:t xml:space="preserve"> for itself</w:t>
      </w:r>
      <w:r w:rsidR="00691FAA" w:rsidRPr="007A58EA">
        <w:rPr>
          <w:color w:val="000000" w:themeColor="text1"/>
        </w:rPr>
        <w:t xml:space="preserve">, not </w:t>
      </w:r>
      <w:r w:rsidR="00DD4863">
        <w:rPr>
          <w:color w:val="000000" w:themeColor="text1"/>
        </w:rPr>
        <w:t xml:space="preserve">merely </w:t>
      </w:r>
      <w:r w:rsidR="00691FAA" w:rsidRPr="007A58EA">
        <w:rPr>
          <w:color w:val="000000" w:themeColor="text1"/>
        </w:rPr>
        <w:t xml:space="preserve">by </w:t>
      </w:r>
      <w:r w:rsidR="00DD4863">
        <w:rPr>
          <w:color w:val="000000" w:themeColor="text1"/>
        </w:rPr>
        <w:t xml:space="preserve">conveying instructions </w:t>
      </w:r>
      <w:r w:rsidR="00691FAA" w:rsidRPr="007A58EA">
        <w:rPr>
          <w:color w:val="000000" w:themeColor="text1"/>
        </w:rPr>
        <w:t xml:space="preserve">across some strict </w:t>
      </w:r>
      <w:r w:rsidR="00DD4863">
        <w:rPr>
          <w:color w:val="000000" w:themeColor="text1"/>
        </w:rPr>
        <w:t xml:space="preserve">or formal </w:t>
      </w:r>
      <w:r w:rsidR="00691FAA" w:rsidRPr="007A58EA">
        <w:rPr>
          <w:color w:val="000000" w:themeColor="text1"/>
        </w:rPr>
        <w:t xml:space="preserve">jurisdictional divide, but by directly </w:t>
      </w:r>
      <w:r w:rsidR="008C6490" w:rsidRPr="007A58EA">
        <w:rPr>
          <w:color w:val="000000" w:themeColor="text1"/>
        </w:rPr>
        <w:t xml:space="preserve">adjusting a </w:t>
      </w:r>
      <w:r w:rsidR="004B66CA" w:rsidRPr="007A58EA">
        <w:rPr>
          <w:color w:val="000000" w:themeColor="text1"/>
        </w:rPr>
        <w:t xml:space="preserve">wayward </w:t>
      </w:r>
      <w:r w:rsidR="008C6490" w:rsidRPr="007A58EA">
        <w:rPr>
          <w:color w:val="000000" w:themeColor="text1"/>
        </w:rPr>
        <w:t xml:space="preserve">domestic component within the wider European legal </w:t>
      </w:r>
      <w:r w:rsidR="000C5E60" w:rsidRPr="007A58EA">
        <w:rPr>
          <w:color w:val="000000" w:themeColor="text1"/>
        </w:rPr>
        <w:t>space</w:t>
      </w:r>
      <w:r w:rsidR="008C6490" w:rsidRPr="007A58EA">
        <w:rPr>
          <w:color w:val="000000" w:themeColor="text1"/>
        </w:rPr>
        <w:t xml:space="preserve">.  </w:t>
      </w:r>
      <w:r w:rsidR="00C26603" w:rsidRPr="007A58EA">
        <w:rPr>
          <w:color w:val="000000" w:themeColor="text1"/>
        </w:rPr>
        <w:t>Yet</w:t>
      </w:r>
      <w:r w:rsidR="008C6490" w:rsidRPr="007A58EA">
        <w:rPr>
          <w:color w:val="000000" w:themeColor="text1"/>
        </w:rPr>
        <w:t xml:space="preserve"> since we live in a reality built on separation, </w:t>
      </w:r>
      <w:r w:rsidR="004B66CA" w:rsidRPr="007A58EA">
        <w:rPr>
          <w:color w:val="000000" w:themeColor="text1"/>
        </w:rPr>
        <w:t xml:space="preserve">not of merger, </w:t>
      </w:r>
      <w:r w:rsidR="008C6490" w:rsidRPr="007A58EA">
        <w:rPr>
          <w:color w:val="000000" w:themeColor="text1"/>
        </w:rPr>
        <w:t xml:space="preserve">we should limit primacy to disapplication and </w:t>
      </w:r>
      <w:r w:rsidR="004B66CA" w:rsidRPr="007A58EA">
        <w:rPr>
          <w:color w:val="000000" w:themeColor="text1"/>
        </w:rPr>
        <w:t>avoid short</w:t>
      </w:r>
      <w:r w:rsidR="00656B98" w:rsidRPr="007A58EA">
        <w:rPr>
          <w:color w:val="000000" w:themeColor="text1"/>
        </w:rPr>
        <w:t>-</w:t>
      </w:r>
      <w:r w:rsidR="004B66CA" w:rsidRPr="007A58EA">
        <w:rPr>
          <w:color w:val="000000" w:themeColor="text1"/>
        </w:rPr>
        <w:t xml:space="preserve">circuiting the system by introducing also </w:t>
      </w:r>
      <w:r w:rsidR="008C6490" w:rsidRPr="007A58EA">
        <w:rPr>
          <w:color w:val="000000" w:themeColor="text1"/>
        </w:rPr>
        <w:t>a remedy of nullity</w:t>
      </w:r>
      <w:r w:rsidR="004B66CA" w:rsidRPr="007A58EA">
        <w:rPr>
          <w:color w:val="000000" w:themeColor="text1"/>
        </w:rPr>
        <w:t>.</w:t>
      </w:r>
    </w:p>
    <w:p w14:paraId="0A5A5943" w14:textId="77777777" w:rsidR="007E0CDE" w:rsidRDefault="004B66CA" w:rsidP="007E0CDE">
      <w:pPr>
        <w:ind w:firstLine="720"/>
        <w:jc w:val="both"/>
        <w:rPr>
          <w:color w:val="000000" w:themeColor="text1"/>
        </w:rPr>
      </w:pPr>
      <w:r w:rsidRPr="007A58EA">
        <w:rPr>
          <w:color w:val="000000" w:themeColor="text1"/>
        </w:rPr>
        <w:t xml:space="preserve">That argument against an expansive interpretation of </w:t>
      </w:r>
      <w:r w:rsidRPr="007A58EA">
        <w:rPr>
          <w:i/>
          <w:iCs/>
          <w:color w:val="000000" w:themeColor="text1"/>
        </w:rPr>
        <w:t xml:space="preserve">W.Ż. </w:t>
      </w:r>
      <w:r w:rsidRPr="007A58EA">
        <w:rPr>
          <w:color w:val="000000" w:themeColor="text1"/>
        </w:rPr>
        <w:t xml:space="preserve">has a certain intuitive appeal, but upon closer inspection, it is surely guilty of conflating issues that should in fact remain distinct.  There is, in fact, no logical connection between </w:t>
      </w:r>
      <w:r w:rsidR="00656B98" w:rsidRPr="007A58EA">
        <w:rPr>
          <w:color w:val="000000" w:themeColor="text1"/>
        </w:rPr>
        <w:t xml:space="preserve">jurisdictional separation and the remedy of disapplication (on the one hand) and jurisdictional unity and a remedy of nullity (on the other hand).  The </w:t>
      </w:r>
      <w:r w:rsidR="00656B98" w:rsidRPr="007A58EA">
        <w:rPr>
          <w:i/>
          <w:iCs/>
          <w:color w:val="000000" w:themeColor="text1"/>
        </w:rPr>
        <w:t xml:space="preserve">Popławski </w:t>
      </w:r>
      <w:r w:rsidR="00656B98" w:rsidRPr="007A58EA">
        <w:rPr>
          <w:color w:val="000000" w:themeColor="text1"/>
        </w:rPr>
        <w:t>understanding of the Union and national legal order</w:t>
      </w:r>
      <w:r w:rsidR="00FA0955" w:rsidRPr="007A58EA">
        <w:rPr>
          <w:color w:val="000000" w:themeColor="text1"/>
        </w:rPr>
        <w:t>s</w:t>
      </w:r>
      <w:r w:rsidR="00656B98" w:rsidRPr="007A58EA">
        <w:rPr>
          <w:color w:val="000000" w:themeColor="text1"/>
        </w:rPr>
        <w:t xml:space="preserve"> as distinct but closely interlinked systems, hinges upon the principle of direct effect and its role as the essential </w:t>
      </w:r>
      <w:r w:rsidR="00656B98" w:rsidRPr="007A58EA">
        <w:rPr>
          <w:i/>
          <w:iCs/>
          <w:color w:val="000000" w:themeColor="text1"/>
        </w:rPr>
        <w:t>passerelle</w:t>
      </w:r>
      <w:r w:rsidR="00656B98" w:rsidRPr="007A58EA">
        <w:rPr>
          <w:color w:val="000000" w:themeColor="text1"/>
        </w:rPr>
        <w:t xml:space="preserve"> that translates qualifying Union provisions into domestically cognisable acts, </w:t>
      </w:r>
      <w:r w:rsidR="00132504" w:rsidRPr="007A58EA">
        <w:rPr>
          <w:color w:val="000000" w:themeColor="text1"/>
        </w:rPr>
        <w:t>whil</w:t>
      </w:r>
      <w:r w:rsidR="000C5E60" w:rsidRPr="007A58EA">
        <w:rPr>
          <w:color w:val="000000" w:themeColor="text1"/>
        </w:rPr>
        <w:t>st</w:t>
      </w:r>
      <w:r w:rsidR="00656B98" w:rsidRPr="007A58EA">
        <w:rPr>
          <w:color w:val="000000" w:themeColor="text1"/>
        </w:rPr>
        <w:t xml:space="preserve"> denying that Union law is capable of </w:t>
      </w:r>
      <w:r w:rsidR="00E41758" w:rsidRPr="007A58EA">
        <w:rPr>
          <w:color w:val="000000" w:themeColor="text1"/>
        </w:rPr>
        <w:t xml:space="preserve">directly impacting upon the national legal system </w:t>
      </w:r>
      <w:r w:rsidR="00656B98" w:rsidRPr="007A58EA">
        <w:rPr>
          <w:color w:val="000000" w:themeColor="text1"/>
        </w:rPr>
        <w:t xml:space="preserve">merely </w:t>
      </w:r>
      <w:r w:rsidR="00E41758" w:rsidRPr="007A58EA">
        <w:rPr>
          <w:color w:val="000000" w:themeColor="text1"/>
        </w:rPr>
        <w:t>through its own existence as such</w:t>
      </w:r>
      <w:r w:rsidR="00656B98" w:rsidRPr="007A58EA">
        <w:rPr>
          <w:color w:val="000000" w:themeColor="text1"/>
        </w:rPr>
        <w:t xml:space="preserve">.  </w:t>
      </w:r>
      <w:r w:rsidR="00E41758" w:rsidRPr="007A58EA">
        <w:rPr>
          <w:color w:val="000000" w:themeColor="text1"/>
        </w:rPr>
        <w:t xml:space="preserve">But once the jurisdictional divide is bridged by the principle of direct effect, the next task is to determine the legal consequences of an incompatibility between directly effective Union law and provisions of purely domestic origin, and that task falls to the principle of primacy as interpreted by the Court and applied by the national judges.  In that context, the </w:t>
      </w:r>
      <w:r w:rsidR="00DE109C" w:rsidRPr="007A58EA">
        <w:rPr>
          <w:color w:val="000000" w:themeColor="text1"/>
        </w:rPr>
        <w:t xml:space="preserve">world according to </w:t>
      </w:r>
      <w:r w:rsidR="00DE109C" w:rsidRPr="007A58EA">
        <w:rPr>
          <w:i/>
          <w:iCs/>
          <w:color w:val="000000" w:themeColor="text1"/>
        </w:rPr>
        <w:t xml:space="preserve">Popławski </w:t>
      </w:r>
      <w:r w:rsidR="00DE109C" w:rsidRPr="007A58EA">
        <w:rPr>
          <w:color w:val="000000" w:themeColor="text1"/>
        </w:rPr>
        <w:t xml:space="preserve">is surely agnostic as to whether </w:t>
      </w:r>
      <w:r w:rsidR="00E41758" w:rsidRPr="007A58EA">
        <w:rPr>
          <w:color w:val="000000" w:themeColor="text1"/>
        </w:rPr>
        <w:t xml:space="preserve">primacy </w:t>
      </w:r>
      <w:r w:rsidR="00DE109C" w:rsidRPr="007A58EA">
        <w:rPr>
          <w:color w:val="000000" w:themeColor="text1"/>
        </w:rPr>
        <w:t xml:space="preserve">means </w:t>
      </w:r>
      <w:r w:rsidR="00E41758" w:rsidRPr="007A58EA">
        <w:rPr>
          <w:color w:val="000000" w:themeColor="text1"/>
        </w:rPr>
        <w:t>disapplication or nullity</w:t>
      </w:r>
      <w:r w:rsidR="00DE109C" w:rsidRPr="007A58EA">
        <w:rPr>
          <w:color w:val="000000" w:themeColor="text1"/>
        </w:rPr>
        <w:t xml:space="preserve">; that choice cannot </w:t>
      </w:r>
      <w:r w:rsidR="00132504" w:rsidRPr="007A58EA">
        <w:rPr>
          <w:color w:val="000000" w:themeColor="text1"/>
        </w:rPr>
        <w:t xml:space="preserve">of itself </w:t>
      </w:r>
      <w:r w:rsidR="00DE109C" w:rsidRPr="007A58EA">
        <w:rPr>
          <w:color w:val="000000" w:themeColor="text1"/>
        </w:rPr>
        <w:t xml:space="preserve">reshape the </w:t>
      </w:r>
      <w:r w:rsidR="000C5E60" w:rsidRPr="007A58EA">
        <w:rPr>
          <w:color w:val="000000" w:themeColor="text1"/>
        </w:rPr>
        <w:t xml:space="preserve">prior </w:t>
      </w:r>
      <w:r w:rsidR="00132504" w:rsidRPr="007A58EA">
        <w:rPr>
          <w:color w:val="000000" w:themeColor="text1"/>
        </w:rPr>
        <w:t xml:space="preserve">framework of EU-Member State relations </w:t>
      </w:r>
      <w:r w:rsidR="00B03502" w:rsidRPr="007A58EA">
        <w:rPr>
          <w:color w:val="000000" w:themeColor="text1"/>
        </w:rPr>
        <w:t>as it</w:t>
      </w:r>
      <w:r w:rsidR="00132504" w:rsidRPr="007A58EA">
        <w:rPr>
          <w:color w:val="000000" w:themeColor="text1"/>
        </w:rPr>
        <w:t xml:space="preserve"> already exists and</w:t>
      </w:r>
      <w:r w:rsidR="00B03502" w:rsidRPr="007A58EA">
        <w:rPr>
          <w:color w:val="000000" w:themeColor="text1"/>
        </w:rPr>
        <w:t xml:space="preserve"> </w:t>
      </w:r>
      <w:r w:rsidR="00132504" w:rsidRPr="007A58EA">
        <w:rPr>
          <w:color w:val="000000" w:themeColor="text1"/>
        </w:rPr>
        <w:t xml:space="preserve">within which that very same choice now falls to be made.  </w:t>
      </w:r>
    </w:p>
    <w:p w14:paraId="48F36CC8" w14:textId="0D77665C" w:rsidR="007E0CDE" w:rsidRDefault="00B03502" w:rsidP="007E0CDE">
      <w:pPr>
        <w:ind w:firstLine="720"/>
        <w:jc w:val="both"/>
        <w:rPr>
          <w:color w:val="000000" w:themeColor="text1"/>
        </w:rPr>
      </w:pPr>
      <w:r w:rsidRPr="007A58EA">
        <w:rPr>
          <w:color w:val="000000" w:themeColor="text1"/>
        </w:rPr>
        <w:t xml:space="preserve">So the key question is: should the effects of primacy be limited to disapplication, or can one justify extending them </w:t>
      </w:r>
      <w:r w:rsidR="00C26603" w:rsidRPr="007A58EA">
        <w:rPr>
          <w:color w:val="000000" w:themeColor="text1"/>
        </w:rPr>
        <w:t>in</w:t>
      </w:r>
      <w:r w:rsidRPr="007A58EA">
        <w:rPr>
          <w:color w:val="000000" w:themeColor="text1"/>
        </w:rPr>
        <w:t xml:space="preserve">to a remedy of nullity?  The answer to that question neither depends nor impacts upon the underlying </w:t>
      </w:r>
      <w:r w:rsidR="00444B03" w:rsidRPr="007A58EA">
        <w:rPr>
          <w:color w:val="000000" w:themeColor="text1"/>
        </w:rPr>
        <w:t xml:space="preserve">reality of the Union and national legal systems as separate albeit closely interlinked.  Our response should instead be governed by the </w:t>
      </w:r>
      <w:r w:rsidR="00444B03" w:rsidRPr="007A58EA">
        <w:rPr>
          <w:color w:val="000000" w:themeColor="text1"/>
        </w:rPr>
        <w:lastRenderedPageBreak/>
        <w:t xml:space="preserve">fundamental values that inform and shape the entire system of decentralised enforcement as it operates under the auspices of the basic </w:t>
      </w:r>
      <w:r w:rsidR="00444B03" w:rsidRPr="007A58EA">
        <w:rPr>
          <w:i/>
          <w:iCs/>
          <w:color w:val="000000" w:themeColor="text1"/>
        </w:rPr>
        <w:t>Popławski</w:t>
      </w:r>
      <w:r w:rsidR="00444B03" w:rsidRPr="007A58EA">
        <w:rPr>
          <w:color w:val="000000" w:themeColor="text1"/>
        </w:rPr>
        <w:t xml:space="preserve"> model: securing a sufficiently effective and uniform application of Union law within and across the Member States.</w:t>
      </w:r>
      <w:r w:rsidR="000B44CA" w:rsidRPr="007A58EA">
        <w:rPr>
          <w:rStyle w:val="FootnoteReference"/>
          <w:color w:val="000000" w:themeColor="text1"/>
        </w:rPr>
        <w:footnoteReference w:id="61"/>
      </w:r>
      <w:r w:rsidR="00444B03" w:rsidRPr="007A58EA">
        <w:rPr>
          <w:color w:val="000000" w:themeColor="text1"/>
        </w:rPr>
        <w:t xml:space="preserve">  </w:t>
      </w:r>
      <w:r w:rsidR="000275B3" w:rsidRPr="007A58EA">
        <w:rPr>
          <w:color w:val="000000" w:themeColor="text1"/>
        </w:rPr>
        <w:t xml:space="preserve">For the sake of that unity and effectiveness, what is </w:t>
      </w:r>
      <w:r w:rsidR="00C26603" w:rsidRPr="007A58EA">
        <w:rPr>
          <w:color w:val="000000" w:themeColor="text1"/>
        </w:rPr>
        <w:t xml:space="preserve">it that </w:t>
      </w:r>
      <w:r w:rsidR="000275B3" w:rsidRPr="007A58EA">
        <w:rPr>
          <w:color w:val="000000" w:themeColor="text1"/>
        </w:rPr>
        <w:t xml:space="preserve">the Court </w:t>
      </w:r>
      <w:r w:rsidR="00C26603" w:rsidRPr="007A58EA">
        <w:rPr>
          <w:color w:val="000000" w:themeColor="text1"/>
        </w:rPr>
        <w:t xml:space="preserve">is </w:t>
      </w:r>
      <w:r w:rsidR="000275B3" w:rsidRPr="007A58EA">
        <w:rPr>
          <w:color w:val="000000" w:themeColor="text1"/>
        </w:rPr>
        <w:t xml:space="preserve">prepared to demand as a matter of Union law?  And what might the national courts be willing to accept, bearing in mind </w:t>
      </w:r>
      <w:r w:rsidR="0098041A">
        <w:rPr>
          <w:color w:val="000000" w:themeColor="text1"/>
        </w:rPr>
        <w:t xml:space="preserve">(again: simply as a matter of fact) </w:t>
      </w:r>
      <w:r w:rsidR="000275B3" w:rsidRPr="007A58EA">
        <w:rPr>
          <w:color w:val="000000" w:themeColor="text1"/>
        </w:rPr>
        <w:t>their own domestic constitutional constraints?</w:t>
      </w:r>
    </w:p>
    <w:p w14:paraId="706C5C9B" w14:textId="03F2E327" w:rsidR="007E0CDE" w:rsidRDefault="00B73A99" w:rsidP="007E0CDE">
      <w:pPr>
        <w:ind w:firstLine="720"/>
        <w:jc w:val="both"/>
        <w:rPr>
          <w:color w:val="000000" w:themeColor="text1"/>
        </w:rPr>
      </w:pPr>
      <w:r w:rsidRPr="007A58EA">
        <w:rPr>
          <w:color w:val="000000" w:themeColor="text1"/>
        </w:rPr>
        <w:t xml:space="preserve">There are other grounds for regarding the potential for primacy to extend beyond traditional disapplication into a more novel remedy of nullity, not as some radical transformation in Union-Member State relations, but as an evolutionary development of the caselaw founded upon essentially orthodox </w:t>
      </w:r>
      <w:r w:rsidR="00922C07" w:rsidRPr="007A58EA">
        <w:rPr>
          <w:color w:val="000000" w:themeColor="text1"/>
        </w:rPr>
        <w:t xml:space="preserve">constitutional </w:t>
      </w:r>
      <w:r w:rsidRPr="007A58EA">
        <w:rPr>
          <w:color w:val="000000" w:themeColor="text1"/>
        </w:rPr>
        <w:t>principles</w:t>
      </w:r>
      <w:r w:rsidR="00C26603" w:rsidRPr="007A58EA">
        <w:rPr>
          <w:color w:val="000000" w:themeColor="text1"/>
        </w:rPr>
        <w:t xml:space="preserve"> and informed by essentially familiar underpinning values and interests</w:t>
      </w:r>
      <w:r w:rsidR="00EF6A21" w:rsidRPr="007A58EA">
        <w:rPr>
          <w:color w:val="000000" w:themeColor="text1"/>
        </w:rPr>
        <w:t xml:space="preserve">.  </w:t>
      </w:r>
      <w:r w:rsidRPr="007A58EA">
        <w:rPr>
          <w:color w:val="000000" w:themeColor="text1"/>
        </w:rPr>
        <w:t xml:space="preserve">After all, the </w:t>
      </w:r>
      <w:r w:rsidR="002B00C1" w:rsidRPr="007A58EA">
        <w:rPr>
          <w:color w:val="000000" w:themeColor="text1"/>
        </w:rPr>
        <w:t xml:space="preserve">Court has </w:t>
      </w:r>
      <w:r w:rsidRPr="007A58EA">
        <w:rPr>
          <w:color w:val="000000" w:themeColor="text1"/>
        </w:rPr>
        <w:t>long</w:t>
      </w:r>
      <w:r w:rsidR="002B00C1" w:rsidRPr="007A58EA">
        <w:rPr>
          <w:color w:val="000000" w:themeColor="text1"/>
        </w:rPr>
        <w:t xml:space="preserve"> acknowledged that certain forms of incompatibility between Union law and national law cannot effectively be remedied through the latter’s disapplication alone.  Hence the accompanying expectation of </w:t>
      </w:r>
      <w:r w:rsidR="00922C07" w:rsidRPr="007A58EA">
        <w:rPr>
          <w:color w:val="000000" w:themeColor="text1"/>
        </w:rPr>
        <w:t xml:space="preserve">more elaborate forms of </w:t>
      </w:r>
      <w:r w:rsidR="002B00C1" w:rsidRPr="007A58EA">
        <w:rPr>
          <w:color w:val="000000" w:themeColor="text1"/>
        </w:rPr>
        <w:t xml:space="preserve">effective judicial protection </w:t>
      </w:r>
      <w:r w:rsidR="00EF6A21" w:rsidRPr="007A58EA">
        <w:rPr>
          <w:color w:val="000000" w:themeColor="text1"/>
        </w:rPr>
        <w:t xml:space="preserve">for the individual’s Treaty-based rights and interests </w:t>
      </w:r>
      <w:r w:rsidR="002B00C1" w:rsidRPr="007A58EA">
        <w:rPr>
          <w:color w:val="000000" w:themeColor="text1"/>
        </w:rPr>
        <w:t xml:space="preserve">– </w:t>
      </w:r>
      <w:r w:rsidR="000637B6" w:rsidRPr="007A58EA">
        <w:rPr>
          <w:color w:val="000000" w:themeColor="text1"/>
        </w:rPr>
        <w:t xml:space="preserve">including </w:t>
      </w:r>
      <w:r w:rsidR="00EF6A21" w:rsidRPr="007A58EA">
        <w:rPr>
          <w:color w:val="000000" w:themeColor="text1"/>
        </w:rPr>
        <w:t xml:space="preserve">the need to provide </w:t>
      </w:r>
      <w:r w:rsidR="000637B6" w:rsidRPr="007A58EA">
        <w:rPr>
          <w:color w:val="000000" w:themeColor="text1"/>
        </w:rPr>
        <w:t>distinct Union law remedies such as the recovery of unlawfully levied charges or the right to reparation for Member State infractions.</w:t>
      </w:r>
      <w:r w:rsidR="000B44CA" w:rsidRPr="007A58EA">
        <w:rPr>
          <w:rStyle w:val="FootnoteReference"/>
          <w:color w:val="000000" w:themeColor="text1"/>
        </w:rPr>
        <w:footnoteReference w:id="62"/>
      </w:r>
      <w:r w:rsidR="000637B6" w:rsidRPr="007A58EA">
        <w:rPr>
          <w:color w:val="000000" w:themeColor="text1"/>
        </w:rPr>
        <w:t xml:space="preserve">  </w:t>
      </w:r>
      <w:r w:rsidR="00D00F7A" w:rsidRPr="007A58EA">
        <w:rPr>
          <w:i/>
          <w:iCs/>
          <w:color w:val="000000" w:themeColor="text1"/>
        </w:rPr>
        <w:t>W.Ż.</w:t>
      </w:r>
      <w:r w:rsidR="00D00F7A" w:rsidRPr="007A58EA">
        <w:rPr>
          <w:color w:val="000000" w:themeColor="text1"/>
        </w:rPr>
        <w:t xml:space="preserve"> simply falls into the same category: it marks a recognition by the Court that certain forms of incompatibility </w:t>
      </w:r>
      <w:r w:rsidR="0098041A">
        <w:rPr>
          <w:color w:val="000000" w:themeColor="text1"/>
        </w:rPr>
        <w:t xml:space="preserve">are to be </w:t>
      </w:r>
      <w:r w:rsidR="00D00F7A" w:rsidRPr="007A58EA">
        <w:rPr>
          <w:color w:val="000000" w:themeColor="text1"/>
        </w:rPr>
        <w:t xml:space="preserve">remedied through a </w:t>
      </w:r>
      <w:r w:rsidR="0098041A">
        <w:rPr>
          <w:color w:val="000000" w:themeColor="text1"/>
        </w:rPr>
        <w:t xml:space="preserve">specific </w:t>
      </w:r>
      <w:r w:rsidR="00D00F7A" w:rsidRPr="007A58EA">
        <w:rPr>
          <w:color w:val="000000" w:themeColor="text1"/>
        </w:rPr>
        <w:t xml:space="preserve">sanction of nullity – a remedy created and required by Union law as such, and regardless of whether it would ordinarily be available within the national legal system.  </w:t>
      </w:r>
      <w:r w:rsidR="000750E2" w:rsidRPr="007A58EA">
        <w:rPr>
          <w:color w:val="000000" w:themeColor="text1"/>
        </w:rPr>
        <w:t>Moreover</w:t>
      </w:r>
      <w:r w:rsidR="00922C07" w:rsidRPr="007A58EA">
        <w:rPr>
          <w:color w:val="000000" w:themeColor="text1"/>
        </w:rPr>
        <w:t xml:space="preserve">, </w:t>
      </w:r>
      <w:r w:rsidR="00922C07" w:rsidRPr="007A58EA">
        <w:rPr>
          <w:i/>
          <w:iCs/>
          <w:color w:val="000000" w:themeColor="text1"/>
        </w:rPr>
        <w:t xml:space="preserve">W.Ż. </w:t>
      </w:r>
      <w:r w:rsidR="00922C07" w:rsidRPr="007A58EA">
        <w:rPr>
          <w:color w:val="000000" w:themeColor="text1"/>
        </w:rPr>
        <w:t>can hardly be considered unique</w:t>
      </w:r>
      <w:r w:rsidR="00C26603" w:rsidRPr="007A58EA">
        <w:rPr>
          <w:color w:val="000000" w:themeColor="text1"/>
        </w:rPr>
        <w:t>,</w:t>
      </w:r>
      <w:r w:rsidR="00922C07" w:rsidRPr="007A58EA">
        <w:rPr>
          <w:color w:val="000000" w:themeColor="text1"/>
        </w:rPr>
        <w:t xml:space="preserve"> let alone pioneering</w:t>
      </w:r>
      <w:r w:rsidR="00C26603" w:rsidRPr="007A58EA">
        <w:rPr>
          <w:color w:val="000000" w:themeColor="text1"/>
        </w:rPr>
        <w:t>,</w:t>
      </w:r>
      <w:r w:rsidR="00922C07" w:rsidRPr="007A58EA">
        <w:rPr>
          <w:color w:val="000000" w:themeColor="text1"/>
        </w:rPr>
        <w:t xml:space="preserve"> in suggesting that the effective and uniform application of Union law sometimes requires redress </w:t>
      </w:r>
      <w:r w:rsidR="00D00F7A" w:rsidRPr="007A58EA">
        <w:rPr>
          <w:color w:val="000000" w:themeColor="text1"/>
        </w:rPr>
        <w:t xml:space="preserve">through the </w:t>
      </w:r>
      <w:r w:rsidR="000750E2" w:rsidRPr="007A58EA">
        <w:rPr>
          <w:color w:val="000000" w:themeColor="text1"/>
        </w:rPr>
        <w:t xml:space="preserve">straightforward </w:t>
      </w:r>
      <w:r w:rsidR="00922C07" w:rsidRPr="007A58EA">
        <w:rPr>
          <w:color w:val="000000" w:themeColor="text1"/>
        </w:rPr>
        <w:t>nullity</w:t>
      </w:r>
      <w:r w:rsidR="00D00F7A" w:rsidRPr="007A58EA">
        <w:rPr>
          <w:color w:val="000000" w:themeColor="text1"/>
        </w:rPr>
        <w:t xml:space="preserve"> of incompatible domestic acts</w:t>
      </w:r>
      <w:r w:rsidR="00922C07" w:rsidRPr="007A58EA">
        <w:rPr>
          <w:color w:val="000000" w:themeColor="text1"/>
        </w:rPr>
        <w:t>:</w:t>
      </w:r>
      <w:r w:rsidR="00D00F7A" w:rsidRPr="007A58EA">
        <w:rPr>
          <w:color w:val="000000" w:themeColor="text1"/>
        </w:rPr>
        <w:t xml:space="preserve"> not only had the Court already implied as much in </w:t>
      </w:r>
      <w:r w:rsidR="00D00F7A" w:rsidRPr="007A58EA">
        <w:rPr>
          <w:i/>
          <w:iCs/>
          <w:color w:val="000000" w:themeColor="text1"/>
        </w:rPr>
        <w:t>Rimšēvičs</w:t>
      </w:r>
      <w:r w:rsidR="00D00F7A" w:rsidRPr="007A58EA">
        <w:rPr>
          <w:color w:val="000000" w:themeColor="text1"/>
        </w:rPr>
        <w:t xml:space="preserve">, but </w:t>
      </w:r>
      <w:r w:rsidR="00DD50D3">
        <w:rPr>
          <w:color w:val="000000" w:themeColor="text1"/>
        </w:rPr>
        <w:t xml:space="preserve">as we noted above, </w:t>
      </w:r>
      <w:r w:rsidR="00D00F7A" w:rsidRPr="007A58EA">
        <w:rPr>
          <w:color w:val="000000" w:themeColor="text1"/>
        </w:rPr>
        <w:t xml:space="preserve">the Treaties themselves </w:t>
      </w:r>
      <w:r w:rsidR="000750E2" w:rsidRPr="007A58EA">
        <w:rPr>
          <w:color w:val="000000" w:themeColor="text1"/>
        </w:rPr>
        <w:t xml:space="preserve">already </w:t>
      </w:r>
      <w:r w:rsidR="00D00F7A" w:rsidRPr="007A58EA">
        <w:rPr>
          <w:color w:val="000000" w:themeColor="text1"/>
        </w:rPr>
        <w:t>set a precedent through the sanction of voidness under Article 101 TFEU</w:t>
      </w:r>
      <w:r w:rsidR="000B44CA" w:rsidRPr="007A58EA">
        <w:rPr>
          <w:color w:val="000000" w:themeColor="text1"/>
        </w:rPr>
        <w:t>, while the Union legislature has also make explicit provision to the same effect in a variety of regulatory contexts</w:t>
      </w:r>
      <w:r w:rsidR="00D00F7A" w:rsidRPr="007A58EA">
        <w:rPr>
          <w:color w:val="000000" w:themeColor="text1"/>
        </w:rPr>
        <w:t>.</w:t>
      </w:r>
      <w:r w:rsidR="000B44CA" w:rsidRPr="007A58EA">
        <w:rPr>
          <w:rStyle w:val="FootnoteReference"/>
          <w:color w:val="000000" w:themeColor="text1"/>
        </w:rPr>
        <w:footnoteReference w:id="63"/>
      </w:r>
      <w:r w:rsidR="00D00F7A" w:rsidRPr="007A58EA">
        <w:rPr>
          <w:color w:val="000000" w:themeColor="text1"/>
        </w:rPr>
        <w:t xml:space="preserve"> </w:t>
      </w:r>
    </w:p>
    <w:p w14:paraId="0A2A52A3" w14:textId="091AB457" w:rsidR="007E0CDE" w:rsidRDefault="006449E7" w:rsidP="007E0CDE">
      <w:pPr>
        <w:ind w:firstLine="720"/>
        <w:jc w:val="both"/>
        <w:rPr>
          <w:color w:val="000000" w:themeColor="text1"/>
        </w:rPr>
      </w:pPr>
      <w:r w:rsidRPr="007A58EA">
        <w:rPr>
          <w:color w:val="000000" w:themeColor="text1"/>
        </w:rPr>
        <w:t xml:space="preserve">None of which, however, should be taken to downplay the significance of a shift from disapplication to nullity of the sort here postulated by our expansive interpretation of </w:t>
      </w:r>
      <w:r w:rsidRPr="007A58EA">
        <w:rPr>
          <w:i/>
          <w:iCs/>
          <w:color w:val="000000" w:themeColor="text1"/>
        </w:rPr>
        <w:t>W.Ż.</w:t>
      </w:r>
      <w:r w:rsidRPr="007A58EA">
        <w:rPr>
          <w:color w:val="000000" w:themeColor="text1"/>
        </w:rPr>
        <w:t>.  Disapplication is effectively an individual remedy, provided by the national court in accordance with the principle of primacy, so as to resolve a particular dispute – but otherwise, the relevant domestic act remains in existence and operational for all other purposes.  By contrast, nullity is a remedy of general effect and application</w:t>
      </w:r>
      <w:r w:rsidR="00F36819" w:rsidRPr="007A58EA">
        <w:rPr>
          <w:color w:val="000000" w:themeColor="text1"/>
        </w:rPr>
        <w:t xml:space="preserve"> – such that the relevant domestic act </w:t>
      </w:r>
      <w:r w:rsidR="00D67454" w:rsidRPr="007A58EA">
        <w:rPr>
          <w:color w:val="000000" w:themeColor="text1"/>
        </w:rPr>
        <w:t xml:space="preserve">simply </w:t>
      </w:r>
      <w:r w:rsidR="00F36819" w:rsidRPr="007A58EA">
        <w:rPr>
          <w:color w:val="000000" w:themeColor="text1"/>
        </w:rPr>
        <w:t>ceases to exist, including for all other purposes.  A</w:t>
      </w:r>
      <w:r w:rsidRPr="007A58EA">
        <w:rPr>
          <w:color w:val="000000" w:themeColor="text1"/>
        </w:rPr>
        <w:t>s the Court itself has expressed it, “[t]he concept of ‘nullity’, in its usual meaning, refers to actions seeking the annulment of an act, that result in its elimination and that have an effect</w:t>
      </w:r>
      <w:r w:rsidRPr="007A58EA">
        <w:rPr>
          <w:rStyle w:val="apple-converted-space"/>
          <w:color w:val="000000" w:themeColor="text1"/>
        </w:rPr>
        <w:t> </w:t>
      </w:r>
      <w:r w:rsidRPr="007A58EA">
        <w:rPr>
          <w:i/>
          <w:iCs/>
          <w:color w:val="000000" w:themeColor="text1"/>
        </w:rPr>
        <w:t>erga omnes</w:t>
      </w:r>
      <w:r w:rsidR="00F36819" w:rsidRPr="007A58EA">
        <w:rPr>
          <w:color w:val="000000" w:themeColor="text1"/>
        </w:rPr>
        <w:t>”</w:t>
      </w:r>
      <w:r w:rsidRPr="007A58EA">
        <w:rPr>
          <w:color w:val="000000" w:themeColor="text1"/>
        </w:rPr>
        <w:t>.</w:t>
      </w:r>
      <w:r w:rsidR="00F36819" w:rsidRPr="007A58EA">
        <w:rPr>
          <w:rStyle w:val="FootnoteReference"/>
          <w:color w:val="000000" w:themeColor="text1"/>
        </w:rPr>
        <w:footnoteReference w:id="64"/>
      </w:r>
      <w:r w:rsidR="00423B48" w:rsidRPr="007A58EA">
        <w:rPr>
          <w:color w:val="000000" w:themeColor="text1"/>
        </w:rPr>
        <w:t xml:space="preserve">  Imagine a Member State’s failure to notify the Commission of new technical regulations concerning breathalysers:</w:t>
      </w:r>
      <w:r w:rsidR="00423B48" w:rsidRPr="007A58EA">
        <w:rPr>
          <w:rStyle w:val="FootnoteReference"/>
          <w:color w:val="000000" w:themeColor="text1"/>
        </w:rPr>
        <w:footnoteReference w:id="65"/>
      </w:r>
      <w:r w:rsidR="00423B48" w:rsidRPr="007A58EA">
        <w:rPr>
          <w:color w:val="000000" w:themeColor="text1"/>
        </w:rPr>
        <w:t xml:space="preserve"> disapplication requires that the incompatible national act should be set aside insofar as it might hinder the lawful marketing of non-compliant goods;</w:t>
      </w:r>
      <w:r w:rsidR="00423B48" w:rsidRPr="007A58EA">
        <w:rPr>
          <w:rStyle w:val="FootnoteReference"/>
          <w:color w:val="000000" w:themeColor="text1"/>
        </w:rPr>
        <w:footnoteReference w:id="66"/>
      </w:r>
      <w:r w:rsidR="00423B48" w:rsidRPr="007A58EA">
        <w:rPr>
          <w:color w:val="000000" w:themeColor="text1"/>
        </w:rPr>
        <w:t xml:space="preserve"> whereas nullity implies that the incompatible national act should cease to exist with </w:t>
      </w:r>
      <w:r w:rsidR="00117219">
        <w:rPr>
          <w:color w:val="000000" w:themeColor="text1"/>
        </w:rPr>
        <w:t xml:space="preserve">more </w:t>
      </w:r>
      <w:r w:rsidR="00423B48" w:rsidRPr="007A58EA">
        <w:rPr>
          <w:color w:val="000000" w:themeColor="text1"/>
        </w:rPr>
        <w:t>general</w:t>
      </w:r>
      <w:r w:rsidR="00423B48" w:rsidRPr="007A58EA">
        <w:rPr>
          <w:i/>
          <w:iCs/>
          <w:color w:val="000000" w:themeColor="text1"/>
        </w:rPr>
        <w:t xml:space="preserve"> </w:t>
      </w:r>
      <w:r w:rsidR="00423B48" w:rsidRPr="007A58EA">
        <w:rPr>
          <w:color w:val="000000" w:themeColor="text1"/>
        </w:rPr>
        <w:t>effect</w:t>
      </w:r>
      <w:r w:rsidR="00117219">
        <w:rPr>
          <w:color w:val="000000" w:themeColor="text1"/>
        </w:rPr>
        <w:t>s</w:t>
      </w:r>
      <w:r w:rsidR="00423B48" w:rsidRPr="007A58EA">
        <w:rPr>
          <w:color w:val="000000" w:themeColor="text1"/>
        </w:rPr>
        <w:t xml:space="preserve"> – including (say) when it comes to the admissibility of evidence in criminal proceedings against a defendant accused of driving under the influence of alcohol.</w:t>
      </w:r>
      <w:r w:rsidR="00423B48" w:rsidRPr="007A58EA">
        <w:rPr>
          <w:rStyle w:val="FootnoteReference"/>
          <w:color w:val="000000" w:themeColor="text1"/>
        </w:rPr>
        <w:footnoteReference w:id="67"/>
      </w:r>
    </w:p>
    <w:p w14:paraId="70FC073B" w14:textId="41197F02" w:rsidR="006449E7" w:rsidRPr="007A58EA" w:rsidRDefault="00F36819" w:rsidP="007E0CDE">
      <w:pPr>
        <w:ind w:firstLine="720"/>
        <w:jc w:val="both"/>
        <w:rPr>
          <w:color w:val="000000" w:themeColor="text1"/>
        </w:rPr>
      </w:pPr>
      <w:r w:rsidRPr="007A58EA">
        <w:rPr>
          <w:color w:val="000000" w:themeColor="text1"/>
        </w:rPr>
        <w:lastRenderedPageBreak/>
        <w:t xml:space="preserve">Whether the Court exercises its own direct jurisdiction to annul incompatible national acts (as in </w:t>
      </w:r>
      <w:r w:rsidRPr="007A58EA">
        <w:rPr>
          <w:i/>
          <w:iCs/>
          <w:color w:val="000000" w:themeColor="text1"/>
        </w:rPr>
        <w:t>Rimšēvičs</w:t>
      </w:r>
      <w:r w:rsidRPr="007A58EA">
        <w:rPr>
          <w:color w:val="000000" w:themeColor="text1"/>
        </w:rPr>
        <w:t xml:space="preserve">) or whether the Court instructs the domestic judges to </w:t>
      </w:r>
      <w:r w:rsidR="00D67454" w:rsidRPr="007A58EA">
        <w:rPr>
          <w:color w:val="000000" w:themeColor="text1"/>
        </w:rPr>
        <w:t>treat</w:t>
      </w:r>
      <w:r w:rsidRPr="007A58EA">
        <w:rPr>
          <w:color w:val="000000" w:themeColor="text1"/>
        </w:rPr>
        <w:t xml:space="preserve"> incompatible national acts </w:t>
      </w:r>
      <w:r w:rsidR="00D67454" w:rsidRPr="007A58EA">
        <w:rPr>
          <w:color w:val="000000" w:themeColor="text1"/>
        </w:rPr>
        <w:t xml:space="preserve">as void </w:t>
      </w:r>
      <w:r w:rsidRPr="007A58EA">
        <w:rPr>
          <w:color w:val="000000" w:themeColor="text1"/>
        </w:rPr>
        <w:t xml:space="preserve">(as in </w:t>
      </w:r>
      <w:r w:rsidRPr="007A58EA">
        <w:rPr>
          <w:i/>
          <w:iCs/>
          <w:color w:val="000000" w:themeColor="text1"/>
        </w:rPr>
        <w:t>W.Ż.</w:t>
      </w:r>
      <w:r w:rsidRPr="007A58EA">
        <w:rPr>
          <w:color w:val="000000" w:themeColor="text1"/>
        </w:rPr>
        <w:t>)</w:t>
      </w:r>
      <w:r w:rsidR="00E577F7" w:rsidRPr="007A58EA">
        <w:rPr>
          <w:color w:val="000000" w:themeColor="text1"/>
        </w:rPr>
        <w:t xml:space="preserve"> – and </w:t>
      </w:r>
      <w:r w:rsidRPr="007A58EA">
        <w:rPr>
          <w:color w:val="000000" w:themeColor="text1"/>
        </w:rPr>
        <w:t xml:space="preserve">regardless of the fact that each such route to nullity </w:t>
      </w:r>
      <w:r w:rsidR="004910A9" w:rsidRPr="007A58EA">
        <w:rPr>
          <w:color w:val="000000" w:themeColor="text1"/>
        </w:rPr>
        <w:t>falls</w:t>
      </w:r>
      <w:r w:rsidR="00B56551" w:rsidRPr="007A58EA">
        <w:rPr>
          <w:color w:val="000000" w:themeColor="text1"/>
        </w:rPr>
        <w:t xml:space="preserve">, in principle, </w:t>
      </w:r>
      <w:r w:rsidR="004910A9" w:rsidRPr="007A58EA">
        <w:rPr>
          <w:color w:val="000000" w:themeColor="text1"/>
        </w:rPr>
        <w:t>within the constitutionally legitimate range of legal consequences attributable to primacy within the Member State’s legal order</w:t>
      </w:r>
      <w:r w:rsidR="00E577F7" w:rsidRPr="007A58EA">
        <w:rPr>
          <w:color w:val="000000" w:themeColor="text1"/>
        </w:rPr>
        <w:t xml:space="preserve"> – </w:t>
      </w:r>
      <w:r w:rsidR="004910A9" w:rsidRPr="007A58EA">
        <w:rPr>
          <w:color w:val="000000" w:themeColor="text1"/>
        </w:rPr>
        <w:t>the fact remains that nullity is a very different, more robust and more far-reaching, response to incompatibility than disapplication</w:t>
      </w:r>
      <w:r w:rsidR="00E577F7" w:rsidRPr="007A58EA">
        <w:rPr>
          <w:color w:val="000000" w:themeColor="text1"/>
        </w:rPr>
        <w:t xml:space="preserve">.  Not </w:t>
      </w:r>
      <w:r w:rsidR="004910A9" w:rsidRPr="007A58EA">
        <w:rPr>
          <w:color w:val="000000" w:themeColor="text1"/>
        </w:rPr>
        <w:t xml:space="preserve">least since nullity carries potentially widespread and more penetrating </w:t>
      </w:r>
      <w:r w:rsidR="00A8494F" w:rsidRPr="007A58EA">
        <w:rPr>
          <w:color w:val="000000" w:themeColor="text1"/>
        </w:rPr>
        <w:t>implications</w:t>
      </w:r>
      <w:r w:rsidR="004910A9" w:rsidRPr="007A58EA">
        <w:rPr>
          <w:color w:val="000000" w:themeColor="text1"/>
        </w:rPr>
        <w:t xml:space="preserve"> within and across the national legal system</w:t>
      </w:r>
      <w:r w:rsidR="00D67454" w:rsidRPr="007A58EA">
        <w:rPr>
          <w:color w:val="000000" w:themeColor="text1"/>
        </w:rPr>
        <w:t xml:space="preserve"> (</w:t>
      </w:r>
      <w:r w:rsidR="004910A9" w:rsidRPr="007A58EA">
        <w:rPr>
          <w:color w:val="000000" w:themeColor="text1"/>
        </w:rPr>
        <w:t>for example</w:t>
      </w:r>
      <w:r w:rsidR="00D67454" w:rsidRPr="007A58EA">
        <w:rPr>
          <w:color w:val="000000" w:themeColor="text1"/>
        </w:rPr>
        <w:t>)</w:t>
      </w:r>
      <w:r w:rsidR="004910A9" w:rsidRPr="007A58EA">
        <w:rPr>
          <w:color w:val="000000" w:themeColor="text1"/>
        </w:rPr>
        <w:t xml:space="preserve"> </w:t>
      </w:r>
      <w:r w:rsidR="00A8494F" w:rsidRPr="007A58EA">
        <w:rPr>
          <w:color w:val="000000" w:themeColor="text1"/>
        </w:rPr>
        <w:t>as regards the impact on</w:t>
      </w:r>
      <w:r w:rsidR="004910A9" w:rsidRPr="007A58EA">
        <w:rPr>
          <w:color w:val="000000" w:themeColor="text1"/>
        </w:rPr>
        <w:t xml:space="preserve"> other relationships, </w:t>
      </w:r>
      <w:r w:rsidR="00A8494F" w:rsidRPr="007A58EA">
        <w:rPr>
          <w:color w:val="000000" w:themeColor="text1"/>
        </w:rPr>
        <w:t xml:space="preserve">and </w:t>
      </w:r>
      <w:r w:rsidR="00D67454" w:rsidRPr="007A58EA">
        <w:rPr>
          <w:color w:val="000000" w:themeColor="text1"/>
        </w:rPr>
        <w:t xml:space="preserve">for other </w:t>
      </w:r>
      <w:r w:rsidR="00B56551" w:rsidRPr="007A58EA">
        <w:rPr>
          <w:color w:val="000000" w:themeColor="text1"/>
        </w:rPr>
        <w:t xml:space="preserve">powers or </w:t>
      </w:r>
      <w:r w:rsidR="004910A9" w:rsidRPr="007A58EA">
        <w:rPr>
          <w:color w:val="000000" w:themeColor="text1"/>
        </w:rPr>
        <w:t>actions</w:t>
      </w:r>
      <w:r w:rsidR="00A8494F" w:rsidRPr="007A58EA">
        <w:rPr>
          <w:color w:val="000000" w:themeColor="text1"/>
        </w:rPr>
        <w:t>,</w:t>
      </w:r>
      <w:r w:rsidR="004910A9" w:rsidRPr="007A58EA">
        <w:rPr>
          <w:color w:val="000000" w:themeColor="text1"/>
        </w:rPr>
        <w:t xml:space="preserve"> </w:t>
      </w:r>
      <w:r w:rsidR="00A8494F" w:rsidRPr="007A58EA">
        <w:rPr>
          <w:color w:val="000000" w:themeColor="text1"/>
        </w:rPr>
        <w:t xml:space="preserve">as well as </w:t>
      </w:r>
      <w:r w:rsidR="00D67454" w:rsidRPr="007A58EA">
        <w:rPr>
          <w:color w:val="000000" w:themeColor="text1"/>
        </w:rPr>
        <w:t xml:space="preserve">for </w:t>
      </w:r>
      <w:r w:rsidR="004910A9" w:rsidRPr="007A58EA">
        <w:rPr>
          <w:color w:val="000000" w:themeColor="text1"/>
        </w:rPr>
        <w:t>third parties.</w:t>
      </w:r>
      <w:r w:rsidR="00D67454" w:rsidRPr="007A58EA">
        <w:rPr>
          <w:rStyle w:val="FootnoteReference"/>
          <w:color w:val="000000" w:themeColor="text1"/>
        </w:rPr>
        <w:footnoteReference w:id="68"/>
      </w:r>
      <w:r w:rsidR="004910A9" w:rsidRPr="007A58EA">
        <w:rPr>
          <w:color w:val="000000" w:themeColor="text1"/>
        </w:rPr>
        <w:t xml:space="preserve">  </w:t>
      </w:r>
      <w:r w:rsidR="00E577F7" w:rsidRPr="007A58EA">
        <w:rPr>
          <w:color w:val="000000" w:themeColor="text1"/>
        </w:rPr>
        <w:t xml:space="preserve">But that fact does not serve as a prior objection to the very possibility of a remedy of nullity; it goes rather to the question of when such a remedy might be considered </w:t>
      </w:r>
      <w:r w:rsidR="00D14F82" w:rsidRPr="007A58EA">
        <w:rPr>
          <w:color w:val="000000" w:themeColor="text1"/>
        </w:rPr>
        <w:t xml:space="preserve">appropriate in practice as a matter of Union law.  </w:t>
      </w:r>
    </w:p>
    <w:p w14:paraId="6360447A" w14:textId="563874AD" w:rsidR="00EF6A21" w:rsidRPr="007A58EA" w:rsidRDefault="00EF6A21" w:rsidP="00391EA9">
      <w:pPr>
        <w:jc w:val="both"/>
        <w:rPr>
          <w:color w:val="000000" w:themeColor="text1"/>
        </w:rPr>
      </w:pPr>
    </w:p>
    <w:p w14:paraId="6DC3A2E6" w14:textId="4E9EB4C8" w:rsidR="00FC261A" w:rsidRPr="007A58EA" w:rsidRDefault="00FC261A" w:rsidP="00391EA9">
      <w:pPr>
        <w:jc w:val="both"/>
        <w:rPr>
          <w:i/>
          <w:iCs/>
          <w:color w:val="000000" w:themeColor="text1"/>
        </w:rPr>
      </w:pPr>
      <w:r w:rsidRPr="007A58EA">
        <w:rPr>
          <w:i/>
          <w:iCs/>
          <w:color w:val="000000" w:themeColor="text1"/>
        </w:rPr>
        <w:t>6.2.  Nullity in practice?</w:t>
      </w:r>
    </w:p>
    <w:p w14:paraId="4AEFD4CD" w14:textId="77777777" w:rsidR="00FC261A" w:rsidRPr="007A58EA" w:rsidRDefault="00FC261A" w:rsidP="00391EA9">
      <w:pPr>
        <w:jc w:val="both"/>
        <w:rPr>
          <w:color w:val="000000" w:themeColor="text1"/>
        </w:rPr>
      </w:pPr>
    </w:p>
    <w:p w14:paraId="100EDBF8" w14:textId="77777777" w:rsidR="007E0CDE" w:rsidRDefault="00EF4EE7" w:rsidP="00391EA9">
      <w:pPr>
        <w:jc w:val="both"/>
        <w:rPr>
          <w:color w:val="000000" w:themeColor="text1"/>
        </w:rPr>
      </w:pPr>
      <w:r w:rsidRPr="007A58EA">
        <w:rPr>
          <w:color w:val="000000" w:themeColor="text1"/>
        </w:rPr>
        <w:t xml:space="preserve">Since there is no prior constitutional objection against a more expansive interpretation of </w:t>
      </w:r>
      <w:r w:rsidRPr="007A58EA">
        <w:rPr>
          <w:i/>
          <w:iCs/>
          <w:color w:val="000000" w:themeColor="text1"/>
        </w:rPr>
        <w:t>W.Ż.</w:t>
      </w:r>
      <w:r w:rsidRPr="007A58EA">
        <w:rPr>
          <w:color w:val="000000" w:themeColor="text1"/>
        </w:rPr>
        <w:t xml:space="preserve">, that </w:t>
      </w:r>
      <w:r w:rsidR="000750E2" w:rsidRPr="007A58EA">
        <w:rPr>
          <w:color w:val="000000" w:themeColor="text1"/>
        </w:rPr>
        <w:t>brings us to our second main question:</w:t>
      </w:r>
      <w:r w:rsidR="000637B6" w:rsidRPr="007A58EA">
        <w:rPr>
          <w:color w:val="000000" w:themeColor="text1"/>
        </w:rPr>
        <w:t xml:space="preserve"> in what circumstances</w:t>
      </w:r>
      <w:r w:rsidRPr="007A58EA">
        <w:rPr>
          <w:color w:val="000000" w:themeColor="text1"/>
        </w:rPr>
        <w:t xml:space="preserve">, and according to which criteria, might </w:t>
      </w:r>
      <w:r w:rsidR="000637B6" w:rsidRPr="007A58EA">
        <w:rPr>
          <w:color w:val="000000" w:themeColor="text1"/>
        </w:rPr>
        <w:t xml:space="preserve">the unity and effectiveness of Union law now lead the Court to insist that </w:t>
      </w:r>
      <w:r w:rsidRPr="007A58EA">
        <w:rPr>
          <w:color w:val="000000" w:themeColor="text1"/>
        </w:rPr>
        <w:t xml:space="preserve">the </w:t>
      </w:r>
      <w:r w:rsidR="00AE3366" w:rsidRPr="007A58EA">
        <w:rPr>
          <w:color w:val="000000" w:themeColor="text1"/>
        </w:rPr>
        <w:t xml:space="preserve">legal consequences of primacy </w:t>
      </w:r>
      <w:r w:rsidRPr="007A58EA">
        <w:rPr>
          <w:color w:val="000000" w:themeColor="text1"/>
        </w:rPr>
        <w:t xml:space="preserve">should extend beyond </w:t>
      </w:r>
      <w:r w:rsidR="00AE3366" w:rsidRPr="007A58EA">
        <w:rPr>
          <w:color w:val="000000" w:themeColor="text1"/>
        </w:rPr>
        <w:t xml:space="preserve">the standard expectation of </w:t>
      </w:r>
      <w:r w:rsidR="000637B6" w:rsidRPr="007A58EA">
        <w:rPr>
          <w:color w:val="000000" w:themeColor="text1"/>
        </w:rPr>
        <w:t>disapplication</w:t>
      </w:r>
      <w:r w:rsidR="00AE3366" w:rsidRPr="007A58EA">
        <w:rPr>
          <w:color w:val="000000" w:themeColor="text1"/>
        </w:rPr>
        <w:t xml:space="preserve"> and</w:t>
      </w:r>
      <w:r w:rsidR="000637B6" w:rsidRPr="007A58EA">
        <w:rPr>
          <w:color w:val="000000" w:themeColor="text1"/>
        </w:rPr>
        <w:t xml:space="preserve"> into the more robust response of nullity?</w:t>
      </w:r>
    </w:p>
    <w:p w14:paraId="76DDDA18" w14:textId="77777777" w:rsidR="007E0CDE" w:rsidRDefault="009437C6" w:rsidP="007E0CDE">
      <w:pPr>
        <w:ind w:firstLine="720"/>
        <w:jc w:val="both"/>
        <w:rPr>
          <w:color w:val="000000" w:themeColor="text1"/>
        </w:rPr>
      </w:pPr>
      <w:r w:rsidRPr="007A58EA">
        <w:rPr>
          <w:color w:val="000000" w:themeColor="text1"/>
        </w:rPr>
        <w:t xml:space="preserve">In that regard, it is certainly possible to maintain the momentum of an adventurous understanding of the Court’s innovation in </w:t>
      </w:r>
      <w:r w:rsidR="008E2E72" w:rsidRPr="007A58EA">
        <w:rPr>
          <w:i/>
          <w:iCs/>
          <w:color w:val="000000" w:themeColor="text1"/>
        </w:rPr>
        <w:t>W.Ż.</w:t>
      </w:r>
      <w:r w:rsidRPr="007A58EA">
        <w:rPr>
          <w:color w:val="000000" w:themeColor="text1"/>
        </w:rPr>
        <w:t xml:space="preserve"> – treating th</w:t>
      </w:r>
      <w:r w:rsidR="00B4265B" w:rsidRPr="007A58EA">
        <w:rPr>
          <w:color w:val="000000" w:themeColor="text1"/>
        </w:rPr>
        <w:t>e</w:t>
      </w:r>
      <w:r w:rsidRPr="007A58EA">
        <w:rPr>
          <w:color w:val="000000" w:themeColor="text1"/>
        </w:rPr>
        <w:t xml:space="preserve"> remedy of nullity as a fully-fledged weapon in the </w:t>
      </w:r>
      <w:r w:rsidR="00672864" w:rsidRPr="007A58EA">
        <w:rPr>
          <w:color w:val="000000" w:themeColor="text1"/>
        </w:rPr>
        <w:t xml:space="preserve">Court’s </w:t>
      </w:r>
      <w:r w:rsidRPr="007A58EA">
        <w:rPr>
          <w:color w:val="000000" w:themeColor="text1"/>
        </w:rPr>
        <w:t xml:space="preserve">primacy arsenal, </w:t>
      </w:r>
      <w:r w:rsidR="001B7866" w:rsidRPr="007A58EA">
        <w:rPr>
          <w:color w:val="000000" w:themeColor="text1"/>
        </w:rPr>
        <w:t xml:space="preserve">perhaps even </w:t>
      </w:r>
      <w:r w:rsidR="00672864" w:rsidRPr="007A58EA">
        <w:rPr>
          <w:color w:val="000000" w:themeColor="text1"/>
        </w:rPr>
        <w:t xml:space="preserve">capable of evolving into the equal of disapplication itself, because the </w:t>
      </w:r>
      <w:r w:rsidR="001B7866" w:rsidRPr="007A58EA">
        <w:rPr>
          <w:color w:val="000000" w:themeColor="text1"/>
        </w:rPr>
        <w:t xml:space="preserve">decisive </w:t>
      </w:r>
      <w:r w:rsidR="00672864" w:rsidRPr="007A58EA">
        <w:rPr>
          <w:color w:val="000000" w:themeColor="text1"/>
        </w:rPr>
        <w:t xml:space="preserve">question should be: which remedy is the most appropriate to ensure the unity and effectiveness of Union law in any given situation or dispute?  </w:t>
      </w:r>
    </w:p>
    <w:p w14:paraId="5253DDDF" w14:textId="77777777" w:rsidR="007E0CDE" w:rsidRDefault="00672864" w:rsidP="007E0CDE">
      <w:pPr>
        <w:ind w:firstLine="720"/>
        <w:jc w:val="both"/>
        <w:rPr>
          <w:color w:val="000000" w:themeColor="text1"/>
        </w:rPr>
      </w:pPr>
      <w:r w:rsidRPr="007A58EA">
        <w:rPr>
          <w:color w:val="000000" w:themeColor="text1"/>
        </w:rPr>
        <w:t>Of course, d</w:t>
      </w:r>
      <w:r w:rsidR="009437C6" w:rsidRPr="007A58EA">
        <w:rPr>
          <w:color w:val="000000" w:themeColor="text1"/>
        </w:rPr>
        <w:t xml:space="preserve">isapplication works well enough (for example) </w:t>
      </w:r>
      <w:r w:rsidRPr="007A58EA">
        <w:rPr>
          <w:color w:val="000000" w:themeColor="text1"/>
        </w:rPr>
        <w:t xml:space="preserve">when it comes to </w:t>
      </w:r>
      <w:r w:rsidR="009437C6" w:rsidRPr="007A58EA">
        <w:rPr>
          <w:color w:val="000000" w:themeColor="text1"/>
        </w:rPr>
        <w:t>national rules that are incompatible with the primary free movement provisions</w:t>
      </w:r>
      <w:r w:rsidRPr="007A58EA">
        <w:rPr>
          <w:color w:val="000000" w:themeColor="text1"/>
        </w:rPr>
        <w:t xml:space="preserve">: one and the same domestic act can be </w:t>
      </w:r>
      <w:r w:rsidR="009437C6" w:rsidRPr="007A58EA">
        <w:rPr>
          <w:color w:val="000000" w:themeColor="text1"/>
        </w:rPr>
        <w:t xml:space="preserve">disapplied in cross-border disputes, </w:t>
      </w:r>
      <w:r w:rsidRPr="007A58EA">
        <w:rPr>
          <w:color w:val="000000" w:themeColor="text1"/>
        </w:rPr>
        <w:t xml:space="preserve">while </w:t>
      </w:r>
      <w:r w:rsidR="009437C6" w:rsidRPr="007A58EA">
        <w:rPr>
          <w:color w:val="000000" w:themeColor="text1"/>
        </w:rPr>
        <w:t xml:space="preserve">still </w:t>
      </w:r>
      <w:r w:rsidRPr="007A58EA">
        <w:rPr>
          <w:color w:val="000000" w:themeColor="text1"/>
        </w:rPr>
        <w:t xml:space="preserve">remaining </w:t>
      </w:r>
      <w:r w:rsidR="009437C6" w:rsidRPr="007A58EA">
        <w:rPr>
          <w:color w:val="000000" w:themeColor="text1"/>
        </w:rPr>
        <w:t xml:space="preserve">applicable </w:t>
      </w:r>
      <w:r w:rsidR="00482573" w:rsidRPr="007A58EA">
        <w:rPr>
          <w:color w:val="000000" w:themeColor="text1"/>
        </w:rPr>
        <w:t>to</w:t>
      </w:r>
      <w:r w:rsidR="009437C6" w:rsidRPr="007A58EA">
        <w:rPr>
          <w:color w:val="000000" w:themeColor="text1"/>
        </w:rPr>
        <w:t xml:space="preserve"> wholly internal situations</w:t>
      </w:r>
      <w:r w:rsidR="00B4265B" w:rsidRPr="007A58EA">
        <w:rPr>
          <w:color w:val="000000" w:themeColor="text1"/>
        </w:rPr>
        <w:t>, in a manner that reflects the nuanced interaction between internal market law and Member State comp</w:t>
      </w:r>
      <w:r w:rsidR="007A30CE" w:rsidRPr="007A58EA">
        <w:rPr>
          <w:color w:val="000000" w:themeColor="text1"/>
        </w:rPr>
        <w:t>e</w:t>
      </w:r>
      <w:r w:rsidR="00B4265B" w:rsidRPr="007A58EA">
        <w:rPr>
          <w:color w:val="000000" w:themeColor="text1"/>
        </w:rPr>
        <w:t>tence</w:t>
      </w:r>
      <w:r w:rsidRPr="007A58EA">
        <w:rPr>
          <w:color w:val="000000" w:themeColor="text1"/>
        </w:rPr>
        <w:t>.</w:t>
      </w:r>
      <w:r w:rsidR="00BE6D89" w:rsidRPr="007A58EA">
        <w:rPr>
          <w:rStyle w:val="FootnoteReference"/>
          <w:color w:val="000000" w:themeColor="text1"/>
        </w:rPr>
        <w:footnoteReference w:id="69"/>
      </w:r>
      <w:r w:rsidRPr="007A58EA">
        <w:rPr>
          <w:color w:val="000000" w:themeColor="text1"/>
        </w:rPr>
        <w:t xml:space="preserve">  </w:t>
      </w:r>
      <w:r w:rsidR="00B56551" w:rsidRPr="007A58EA">
        <w:rPr>
          <w:color w:val="000000" w:themeColor="text1"/>
        </w:rPr>
        <w:t xml:space="preserve">So there is no need for the undeserving drunk driver to escape </w:t>
      </w:r>
      <w:r w:rsidR="006E0033" w:rsidRPr="007A58EA">
        <w:rPr>
          <w:color w:val="000000" w:themeColor="text1"/>
        </w:rPr>
        <w:t xml:space="preserve">criminal </w:t>
      </w:r>
      <w:r w:rsidR="00B56551" w:rsidRPr="007A58EA">
        <w:rPr>
          <w:color w:val="000000" w:themeColor="text1"/>
        </w:rPr>
        <w:t xml:space="preserve">conviction thanks to </w:t>
      </w:r>
      <w:r w:rsidR="00BE6D89" w:rsidRPr="007A58EA">
        <w:rPr>
          <w:color w:val="000000" w:themeColor="text1"/>
        </w:rPr>
        <w:t xml:space="preserve">the absolute </w:t>
      </w:r>
      <w:r w:rsidR="00B56551" w:rsidRPr="007A58EA">
        <w:rPr>
          <w:color w:val="000000" w:themeColor="text1"/>
        </w:rPr>
        <w:t>nullity</w:t>
      </w:r>
      <w:r w:rsidR="00BE6D89" w:rsidRPr="007A58EA">
        <w:rPr>
          <w:color w:val="000000" w:themeColor="text1"/>
        </w:rPr>
        <w:t xml:space="preserve"> of unnotified breathalyser specifications</w:t>
      </w:r>
      <w:r w:rsidR="00B56551" w:rsidRPr="007A58EA">
        <w:rPr>
          <w:color w:val="000000" w:themeColor="text1"/>
        </w:rPr>
        <w:t xml:space="preserve">, when </w:t>
      </w:r>
      <w:r w:rsidR="00BE6D89" w:rsidRPr="007A58EA">
        <w:rPr>
          <w:color w:val="000000" w:themeColor="text1"/>
        </w:rPr>
        <w:t xml:space="preserve">the </w:t>
      </w:r>
      <w:r w:rsidR="00B56551" w:rsidRPr="007A58EA">
        <w:rPr>
          <w:color w:val="000000" w:themeColor="text1"/>
        </w:rPr>
        <w:t xml:space="preserve">disapplication </w:t>
      </w:r>
      <w:r w:rsidR="00BE6D89" w:rsidRPr="007A58EA">
        <w:rPr>
          <w:color w:val="000000" w:themeColor="text1"/>
        </w:rPr>
        <w:t xml:space="preserve">of those technical rules specifically for the purposes of commercialisation </w:t>
      </w:r>
      <w:r w:rsidR="00B56551" w:rsidRPr="007A58EA">
        <w:rPr>
          <w:color w:val="000000" w:themeColor="text1"/>
        </w:rPr>
        <w:t xml:space="preserve">suffices to protect the </w:t>
      </w:r>
      <w:r w:rsidR="004D3247" w:rsidRPr="007A58EA">
        <w:rPr>
          <w:color w:val="000000" w:themeColor="text1"/>
        </w:rPr>
        <w:t xml:space="preserve">Union </w:t>
      </w:r>
      <w:r w:rsidR="00B56551" w:rsidRPr="007A58EA">
        <w:rPr>
          <w:color w:val="000000" w:themeColor="text1"/>
        </w:rPr>
        <w:t xml:space="preserve">interest </w:t>
      </w:r>
      <w:r w:rsidR="004D3247" w:rsidRPr="007A58EA">
        <w:rPr>
          <w:color w:val="000000" w:themeColor="text1"/>
        </w:rPr>
        <w:t xml:space="preserve">in </w:t>
      </w:r>
      <w:r w:rsidR="00B56551" w:rsidRPr="007A58EA">
        <w:rPr>
          <w:color w:val="000000" w:themeColor="text1"/>
        </w:rPr>
        <w:t xml:space="preserve">transparent market regulation.  </w:t>
      </w:r>
      <w:r w:rsidRPr="007A58EA">
        <w:rPr>
          <w:color w:val="000000" w:themeColor="text1"/>
        </w:rPr>
        <w:t>But in other situations, particularly where the legal consequences of incompatibility between Union law and national law really only admit of one possible outcome</w:t>
      </w:r>
      <w:r w:rsidR="00482573" w:rsidRPr="007A58EA">
        <w:rPr>
          <w:color w:val="000000" w:themeColor="text1"/>
        </w:rPr>
        <w:t xml:space="preserve"> for all possible scenarios</w:t>
      </w:r>
      <w:r w:rsidRPr="007A58EA">
        <w:rPr>
          <w:color w:val="000000" w:themeColor="text1"/>
        </w:rPr>
        <w:t xml:space="preserve">, the logic of primacy might well be equally or indeed better served by means of </w:t>
      </w:r>
      <w:r w:rsidR="009437C6" w:rsidRPr="007A58EA">
        <w:rPr>
          <w:color w:val="000000" w:themeColor="text1"/>
        </w:rPr>
        <w:t>nullity</w:t>
      </w:r>
      <w:r w:rsidRPr="007A58EA">
        <w:rPr>
          <w:color w:val="000000" w:themeColor="text1"/>
        </w:rPr>
        <w:t xml:space="preserve">: for example, </w:t>
      </w:r>
      <w:r w:rsidR="009437C6" w:rsidRPr="007A58EA">
        <w:rPr>
          <w:color w:val="000000" w:themeColor="text1"/>
        </w:rPr>
        <w:t>either this judge is independent and impartial, or he / she is not</w:t>
      </w:r>
      <w:r w:rsidRPr="007A58EA">
        <w:rPr>
          <w:color w:val="000000" w:themeColor="text1"/>
        </w:rPr>
        <w:t>; and in the latter case,</w:t>
      </w:r>
      <w:r w:rsidR="009437C6" w:rsidRPr="007A58EA">
        <w:rPr>
          <w:color w:val="000000" w:themeColor="text1"/>
        </w:rPr>
        <w:t xml:space="preserve"> there is no remaining hinterland untouched by Union law behind which the incompatible national act </w:t>
      </w:r>
      <w:r w:rsidRPr="007A58EA">
        <w:rPr>
          <w:color w:val="000000" w:themeColor="text1"/>
        </w:rPr>
        <w:t xml:space="preserve">might retain some </w:t>
      </w:r>
      <w:r w:rsidR="009437C6" w:rsidRPr="007A58EA">
        <w:rPr>
          <w:color w:val="000000" w:themeColor="text1"/>
        </w:rPr>
        <w:t>active</w:t>
      </w:r>
      <w:r w:rsidRPr="007A58EA">
        <w:rPr>
          <w:color w:val="000000" w:themeColor="text1"/>
        </w:rPr>
        <w:t xml:space="preserve"> and independent existence of its own – so why not let primacy aid the logic of its non-existence?</w:t>
      </w:r>
    </w:p>
    <w:p w14:paraId="43A38B61" w14:textId="35336AFB" w:rsidR="007E0CDE" w:rsidRDefault="0032414B" w:rsidP="007E0CDE">
      <w:pPr>
        <w:ind w:firstLine="720"/>
        <w:jc w:val="both"/>
        <w:rPr>
          <w:color w:val="000000" w:themeColor="text1"/>
        </w:rPr>
      </w:pPr>
      <w:r w:rsidRPr="007A58EA">
        <w:rPr>
          <w:color w:val="000000" w:themeColor="text1"/>
        </w:rPr>
        <w:t xml:space="preserve">In that regard, it is even arguable that an expansive interpretation of </w:t>
      </w:r>
      <w:r w:rsidRPr="007A58EA">
        <w:rPr>
          <w:i/>
          <w:iCs/>
          <w:color w:val="000000" w:themeColor="text1"/>
        </w:rPr>
        <w:t xml:space="preserve">W.Ż. </w:t>
      </w:r>
      <w:r w:rsidRPr="007A58EA">
        <w:rPr>
          <w:color w:val="000000" w:themeColor="text1"/>
        </w:rPr>
        <w:t xml:space="preserve">is but a small step beyond some of the Court’s existing </w:t>
      </w:r>
      <w:r w:rsidR="00353536" w:rsidRPr="007A58EA">
        <w:rPr>
          <w:color w:val="000000" w:themeColor="text1"/>
        </w:rPr>
        <w:t xml:space="preserve">pronouncements on </w:t>
      </w:r>
      <w:r w:rsidR="00110DA6" w:rsidRPr="007A58EA">
        <w:rPr>
          <w:color w:val="000000" w:themeColor="text1"/>
        </w:rPr>
        <w:t xml:space="preserve">the legal consequences of </w:t>
      </w:r>
      <w:r w:rsidRPr="007A58EA">
        <w:rPr>
          <w:color w:val="000000" w:themeColor="text1"/>
        </w:rPr>
        <w:t xml:space="preserve">incompatibility.  Consider the caselaw concerning the </w:t>
      </w:r>
      <w:r w:rsidR="00353536" w:rsidRPr="007A58EA">
        <w:rPr>
          <w:color w:val="000000" w:themeColor="text1"/>
        </w:rPr>
        <w:t>implications</w:t>
      </w:r>
      <w:r w:rsidRPr="007A58EA">
        <w:rPr>
          <w:color w:val="000000" w:themeColor="text1"/>
        </w:rPr>
        <w:t xml:space="preserve"> of a Member State’s failure to conduct an environmental impact assessment as required under Union law – precisely the sort of incompatibility that only admits of one possible </w:t>
      </w:r>
      <w:r w:rsidR="004C1C18" w:rsidRPr="007A58EA">
        <w:rPr>
          <w:color w:val="000000" w:themeColor="text1"/>
        </w:rPr>
        <w:t>analysis</w:t>
      </w:r>
      <w:r w:rsidRPr="007A58EA">
        <w:rPr>
          <w:color w:val="000000" w:themeColor="text1"/>
        </w:rPr>
        <w:t xml:space="preserve"> for </w:t>
      </w:r>
      <w:r w:rsidR="00117219">
        <w:rPr>
          <w:color w:val="000000" w:themeColor="text1"/>
        </w:rPr>
        <w:t>every</w:t>
      </w:r>
      <w:r w:rsidRPr="007A58EA">
        <w:rPr>
          <w:color w:val="000000" w:themeColor="text1"/>
        </w:rPr>
        <w:t xml:space="preserve"> scenario, since non-</w:t>
      </w:r>
      <w:r w:rsidRPr="007A58EA">
        <w:rPr>
          <w:color w:val="000000" w:themeColor="text1"/>
        </w:rPr>
        <w:lastRenderedPageBreak/>
        <w:t xml:space="preserve">compliant decisions must by </w:t>
      </w:r>
      <w:r w:rsidR="00353536" w:rsidRPr="007A58EA">
        <w:rPr>
          <w:color w:val="000000" w:themeColor="text1"/>
        </w:rPr>
        <w:t xml:space="preserve">their </w:t>
      </w:r>
      <w:r w:rsidRPr="007A58EA">
        <w:rPr>
          <w:color w:val="000000" w:themeColor="text1"/>
        </w:rPr>
        <w:t>nature be non-compliant for all relevant purposes.</w:t>
      </w:r>
      <w:r w:rsidR="00233351" w:rsidRPr="007A58EA">
        <w:rPr>
          <w:rStyle w:val="FootnoteReference"/>
          <w:color w:val="000000" w:themeColor="text1"/>
        </w:rPr>
        <w:footnoteReference w:id="70"/>
      </w:r>
      <w:r w:rsidRPr="007A58EA">
        <w:rPr>
          <w:color w:val="000000" w:themeColor="text1"/>
        </w:rPr>
        <w:t xml:space="preserve">  According to the Court, it is for the Member States</w:t>
      </w:r>
      <w:r w:rsidR="00663EA1" w:rsidRPr="007A58EA">
        <w:rPr>
          <w:color w:val="000000" w:themeColor="text1"/>
        </w:rPr>
        <w:t xml:space="preserve"> </w:t>
      </w:r>
      <w:r w:rsidRPr="007A58EA">
        <w:rPr>
          <w:color w:val="000000" w:themeColor="text1"/>
        </w:rPr>
        <w:t xml:space="preserve">to eliminate the unlawful consequences of </w:t>
      </w:r>
      <w:r w:rsidR="00663EA1" w:rsidRPr="007A58EA">
        <w:rPr>
          <w:color w:val="000000" w:themeColor="text1"/>
        </w:rPr>
        <w:t xml:space="preserve">any </w:t>
      </w:r>
      <w:r w:rsidRPr="007A58EA">
        <w:rPr>
          <w:color w:val="000000" w:themeColor="text1"/>
        </w:rPr>
        <w:t xml:space="preserve">such breach of </w:t>
      </w:r>
      <w:r w:rsidR="00663EA1" w:rsidRPr="007A58EA">
        <w:rPr>
          <w:color w:val="000000" w:themeColor="text1"/>
        </w:rPr>
        <w:t xml:space="preserve">Union </w:t>
      </w:r>
      <w:r w:rsidRPr="007A58EA">
        <w:rPr>
          <w:color w:val="000000" w:themeColor="text1"/>
        </w:rPr>
        <w:t>law</w:t>
      </w:r>
      <w:r w:rsidR="00663EA1" w:rsidRPr="007A58EA">
        <w:rPr>
          <w:color w:val="000000" w:themeColor="text1"/>
        </w:rPr>
        <w:t xml:space="preserve">: </w:t>
      </w:r>
      <w:r w:rsidR="00E709A0" w:rsidRPr="007A58EA">
        <w:rPr>
          <w:color w:val="000000" w:themeColor="text1"/>
        </w:rPr>
        <w:t xml:space="preserve">in earlier caselaw, the Court noted that – besides the obligation to set aside any incompatible domestic measures – the </w:t>
      </w:r>
      <w:r w:rsidRPr="007A58EA">
        <w:rPr>
          <w:color w:val="000000" w:themeColor="text1"/>
        </w:rPr>
        <w:t xml:space="preserve">competent national authorities, including </w:t>
      </w:r>
      <w:r w:rsidR="00E709A0" w:rsidRPr="007A58EA">
        <w:rPr>
          <w:color w:val="000000" w:themeColor="text1"/>
        </w:rPr>
        <w:t xml:space="preserve">those </w:t>
      </w:r>
      <w:r w:rsidRPr="007A58EA">
        <w:rPr>
          <w:color w:val="000000" w:themeColor="text1"/>
        </w:rPr>
        <w:t xml:space="preserve">courts hearing an action against </w:t>
      </w:r>
      <w:r w:rsidR="00663EA1" w:rsidRPr="007A58EA">
        <w:rPr>
          <w:color w:val="000000" w:themeColor="text1"/>
        </w:rPr>
        <w:t xml:space="preserve">any </w:t>
      </w:r>
      <w:r w:rsidRPr="007A58EA">
        <w:rPr>
          <w:color w:val="000000" w:themeColor="text1"/>
        </w:rPr>
        <w:t xml:space="preserve">instrument adopted in breach of </w:t>
      </w:r>
      <w:r w:rsidR="00663EA1" w:rsidRPr="007A58EA">
        <w:rPr>
          <w:color w:val="000000" w:themeColor="text1"/>
        </w:rPr>
        <w:t xml:space="preserve">Union </w:t>
      </w:r>
      <w:r w:rsidRPr="007A58EA">
        <w:rPr>
          <w:color w:val="000000" w:themeColor="text1"/>
        </w:rPr>
        <w:t xml:space="preserve">law, are </w:t>
      </w:r>
      <w:r w:rsidR="00663EA1" w:rsidRPr="007A58EA">
        <w:rPr>
          <w:color w:val="000000" w:themeColor="text1"/>
        </w:rPr>
        <w:t xml:space="preserve">required </w:t>
      </w:r>
      <w:r w:rsidRPr="007A58EA">
        <w:rPr>
          <w:color w:val="000000" w:themeColor="text1"/>
        </w:rPr>
        <w:t xml:space="preserve">to take all the necessary measures, within </w:t>
      </w:r>
      <w:r w:rsidR="00663EA1" w:rsidRPr="007A58EA">
        <w:rPr>
          <w:color w:val="000000" w:themeColor="text1"/>
        </w:rPr>
        <w:t xml:space="preserve">their </w:t>
      </w:r>
      <w:r w:rsidRPr="007A58EA">
        <w:rPr>
          <w:color w:val="000000" w:themeColor="text1"/>
        </w:rPr>
        <w:t xml:space="preserve">sphere of competence, to remedy the failure to carry out an environmental </w:t>
      </w:r>
      <w:r w:rsidR="00353536" w:rsidRPr="007A58EA">
        <w:rPr>
          <w:color w:val="000000" w:themeColor="text1"/>
        </w:rPr>
        <w:t xml:space="preserve">impact </w:t>
      </w:r>
      <w:r w:rsidRPr="007A58EA">
        <w:rPr>
          <w:color w:val="000000" w:themeColor="text1"/>
        </w:rPr>
        <w:t>assessment</w:t>
      </w:r>
      <w:r w:rsidR="00663EA1" w:rsidRPr="007A58EA">
        <w:rPr>
          <w:color w:val="000000" w:themeColor="text1"/>
        </w:rPr>
        <w:t>;</w:t>
      </w:r>
      <w:r w:rsidR="00E709A0" w:rsidRPr="007A58EA">
        <w:rPr>
          <w:rStyle w:val="FootnoteReference"/>
          <w:color w:val="000000" w:themeColor="text1"/>
        </w:rPr>
        <w:footnoteReference w:id="71"/>
      </w:r>
      <w:r w:rsidR="00663EA1" w:rsidRPr="007A58EA">
        <w:rPr>
          <w:color w:val="000000" w:themeColor="text1"/>
        </w:rPr>
        <w:t xml:space="preserve"> </w:t>
      </w:r>
      <w:r w:rsidR="00E709A0" w:rsidRPr="007A58EA">
        <w:rPr>
          <w:color w:val="000000" w:themeColor="text1"/>
        </w:rPr>
        <w:t xml:space="preserve">in subsequent caselaw, the Court has added </w:t>
      </w:r>
      <w:r w:rsidR="00663EA1" w:rsidRPr="007A58EA">
        <w:rPr>
          <w:color w:val="000000" w:themeColor="text1"/>
        </w:rPr>
        <w:t xml:space="preserve">that </w:t>
      </w:r>
      <w:r w:rsidR="00E709A0" w:rsidRPr="007A58EA">
        <w:rPr>
          <w:color w:val="000000" w:themeColor="text1"/>
        </w:rPr>
        <w:t xml:space="preserve">that </w:t>
      </w:r>
      <w:r w:rsidRPr="007A58EA">
        <w:rPr>
          <w:color w:val="000000" w:themeColor="text1"/>
        </w:rPr>
        <w:t>may</w:t>
      </w:r>
      <w:r w:rsidR="00663EA1" w:rsidRPr="007A58EA">
        <w:rPr>
          <w:color w:val="000000" w:themeColor="text1"/>
        </w:rPr>
        <w:t xml:space="preserve"> </w:t>
      </w:r>
      <w:r w:rsidRPr="007A58EA">
        <w:rPr>
          <w:color w:val="000000" w:themeColor="text1"/>
        </w:rPr>
        <w:t>consist</w:t>
      </w:r>
      <w:r w:rsidR="00663EA1" w:rsidRPr="007A58EA">
        <w:rPr>
          <w:color w:val="000000" w:themeColor="text1"/>
        </w:rPr>
        <w:t xml:space="preserve"> (</w:t>
      </w:r>
      <w:r w:rsidRPr="007A58EA">
        <w:rPr>
          <w:color w:val="000000" w:themeColor="text1"/>
        </w:rPr>
        <w:t>for example</w:t>
      </w:r>
      <w:r w:rsidR="00663EA1" w:rsidRPr="007A58EA">
        <w:rPr>
          <w:color w:val="000000" w:themeColor="text1"/>
        </w:rPr>
        <w:t>)</w:t>
      </w:r>
      <w:r w:rsidRPr="007A58EA">
        <w:rPr>
          <w:color w:val="000000" w:themeColor="text1"/>
        </w:rPr>
        <w:t xml:space="preserve"> in adopting measures to suspend or annul </w:t>
      </w:r>
      <w:r w:rsidR="00663EA1" w:rsidRPr="007A58EA">
        <w:rPr>
          <w:color w:val="000000" w:themeColor="text1"/>
        </w:rPr>
        <w:t xml:space="preserve">the relevant </w:t>
      </w:r>
      <w:r w:rsidRPr="007A58EA">
        <w:rPr>
          <w:color w:val="000000" w:themeColor="text1"/>
        </w:rPr>
        <w:t xml:space="preserve">plan or programme, or in revoking or suspending </w:t>
      </w:r>
      <w:r w:rsidR="00663EA1" w:rsidRPr="007A58EA">
        <w:rPr>
          <w:color w:val="000000" w:themeColor="text1"/>
        </w:rPr>
        <w:t xml:space="preserve">planning </w:t>
      </w:r>
      <w:r w:rsidRPr="007A58EA">
        <w:rPr>
          <w:color w:val="000000" w:themeColor="text1"/>
        </w:rPr>
        <w:t xml:space="preserve">consent already granted in order to carry out </w:t>
      </w:r>
      <w:r w:rsidR="00663EA1" w:rsidRPr="007A58EA">
        <w:rPr>
          <w:color w:val="000000" w:themeColor="text1"/>
        </w:rPr>
        <w:t xml:space="preserve">the necessary </w:t>
      </w:r>
      <w:r w:rsidRPr="007A58EA">
        <w:rPr>
          <w:color w:val="000000" w:themeColor="text1"/>
        </w:rPr>
        <w:t>assessment.</w:t>
      </w:r>
      <w:r w:rsidR="00663EA1" w:rsidRPr="007A58EA">
        <w:rPr>
          <w:rStyle w:val="FootnoteReference"/>
          <w:color w:val="000000" w:themeColor="text1"/>
        </w:rPr>
        <w:footnoteReference w:id="72"/>
      </w:r>
      <w:r w:rsidR="00353536" w:rsidRPr="007A58EA">
        <w:rPr>
          <w:color w:val="000000" w:themeColor="text1"/>
        </w:rPr>
        <w:t xml:space="preserve">  </w:t>
      </w:r>
      <w:r w:rsidR="004C68A7" w:rsidRPr="007A58EA">
        <w:rPr>
          <w:color w:val="000000" w:themeColor="text1"/>
        </w:rPr>
        <w:t>So the</w:t>
      </w:r>
      <w:r w:rsidR="00353536" w:rsidRPr="007A58EA">
        <w:rPr>
          <w:color w:val="000000" w:themeColor="text1"/>
        </w:rPr>
        <w:t xml:space="preserve"> Court has already treated </w:t>
      </w:r>
      <w:r w:rsidR="00BE7A7C" w:rsidRPr="007A58EA">
        <w:rPr>
          <w:color w:val="000000" w:themeColor="text1"/>
        </w:rPr>
        <w:t>nullity</w:t>
      </w:r>
      <w:r w:rsidR="00353536" w:rsidRPr="007A58EA">
        <w:rPr>
          <w:color w:val="000000" w:themeColor="text1"/>
        </w:rPr>
        <w:t xml:space="preserve"> as one of the range of appropriate measures that may be required to rectify a situation of incompatibility; </w:t>
      </w:r>
      <w:r w:rsidR="00E709A0" w:rsidRPr="007A58EA">
        <w:rPr>
          <w:color w:val="000000" w:themeColor="text1"/>
        </w:rPr>
        <w:t xml:space="preserve">perhaps now </w:t>
      </w:r>
      <w:r w:rsidR="004C1C18" w:rsidRPr="007A58EA">
        <w:rPr>
          <w:color w:val="000000" w:themeColor="text1"/>
        </w:rPr>
        <w:t xml:space="preserve">the ruling in </w:t>
      </w:r>
      <w:r w:rsidR="00353536" w:rsidRPr="007A58EA">
        <w:rPr>
          <w:i/>
          <w:iCs/>
          <w:color w:val="000000" w:themeColor="text1"/>
        </w:rPr>
        <w:t xml:space="preserve">W.Ż. </w:t>
      </w:r>
      <w:r w:rsidR="00353536" w:rsidRPr="007A58EA">
        <w:rPr>
          <w:color w:val="000000" w:themeColor="text1"/>
        </w:rPr>
        <w:t xml:space="preserve">merely specifies that, in some situations, </w:t>
      </w:r>
      <w:r w:rsidR="00BE7A7C" w:rsidRPr="007A58EA">
        <w:rPr>
          <w:color w:val="000000" w:themeColor="text1"/>
        </w:rPr>
        <w:t xml:space="preserve">nullity is to be considered the </w:t>
      </w:r>
      <w:r w:rsidR="00BE7A7C" w:rsidRPr="007A58EA">
        <w:rPr>
          <w:i/>
          <w:iCs/>
          <w:color w:val="000000" w:themeColor="text1"/>
        </w:rPr>
        <w:t>only</w:t>
      </w:r>
      <w:r w:rsidR="00BE7A7C" w:rsidRPr="007A58EA">
        <w:rPr>
          <w:color w:val="000000" w:themeColor="text1"/>
        </w:rPr>
        <w:t xml:space="preserve"> </w:t>
      </w:r>
      <w:r w:rsidR="00353536" w:rsidRPr="007A58EA">
        <w:rPr>
          <w:color w:val="000000" w:themeColor="text1"/>
        </w:rPr>
        <w:t>response</w:t>
      </w:r>
      <w:r w:rsidR="00BE7A7C" w:rsidRPr="007A58EA">
        <w:rPr>
          <w:color w:val="000000" w:themeColor="text1"/>
        </w:rPr>
        <w:t xml:space="preserve"> appropriate for fulfilling the requirements of primacy</w:t>
      </w:r>
      <w:r w:rsidR="00353536" w:rsidRPr="007A58EA">
        <w:rPr>
          <w:color w:val="000000" w:themeColor="text1"/>
        </w:rPr>
        <w:t xml:space="preserve">. </w:t>
      </w:r>
    </w:p>
    <w:p w14:paraId="386B3A34" w14:textId="77777777" w:rsidR="007E0CDE" w:rsidRDefault="004C68A7" w:rsidP="007E0CDE">
      <w:pPr>
        <w:ind w:firstLine="720"/>
        <w:jc w:val="both"/>
        <w:rPr>
          <w:color w:val="000000" w:themeColor="text1"/>
        </w:rPr>
      </w:pPr>
      <w:r w:rsidRPr="007A58EA">
        <w:rPr>
          <w:color w:val="000000" w:themeColor="text1"/>
        </w:rPr>
        <w:t xml:space="preserve">However, </w:t>
      </w:r>
      <w:r w:rsidR="00A27914" w:rsidRPr="007A58EA">
        <w:rPr>
          <w:color w:val="000000" w:themeColor="text1"/>
        </w:rPr>
        <w:t xml:space="preserve">it is worth noting </w:t>
      </w:r>
      <w:r w:rsidRPr="007A58EA">
        <w:rPr>
          <w:color w:val="000000" w:themeColor="text1"/>
        </w:rPr>
        <w:t xml:space="preserve">that the Court’s caselaw on </w:t>
      </w:r>
      <w:r w:rsidR="005D27E1" w:rsidRPr="007A58EA">
        <w:rPr>
          <w:color w:val="000000" w:themeColor="text1"/>
        </w:rPr>
        <w:t xml:space="preserve">rectifying a failure to comply with Union environmental impact assessment legislation </w:t>
      </w:r>
      <w:r w:rsidR="00A27914" w:rsidRPr="007A58EA">
        <w:rPr>
          <w:color w:val="000000" w:themeColor="text1"/>
        </w:rPr>
        <w:t xml:space="preserve">also </w:t>
      </w:r>
      <w:r w:rsidR="005D27E1" w:rsidRPr="007A58EA">
        <w:rPr>
          <w:color w:val="000000" w:themeColor="text1"/>
        </w:rPr>
        <w:t>frames the question of the Member State’s responsibilities as one, not of primacy</w:t>
      </w:r>
      <w:r w:rsidR="00A75B1E" w:rsidRPr="007A58EA">
        <w:rPr>
          <w:color w:val="000000" w:themeColor="text1"/>
        </w:rPr>
        <w:t xml:space="preserve"> as such</w:t>
      </w:r>
      <w:r w:rsidR="005D27E1" w:rsidRPr="007A58EA">
        <w:rPr>
          <w:color w:val="000000" w:themeColor="text1"/>
        </w:rPr>
        <w:t xml:space="preserve">, but rather of national procedural autonomy – with the possibility of annulment being identified </w:t>
      </w:r>
      <w:r w:rsidR="004C1C18" w:rsidRPr="007A58EA">
        <w:rPr>
          <w:color w:val="000000" w:themeColor="text1"/>
        </w:rPr>
        <w:t xml:space="preserve">primarily </w:t>
      </w:r>
      <w:r w:rsidR="005D27E1" w:rsidRPr="007A58EA">
        <w:rPr>
          <w:color w:val="000000" w:themeColor="text1"/>
        </w:rPr>
        <w:t xml:space="preserve">as a </w:t>
      </w:r>
      <w:r w:rsidR="00A75B1E" w:rsidRPr="007A58EA">
        <w:rPr>
          <w:color w:val="000000" w:themeColor="text1"/>
        </w:rPr>
        <w:t xml:space="preserve">domestic </w:t>
      </w:r>
      <w:r w:rsidR="005D27E1" w:rsidRPr="007A58EA">
        <w:rPr>
          <w:color w:val="000000" w:themeColor="text1"/>
        </w:rPr>
        <w:t>choice, to be evaluated in accordance with the principles of equivalence and effectiveness</w:t>
      </w:r>
      <w:r w:rsidRPr="007A58EA">
        <w:rPr>
          <w:color w:val="000000" w:themeColor="text1"/>
        </w:rPr>
        <w:t>.</w:t>
      </w:r>
      <w:r w:rsidR="005D27E1" w:rsidRPr="007A58EA">
        <w:rPr>
          <w:rStyle w:val="FootnoteReference"/>
          <w:color w:val="000000" w:themeColor="text1"/>
        </w:rPr>
        <w:footnoteReference w:id="73"/>
      </w:r>
      <w:r w:rsidRPr="007A58EA">
        <w:rPr>
          <w:color w:val="000000" w:themeColor="text1"/>
        </w:rPr>
        <w:t xml:space="preserve">  And o</w:t>
      </w:r>
      <w:r w:rsidR="00BE7A7C" w:rsidRPr="007A58EA">
        <w:rPr>
          <w:color w:val="000000" w:themeColor="text1"/>
        </w:rPr>
        <w:t>f course, there is an appreciable</w:t>
      </w:r>
      <w:r w:rsidR="005D27E1" w:rsidRPr="007A58EA">
        <w:rPr>
          <w:color w:val="000000" w:themeColor="text1"/>
        </w:rPr>
        <w:t xml:space="preserve"> – more than appreciable, in fact, a very significant –</w:t>
      </w:r>
      <w:r w:rsidR="00BE7A7C" w:rsidRPr="007A58EA">
        <w:rPr>
          <w:color w:val="000000" w:themeColor="text1"/>
        </w:rPr>
        <w:t xml:space="preserve"> difference between the Court (on the one hand) identifying a range of potential responses</w:t>
      </w:r>
      <w:r w:rsidR="0062123C" w:rsidRPr="007A58EA">
        <w:rPr>
          <w:color w:val="000000" w:themeColor="text1"/>
        </w:rPr>
        <w:t xml:space="preserve"> that includes annulment, </w:t>
      </w:r>
      <w:r w:rsidR="00BE7A7C" w:rsidRPr="007A58EA">
        <w:rPr>
          <w:color w:val="000000" w:themeColor="text1"/>
        </w:rPr>
        <w:t xml:space="preserve">each </w:t>
      </w:r>
      <w:r w:rsidR="0062123C" w:rsidRPr="007A58EA">
        <w:rPr>
          <w:color w:val="000000" w:themeColor="text1"/>
        </w:rPr>
        <w:t xml:space="preserve">solution being </w:t>
      </w:r>
      <w:r w:rsidR="00BE7A7C" w:rsidRPr="007A58EA">
        <w:rPr>
          <w:color w:val="000000" w:themeColor="text1"/>
        </w:rPr>
        <w:t xml:space="preserve">open to the national courts within their existing </w:t>
      </w:r>
      <w:r w:rsidR="004C1C18" w:rsidRPr="007A58EA">
        <w:rPr>
          <w:color w:val="000000" w:themeColor="text1"/>
        </w:rPr>
        <w:t>domestic powers</w:t>
      </w:r>
      <w:r w:rsidR="00BE7A7C" w:rsidRPr="007A58EA">
        <w:rPr>
          <w:color w:val="000000" w:themeColor="text1"/>
        </w:rPr>
        <w:t xml:space="preserve">, and each </w:t>
      </w:r>
      <w:r w:rsidR="0062123C" w:rsidRPr="007A58EA">
        <w:rPr>
          <w:color w:val="000000" w:themeColor="text1"/>
        </w:rPr>
        <w:t xml:space="preserve">being </w:t>
      </w:r>
      <w:r w:rsidR="00BE7A7C" w:rsidRPr="007A58EA">
        <w:rPr>
          <w:color w:val="000000" w:themeColor="text1"/>
        </w:rPr>
        <w:t xml:space="preserve">equally capable of meeting the expectations of primacy and / or effective judicial protection; or (on the other hand) the Court specifying that primacy </w:t>
      </w:r>
      <w:r w:rsidRPr="007A58EA">
        <w:rPr>
          <w:color w:val="000000" w:themeColor="text1"/>
        </w:rPr>
        <w:t xml:space="preserve">positively </w:t>
      </w:r>
      <w:r w:rsidR="00BE7A7C" w:rsidRPr="007A58EA">
        <w:rPr>
          <w:color w:val="000000" w:themeColor="text1"/>
        </w:rPr>
        <w:t xml:space="preserve">compels the national courts to treat a given </w:t>
      </w:r>
      <w:r w:rsidRPr="007A58EA">
        <w:rPr>
          <w:color w:val="000000" w:themeColor="text1"/>
        </w:rPr>
        <w:t xml:space="preserve">domestic </w:t>
      </w:r>
      <w:r w:rsidR="00BE7A7C" w:rsidRPr="007A58EA">
        <w:rPr>
          <w:color w:val="000000" w:themeColor="text1"/>
        </w:rPr>
        <w:t>measure as null and void</w:t>
      </w:r>
      <w:r w:rsidRPr="007A58EA">
        <w:rPr>
          <w:color w:val="000000" w:themeColor="text1"/>
        </w:rPr>
        <w:t xml:space="preserve">, regardless of whether that outcome would ordinarily lie within their </w:t>
      </w:r>
      <w:r w:rsidR="004C1C18" w:rsidRPr="007A58EA">
        <w:rPr>
          <w:color w:val="000000" w:themeColor="text1"/>
        </w:rPr>
        <w:t>legal competence</w:t>
      </w:r>
      <w:r w:rsidR="00BE7A7C" w:rsidRPr="007A58EA">
        <w:rPr>
          <w:color w:val="000000" w:themeColor="text1"/>
        </w:rPr>
        <w:t xml:space="preserve">.  </w:t>
      </w:r>
    </w:p>
    <w:p w14:paraId="63D7AD33" w14:textId="5E3C32A4" w:rsidR="007E0CDE" w:rsidRDefault="00BE7A7C" w:rsidP="007E0CDE">
      <w:pPr>
        <w:ind w:firstLine="720"/>
        <w:jc w:val="both"/>
        <w:rPr>
          <w:color w:val="000000" w:themeColor="text1"/>
        </w:rPr>
      </w:pPr>
      <w:r w:rsidRPr="007A58EA">
        <w:rPr>
          <w:color w:val="000000" w:themeColor="text1"/>
        </w:rPr>
        <w:t xml:space="preserve">But in addition, the </w:t>
      </w:r>
      <w:r w:rsidR="009437C6" w:rsidRPr="007A58EA">
        <w:rPr>
          <w:color w:val="000000" w:themeColor="text1"/>
        </w:rPr>
        <w:t xml:space="preserve">trouble with such a maximalist interpretation </w:t>
      </w:r>
      <w:r w:rsidRPr="007A58EA">
        <w:rPr>
          <w:color w:val="000000" w:themeColor="text1"/>
        </w:rPr>
        <w:t xml:space="preserve">of </w:t>
      </w:r>
      <w:r w:rsidRPr="007A58EA">
        <w:rPr>
          <w:i/>
          <w:iCs/>
          <w:color w:val="000000" w:themeColor="text1"/>
        </w:rPr>
        <w:t>W.Ż.</w:t>
      </w:r>
      <w:r w:rsidRPr="007A58EA">
        <w:rPr>
          <w:color w:val="000000" w:themeColor="text1"/>
        </w:rPr>
        <w:t xml:space="preserve"> </w:t>
      </w:r>
      <w:r w:rsidR="009437C6" w:rsidRPr="007A58EA">
        <w:rPr>
          <w:color w:val="000000" w:themeColor="text1"/>
        </w:rPr>
        <w:t xml:space="preserve">is that it relies, in its own </w:t>
      </w:r>
      <w:r w:rsidR="003A66AF" w:rsidRPr="007A58EA">
        <w:rPr>
          <w:color w:val="000000" w:themeColor="text1"/>
        </w:rPr>
        <w:t>fashion</w:t>
      </w:r>
      <w:r w:rsidR="009437C6" w:rsidRPr="007A58EA">
        <w:rPr>
          <w:color w:val="000000" w:themeColor="text1"/>
        </w:rPr>
        <w:t>, upon a degree of airbrushing with the actual text of the ruling.</w:t>
      </w:r>
      <w:r w:rsidR="004664AA" w:rsidRPr="007A58EA">
        <w:rPr>
          <w:color w:val="000000" w:themeColor="text1"/>
        </w:rPr>
        <w:t xml:space="preserve">  After all, the Court was at pains to stress </w:t>
      </w:r>
      <w:r w:rsidR="00BA3B6D" w:rsidRPr="007A58EA">
        <w:rPr>
          <w:color w:val="000000" w:themeColor="text1"/>
        </w:rPr>
        <w:t xml:space="preserve">the importance </w:t>
      </w:r>
      <w:r w:rsidR="00151FF1">
        <w:rPr>
          <w:color w:val="000000" w:themeColor="text1"/>
        </w:rPr>
        <w:t xml:space="preserve">of </w:t>
      </w:r>
      <w:r w:rsidR="00BA3B6D" w:rsidRPr="007A58EA">
        <w:rPr>
          <w:color w:val="000000" w:themeColor="text1"/>
        </w:rPr>
        <w:t xml:space="preserve">how the Union law principle of primacy </w:t>
      </w:r>
      <w:r w:rsidR="00482573" w:rsidRPr="007A58EA">
        <w:rPr>
          <w:color w:val="000000" w:themeColor="text1"/>
        </w:rPr>
        <w:t>here</w:t>
      </w:r>
      <w:r w:rsidR="00BA3B6D" w:rsidRPr="007A58EA">
        <w:rPr>
          <w:color w:val="000000" w:themeColor="text1"/>
        </w:rPr>
        <w:t xml:space="preserve"> needed to interlock with </w:t>
      </w:r>
      <w:r w:rsidR="004664AA" w:rsidRPr="007A58EA">
        <w:rPr>
          <w:color w:val="000000" w:themeColor="text1"/>
        </w:rPr>
        <w:t>the specific context and features of the Polish legal system</w:t>
      </w:r>
      <w:r w:rsidR="00BA3B6D" w:rsidRPr="007A58EA">
        <w:rPr>
          <w:color w:val="000000" w:themeColor="text1"/>
        </w:rPr>
        <w:t xml:space="preserve">, and to do so within the particular factual and procedural circumstances of the dispute at hand.  Only </w:t>
      </w:r>
      <w:r w:rsidR="004664AA" w:rsidRPr="007A58EA">
        <w:rPr>
          <w:color w:val="000000" w:themeColor="text1"/>
        </w:rPr>
        <w:t xml:space="preserve">a formal finding of nullity </w:t>
      </w:r>
      <w:r w:rsidR="00063B3F">
        <w:rPr>
          <w:color w:val="000000" w:themeColor="text1"/>
        </w:rPr>
        <w:t xml:space="preserve">/ non-existence </w:t>
      </w:r>
      <w:r w:rsidR="004664AA" w:rsidRPr="007A58EA">
        <w:rPr>
          <w:color w:val="000000" w:themeColor="text1"/>
        </w:rPr>
        <w:t xml:space="preserve">in respect of the disputed judge’s </w:t>
      </w:r>
      <w:r w:rsidR="00BA3B6D" w:rsidRPr="007A58EA">
        <w:rPr>
          <w:color w:val="000000" w:themeColor="text1"/>
        </w:rPr>
        <w:t xml:space="preserve">inadmissibility </w:t>
      </w:r>
      <w:r w:rsidR="004664AA" w:rsidRPr="007A58EA">
        <w:rPr>
          <w:color w:val="000000" w:themeColor="text1"/>
        </w:rPr>
        <w:t>orde</w:t>
      </w:r>
      <w:r w:rsidR="00BA3B6D" w:rsidRPr="007A58EA">
        <w:rPr>
          <w:color w:val="000000" w:themeColor="text1"/>
        </w:rPr>
        <w:t xml:space="preserve">r would entitle the competent </w:t>
      </w:r>
      <w:r w:rsidR="00482573" w:rsidRPr="007A58EA">
        <w:rPr>
          <w:color w:val="000000" w:themeColor="text1"/>
        </w:rPr>
        <w:t xml:space="preserve">Supreme Court </w:t>
      </w:r>
      <w:r w:rsidR="00BA3B6D" w:rsidRPr="007A58EA">
        <w:rPr>
          <w:color w:val="000000" w:themeColor="text1"/>
        </w:rPr>
        <w:t xml:space="preserve">panel to proceed with its adjudication over the claimant’s recusal request, in turn paving the way for a substantive hearing (in compliance with Article 19(1) TEU) of the claimant’s appeal against his non-consensual judicial transfer.  </w:t>
      </w:r>
      <w:r w:rsidR="00082608" w:rsidRPr="007A58EA">
        <w:rPr>
          <w:color w:val="000000" w:themeColor="text1"/>
        </w:rPr>
        <w:t xml:space="preserve">As the operative part of the judgment summarises the Court’s reasoning: a declaration of nullity in respect of the incompatible national act is essential, in view of the procedural situation at issue in the case, in order to ensure the primacy of EU law.  </w:t>
      </w:r>
    </w:p>
    <w:p w14:paraId="66B1893A" w14:textId="443B7686" w:rsidR="007E0CDE" w:rsidRDefault="00082608" w:rsidP="007E0CDE">
      <w:pPr>
        <w:ind w:firstLine="720"/>
        <w:jc w:val="both"/>
        <w:rPr>
          <w:color w:val="000000" w:themeColor="text1"/>
        </w:rPr>
      </w:pPr>
      <w:r w:rsidRPr="007A58EA">
        <w:rPr>
          <w:color w:val="000000" w:themeColor="text1"/>
        </w:rPr>
        <w:t xml:space="preserve">So while the Court in </w:t>
      </w:r>
      <w:r w:rsidR="008E2E72" w:rsidRPr="007A58EA">
        <w:rPr>
          <w:i/>
          <w:iCs/>
          <w:color w:val="000000" w:themeColor="text1"/>
        </w:rPr>
        <w:t>W.Ż.</w:t>
      </w:r>
      <w:r w:rsidRPr="007A58EA">
        <w:rPr>
          <w:color w:val="000000" w:themeColor="text1"/>
        </w:rPr>
        <w:t xml:space="preserve"> surely went further than regarding nullity merely as some voluntary act undertaken entirely within the existing framework of national law, it is far from obvious that the Court in </w:t>
      </w:r>
      <w:r w:rsidR="008E2E72" w:rsidRPr="007A58EA">
        <w:rPr>
          <w:i/>
          <w:iCs/>
          <w:color w:val="000000" w:themeColor="text1"/>
        </w:rPr>
        <w:t>W.Ż.</w:t>
      </w:r>
      <w:r w:rsidR="00482573" w:rsidRPr="007A58EA">
        <w:rPr>
          <w:color w:val="000000" w:themeColor="text1"/>
        </w:rPr>
        <w:t xml:space="preserve"> </w:t>
      </w:r>
      <w:r w:rsidR="00756CD0" w:rsidRPr="007A58EA">
        <w:rPr>
          <w:color w:val="000000" w:themeColor="text1"/>
        </w:rPr>
        <w:t xml:space="preserve">instead </w:t>
      </w:r>
      <w:r w:rsidRPr="007A58EA">
        <w:rPr>
          <w:color w:val="000000" w:themeColor="text1"/>
        </w:rPr>
        <w:t>inten</w:t>
      </w:r>
      <w:r w:rsidR="00756CD0" w:rsidRPr="007A58EA">
        <w:rPr>
          <w:color w:val="000000" w:themeColor="text1"/>
        </w:rPr>
        <w:t>ded</w:t>
      </w:r>
      <w:r w:rsidRPr="007A58EA">
        <w:rPr>
          <w:color w:val="000000" w:themeColor="text1"/>
        </w:rPr>
        <w:t xml:space="preserve"> to craft a new </w:t>
      </w:r>
      <w:r w:rsidR="00756CD0" w:rsidRPr="007A58EA">
        <w:rPr>
          <w:color w:val="000000" w:themeColor="text1"/>
        </w:rPr>
        <w:t xml:space="preserve">and autonomous </w:t>
      </w:r>
      <w:r w:rsidRPr="007A58EA">
        <w:rPr>
          <w:color w:val="000000" w:themeColor="text1"/>
        </w:rPr>
        <w:t xml:space="preserve">Union law remedy of nullity </w:t>
      </w:r>
      <w:r w:rsidR="00756CD0" w:rsidRPr="007A58EA">
        <w:rPr>
          <w:color w:val="000000" w:themeColor="text1"/>
        </w:rPr>
        <w:t xml:space="preserve">capable of </w:t>
      </w:r>
      <w:r w:rsidR="00484D4B" w:rsidRPr="007A58EA">
        <w:rPr>
          <w:color w:val="000000" w:themeColor="text1"/>
        </w:rPr>
        <w:t xml:space="preserve">truly </w:t>
      </w:r>
      <w:r w:rsidRPr="007A58EA">
        <w:rPr>
          <w:color w:val="000000" w:themeColor="text1"/>
        </w:rPr>
        <w:t>general</w:t>
      </w:r>
      <w:r w:rsidR="00482573" w:rsidRPr="007A58EA">
        <w:rPr>
          <w:color w:val="000000" w:themeColor="text1"/>
        </w:rPr>
        <w:t>ised</w:t>
      </w:r>
      <w:r w:rsidRPr="007A58EA">
        <w:rPr>
          <w:color w:val="000000" w:themeColor="text1"/>
        </w:rPr>
        <w:t xml:space="preserve"> application</w:t>
      </w:r>
      <w:r w:rsidR="00756CD0" w:rsidRPr="007A58EA">
        <w:rPr>
          <w:color w:val="000000" w:themeColor="text1"/>
        </w:rPr>
        <w:t xml:space="preserve"> – let alone </w:t>
      </w:r>
      <w:r w:rsidR="00BC4BD4" w:rsidRPr="007A58EA">
        <w:rPr>
          <w:color w:val="000000" w:themeColor="text1"/>
        </w:rPr>
        <w:t xml:space="preserve">to do so </w:t>
      </w:r>
      <w:r w:rsidR="00756CD0" w:rsidRPr="007A58EA">
        <w:rPr>
          <w:color w:val="000000" w:themeColor="text1"/>
        </w:rPr>
        <w:t xml:space="preserve">simply on the basis that it might better serve the unity and effectiveness of Union law for national courts to void certain incompatible acts rather than </w:t>
      </w:r>
      <w:r w:rsidR="00482573" w:rsidRPr="007A58EA">
        <w:rPr>
          <w:color w:val="000000" w:themeColor="text1"/>
        </w:rPr>
        <w:t xml:space="preserve">merely </w:t>
      </w:r>
      <w:r w:rsidR="00002823" w:rsidRPr="007A58EA">
        <w:rPr>
          <w:color w:val="000000" w:themeColor="text1"/>
        </w:rPr>
        <w:t xml:space="preserve">to </w:t>
      </w:r>
      <w:r w:rsidR="00756CD0" w:rsidRPr="007A58EA">
        <w:rPr>
          <w:color w:val="000000" w:themeColor="text1"/>
        </w:rPr>
        <w:t>disapply them</w:t>
      </w:r>
      <w:r w:rsidRPr="007A58EA">
        <w:rPr>
          <w:color w:val="000000" w:themeColor="text1"/>
        </w:rPr>
        <w:t>.</w:t>
      </w:r>
      <w:r w:rsidR="00756CD0" w:rsidRPr="007A58EA">
        <w:rPr>
          <w:color w:val="000000" w:themeColor="text1"/>
        </w:rPr>
        <w:t xml:space="preserve">  </w:t>
      </w:r>
      <w:r w:rsidR="006423B2" w:rsidRPr="007A58EA">
        <w:rPr>
          <w:color w:val="000000" w:themeColor="text1"/>
        </w:rPr>
        <w:t xml:space="preserve">Nullity was “essential” to </w:t>
      </w:r>
      <w:r w:rsidR="006423B2" w:rsidRPr="007A58EA">
        <w:rPr>
          <w:color w:val="000000" w:themeColor="text1"/>
        </w:rPr>
        <w:lastRenderedPageBreak/>
        <w:t xml:space="preserve">the proper legal resolution of </w:t>
      </w:r>
      <w:r w:rsidR="008E2E72" w:rsidRPr="007A58EA">
        <w:rPr>
          <w:i/>
          <w:iCs/>
          <w:color w:val="000000" w:themeColor="text1"/>
        </w:rPr>
        <w:t>W.Ż.</w:t>
      </w:r>
      <w:r w:rsidR="006423B2" w:rsidRPr="007A58EA">
        <w:rPr>
          <w:color w:val="000000" w:themeColor="text1"/>
        </w:rPr>
        <w:t xml:space="preserve">, not merely </w:t>
      </w:r>
      <w:r w:rsidR="00063B3F">
        <w:rPr>
          <w:color w:val="000000" w:themeColor="text1"/>
        </w:rPr>
        <w:t xml:space="preserve">“appropriate” or </w:t>
      </w:r>
      <w:r w:rsidR="006423B2" w:rsidRPr="007A58EA">
        <w:rPr>
          <w:color w:val="000000" w:themeColor="text1"/>
        </w:rPr>
        <w:t xml:space="preserve">“convenient” to the </w:t>
      </w:r>
      <w:r w:rsidR="00482573" w:rsidRPr="007A58EA">
        <w:rPr>
          <w:color w:val="000000" w:themeColor="text1"/>
        </w:rPr>
        <w:t xml:space="preserve">uniform and </w:t>
      </w:r>
      <w:r w:rsidR="006423B2" w:rsidRPr="007A58EA">
        <w:rPr>
          <w:color w:val="000000" w:themeColor="text1"/>
        </w:rPr>
        <w:t>effective application of Union law.</w:t>
      </w:r>
      <w:r w:rsidR="00793E79" w:rsidRPr="007A58EA">
        <w:rPr>
          <w:color w:val="000000" w:themeColor="text1"/>
        </w:rPr>
        <w:t xml:space="preserve">  </w:t>
      </w:r>
    </w:p>
    <w:p w14:paraId="7294066F" w14:textId="383EDAD5" w:rsidR="007E0CDE" w:rsidRDefault="00A62277" w:rsidP="007E0CDE">
      <w:pPr>
        <w:ind w:firstLine="720"/>
        <w:jc w:val="both"/>
        <w:rPr>
          <w:color w:val="000000" w:themeColor="text1"/>
        </w:rPr>
      </w:pPr>
      <w:r w:rsidRPr="007A58EA">
        <w:rPr>
          <w:color w:val="000000" w:themeColor="text1"/>
        </w:rPr>
        <w:t xml:space="preserve">Moreover, in the particular circumstances of </w:t>
      </w:r>
      <w:r w:rsidRPr="007A58EA">
        <w:rPr>
          <w:i/>
          <w:iCs/>
          <w:color w:val="000000" w:themeColor="text1"/>
        </w:rPr>
        <w:t>W.Ż.</w:t>
      </w:r>
      <w:r w:rsidRPr="007A58EA">
        <w:rPr>
          <w:color w:val="000000" w:themeColor="text1"/>
        </w:rPr>
        <w:t xml:space="preserve">, for the Court to mandate nullity of the relevant national act with an effect </w:t>
      </w:r>
      <w:r w:rsidRPr="007A58EA">
        <w:rPr>
          <w:i/>
          <w:iCs/>
          <w:color w:val="000000" w:themeColor="text1"/>
        </w:rPr>
        <w:t>erga omnes</w:t>
      </w:r>
      <w:r w:rsidRPr="007A58EA">
        <w:rPr>
          <w:color w:val="000000" w:themeColor="text1"/>
        </w:rPr>
        <w:t xml:space="preserve"> was surely not so dissimilar in practice to mere disapplication of that act in the particular dispute at hand.  After all, annulment </w:t>
      </w:r>
      <w:r w:rsidR="00282CFF" w:rsidRPr="007A58EA">
        <w:rPr>
          <w:color w:val="000000" w:themeColor="text1"/>
        </w:rPr>
        <w:t xml:space="preserve">applied only to an individual decision (the </w:t>
      </w:r>
      <w:r w:rsidRPr="007A58EA">
        <w:rPr>
          <w:color w:val="000000" w:themeColor="text1"/>
        </w:rPr>
        <w:t xml:space="preserve">disputed judge’s order dismissing </w:t>
      </w:r>
      <w:r w:rsidR="00282CFF" w:rsidRPr="007A58EA">
        <w:rPr>
          <w:color w:val="000000" w:themeColor="text1"/>
        </w:rPr>
        <w:t xml:space="preserve">an </w:t>
      </w:r>
      <w:r w:rsidRPr="007A58EA">
        <w:rPr>
          <w:color w:val="000000" w:themeColor="text1"/>
        </w:rPr>
        <w:t>appeal</w:t>
      </w:r>
      <w:r w:rsidR="00282CFF" w:rsidRPr="007A58EA">
        <w:rPr>
          <w:color w:val="000000" w:themeColor="text1"/>
        </w:rPr>
        <w:t>) affecting an individual claimant (the judge subject to a non-consensual transfer) – so</w:t>
      </w:r>
      <w:r w:rsidR="00063B3F">
        <w:rPr>
          <w:color w:val="000000" w:themeColor="text1"/>
        </w:rPr>
        <w:t>,</w:t>
      </w:r>
      <w:r w:rsidR="00282CFF" w:rsidRPr="007A58EA">
        <w:rPr>
          <w:color w:val="000000" w:themeColor="text1"/>
        </w:rPr>
        <w:t xml:space="preserve"> besides matching the Union law consequences of incompatibility more appropriately into the specific procedural logic of the Polish legal system, the practical impact of the general remedy of nullity was virtually indistinguishable from </w:t>
      </w:r>
      <w:r w:rsidR="00A764D3" w:rsidRPr="007A58EA">
        <w:rPr>
          <w:color w:val="000000" w:themeColor="text1"/>
        </w:rPr>
        <w:t xml:space="preserve">that of an </w:t>
      </w:r>
      <w:r w:rsidR="00282CFF" w:rsidRPr="007A58EA">
        <w:rPr>
          <w:color w:val="000000" w:themeColor="text1"/>
        </w:rPr>
        <w:t xml:space="preserve">individual remedy of disapplication.  </w:t>
      </w:r>
      <w:r w:rsidR="00A764D3" w:rsidRPr="007A58EA">
        <w:rPr>
          <w:color w:val="000000" w:themeColor="text1"/>
        </w:rPr>
        <w:t>It is worth noting that the Court avoided saying anything about the consequences of breaching Article 19(1) TEU for the relevant judicial appointment or the disputed judge’s status as a “judge”</w:t>
      </w:r>
      <w:r w:rsidR="009C2F90" w:rsidRPr="007A58EA">
        <w:rPr>
          <w:color w:val="000000" w:themeColor="text1"/>
        </w:rPr>
        <w:t>;</w:t>
      </w:r>
      <w:r w:rsidR="00A764D3" w:rsidRPr="007A58EA">
        <w:rPr>
          <w:color w:val="000000" w:themeColor="text1"/>
        </w:rPr>
        <w:t xml:space="preserve"> </w:t>
      </w:r>
      <w:r w:rsidR="0084723F" w:rsidRPr="007A58EA">
        <w:rPr>
          <w:color w:val="000000" w:themeColor="text1"/>
        </w:rPr>
        <w:t>ordering</w:t>
      </w:r>
      <w:r w:rsidR="009C2F90" w:rsidRPr="007A58EA">
        <w:rPr>
          <w:color w:val="000000" w:themeColor="text1"/>
        </w:rPr>
        <w:t xml:space="preserve"> </w:t>
      </w:r>
      <w:r w:rsidR="0084723F" w:rsidRPr="007A58EA">
        <w:rPr>
          <w:color w:val="000000" w:themeColor="text1"/>
        </w:rPr>
        <w:t xml:space="preserve">a </w:t>
      </w:r>
      <w:r w:rsidR="009C2F90" w:rsidRPr="007A58EA">
        <w:rPr>
          <w:color w:val="000000" w:themeColor="text1"/>
        </w:rPr>
        <w:t xml:space="preserve">sanction of nullity </w:t>
      </w:r>
      <w:r w:rsidR="0084723F" w:rsidRPr="007A58EA">
        <w:rPr>
          <w:color w:val="000000" w:themeColor="text1"/>
        </w:rPr>
        <w:t xml:space="preserve">in respect of that broader state of incompatibility </w:t>
      </w:r>
      <w:r w:rsidR="009C2F90" w:rsidRPr="007A58EA">
        <w:rPr>
          <w:color w:val="000000" w:themeColor="text1"/>
        </w:rPr>
        <w:t>would have had much wider and more significant impacts</w:t>
      </w:r>
      <w:r w:rsidR="0084723F" w:rsidRPr="007A58EA">
        <w:rPr>
          <w:color w:val="000000" w:themeColor="text1"/>
        </w:rPr>
        <w:t xml:space="preserve"> within the Polish legal system</w:t>
      </w:r>
      <w:r w:rsidR="009C2F90" w:rsidRPr="007A58EA">
        <w:rPr>
          <w:color w:val="000000" w:themeColor="text1"/>
        </w:rPr>
        <w:t>.</w:t>
      </w:r>
      <w:r w:rsidR="0084723F" w:rsidRPr="007A58EA">
        <w:rPr>
          <w:rStyle w:val="FootnoteReference"/>
          <w:color w:val="000000" w:themeColor="text1"/>
        </w:rPr>
        <w:footnoteReference w:id="74"/>
      </w:r>
    </w:p>
    <w:p w14:paraId="73FCEDBA" w14:textId="77777777" w:rsidR="007E0CDE" w:rsidRDefault="0084723F" w:rsidP="007E0CDE">
      <w:pPr>
        <w:ind w:firstLine="720"/>
        <w:jc w:val="both"/>
        <w:rPr>
          <w:color w:val="000000" w:themeColor="text1"/>
        </w:rPr>
      </w:pPr>
      <w:r w:rsidRPr="007A58EA">
        <w:rPr>
          <w:color w:val="000000" w:themeColor="text1"/>
        </w:rPr>
        <w:t xml:space="preserve">In that sense, the remedy of nullity as explicitly ordered by the Court in </w:t>
      </w:r>
      <w:r w:rsidRPr="007A58EA">
        <w:rPr>
          <w:i/>
          <w:iCs/>
          <w:color w:val="000000" w:themeColor="text1"/>
        </w:rPr>
        <w:t xml:space="preserve">W.Ż. </w:t>
      </w:r>
      <w:r w:rsidRPr="007A58EA">
        <w:rPr>
          <w:color w:val="000000" w:themeColor="text1"/>
        </w:rPr>
        <w:t xml:space="preserve">shares an important characteristic with the de facto annulment action at issue in </w:t>
      </w:r>
      <w:r w:rsidRPr="007A58EA">
        <w:rPr>
          <w:i/>
          <w:iCs/>
          <w:color w:val="000000" w:themeColor="text1"/>
        </w:rPr>
        <w:t>Rimšēvičs</w:t>
      </w:r>
      <w:r w:rsidRPr="007A58EA">
        <w:rPr>
          <w:color w:val="000000" w:themeColor="text1"/>
        </w:rPr>
        <w:t xml:space="preserve">.  In both cases, nullity was restricted to the elimination of an individual decision (whether judicial or administrative), so that the </w:t>
      </w:r>
      <w:r w:rsidR="00390EA0" w:rsidRPr="007A58EA">
        <w:rPr>
          <w:color w:val="000000" w:themeColor="text1"/>
        </w:rPr>
        <w:t xml:space="preserve">practical </w:t>
      </w:r>
      <w:r w:rsidRPr="007A58EA">
        <w:rPr>
          <w:color w:val="000000" w:themeColor="text1"/>
        </w:rPr>
        <w:t xml:space="preserve">effects </w:t>
      </w:r>
      <w:r w:rsidR="00390EA0" w:rsidRPr="007A58EA">
        <w:rPr>
          <w:color w:val="000000" w:themeColor="text1"/>
        </w:rPr>
        <w:t xml:space="preserve">of legal elimination were not quite so </w:t>
      </w:r>
      <w:r w:rsidRPr="007A58EA">
        <w:rPr>
          <w:i/>
          <w:iCs/>
          <w:color w:val="000000" w:themeColor="text1"/>
        </w:rPr>
        <w:t>erga omnes</w:t>
      </w:r>
      <w:r w:rsidRPr="007A58EA">
        <w:rPr>
          <w:color w:val="000000" w:themeColor="text1"/>
        </w:rPr>
        <w:t xml:space="preserve"> </w:t>
      </w:r>
      <w:r w:rsidR="00390EA0" w:rsidRPr="007A58EA">
        <w:rPr>
          <w:color w:val="000000" w:themeColor="text1"/>
        </w:rPr>
        <w:t>as the latter phrase often suggests</w:t>
      </w:r>
      <w:r w:rsidRPr="007A58EA">
        <w:rPr>
          <w:color w:val="000000" w:themeColor="text1"/>
        </w:rPr>
        <w:t xml:space="preserve">.  </w:t>
      </w:r>
      <w:r w:rsidR="00390EA0" w:rsidRPr="007A58EA">
        <w:rPr>
          <w:color w:val="000000" w:themeColor="text1"/>
        </w:rPr>
        <w:t xml:space="preserve">Perhaps this shared characteristic should in itself be read as useful guidance about when the unity and effectiveness of Union law might </w:t>
      </w:r>
      <w:r w:rsidR="00FF087F" w:rsidRPr="007A58EA">
        <w:rPr>
          <w:color w:val="000000" w:themeColor="text1"/>
        </w:rPr>
        <w:t xml:space="preserve">require action that extends beyond mere </w:t>
      </w:r>
      <w:r w:rsidR="00390EA0" w:rsidRPr="007A58EA">
        <w:rPr>
          <w:color w:val="000000" w:themeColor="text1"/>
        </w:rPr>
        <w:t xml:space="preserve">disapplication: </w:t>
      </w:r>
      <w:r w:rsidR="00FF087F" w:rsidRPr="007A58EA">
        <w:rPr>
          <w:color w:val="000000" w:themeColor="text1"/>
        </w:rPr>
        <w:t xml:space="preserve">the Court is prepared to order the annulment of </w:t>
      </w:r>
      <w:r w:rsidR="00CE71AA" w:rsidRPr="007A58EA">
        <w:rPr>
          <w:color w:val="000000" w:themeColor="text1"/>
        </w:rPr>
        <w:t xml:space="preserve">relatively </w:t>
      </w:r>
      <w:r w:rsidR="00FF087F" w:rsidRPr="007A58EA">
        <w:rPr>
          <w:color w:val="000000" w:themeColor="text1"/>
        </w:rPr>
        <w:t xml:space="preserve">self-contained acts whose non-existence will produce only limited knock-on consequences; but there is no evidence to support the proposition that the Court might require the national courts to treat (say) domestic legislation of general application as </w:t>
      </w:r>
      <w:r w:rsidR="00CE71AA" w:rsidRPr="007A58EA">
        <w:rPr>
          <w:color w:val="000000" w:themeColor="text1"/>
        </w:rPr>
        <w:t xml:space="preserve">being </w:t>
      </w:r>
      <w:r w:rsidR="00FF087F" w:rsidRPr="007A58EA">
        <w:rPr>
          <w:color w:val="000000" w:themeColor="text1"/>
        </w:rPr>
        <w:t>“null and void”.</w:t>
      </w:r>
    </w:p>
    <w:p w14:paraId="2D9DF52D" w14:textId="52E5536A" w:rsidR="007E0CDE" w:rsidRDefault="00BC4BD4" w:rsidP="007E0CDE">
      <w:pPr>
        <w:ind w:firstLine="720"/>
        <w:jc w:val="both"/>
        <w:rPr>
          <w:color w:val="000000" w:themeColor="text1"/>
        </w:rPr>
      </w:pPr>
      <w:r w:rsidRPr="007A58EA">
        <w:rPr>
          <w:color w:val="000000" w:themeColor="text1"/>
        </w:rPr>
        <w:t xml:space="preserve">Frustrating as this conclusion might be, it nevertheless remains </w:t>
      </w:r>
      <w:r w:rsidR="00CE467C" w:rsidRPr="007A58EA">
        <w:rPr>
          <w:color w:val="000000" w:themeColor="text1"/>
        </w:rPr>
        <w:t>our most</w:t>
      </w:r>
      <w:r w:rsidRPr="007A58EA">
        <w:rPr>
          <w:color w:val="000000" w:themeColor="text1"/>
        </w:rPr>
        <w:t xml:space="preserve"> </w:t>
      </w:r>
      <w:r w:rsidR="00CE467C" w:rsidRPr="007A58EA">
        <w:rPr>
          <w:color w:val="000000" w:themeColor="text1"/>
        </w:rPr>
        <w:t xml:space="preserve">apt </w:t>
      </w:r>
      <w:r w:rsidRPr="007A58EA">
        <w:rPr>
          <w:color w:val="000000" w:themeColor="text1"/>
        </w:rPr>
        <w:t>assessment</w:t>
      </w:r>
      <w:r w:rsidR="00002823" w:rsidRPr="007A58EA">
        <w:rPr>
          <w:color w:val="000000" w:themeColor="text1"/>
        </w:rPr>
        <w:t xml:space="preserve"> of the ruling in </w:t>
      </w:r>
      <w:r w:rsidR="00002823" w:rsidRPr="007A58EA">
        <w:rPr>
          <w:i/>
          <w:iCs/>
          <w:color w:val="000000" w:themeColor="text1"/>
        </w:rPr>
        <w:t>W.Ż.</w:t>
      </w:r>
      <w:r w:rsidRPr="007A58EA">
        <w:rPr>
          <w:color w:val="000000" w:themeColor="text1"/>
        </w:rPr>
        <w:t xml:space="preserve">: primacy might well be capable of extending to a remedy of nullity, and there are no fundamental constitutional barriers to that </w:t>
      </w:r>
      <w:r w:rsidR="00392E5D" w:rsidRPr="007A58EA">
        <w:rPr>
          <w:color w:val="000000" w:themeColor="text1"/>
        </w:rPr>
        <w:t>principled possibility</w:t>
      </w:r>
      <w:r w:rsidR="00063B3F">
        <w:rPr>
          <w:color w:val="000000" w:themeColor="text1"/>
        </w:rPr>
        <w:t>;</w:t>
      </w:r>
      <w:r w:rsidRPr="007A58EA">
        <w:rPr>
          <w:color w:val="000000" w:themeColor="text1"/>
        </w:rPr>
        <w:t xml:space="preserve"> but the circumstances in which </w:t>
      </w:r>
      <w:r w:rsidR="00392E5D" w:rsidRPr="007A58EA">
        <w:rPr>
          <w:color w:val="000000" w:themeColor="text1"/>
        </w:rPr>
        <w:t>the Court might reach that interpretation are unclear to the point of feeling ad hoc</w:t>
      </w:r>
      <w:r w:rsidR="00CE71AA" w:rsidRPr="007A58EA">
        <w:rPr>
          <w:color w:val="000000" w:themeColor="text1"/>
        </w:rPr>
        <w:t>,</w:t>
      </w:r>
      <w:r w:rsidR="00392E5D" w:rsidRPr="007A58EA">
        <w:rPr>
          <w:color w:val="000000" w:themeColor="text1"/>
        </w:rPr>
        <w:t xml:space="preserve"> </w:t>
      </w:r>
      <w:r w:rsidR="00CE71AA" w:rsidRPr="007A58EA">
        <w:rPr>
          <w:color w:val="000000" w:themeColor="text1"/>
        </w:rPr>
        <w:t xml:space="preserve">though </w:t>
      </w:r>
      <w:r w:rsidR="00392E5D" w:rsidRPr="007A58EA">
        <w:rPr>
          <w:color w:val="000000" w:themeColor="text1"/>
        </w:rPr>
        <w:t xml:space="preserve">in any event would appear to be </w:t>
      </w:r>
      <w:r w:rsidR="00CE71AA" w:rsidRPr="007A58EA">
        <w:rPr>
          <w:color w:val="000000" w:themeColor="text1"/>
        </w:rPr>
        <w:t xml:space="preserve">genuinely </w:t>
      </w:r>
      <w:r w:rsidR="00392E5D" w:rsidRPr="007A58EA">
        <w:rPr>
          <w:color w:val="000000" w:themeColor="text1"/>
        </w:rPr>
        <w:t>exceptional</w:t>
      </w:r>
      <w:r w:rsidR="00002823" w:rsidRPr="007A58EA">
        <w:rPr>
          <w:color w:val="000000" w:themeColor="text1"/>
        </w:rPr>
        <w:t xml:space="preserve"> in nature</w:t>
      </w:r>
      <w:r w:rsidR="00392E5D" w:rsidRPr="007A58EA">
        <w:rPr>
          <w:color w:val="000000" w:themeColor="text1"/>
        </w:rPr>
        <w:t>.</w:t>
      </w:r>
      <w:r w:rsidR="003D0EE4">
        <w:rPr>
          <w:rStyle w:val="FootnoteReference"/>
          <w:color w:val="000000" w:themeColor="text1"/>
        </w:rPr>
        <w:footnoteReference w:id="75"/>
      </w:r>
    </w:p>
    <w:p w14:paraId="6FC3CEB8" w14:textId="2A30CFBB" w:rsidR="001276A4" w:rsidRPr="007A58EA" w:rsidRDefault="00392E5D" w:rsidP="007E0CDE">
      <w:pPr>
        <w:ind w:firstLine="720"/>
        <w:jc w:val="both"/>
        <w:rPr>
          <w:color w:val="000000" w:themeColor="text1"/>
        </w:rPr>
      </w:pPr>
      <w:r w:rsidRPr="007A58EA">
        <w:rPr>
          <w:color w:val="000000" w:themeColor="text1"/>
        </w:rPr>
        <w:t xml:space="preserve">To that evaluation, it remains to add one final </w:t>
      </w:r>
      <w:r w:rsidR="00002823" w:rsidRPr="007A58EA">
        <w:rPr>
          <w:color w:val="000000" w:themeColor="text1"/>
        </w:rPr>
        <w:t xml:space="preserve">and by now surely even predictable </w:t>
      </w:r>
      <w:r w:rsidRPr="007A58EA">
        <w:rPr>
          <w:color w:val="000000" w:themeColor="text1"/>
        </w:rPr>
        <w:t>qualification.  However its precedent</w:t>
      </w:r>
      <w:r w:rsidR="00FA3F6E" w:rsidRPr="007A58EA">
        <w:rPr>
          <w:color w:val="000000" w:themeColor="text1"/>
        </w:rPr>
        <w:t>ial status</w:t>
      </w:r>
      <w:r w:rsidRPr="007A58EA">
        <w:rPr>
          <w:color w:val="000000" w:themeColor="text1"/>
        </w:rPr>
        <w:t xml:space="preserve"> develops into the future, in </w:t>
      </w:r>
      <w:r w:rsidR="008E2E72" w:rsidRPr="007A58EA">
        <w:rPr>
          <w:i/>
          <w:iCs/>
          <w:color w:val="000000" w:themeColor="text1"/>
        </w:rPr>
        <w:t>W.Ż.</w:t>
      </w:r>
      <w:r w:rsidR="001276A4" w:rsidRPr="007A58EA">
        <w:rPr>
          <w:color w:val="000000" w:themeColor="text1"/>
        </w:rPr>
        <w:t xml:space="preserve"> as everywhere else</w:t>
      </w:r>
      <w:r w:rsidRPr="007A58EA">
        <w:rPr>
          <w:color w:val="000000" w:themeColor="text1"/>
        </w:rPr>
        <w:t xml:space="preserve"> in the world of decentralised enforcement</w:t>
      </w:r>
      <w:r w:rsidR="000B47D1" w:rsidRPr="007A58EA">
        <w:rPr>
          <w:color w:val="000000" w:themeColor="text1"/>
        </w:rPr>
        <w:t>,</w:t>
      </w:r>
      <w:r w:rsidR="001276A4" w:rsidRPr="007A58EA">
        <w:rPr>
          <w:color w:val="000000" w:themeColor="text1"/>
        </w:rPr>
        <w:t xml:space="preserve"> the capacity of primacy to produce the effect of nullity within the national legal system still depends ultimately upon the willingness of domestic courts to recognise and operationalise such an outcome – just as much as </w:t>
      </w:r>
      <w:r w:rsidR="00FA3F6E" w:rsidRPr="007A58EA">
        <w:rPr>
          <w:color w:val="000000" w:themeColor="text1"/>
        </w:rPr>
        <w:t xml:space="preserve">for </w:t>
      </w:r>
      <w:r w:rsidR="001276A4" w:rsidRPr="007A58EA">
        <w:rPr>
          <w:color w:val="000000" w:themeColor="text1"/>
        </w:rPr>
        <w:t xml:space="preserve">the </w:t>
      </w:r>
      <w:r w:rsidRPr="007A58EA">
        <w:rPr>
          <w:color w:val="000000" w:themeColor="text1"/>
        </w:rPr>
        <w:t xml:space="preserve">compulsory </w:t>
      </w:r>
      <w:r w:rsidR="00B6579C" w:rsidRPr="007A58EA">
        <w:rPr>
          <w:color w:val="000000" w:themeColor="text1"/>
        </w:rPr>
        <w:t>ousting</w:t>
      </w:r>
      <w:r w:rsidRPr="007A58EA">
        <w:rPr>
          <w:color w:val="000000" w:themeColor="text1"/>
        </w:rPr>
        <w:t xml:space="preserve"> of national jurisdiction in </w:t>
      </w:r>
      <w:r w:rsidRPr="007A58EA">
        <w:rPr>
          <w:i/>
          <w:iCs/>
          <w:color w:val="000000" w:themeColor="text1"/>
        </w:rPr>
        <w:t>Berlusconi</w:t>
      </w:r>
      <w:r w:rsidRPr="007A58EA">
        <w:rPr>
          <w:color w:val="000000" w:themeColor="text1"/>
        </w:rPr>
        <w:t xml:space="preserve">, </w:t>
      </w:r>
      <w:r w:rsidR="00CE467C" w:rsidRPr="007A58EA">
        <w:rPr>
          <w:color w:val="000000" w:themeColor="text1"/>
        </w:rPr>
        <w:t>just</w:t>
      </w:r>
      <w:r w:rsidR="00FA3F6E" w:rsidRPr="007A58EA">
        <w:rPr>
          <w:color w:val="000000" w:themeColor="text1"/>
        </w:rPr>
        <w:t xml:space="preserve"> </w:t>
      </w:r>
      <w:r w:rsidRPr="007A58EA">
        <w:rPr>
          <w:color w:val="000000" w:themeColor="text1"/>
        </w:rPr>
        <w:t xml:space="preserve">as </w:t>
      </w:r>
      <w:r w:rsidR="00FA3F6E" w:rsidRPr="007A58EA">
        <w:rPr>
          <w:color w:val="000000" w:themeColor="text1"/>
        </w:rPr>
        <w:t xml:space="preserve">it is with </w:t>
      </w:r>
      <w:r w:rsidRPr="007A58EA">
        <w:rPr>
          <w:color w:val="000000" w:themeColor="text1"/>
        </w:rPr>
        <w:t xml:space="preserve">the </w:t>
      </w:r>
      <w:r w:rsidR="00B6579C" w:rsidRPr="007A58EA">
        <w:rPr>
          <w:color w:val="000000" w:themeColor="text1"/>
        </w:rPr>
        <w:t xml:space="preserve">direct </w:t>
      </w:r>
      <w:r w:rsidRPr="007A58EA">
        <w:rPr>
          <w:color w:val="000000" w:themeColor="text1"/>
        </w:rPr>
        <w:t xml:space="preserve">assertion of </w:t>
      </w:r>
      <w:r w:rsidR="00FA3F6E" w:rsidRPr="007A58EA">
        <w:rPr>
          <w:color w:val="000000" w:themeColor="text1"/>
        </w:rPr>
        <w:t xml:space="preserve">centralised ECJ jurisdiction in </w:t>
      </w:r>
      <w:r w:rsidRPr="007A58EA">
        <w:rPr>
          <w:i/>
          <w:iCs/>
          <w:color w:val="000000" w:themeColor="text1"/>
        </w:rPr>
        <w:t>Rimšēvičs</w:t>
      </w:r>
      <w:r w:rsidR="00FA3F6E" w:rsidRPr="007A58EA">
        <w:rPr>
          <w:color w:val="000000" w:themeColor="text1"/>
        </w:rPr>
        <w:t xml:space="preserve">, and indeed </w:t>
      </w:r>
      <w:r w:rsidR="00CE467C" w:rsidRPr="007A58EA">
        <w:rPr>
          <w:color w:val="000000" w:themeColor="text1"/>
        </w:rPr>
        <w:t xml:space="preserve">just </w:t>
      </w:r>
      <w:r w:rsidR="00FA3F6E" w:rsidRPr="007A58EA">
        <w:rPr>
          <w:color w:val="000000" w:themeColor="text1"/>
        </w:rPr>
        <w:t xml:space="preserve">as it has long been for </w:t>
      </w:r>
      <w:r w:rsidR="00B6579C" w:rsidRPr="007A58EA">
        <w:rPr>
          <w:color w:val="000000" w:themeColor="text1"/>
        </w:rPr>
        <w:t xml:space="preserve">granting </w:t>
      </w:r>
      <w:r w:rsidR="00FA3F6E" w:rsidRPr="007A58EA">
        <w:rPr>
          <w:color w:val="000000" w:themeColor="text1"/>
        </w:rPr>
        <w:t xml:space="preserve">the </w:t>
      </w:r>
      <w:r w:rsidR="001276A4" w:rsidRPr="007A58EA">
        <w:rPr>
          <w:color w:val="000000" w:themeColor="text1"/>
        </w:rPr>
        <w:t>traditional remedy of disapplication</w:t>
      </w:r>
      <w:r w:rsidR="00FA3F6E" w:rsidRPr="007A58EA">
        <w:rPr>
          <w:color w:val="000000" w:themeColor="text1"/>
        </w:rPr>
        <w:t xml:space="preserve"> – all of which inhabit the same </w:t>
      </w:r>
      <w:r w:rsidR="00FA3F6E" w:rsidRPr="007A58EA">
        <w:rPr>
          <w:i/>
          <w:iCs/>
          <w:color w:val="000000" w:themeColor="text1"/>
        </w:rPr>
        <w:t>Popławski</w:t>
      </w:r>
      <w:r w:rsidR="00FA3F6E" w:rsidRPr="007A58EA">
        <w:rPr>
          <w:color w:val="000000" w:themeColor="text1"/>
        </w:rPr>
        <w:t xml:space="preserve"> model of separate</w:t>
      </w:r>
      <w:r w:rsidR="000B47D1" w:rsidRPr="007A58EA">
        <w:rPr>
          <w:color w:val="000000" w:themeColor="text1"/>
        </w:rPr>
        <w:t>,</w:t>
      </w:r>
      <w:r w:rsidR="00FA3F6E" w:rsidRPr="007A58EA">
        <w:rPr>
          <w:color w:val="000000" w:themeColor="text1"/>
        </w:rPr>
        <w:t xml:space="preserve"> albeit closely interlinked</w:t>
      </w:r>
      <w:r w:rsidR="000B47D1" w:rsidRPr="007A58EA">
        <w:rPr>
          <w:color w:val="000000" w:themeColor="text1"/>
        </w:rPr>
        <w:t>,</w:t>
      </w:r>
      <w:r w:rsidR="00FA3F6E" w:rsidRPr="007A58EA">
        <w:rPr>
          <w:color w:val="000000" w:themeColor="text1"/>
        </w:rPr>
        <w:t xml:space="preserve"> Union-Member State legal orders</w:t>
      </w:r>
      <w:r w:rsidR="001276A4" w:rsidRPr="007A58EA">
        <w:rPr>
          <w:color w:val="000000" w:themeColor="text1"/>
        </w:rPr>
        <w:t>.</w:t>
      </w:r>
    </w:p>
    <w:p w14:paraId="6A1E37FE" w14:textId="5D52A9E9" w:rsidR="006423B2" w:rsidRPr="007A58EA" w:rsidRDefault="006423B2" w:rsidP="00391EA9">
      <w:pPr>
        <w:jc w:val="both"/>
        <w:rPr>
          <w:color w:val="000000" w:themeColor="text1"/>
        </w:rPr>
      </w:pPr>
    </w:p>
    <w:p w14:paraId="474D3F36" w14:textId="67DD121C" w:rsidR="006423B2" w:rsidRPr="007A58EA" w:rsidRDefault="00542330" w:rsidP="00391EA9">
      <w:pPr>
        <w:jc w:val="both"/>
        <w:rPr>
          <w:b/>
          <w:bCs/>
          <w:color w:val="000000" w:themeColor="text1"/>
        </w:rPr>
      </w:pPr>
      <w:r w:rsidRPr="007A58EA">
        <w:rPr>
          <w:b/>
          <w:bCs/>
          <w:color w:val="000000" w:themeColor="text1"/>
        </w:rPr>
        <w:t>7</w:t>
      </w:r>
      <w:r w:rsidR="00CF0FA6" w:rsidRPr="007A58EA">
        <w:rPr>
          <w:b/>
          <w:bCs/>
          <w:color w:val="000000" w:themeColor="text1"/>
        </w:rPr>
        <w:t xml:space="preserve">.  </w:t>
      </w:r>
      <w:r w:rsidRPr="007A58EA">
        <w:rPr>
          <w:b/>
          <w:bCs/>
          <w:color w:val="000000" w:themeColor="text1"/>
        </w:rPr>
        <w:t>C</w:t>
      </w:r>
      <w:r w:rsidR="006423B2" w:rsidRPr="007A58EA">
        <w:rPr>
          <w:b/>
          <w:bCs/>
          <w:color w:val="000000" w:themeColor="text1"/>
        </w:rPr>
        <w:t>onclusion</w:t>
      </w:r>
      <w:r w:rsidR="001A1E7A" w:rsidRPr="007A58EA">
        <w:rPr>
          <w:b/>
          <w:bCs/>
          <w:color w:val="000000" w:themeColor="text1"/>
        </w:rPr>
        <w:t>s</w:t>
      </w:r>
      <w:r w:rsidR="006423B2" w:rsidRPr="007A58EA">
        <w:rPr>
          <w:b/>
          <w:bCs/>
          <w:color w:val="000000" w:themeColor="text1"/>
        </w:rPr>
        <w:t xml:space="preserve"> </w:t>
      </w:r>
    </w:p>
    <w:p w14:paraId="35A02FB3" w14:textId="77777777" w:rsidR="006423B2" w:rsidRPr="007A58EA" w:rsidRDefault="006423B2" w:rsidP="00391EA9">
      <w:pPr>
        <w:jc w:val="both"/>
        <w:rPr>
          <w:color w:val="000000" w:themeColor="text1"/>
        </w:rPr>
      </w:pPr>
    </w:p>
    <w:p w14:paraId="6360895F" w14:textId="686603A0" w:rsidR="007E0CDE" w:rsidRDefault="006423B2" w:rsidP="00391EA9">
      <w:pPr>
        <w:jc w:val="both"/>
        <w:rPr>
          <w:color w:val="000000" w:themeColor="text1"/>
        </w:rPr>
      </w:pPr>
      <w:r w:rsidRPr="007A58EA">
        <w:rPr>
          <w:color w:val="000000" w:themeColor="text1"/>
        </w:rPr>
        <w:t xml:space="preserve">When it comes to expressing the legal consequences of incompatibility between directly effective Union </w:t>
      </w:r>
      <w:r w:rsidR="00B74C5E" w:rsidRPr="007A58EA">
        <w:rPr>
          <w:color w:val="000000" w:themeColor="text1"/>
        </w:rPr>
        <w:t xml:space="preserve">provisions </w:t>
      </w:r>
      <w:r w:rsidRPr="007A58EA">
        <w:rPr>
          <w:color w:val="000000" w:themeColor="text1"/>
        </w:rPr>
        <w:t xml:space="preserve">and purely domestic acts, </w:t>
      </w:r>
      <w:r w:rsidR="00B74C5E" w:rsidRPr="007A58EA">
        <w:rPr>
          <w:color w:val="000000" w:themeColor="text1"/>
        </w:rPr>
        <w:t xml:space="preserve">the latter’s </w:t>
      </w:r>
      <w:r w:rsidRPr="007A58EA">
        <w:rPr>
          <w:color w:val="000000" w:themeColor="text1"/>
        </w:rPr>
        <w:t xml:space="preserve">disapplication in accordance </w:t>
      </w:r>
      <w:r w:rsidRPr="007A58EA">
        <w:rPr>
          <w:color w:val="000000" w:themeColor="text1"/>
        </w:rPr>
        <w:lastRenderedPageBreak/>
        <w:t xml:space="preserve">with the </w:t>
      </w:r>
      <w:r w:rsidR="00002823" w:rsidRPr="007A58EA">
        <w:rPr>
          <w:color w:val="000000" w:themeColor="text1"/>
        </w:rPr>
        <w:t xml:space="preserve">nuanced </w:t>
      </w:r>
      <w:r w:rsidRPr="007A58EA">
        <w:rPr>
          <w:color w:val="000000" w:themeColor="text1"/>
        </w:rPr>
        <w:t xml:space="preserve">framework developed </w:t>
      </w:r>
      <w:r w:rsidR="00AC7537" w:rsidRPr="007A58EA">
        <w:rPr>
          <w:color w:val="000000" w:themeColor="text1"/>
        </w:rPr>
        <w:t xml:space="preserve">over decades </w:t>
      </w:r>
      <w:r w:rsidRPr="007A58EA">
        <w:rPr>
          <w:color w:val="000000" w:themeColor="text1"/>
        </w:rPr>
        <w:t xml:space="preserve">by the </w:t>
      </w:r>
      <w:r w:rsidR="00063B3F">
        <w:rPr>
          <w:color w:val="000000" w:themeColor="text1"/>
        </w:rPr>
        <w:t>CJEU</w:t>
      </w:r>
      <w:r w:rsidRPr="007A58EA">
        <w:rPr>
          <w:color w:val="000000" w:themeColor="text1"/>
        </w:rPr>
        <w:t xml:space="preserve"> remains the </w:t>
      </w:r>
      <w:r w:rsidR="00AC7537" w:rsidRPr="007A58EA">
        <w:rPr>
          <w:color w:val="000000" w:themeColor="text1"/>
        </w:rPr>
        <w:t xml:space="preserve">very </w:t>
      </w:r>
      <w:r w:rsidR="00B74C5E" w:rsidRPr="007A58EA">
        <w:rPr>
          <w:color w:val="000000" w:themeColor="text1"/>
        </w:rPr>
        <w:t xml:space="preserve">essence of the principle of primacy.  </w:t>
      </w:r>
    </w:p>
    <w:p w14:paraId="2F5D4093" w14:textId="77777777" w:rsidR="007E0CDE" w:rsidRDefault="00B74C5E" w:rsidP="007E0CDE">
      <w:pPr>
        <w:ind w:firstLine="720"/>
        <w:jc w:val="both"/>
        <w:rPr>
          <w:color w:val="000000" w:themeColor="text1"/>
        </w:rPr>
      </w:pPr>
      <w:r w:rsidRPr="007A58EA">
        <w:rPr>
          <w:color w:val="000000" w:themeColor="text1"/>
        </w:rPr>
        <w:t xml:space="preserve">Recent cases </w:t>
      </w:r>
      <w:r w:rsidR="00AC7537" w:rsidRPr="007A58EA">
        <w:rPr>
          <w:color w:val="000000" w:themeColor="text1"/>
        </w:rPr>
        <w:t xml:space="preserve">do </w:t>
      </w:r>
      <w:r w:rsidRPr="007A58EA">
        <w:rPr>
          <w:color w:val="000000" w:themeColor="text1"/>
        </w:rPr>
        <w:t xml:space="preserve">suggest that there are exceptional circumstances when the unity and effectiveness of EU law might propel the Court to insist that primacy entails legal consequences </w:t>
      </w:r>
      <w:r w:rsidR="00621564" w:rsidRPr="007A58EA">
        <w:rPr>
          <w:color w:val="000000" w:themeColor="text1"/>
        </w:rPr>
        <w:t xml:space="preserve">going </w:t>
      </w:r>
      <w:r w:rsidRPr="007A58EA">
        <w:rPr>
          <w:color w:val="000000" w:themeColor="text1"/>
        </w:rPr>
        <w:t xml:space="preserve">beyond </w:t>
      </w:r>
      <w:r w:rsidR="00621564" w:rsidRPr="007A58EA">
        <w:rPr>
          <w:color w:val="000000" w:themeColor="text1"/>
        </w:rPr>
        <w:t xml:space="preserve">mere </w:t>
      </w:r>
      <w:r w:rsidRPr="007A58EA">
        <w:rPr>
          <w:color w:val="000000" w:themeColor="text1"/>
        </w:rPr>
        <w:t>disapplication</w:t>
      </w:r>
      <w:r w:rsidR="00621564" w:rsidRPr="007A58EA">
        <w:rPr>
          <w:color w:val="000000" w:themeColor="text1"/>
        </w:rPr>
        <w:t xml:space="preserve">, instead calling upon the national courts to regard </w:t>
      </w:r>
      <w:r w:rsidR="00002823" w:rsidRPr="007A58EA">
        <w:rPr>
          <w:color w:val="000000" w:themeColor="text1"/>
        </w:rPr>
        <w:t xml:space="preserve">certain </w:t>
      </w:r>
      <w:r w:rsidR="00621564" w:rsidRPr="007A58EA">
        <w:rPr>
          <w:color w:val="000000" w:themeColor="text1"/>
        </w:rPr>
        <w:t>incompatible domestic acts simply as null and void</w:t>
      </w:r>
      <w:r w:rsidRPr="007A58EA">
        <w:rPr>
          <w:color w:val="000000" w:themeColor="text1"/>
        </w:rPr>
        <w:t>.</w:t>
      </w:r>
      <w:r w:rsidR="00621564" w:rsidRPr="007A58EA">
        <w:rPr>
          <w:color w:val="000000" w:themeColor="text1"/>
        </w:rPr>
        <w:t xml:space="preserve">  </w:t>
      </w:r>
      <w:r w:rsidR="001F299A" w:rsidRPr="007A58EA">
        <w:rPr>
          <w:color w:val="000000" w:themeColor="text1"/>
        </w:rPr>
        <w:t xml:space="preserve">That is certainly true of </w:t>
      </w:r>
      <w:r w:rsidR="001F299A" w:rsidRPr="007A58EA">
        <w:rPr>
          <w:i/>
          <w:iCs/>
          <w:color w:val="000000" w:themeColor="text1"/>
        </w:rPr>
        <w:t>Rimšēvičs</w:t>
      </w:r>
      <w:r w:rsidR="001F299A" w:rsidRPr="007A58EA">
        <w:rPr>
          <w:color w:val="000000" w:themeColor="text1"/>
        </w:rPr>
        <w:t xml:space="preserve"> and </w:t>
      </w:r>
      <w:r w:rsidR="001F299A" w:rsidRPr="007A58EA">
        <w:rPr>
          <w:i/>
          <w:iCs/>
          <w:color w:val="000000" w:themeColor="text1"/>
        </w:rPr>
        <w:t>M.Z.</w:t>
      </w:r>
      <w:r w:rsidR="005C025E" w:rsidRPr="007A58EA">
        <w:rPr>
          <w:color w:val="000000" w:themeColor="text1"/>
        </w:rPr>
        <w:t xml:space="preserve"> (</w:t>
      </w:r>
      <w:r w:rsidR="001F299A" w:rsidRPr="007A58EA">
        <w:rPr>
          <w:color w:val="000000" w:themeColor="text1"/>
        </w:rPr>
        <w:t>though</w:t>
      </w:r>
      <w:r w:rsidR="005C025E" w:rsidRPr="007A58EA">
        <w:rPr>
          <w:color w:val="000000" w:themeColor="text1"/>
        </w:rPr>
        <w:t>,</w:t>
      </w:r>
      <w:r w:rsidR="001F299A" w:rsidRPr="007A58EA">
        <w:rPr>
          <w:color w:val="000000" w:themeColor="text1"/>
        </w:rPr>
        <w:t xml:space="preserve"> in the author’s view, it is not so persuasive an interpretation of the ruling in </w:t>
      </w:r>
      <w:r w:rsidR="001F299A" w:rsidRPr="007A58EA">
        <w:rPr>
          <w:i/>
          <w:iCs/>
          <w:color w:val="000000" w:themeColor="text1"/>
        </w:rPr>
        <w:t>Berlusconi</w:t>
      </w:r>
      <w:r w:rsidR="005C025E" w:rsidRPr="007A58EA">
        <w:rPr>
          <w:color w:val="000000" w:themeColor="text1"/>
        </w:rPr>
        <w:t>)</w:t>
      </w:r>
      <w:r w:rsidR="001F299A" w:rsidRPr="007A58EA">
        <w:rPr>
          <w:color w:val="000000" w:themeColor="text1"/>
        </w:rPr>
        <w:t>.</w:t>
      </w:r>
    </w:p>
    <w:p w14:paraId="7609CBB7" w14:textId="09F00303" w:rsidR="007E0CDE" w:rsidRDefault="00621564" w:rsidP="007E0CDE">
      <w:pPr>
        <w:ind w:firstLine="720"/>
        <w:jc w:val="both"/>
        <w:rPr>
          <w:color w:val="000000" w:themeColor="text1"/>
        </w:rPr>
      </w:pPr>
      <w:r w:rsidRPr="007A58EA">
        <w:rPr>
          <w:color w:val="000000" w:themeColor="text1"/>
        </w:rPr>
        <w:t xml:space="preserve">As a matter of principle, those developments are of an evolutionary rather than revolutionary nature.  </w:t>
      </w:r>
      <w:r w:rsidR="00FA3F6E" w:rsidRPr="007A58EA">
        <w:rPr>
          <w:color w:val="000000" w:themeColor="text1"/>
        </w:rPr>
        <w:t xml:space="preserve">They do not fall beyond the boundaries, let alone directly challenge the conceptual basis, of the </w:t>
      </w:r>
      <w:r w:rsidR="00002823" w:rsidRPr="007A58EA">
        <w:rPr>
          <w:color w:val="000000" w:themeColor="text1"/>
        </w:rPr>
        <w:t xml:space="preserve">underlying </w:t>
      </w:r>
      <w:r w:rsidR="00B83C6B" w:rsidRPr="007A58EA">
        <w:rPr>
          <w:color w:val="000000" w:themeColor="text1"/>
        </w:rPr>
        <w:t xml:space="preserve">framework governing Union-Member State legal relations as encapsulated in rulings like </w:t>
      </w:r>
      <w:r w:rsidR="00B83C6B" w:rsidRPr="007A58EA">
        <w:rPr>
          <w:i/>
          <w:iCs/>
          <w:color w:val="000000" w:themeColor="text1"/>
        </w:rPr>
        <w:t>Popławski</w:t>
      </w:r>
      <w:r w:rsidR="00B83C6B" w:rsidRPr="007A58EA">
        <w:rPr>
          <w:color w:val="000000" w:themeColor="text1"/>
        </w:rPr>
        <w:t xml:space="preserve">.  And it </w:t>
      </w:r>
      <w:r w:rsidRPr="007A58EA">
        <w:rPr>
          <w:color w:val="000000" w:themeColor="text1"/>
        </w:rPr>
        <w:t>is already well established that the unity and effectiveness of Union law may sometimes impose additional constraints upon the competence of the national courts to process the detailed legal consequences of incompatibility within the</w:t>
      </w:r>
      <w:r w:rsidR="005C025E" w:rsidRPr="007A58EA">
        <w:rPr>
          <w:color w:val="000000" w:themeColor="text1"/>
        </w:rPr>
        <w:t>ir</w:t>
      </w:r>
      <w:r w:rsidRPr="007A58EA">
        <w:rPr>
          <w:color w:val="000000" w:themeColor="text1"/>
        </w:rPr>
        <w:t xml:space="preserve"> domestic legal system.  </w:t>
      </w:r>
      <w:r w:rsidR="008C4DB2" w:rsidRPr="007A58EA">
        <w:rPr>
          <w:color w:val="000000" w:themeColor="text1"/>
        </w:rPr>
        <w:t xml:space="preserve">So it is entirely appropriate for the </w:t>
      </w:r>
      <w:r w:rsidR="000B5081" w:rsidRPr="007A58EA">
        <w:rPr>
          <w:color w:val="000000" w:themeColor="text1"/>
        </w:rPr>
        <w:t xml:space="preserve">Court’s </w:t>
      </w:r>
      <w:r w:rsidR="008C4DB2" w:rsidRPr="007A58EA">
        <w:rPr>
          <w:color w:val="000000" w:themeColor="text1"/>
        </w:rPr>
        <w:t xml:space="preserve">caselaw </w:t>
      </w:r>
      <w:r w:rsidR="000B5081" w:rsidRPr="007A58EA">
        <w:rPr>
          <w:color w:val="000000" w:themeColor="text1"/>
        </w:rPr>
        <w:t xml:space="preserve">now </w:t>
      </w:r>
      <w:r w:rsidR="008C4DB2" w:rsidRPr="007A58EA">
        <w:rPr>
          <w:color w:val="000000" w:themeColor="text1"/>
        </w:rPr>
        <w:t>to prompt us to ask the question and debate the answer: how far should the principle of primacy evolve new forms of remed</w:t>
      </w:r>
      <w:r w:rsidR="005C025E" w:rsidRPr="007A58EA">
        <w:rPr>
          <w:color w:val="000000" w:themeColor="text1"/>
        </w:rPr>
        <w:t>y</w:t>
      </w:r>
      <w:r w:rsidR="008C4DB2" w:rsidRPr="007A58EA">
        <w:rPr>
          <w:color w:val="000000" w:themeColor="text1"/>
        </w:rPr>
        <w:t xml:space="preserve"> that go beyond mere disapplication, into the very legal existence </w:t>
      </w:r>
      <w:r w:rsidR="00AB30EE">
        <w:rPr>
          <w:color w:val="000000" w:themeColor="text1"/>
        </w:rPr>
        <w:t>and</w:t>
      </w:r>
      <w:r w:rsidR="008C4DB2" w:rsidRPr="007A58EA">
        <w:rPr>
          <w:color w:val="000000" w:themeColor="text1"/>
        </w:rPr>
        <w:t xml:space="preserve"> status of incompatible national acts?</w:t>
      </w:r>
    </w:p>
    <w:p w14:paraId="291F39CC" w14:textId="77777777" w:rsidR="007E0CDE" w:rsidRDefault="00621564" w:rsidP="007E0CDE">
      <w:pPr>
        <w:ind w:firstLine="720"/>
        <w:jc w:val="both"/>
        <w:rPr>
          <w:color w:val="000000" w:themeColor="text1"/>
        </w:rPr>
      </w:pPr>
      <w:r w:rsidRPr="007A58EA">
        <w:rPr>
          <w:color w:val="000000" w:themeColor="text1"/>
        </w:rPr>
        <w:t xml:space="preserve">However, it is difficult to see </w:t>
      </w:r>
      <w:r w:rsidR="004B53F0" w:rsidRPr="007A58EA">
        <w:rPr>
          <w:color w:val="000000" w:themeColor="text1"/>
        </w:rPr>
        <w:t xml:space="preserve">this </w:t>
      </w:r>
      <w:r w:rsidRPr="007A58EA">
        <w:rPr>
          <w:color w:val="000000" w:themeColor="text1"/>
        </w:rPr>
        <w:t xml:space="preserve">recent caselaw as </w:t>
      </w:r>
      <w:r w:rsidR="004E229B" w:rsidRPr="007A58EA">
        <w:rPr>
          <w:color w:val="000000" w:themeColor="text1"/>
        </w:rPr>
        <w:t xml:space="preserve">offering any general </w:t>
      </w:r>
      <w:r w:rsidR="008C4DB2" w:rsidRPr="007A58EA">
        <w:rPr>
          <w:color w:val="000000" w:themeColor="text1"/>
        </w:rPr>
        <w:t xml:space="preserve">and </w:t>
      </w:r>
      <w:r w:rsidRPr="007A58EA">
        <w:rPr>
          <w:color w:val="000000" w:themeColor="text1"/>
        </w:rPr>
        <w:t xml:space="preserve">coherent </w:t>
      </w:r>
      <w:r w:rsidR="008C4DB2" w:rsidRPr="007A58EA">
        <w:rPr>
          <w:color w:val="000000" w:themeColor="text1"/>
        </w:rPr>
        <w:t>answer to that enquiry</w:t>
      </w:r>
      <w:r w:rsidRPr="007A58EA">
        <w:rPr>
          <w:color w:val="000000" w:themeColor="text1"/>
        </w:rPr>
        <w:t xml:space="preserve">.  After all, the situation in, reasoning behind and outcome of </w:t>
      </w:r>
      <w:r w:rsidR="000B5081" w:rsidRPr="007A58EA">
        <w:rPr>
          <w:i/>
          <w:iCs/>
          <w:color w:val="000000" w:themeColor="text1"/>
        </w:rPr>
        <w:t>Rimšēvičs</w:t>
      </w:r>
      <w:r w:rsidR="000B5081" w:rsidRPr="007A58EA">
        <w:rPr>
          <w:color w:val="000000" w:themeColor="text1"/>
        </w:rPr>
        <w:t xml:space="preserve"> </w:t>
      </w:r>
      <w:r w:rsidR="004B53F0" w:rsidRPr="007A58EA">
        <w:rPr>
          <w:color w:val="000000" w:themeColor="text1"/>
        </w:rPr>
        <w:t xml:space="preserve">are all </w:t>
      </w:r>
      <w:r w:rsidRPr="007A58EA">
        <w:rPr>
          <w:color w:val="000000" w:themeColor="text1"/>
        </w:rPr>
        <w:t xml:space="preserve">entirely different from those underpinning </w:t>
      </w:r>
      <w:r w:rsidR="004B53F0" w:rsidRPr="007A58EA">
        <w:rPr>
          <w:color w:val="000000" w:themeColor="text1"/>
        </w:rPr>
        <w:t xml:space="preserve">the case of </w:t>
      </w:r>
      <w:r w:rsidR="008E2E72" w:rsidRPr="007A58EA">
        <w:rPr>
          <w:i/>
          <w:iCs/>
          <w:color w:val="000000" w:themeColor="text1"/>
        </w:rPr>
        <w:t>W.Ż.</w:t>
      </w:r>
      <w:r w:rsidRPr="007A58EA">
        <w:rPr>
          <w:color w:val="000000" w:themeColor="text1"/>
        </w:rPr>
        <w:t>.</w:t>
      </w:r>
      <w:r w:rsidR="004B53F0" w:rsidRPr="007A58EA">
        <w:rPr>
          <w:color w:val="000000" w:themeColor="text1"/>
        </w:rPr>
        <w:t xml:space="preserve">  </w:t>
      </w:r>
      <w:r w:rsidR="004E229B" w:rsidRPr="007A58EA">
        <w:rPr>
          <w:color w:val="000000" w:themeColor="text1"/>
        </w:rPr>
        <w:t xml:space="preserve">And </w:t>
      </w:r>
      <w:r w:rsidR="000B5081" w:rsidRPr="007A58EA">
        <w:rPr>
          <w:i/>
          <w:iCs/>
          <w:color w:val="000000" w:themeColor="text1"/>
        </w:rPr>
        <w:t>Rimšēvičs</w:t>
      </w:r>
      <w:r w:rsidR="000B5081" w:rsidRPr="007A58EA">
        <w:rPr>
          <w:color w:val="000000" w:themeColor="text1"/>
        </w:rPr>
        <w:t xml:space="preserve"> </w:t>
      </w:r>
      <w:r w:rsidR="004B53F0" w:rsidRPr="007A58EA">
        <w:rPr>
          <w:color w:val="000000" w:themeColor="text1"/>
        </w:rPr>
        <w:t xml:space="preserve">really is an exceptional decision, hard to generalise beyond its bespoke Treaty framework.  As for </w:t>
      </w:r>
      <w:r w:rsidR="008E2E72" w:rsidRPr="007A58EA">
        <w:rPr>
          <w:i/>
          <w:iCs/>
          <w:color w:val="000000" w:themeColor="text1"/>
        </w:rPr>
        <w:t>W.Ż.</w:t>
      </w:r>
      <w:r w:rsidR="004B53F0" w:rsidRPr="007A58EA">
        <w:rPr>
          <w:color w:val="000000" w:themeColor="text1"/>
        </w:rPr>
        <w:t>, it is certainly less exceptional in terms of its underpinning Union law context – but the case remains just as unusual, in terms of its factual and legal anchoring to the specific procedural features of Polish law.</w:t>
      </w:r>
      <w:r w:rsidR="00646501" w:rsidRPr="007A58EA">
        <w:rPr>
          <w:color w:val="000000" w:themeColor="text1"/>
        </w:rPr>
        <w:t xml:space="preserve">  </w:t>
      </w:r>
    </w:p>
    <w:p w14:paraId="7978A0B3" w14:textId="317AC58D" w:rsidR="007E0CDE" w:rsidRDefault="00072E3E" w:rsidP="007E0CDE">
      <w:pPr>
        <w:ind w:firstLine="720"/>
        <w:jc w:val="both"/>
        <w:rPr>
          <w:color w:val="000000" w:themeColor="text1"/>
        </w:rPr>
      </w:pPr>
      <w:r w:rsidRPr="007A58EA">
        <w:rPr>
          <w:color w:val="000000" w:themeColor="text1"/>
        </w:rPr>
        <w:t xml:space="preserve">Notwithstanding the fragmented landscape </w:t>
      </w:r>
      <w:r w:rsidR="000B47D1" w:rsidRPr="007A58EA">
        <w:rPr>
          <w:color w:val="000000" w:themeColor="text1"/>
        </w:rPr>
        <w:t>with</w:t>
      </w:r>
      <w:r w:rsidRPr="007A58EA">
        <w:rPr>
          <w:color w:val="000000" w:themeColor="text1"/>
        </w:rPr>
        <w:t xml:space="preserve">in which our already </w:t>
      </w:r>
      <w:r w:rsidR="004576FF" w:rsidRPr="007A58EA">
        <w:rPr>
          <w:color w:val="000000" w:themeColor="text1"/>
        </w:rPr>
        <w:t xml:space="preserve">limited </w:t>
      </w:r>
      <w:r w:rsidRPr="007A58EA">
        <w:rPr>
          <w:color w:val="000000" w:themeColor="text1"/>
        </w:rPr>
        <w:t xml:space="preserve">caselaw </w:t>
      </w:r>
      <w:r w:rsidR="004576FF" w:rsidRPr="007A58EA">
        <w:rPr>
          <w:color w:val="000000" w:themeColor="text1"/>
        </w:rPr>
        <w:t xml:space="preserve">is to be </w:t>
      </w:r>
      <w:r w:rsidRPr="007A58EA">
        <w:rPr>
          <w:color w:val="000000" w:themeColor="text1"/>
        </w:rPr>
        <w:t xml:space="preserve">located, it </w:t>
      </w:r>
      <w:r w:rsidR="004576FF" w:rsidRPr="007A58EA">
        <w:rPr>
          <w:color w:val="000000" w:themeColor="text1"/>
        </w:rPr>
        <w:t xml:space="preserve">is difficult to resist the academic urge to look for commonalities and patterns, that might combine to produce something meatier and more coherent than </w:t>
      </w:r>
      <w:r w:rsidR="005C025E" w:rsidRPr="007A58EA">
        <w:rPr>
          <w:color w:val="000000" w:themeColor="text1"/>
        </w:rPr>
        <w:t>the</w:t>
      </w:r>
      <w:r w:rsidR="004576FF" w:rsidRPr="007A58EA">
        <w:rPr>
          <w:color w:val="000000" w:themeColor="text1"/>
        </w:rPr>
        <w:t xml:space="preserve"> </w:t>
      </w:r>
      <w:r w:rsidR="000B47D1" w:rsidRPr="007A58EA">
        <w:rPr>
          <w:color w:val="000000" w:themeColor="text1"/>
        </w:rPr>
        <w:t xml:space="preserve">few </w:t>
      </w:r>
      <w:r w:rsidR="004576FF" w:rsidRPr="007A58EA">
        <w:rPr>
          <w:color w:val="000000" w:themeColor="text1"/>
        </w:rPr>
        <w:t>individual elements</w:t>
      </w:r>
      <w:r w:rsidR="005C025E" w:rsidRPr="007A58EA">
        <w:rPr>
          <w:color w:val="000000" w:themeColor="text1"/>
        </w:rPr>
        <w:t xml:space="preserve"> </w:t>
      </w:r>
      <w:r w:rsidR="000B47D1" w:rsidRPr="007A58EA">
        <w:rPr>
          <w:color w:val="000000" w:themeColor="text1"/>
        </w:rPr>
        <w:t xml:space="preserve">now </w:t>
      </w:r>
      <w:r w:rsidR="005C025E" w:rsidRPr="007A58EA">
        <w:rPr>
          <w:color w:val="000000" w:themeColor="text1"/>
        </w:rPr>
        <w:t>scattered messily across the Court’s database</w:t>
      </w:r>
      <w:r w:rsidR="004576FF" w:rsidRPr="007A58EA">
        <w:rPr>
          <w:color w:val="000000" w:themeColor="text1"/>
        </w:rPr>
        <w:t xml:space="preserve">.  In that regard, it </w:t>
      </w:r>
      <w:r w:rsidR="00D91067" w:rsidRPr="007A58EA">
        <w:rPr>
          <w:color w:val="000000" w:themeColor="text1"/>
        </w:rPr>
        <w:t xml:space="preserve">is possible to extrapolate from </w:t>
      </w:r>
      <w:r w:rsidR="00D91067" w:rsidRPr="007A58EA">
        <w:rPr>
          <w:i/>
          <w:iCs/>
          <w:color w:val="000000" w:themeColor="text1"/>
        </w:rPr>
        <w:t>Rimšēvičs</w:t>
      </w:r>
      <w:r w:rsidR="00D91067" w:rsidRPr="007A58EA">
        <w:rPr>
          <w:color w:val="000000" w:themeColor="text1"/>
        </w:rPr>
        <w:t xml:space="preserve"> and </w:t>
      </w:r>
      <w:r w:rsidR="00D91067" w:rsidRPr="007A58EA">
        <w:rPr>
          <w:i/>
          <w:iCs/>
          <w:color w:val="000000" w:themeColor="text1"/>
        </w:rPr>
        <w:t xml:space="preserve">W.Ż. </w:t>
      </w:r>
      <w:r w:rsidR="00D91067" w:rsidRPr="007A58EA">
        <w:rPr>
          <w:color w:val="000000" w:themeColor="text1"/>
        </w:rPr>
        <w:t xml:space="preserve">certain </w:t>
      </w:r>
      <w:r w:rsidR="00351586" w:rsidRPr="007A58EA">
        <w:rPr>
          <w:color w:val="000000" w:themeColor="text1"/>
        </w:rPr>
        <w:t xml:space="preserve">more abstract </w:t>
      </w:r>
      <w:r w:rsidR="00D91067" w:rsidRPr="007A58EA">
        <w:rPr>
          <w:color w:val="000000" w:themeColor="text1"/>
        </w:rPr>
        <w:t xml:space="preserve">factors that might </w:t>
      </w:r>
      <w:r w:rsidR="00351586" w:rsidRPr="007A58EA">
        <w:rPr>
          <w:color w:val="000000" w:themeColor="text1"/>
        </w:rPr>
        <w:t>help us to identify precisely when the unity and effectiveness of Union law might compel the national courts to a finding of nullity rather than mere disapplication</w:t>
      </w:r>
      <w:r w:rsidR="00D91067" w:rsidRPr="007A58EA">
        <w:rPr>
          <w:color w:val="000000" w:themeColor="text1"/>
        </w:rPr>
        <w:t xml:space="preserve">: for example, whether the </w:t>
      </w:r>
      <w:r w:rsidR="00351586" w:rsidRPr="007A58EA">
        <w:rPr>
          <w:color w:val="000000" w:themeColor="text1"/>
        </w:rPr>
        <w:t xml:space="preserve">relevant </w:t>
      </w:r>
      <w:r w:rsidR="00D91067" w:rsidRPr="007A58EA">
        <w:rPr>
          <w:color w:val="000000" w:themeColor="text1"/>
        </w:rPr>
        <w:t xml:space="preserve">incompatibility with Union law only really permits of one possible outcome in all </w:t>
      </w:r>
      <w:r w:rsidR="00351586" w:rsidRPr="007A58EA">
        <w:rPr>
          <w:color w:val="000000" w:themeColor="text1"/>
        </w:rPr>
        <w:t xml:space="preserve">potential </w:t>
      </w:r>
      <w:r w:rsidR="00D91067" w:rsidRPr="007A58EA">
        <w:rPr>
          <w:color w:val="000000" w:themeColor="text1"/>
        </w:rPr>
        <w:t>scenarios</w:t>
      </w:r>
      <w:r w:rsidR="00EC7695" w:rsidRPr="007A58EA">
        <w:rPr>
          <w:color w:val="000000" w:themeColor="text1"/>
        </w:rPr>
        <w:t xml:space="preserve">, rather than a situation where </w:t>
      </w:r>
      <w:r w:rsidR="00351586" w:rsidRPr="007A58EA">
        <w:rPr>
          <w:color w:val="000000" w:themeColor="text1"/>
        </w:rPr>
        <w:t xml:space="preserve">the same domestic act </w:t>
      </w:r>
      <w:r w:rsidR="00EC7695" w:rsidRPr="007A58EA">
        <w:rPr>
          <w:color w:val="000000" w:themeColor="text1"/>
        </w:rPr>
        <w:t xml:space="preserve">might remain compliant with, or </w:t>
      </w:r>
      <w:r w:rsidR="006C64D7">
        <w:rPr>
          <w:color w:val="000000" w:themeColor="text1"/>
        </w:rPr>
        <w:t xml:space="preserve">entirely </w:t>
      </w:r>
      <w:r w:rsidR="00EC7695" w:rsidRPr="007A58EA">
        <w:rPr>
          <w:color w:val="000000" w:themeColor="text1"/>
        </w:rPr>
        <w:t xml:space="preserve">outside the scope of, Union law for </w:t>
      </w:r>
      <w:r w:rsidR="00351586" w:rsidRPr="007A58EA">
        <w:rPr>
          <w:color w:val="000000" w:themeColor="text1"/>
        </w:rPr>
        <w:t xml:space="preserve">a range of </w:t>
      </w:r>
      <w:r w:rsidR="005C025E" w:rsidRPr="007A58EA">
        <w:rPr>
          <w:color w:val="000000" w:themeColor="text1"/>
        </w:rPr>
        <w:t xml:space="preserve">alternative </w:t>
      </w:r>
      <w:r w:rsidR="00EC7695" w:rsidRPr="007A58EA">
        <w:rPr>
          <w:color w:val="000000" w:themeColor="text1"/>
        </w:rPr>
        <w:t>purposes</w:t>
      </w:r>
      <w:r w:rsidR="00D91067" w:rsidRPr="007A58EA">
        <w:rPr>
          <w:color w:val="000000" w:themeColor="text1"/>
        </w:rPr>
        <w:t>; or</w:t>
      </w:r>
      <w:r w:rsidR="00351586" w:rsidRPr="007A58EA">
        <w:rPr>
          <w:color w:val="000000" w:themeColor="text1"/>
        </w:rPr>
        <w:t xml:space="preserve"> </w:t>
      </w:r>
      <w:r w:rsidR="00EC7695" w:rsidRPr="007A58EA">
        <w:rPr>
          <w:color w:val="000000" w:themeColor="text1"/>
        </w:rPr>
        <w:t xml:space="preserve">concerning </w:t>
      </w:r>
      <w:r w:rsidR="00D91067" w:rsidRPr="007A58EA">
        <w:rPr>
          <w:color w:val="000000" w:themeColor="text1"/>
        </w:rPr>
        <w:t xml:space="preserve">the essential character of the relevant national </w:t>
      </w:r>
      <w:r w:rsidR="00EC7695" w:rsidRPr="007A58EA">
        <w:rPr>
          <w:color w:val="000000" w:themeColor="text1"/>
        </w:rPr>
        <w:t xml:space="preserve">measure </w:t>
      </w:r>
      <w:r w:rsidR="00D91067" w:rsidRPr="007A58EA">
        <w:rPr>
          <w:color w:val="000000" w:themeColor="text1"/>
        </w:rPr>
        <w:t xml:space="preserve">as an individual </w:t>
      </w:r>
      <w:r w:rsidR="00EC7695" w:rsidRPr="007A58EA">
        <w:rPr>
          <w:color w:val="000000" w:themeColor="text1"/>
        </w:rPr>
        <w:t xml:space="preserve">administrative or judicial decision, whose </w:t>
      </w:r>
      <w:r w:rsidR="00833C5D" w:rsidRPr="007A58EA">
        <w:rPr>
          <w:color w:val="000000" w:themeColor="text1"/>
        </w:rPr>
        <w:t>annulment</w:t>
      </w:r>
      <w:r w:rsidR="00EC7695" w:rsidRPr="007A58EA">
        <w:rPr>
          <w:color w:val="000000" w:themeColor="text1"/>
        </w:rPr>
        <w:t xml:space="preserve"> would be more akin to disapplication </w:t>
      </w:r>
      <w:r w:rsidR="00351586" w:rsidRPr="007A58EA">
        <w:rPr>
          <w:color w:val="000000" w:themeColor="text1"/>
        </w:rPr>
        <w:t>within the context of a specific dispute</w:t>
      </w:r>
      <w:r w:rsidR="00833C5D" w:rsidRPr="007A58EA">
        <w:rPr>
          <w:color w:val="000000" w:themeColor="text1"/>
        </w:rPr>
        <w:t xml:space="preserve"> benefiting an identifiable claimant</w:t>
      </w:r>
      <w:r w:rsidR="00351586" w:rsidRPr="007A58EA">
        <w:rPr>
          <w:color w:val="000000" w:themeColor="text1"/>
        </w:rPr>
        <w:t xml:space="preserve">, </w:t>
      </w:r>
      <w:r w:rsidR="00EC7695" w:rsidRPr="007A58EA">
        <w:rPr>
          <w:color w:val="000000" w:themeColor="text1"/>
        </w:rPr>
        <w:t xml:space="preserve">than would be true (say) with </w:t>
      </w:r>
      <w:r w:rsidR="00351586" w:rsidRPr="007A58EA">
        <w:rPr>
          <w:color w:val="000000" w:themeColor="text1"/>
        </w:rPr>
        <w:t xml:space="preserve">the </w:t>
      </w:r>
      <w:r w:rsidR="00833C5D" w:rsidRPr="007A58EA">
        <w:rPr>
          <w:color w:val="000000" w:themeColor="text1"/>
        </w:rPr>
        <w:t>voiding</w:t>
      </w:r>
      <w:r w:rsidR="00351586" w:rsidRPr="007A58EA">
        <w:rPr>
          <w:color w:val="000000" w:themeColor="text1"/>
        </w:rPr>
        <w:t xml:space="preserve"> of </w:t>
      </w:r>
      <w:r w:rsidR="00EC7695" w:rsidRPr="007A58EA">
        <w:rPr>
          <w:color w:val="000000" w:themeColor="text1"/>
        </w:rPr>
        <w:t xml:space="preserve">national legislation </w:t>
      </w:r>
      <w:r w:rsidR="00351586" w:rsidRPr="007A58EA">
        <w:rPr>
          <w:color w:val="000000" w:themeColor="text1"/>
        </w:rPr>
        <w:t xml:space="preserve">enjoying </w:t>
      </w:r>
      <w:r w:rsidR="00EC7695" w:rsidRPr="007A58EA">
        <w:rPr>
          <w:color w:val="000000" w:themeColor="text1"/>
        </w:rPr>
        <w:t xml:space="preserve">general application.  </w:t>
      </w:r>
    </w:p>
    <w:p w14:paraId="59CB4861" w14:textId="75EEF782" w:rsidR="008C4DB2" w:rsidRPr="007A58EA" w:rsidRDefault="00646501" w:rsidP="007E0CDE">
      <w:pPr>
        <w:ind w:firstLine="720"/>
        <w:jc w:val="both"/>
        <w:rPr>
          <w:color w:val="000000" w:themeColor="text1"/>
        </w:rPr>
      </w:pPr>
      <w:r w:rsidRPr="007A58EA">
        <w:rPr>
          <w:color w:val="000000" w:themeColor="text1"/>
        </w:rPr>
        <w:t xml:space="preserve">But </w:t>
      </w:r>
      <w:r w:rsidR="004576FF" w:rsidRPr="007A58EA">
        <w:rPr>
          <w:color w:val="000000" w:themeColor="text1"/>
        </w:rPr>
        <w:t xml:space="preserve">even assuming our </w:t>
      </w:r>
      <w:r w:rsidR="00833C5D" w:rsidRPr="007A58EA">
        <w:rPr>
          <w:color w:val="000000" w:themeColor="text1"/>
        </w:rPr>
        <w:t xml:space="preserve">natural </w:t>
      </w:r>
      <w:r w:rsidR="004576FF" w:rsidRPr="007A58EA">
        <w:rPr>
          <w:color w:val="000000" w:themeColor="text1"/>
        </w:rPr>
        <w:t xml:space="preserve">urge to systematise and generalise is well-founded </w:t>
      </w:r>
      <w:r w:rsidR="00833C5D" w:rsidRPr="007A58EA">
        <w:rPr>
          <w:color w:val="000000" w:themeColor="text1"/>
        </w:rPr>
        <w:t xml:space="preserve">as we map out </w:t>
      </w:r>
      <w:r w:rsidR="004576FF" w:rsidRPr="007A58EA">
        <w:rPr>
          <w:color w:val="000000" w:themeColor="text1"/>
        </w:rPr>
        <w:t xml:space="preserve">this particular </w:t>
      </w:r>
      <w:r w:rsidR="00833C5D" w:rsidRPr="007A58EA">
        <w:rPr>
          <w:color w:val="000000" w:themeColor="text1"/>
        </w:rPr>
        <w:t xml:space="preserve">body of caselaw and </w:t>
      </w:r>
      <w:r w:rsidR="00AB30EE">
        <w:rPr>
          <w:color w:val="000000" w:themeColor="text1"/>
        </w:rPr>
        <w:t xml:space="preserve">explore its fresh </w:t>
      </w:r>
      <w:r w:rsidR="004576FF" w:rsidRPr="007A58EA">
        <w:rPr>
          <w:color w:val="000000" w:themeColor="text1"/>
        </w:rPr>
        <w:t>avenue</w:t>
      </w:r>
      <w:r w:rsidR="00AB30EE">
        <w:rPr>
          <w:color w:val="000000" w:themeColor="text1"/>
        </w:rPr>
        <w:t>s</w:t>
      </w:r>
      <w:r w:rsidR="004576FF" w:rsidRPr="007A58EA">
        <w:rPr>
          <w:color w:val="000000" w:themeColor="text1"/>
        </w:rPr>
        <w:t xml:space="preserve"> of enquiry, </w:t>
      </w:r>
      <w:r w:rsidR="00EC7695" w:rsidRPr="007A58EA">
        <w:rPr>
          <w:color w:val="000000" w:themeColor="text1"/>
        </w:rPr>
        <w:t xml:space="preserve">such </w:t>
      </w:r>
      <w:r w:rsidR="00833C5D" w:rsidRPr="007A58EA">
        <w:rPr>
          <w:color w:val="000000" w:themeColor="text1"/>
        </w:rPr>
        <w:t xml:space="preserve">common and relevant factors as we do manage to identify </w:t>
      </w:r>
      <w:r w:rsidR="00EC7695" w:rsidRPr="007A58EA">
        <w:rPr>
          <w:color w:val="000000" w:themeColor="text1"/>
        </w:rPr>
        <w:t xml:space="preserve">must </w:t>
      </w:r>
      <w:r w:rsidR="00833C5D" w:rsidRPr="007A58EA">
        <w:rPr>
          <w:color w:val="000000" w:themeColor="text1"/>
        </w:rPr>
        <w:t xml:space="preserve">nevertheless </w:t>
      </w:r>
      <w:r w:rsidR="00EC7695" w:rsidRPr="007A58EA">
        <w:rPr>
          <w:color w:val="000000" w:themeColor="text1"/>
        </w:rPr>
        <w:t xml:space="preserve">remain </w:t>
      </w:r>
      <w:r w:rsidR="004576FF" w:rsidRPr="007A58EA">
        <w:rPr>
          <w:color w:val="000000" w:themeColor="text1"/>
        </w:rPr>
        <w:t xml:space="preserve">tentative and </w:t>
      </w:r>
      <w:r w:rsidR="00EC7695" w:rsidRPr="007A58EA">
        <w:rPr>
          <w:color w:val="000000" w:themeColor="text1"/>
        </w:rPr>
        <w:t>speculative.  In truth, t</w:t>
      </w:r>
      <w:r w:rsidRPr="007A58EA">
        <w:rPr>
          <w:color w:val="000000" w:themeColor="text1"/>
        </w:rPr>
        <w:t xml:space="preserve">he conditions under which the Court might </w:t>
      </w:r>
      <w:r w:rsidR="000B5081" w:rsidRPr="007A58EA">
        <w:rPr>
          <w:color w:val="000000" w:themeColor="text1"/>
        </w:rPr>
        <w:t xml:space="preserve">again </w:t>
      </w:r>
      <w:r w:rsidRPr="007A58EA">
        <w:rPr>
          <w:color w:val="000000" w:themeColor="text1"/>
        </w:rPr>
        <w:t xml:space="preserve">reach </w:t>
      </w:r>
      <w:r w:rsidR="00EC7695" w:rsidRPr="007A58EA">
        <w:rPr>
          <w:color w:val="000000" w:themeColor="text1"/>
        </w:rPr>
        <w:t xml:space="preserve">the </w:t>
      </w:r>
      <w:r w:rsidRPr="007A58EA">
        <w:rPr>
          <w:color w:val="000000" w:themeColor="text1"/>
        </w:rPr>
        <w:t xml:space="preserve">conclusion </w:t>
      </w:r>
      <w:r w:rsidR="00EC7695" w:rsidRPr="007A58EA">
        <w:rPr>
          <w:color w:val="000000" w:themeColor="text1"/>
        </w:rPr>
        <w:t xml:space="preserve">that “primacy means nullity” </w:t>
      </w:r>
      <w:r w:rsidRPr="007A58EA">
        <w:rPr>
          <w:color w:val="000000" w:themeColor="text1"/>
        </w:rPr>
        <w:t>are doctrinally unclear</w:t>
      </w:r>
      <w:r w:rsidR="00833C5D" w:rsidRPr="007A58EA">
        <w:rPr>
          <w:color w:val="000000" w:themeColor="text1"/>
        </w:rPr>
        <w:t xml:space="preserve"> – </w:t>
      </w:r>
      <w:r w:rsidR="00EC7695" w:rsidRPr="007A58EA">
        <w:rPr>
          <w:color w:val="000000" w:themeColor="text1"/>
        </w:rPr>
        <w:t xml:space="preserve">though </w:t>
      </w:r>
      <w:r w:rsidR="004576FF" w:rsidRPr="007A58EA">
        <w:rPr>
          <w:color w:val="000000" w:themeColor="text1"/>
        </w:rPr>
        <w:t xml:space="preserve">we can feel confident that, </w:t>
      </w:r>
      <w:r w:rsidRPr="007A58EA">
        <w:rPr>
          <w:color w:val="000000" w:themeColor="text1"/>
        </w:rPr>
        <w:t xml:space="preserve">whatever </w:t>
      </w:r>
      <w:r w:rsidR="00EC7695" w:rsidRPr="007A58EA">
        <w:rPr>
          <w:color w:val="000000" w:themeColor="text1"/>
        </w:rPr>
        <w:t xml:space="preserve">more </w:t>
      </w:r>
      <w:r w:rsidRPr="007A58EA">
        <w:rPr>
          <w:color w:val="000000" w:themeColor="text1"/>
        </w:rPr>
        <w:t xml:space="preserve">precise </w:t>
      </w:r>
      <w:r w:rsidR="00EC7695" w:rsidRPr="007A58EA">
        <w:rPr>
          <w:color w:val="000000" w:themeColor="text1"/>
        </w:rPr>
        <w:t>guidance might emerge in due course</w:t>
      </w:r>
      <w:r w:rsidRPr="007A58EA">
        <w:rPr>
          <w:color w:val="000000" w:themeColor="text1"/>
        </w:rPr>
        <w:t xml:space="preserve">, </w:t>
      </w:r>
      <w:r w:rsidR="00EC7695" w:rsidRPr="007A58EA">
        <w:rPr>
          <w:color w:val="000000" w:themeColor="text1"/>
        </w:rPr>
        <w:t xml:space="preserve">that conclusion </w:t>
      </w:r>
      <w:r w:rsidR="004576FF" w:rsidRPr="007A58EA">
        <w:rPr>
          <w:color w:val="000000" w:themeColor="text1"/>
        </w:rPr>
        <w:t xml:space="preserve">is bound to </w:t>
      </w:r>
      <w:r w:rsidRPr="007A58EA">
        <w:rPr>
          <w:color w:val="000000" w:themeColor="text1"/>
        </w:rPr>
        <w:t>remain exceptional.</w:t>
      </w:r>
      <w:r w:rsidR="0026522A" w:rsidRPr="007A58EA">
        <w:rPr>
          <w:color w:val="000000" w:themeColor="text1"/>
        </w:rPr>
        <w:t xml:space="preserve">  It </w:t>
      </w:r>
      <w:r w:rsidR="00351586" w:rsidRPr="007A58EA">
        <w:rPr>
          <w:color w:val="000000" w:themeColor="text1"/>
        </w:rPr>
        <w:t xml:space="preserve">is </w:t>
      </w:r>
      <w:r w:rsidR="0026522A" w:rsidRPr="007A58EA">
        <w:rPr>
          <w:color w:val="000000" w:themeColor="text1"/>
        </w:rPr>
        <w:t>certainly hard to imagine that the Court would direct a national court to declare null and void a domestic measure that offends against directly effective Union law – simply as an abstract proposition about the implications of primacy.</w:t>
      </w:r>
    </w:p>
    <w:sectPr w:rsidR="008C4DB2" w:rsidRPr="007A58E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75D3" w14:textId="77777777" w:rsidR="00D63DBC" w:rsidRDefault="00D63DBC" w:rsidP="008C4DB2">
      <w:r>
        <w:separator/>
      </w:r>
    </w:p>
  </w:endnote>
  <w:endnote w:type="continuationSeparator" w:id="0">
    <w:p w14:paraId="78D6CF3D" w14:textId="77777777" w:rsidR="00D63DBC" w:rsidRDefault="00D63DBC" w:rsidP="008C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549073"/>
      <w:docPartObj>
        <w:docPartGallery w:val="Page Numbers (Bottom of Page)"/>
        <w:docPartUnique/>
      </w:docPartObj>
    </w:sdtPr>
    <w:sdtEndPr>
      <w:rPr>
        <w:rStyle w:val="PageNumber"/>
      </w:rPr>
    </w:sdtEndPr>
    <w:sdtContent>
      <w:p w14:paraId="414EEE86" w14:textId="7A533A61" w:rsidR="008C4DB2" w:rsidRDefault="008C4DB2" w:rsidP="000237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3CD12" w14:textId="77777777" w:rsidR="008C4DB2" w:rsidRDefault="008C4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810017"/>
      <w:docPartObj>
        <w:docPartGallery w:val="Page Numbers (Bottom of Page)"/>
        <w:docPartUnique/>
      </w:docPartObj>
    </w:sdtPr>
    <w:sdtEndPr>
      <w:rPr>
        <w:rStyle w:val="PageNumber"/>
        <w:rFonts w:ascii="Times New Roman" w:hAnsi="Times New Roman" w:cs="Times New Roman"/>
      </w:rPr>
    </w:sdtEndPr>
    <w:sdtContent>
      <w:p w14:paraId="20285C12" w14:textId="04BA8EC1" w:rsidR="008C4DB2" w:rsidRDefault="008C4DB2" w:rsidP="000237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4C0A00" w14:textId="77777777" w:rsidR="008C4DB2" w:rsidRDefault="008C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9AF7" w14:textId="77777777" w:rsidR="00D63DBC" w:rsidRDefault="00D63DBC" w:rsidP="008C4DB2">
      <w:r>
        <w:separator/>
      </w:r>
    </w:p>
  </w:footnote>
  <w:footnote w:type="continuationSeparator" w:id="0">
    <w:p w14:paraId="71A58F8E" w14:textId="77777777" w:rsidR="00D63DBC" w:rsidRDefault="00D63DBC" w:rsidP="008C4DB2">
      <w:r>
        <w:continuationSeparator/>
      </w:r>
    </w:p>
  </w:footnote>
  <w:footnote w:id="1">
    <w:p w14:paraId="2263FECE" w14:textId="3AC69018" w:rsidR="00BD42F1" w:rsidRPr="00AA392E" w:rsidRDefault="00BD42F1" w:rsidP="00AA392E">
      <w:pPr>
        <w:pStyle w:val="FootnoteText"/>
        <w:jc w:val="both"/>
        <w:rPr>
          <w:color w:val="000000" w:themeColor="text1"/>
        </w:rPr>
      </w:pPr>
      <w:r w:rsidRPr="00AA392E">
        <w:rPr>
          <w:color w:val="000000" w:themeColor="text1"/>
        </w:rPr>
        <w:t xml:space="preserve">* University of Liverpool.  </w:t>
      </w:r>
      <w:r w:rsidR="005C10BA" w:rsidRPr="00AA392E">
        <w:rPr>
          <w:color w:val="000000" w:themeColor="text1"/>
        </w:rPr>
        <w:t xml:space="preserve">I am very grateful to participants at the UKAEL seminar, </w:t>
      </w:r>
      <w:r w:rsidR="005C10BA" w:rsidRPr="00AA392E">
        <w:rPr>
          <w:i/>
          <w:iCs/>
          <w:color w:val="000000" w:themeColor="text1"/>
        </w:rPr>
        <w:t>Central Precepts of EU Law: Perspectives from the EU and from the UK</w:t>
      </w:r>
      <w:r w:rsidR="005C10BA" w:rsidRPr="00AA392E">
        <w:rPr>
          <w:color w:val="000000" w:themeColor="text1"/>
        </w:rPr>
        <w:t xml:space="preserve"> (April 2022)</w:t>
      </w:r>
      <w:r w:rsidR="00AF752D" w:rsidRPr="00AA392E">
        <w:rPr>
          <w:color w:val="000000" w:themeColor="text1"/>
        </w:rPr>
        <w:t xml:space="preserve">, and to the peer reviewers from </w:t>
      </w:r>
      <w:r w:rsidR="00AF752D" w:rsidRPr="008C46C2">
        <w:rPr>
          <w:color w:val="000000" w:themeColor="text1"/>
        </w:rPr>
        <w:t>CML</w:t>
      </w:r>
      <w:r w:rsidR="008C46C2" w:rsidRPr="008C46C2">
        <w:rPr>
          <w:color w:val="000000" w:themeColor="text1"/>
        </w:rPr>
        <w:t xml:space="preserve"> </w:t>
      </w:r>
      <w:r w:rsidR="00AF752D" w:rsidRPr="008C46C2">
        <w:rPr>
          <w:color w:val="000000" w:themeColor="text1"/>
        </w:rPr>
        <w:t>Rev</w:t>
      </w:r>
      <w:r w:rsidR="008C46C2" w:rsidRPr="008C46C2">
        <w:rPr>
          <w:color w:val="000000" w:themeColor="text1"/>
        </w:rPr>
        <w:t>.</w:t>
      </w:r>
      <w:r w:rsidR="00AF752D" w:rsidRPr="00AA392E">
        <w:rPr>
          <w:i/>
          <w:iCs/>
          <w:color w:val="000000" w:themeColor="text1"/>
        </w:rPr>
        <w:t>,</w:t>
      </w:r>
      <w:r w:rsidR="00AF752D" w:rsidRPr="00AA392E">
        <w:rPr>
          <w:color w:val="000000" w:themeColor="text1"/>
        </w:rPr>
        <w:t xml:space="preserve"> </w:t>
      </w:r>
      <w:r w:rsidR="005C10BA" w:rsidRPr="00AA392E">
        <w:rPr>
          <w:color w:val="000000" w:themeColor="text1"/>
        </w:rPr>
        <w:t xml:space="preserve">for their </w:t>
      </w:r>
      <w:r w:rsidR="00AF752D" w:rsidRPr="00AA392E">
        <w:rPr>
          <w:color w:val="000000" w:themeColor="text1"/>
        </w:rPr>
        <w:t xml:space="preserve">very </w:t>
      </w:r>
      <w:r w:rsidR="005C10BA" w:rsidRPr="00AA392E">
        <w:rPr>
          <w:color w:val="000000" w:themeColor="text1"/>
        </w:rPr>
        <w:t xml:space="preserve">helpful comments and </w:t>
      </w:r>
      <w:r w:rsidR="00AF752D" w:rsidRPr="00AA392E">
        <w:rPr>
          <w:color w:val="000000" w:themeColor="text1"/>
        </w:rPr>
        <w:t>suggestions</w:t>
      </w:r>
      <w:r w:rsidR="005C10BA" w:rsidRPr="00AA392E">
        <w:rPr>
          <w:color w:val="000000" w:themeColor="text1"/>
        </w:rPr>
        <w:t>.</w:t>
      </w:r>
    </w:p>
    <w:p w14:paraId="12E65BB3" w14:textId="217A901B" w:rsidR="008748B2" w:rsidRPr="00AA392E" w:rsidRDefault="008748B2"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Case C-219/17</w:t>
      </w:r>
      <w:r w:rsidR="003C5D7C" w:rsidRPr="00AA392E">
        <w:rPr>
          <w:color w:val="000000" w:themeColor="text1"/>
        </w:rPr>
        <w:t xml:space="preserve">, </w:t>
      </w:r>
      <w:r w:rsidR="003C5D7C" w:rsidRPr="00AA392E">
        <w:rPr>
          <w:i/>
          <w:iCs/>
          <w:color w:val="000000" w:themeColor="text1"/>
        </w:rPr>
        <w:t>Berlusconi</w:t>
      </w:r>
      <w:r w:rsidR="003C5D7C" w:rsidRPr="00AA392E">
        <w:rPr>
          <w:color w:val="000000" w:themeColor="text1"/>
        </w:rPr>
        <w:t>, EU:C:2018:1023.</w:t>
      </w:r>
    </w:p>
  </w:footnote>
  <w:footnote w:id="2">
    <w:p w14:paraId="2A58AC48" w14:textId="6F36B5B5" w:rsidR="008748B2" w:rsidRPr="00AA392E" w:rsidRDefault="008748B2"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Cases C-202/18 &amp; C-238/18</w:t>
      </w:r>
      <w:r w:rsidR="003C5D7C" w:rsidRPr="00AA392E">
        <w:rPr>
          <w:color w:val="000000" w:themeColor="text1"/>
        </w:rPr>
        <w:t xml:space="preserve">, </w:t>
      </w:r>
      <w:r w:rsidR="003C5D7C" w:rsidRPr="00AA392E">
        <w:rPr>
          <w:i/>
          <w:iCs/>
          <w:color w:val="000000" w:themeColor="text1"/>
        </w:rPr>
        <w:t>Rimšēvičs,</w:t>
      </w:r>
      <w:r w:rsidR="00EF69D7">
        <w:rPr>
          <w:i/>
          <w:iCs/>
          <w:color w:val="000000" w:themeColor="text1"/>
        </w:rPr>
        <w:t xml:space="preserve"> </w:t>
      </w:r>
      <w:r w:rsidR="003C5D7C" w:rsidRPr="00AA392E">
        <w:rPr>
          <w:color w:val="000000" w:themeColor="text1"/>
        </w:rPr>
        <w:t>EU:C:2019:139.</w:t>
      </w:r>
    </w:p>
  </w:footnote>
  <w:footnote w:id="3">
    <w:p w14:paraId="26D62039" w14:textId="26FD3C8C" w:rsidR="008748B2" w:rsidRPr="00AA392E" w:rsidRDefault="008748B2"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Case C-487/19</w:t>
      </w:r>
      <w:r w:rsidR="003C5D7C" w:rsidRPr="00AA392E">
        <w:rPr>
          <w:color w:val="000000" w:themeColor="text1"/>
        </w:rPr>
        <w:t xml:space="preserve">, </w:t>
      </w:r>
      <w:r w:rsidR="003C5D7C" w:rsidRPr="00AA392E">
        <w:rPr>
          <w:i/>
          <w:iCs/>
          <w:color w:val="000000" w:themeColor="text1"/>
        </w:rPr>
        <w:t xml:space="preserve">W.Ż., </w:t>
      </w:r>
      <w:r w:rsidR="003C5D7C" w:rsidRPr="00AA392E">
        <w:rPr>
          <w:color w:val="000000" w:themeColor="text1"/>
        </w:rPr>
        <w:t>EU:C:2021:798.</w:t>
      </w:r>
    </w:p>
  </w:footnote>
  <w:footnote w:id="4">
    <w:p w14:paraId="26E1210A" w14:textId="5C089E4D" w:rsidR="006B498B" w:rsidRPr="00AA392E" w:rsidRDefault="006B498B"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007F20" w:rsidRPr="00AA392E">
        <w:rPr>
          <w:color w:val="000000" w:themeColor="text1"/>
        </w:rPr>
        <w:t xml:space="preserve">See, </w:t>
      </w:r>
      <w:r w:rsidRPr="00AA392E">
        <w:rPr>
          <w:color w:val="000000" w:themeColor="text1"/>
        </w:rPr>
        <w:t xml:space="preserve">e.g. Opinion 1/09, </w:t>
      </w:r>
      <w:r w:rsidRPr="00AA392E">
        <w:rPr>
          <w:i/>
          <w:color w:val="000000" w:themeColor="text1"/>
        </w:rPr>
        <w:t xml:space="preserve">Unified Patent Court, </w:t>
      </w:r>
      <w:r w:rsidRPr="00AA392E">
        <w:rPr>
          <w:color w:val="000000" w:themeColor="text1"/>
        </w:rPr>
        <w:t>EU:C:2011:123.</w:t>
      </w:r>
    </w:p>
  </w:footnote>
  <w:footnote w:id="5">
    <w:p w14:paraId="5671AF1D" w14:textId="2B3B4F2B" w:rsidR="0064138F" w:rsidRPr="00AA392E" w:rsidRDefault="0064138F" w:rsidP="00AA392E">
      <w:pPr>
        <w:pStyle w:val="FootnoteText"/>
        <w:jc w:val="both"/>
      </w:pPr>
      <w:r w:rsidRPr="00AA392E">
        <w:rPr>
          <w:rStyle w:val="FootnoteReference"/>
        </w:rPr>
        <w:footnoteRef/>
      </w:r>
      <w:r w:rsidRPr="00AA392E">
        <w:t xml:space="preserve"> </w:t>
      </w:r>
      <w:r w:rsidR="005849DE" w:rsidRPr="00AA392E">
        <w:t xml:space="preserve">Though see Section 6.1 (below) </w:t>
      </w:r>
      <w:r w:rsidR="0031772C">
        <w:t xml:space="preserve">on </w:t>
      </w:r>
      <w:r w:rsidR="005849DE" w:rsidRPr="00AA392E">
        <w:t xml:space="preserve">the Court’s own interpretation of the “usual meaning” of the concept of “nullity”, e.g. in </w:t>
      </w:r>
      <w:r w:rsidR="005849DE" w:rsidRPr="00AA392E">
        <w:rPr>
          <w:color w:val="000000" w:themeColor="text1"/>
        </w:rPr>
        <w:t xml:space="preserve">Case C-394/18, </w:t>
      </w:r>
      <w:r w:rsidR="005849DE" w:rsidRPr="00AA392E">
        <w:rPr>
          <w:i/>
          <w:iCs/>
          <w:color w:val="000000" w:themeColor="text1"/>
        </w:rPr>
        <w:t>Maria Grazia Cicenia</w:t>
      </w:r>
      <w:r w:rsidR="005849DE" w:rsidRPr="00AA392E">
        <w:rPr>
          <w:color w:val="000000" w:themeColor="text1"/>
        </w:rPr>
        <w:t>, EU:C:2020:56.</w:t>
      </w:r>
    </w:p>
  </w:footnote>
  <w:footnote w:id="6">
    <w:p w14:paraId="6DF5153A" w14:textId="0001C699" w:rsidR="005849DE" w:rsidRPr="00AA392E" w:rsidRDefault="005849DE" w:rsidP="00AA392E">
      <w:pPr>
        <w:pStyle w:val="FootnoteText"/>
        <w:jc w:val="both"/>
      </w:pPr>
      <w:r w:rsidRPr="00AA392E">
        <w:rPr>
          <w:rStyle w:val="FootnoteReference"/>
        </w:rPr>
        <w:footnoteRef/>
      </w:r>
      <w:r w:rsidRPr="00AA392E">
        <w:t xml:space="preserve"> </w:t>
      </w:r>
      <w:r w:rsidR="00CE2701" w:rsidRPr="00AA392E">
        <w:t xml:space="preserve">E.g. </w:t>
      </w:r>
      <w:r w:rsidR="00EF69D7">
        <w:t>Art.</w:t>
      </w:r>
      <w:r w:rsidR="00CE2701" w:rsidRPr="00AA392E">
        <w:t xml:space="preserve"> 101 TFEU: see further Section 2 (below).</w:t>
      </w:r>
    </w:p>
  </w:footnote>
  <w:footnote w:id="7">
    <w:p w14:paraId="70715610" w14:textId="489A0879" w:rsidR="00940CAA" w:rsidRPr="00AA392E" w:rsidRDefault="00940CAA"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further, e.g. Dougan, “Primacy and the remedy of disapplication”</w:t>
      </w:r>
      <w:r w:rsidR="00EF69D7">
        <w:rPr>
          <w:color w:val="000000" w:themeColor="text1"/>
        </w:rPr>
        <w:t>,</w:t>
      </w:r>
      <w:r w:rsidRPr="00AA392E">
        <w:rPr>
          <w:color w:val="000000" w:themeColor="text1"/>
        </w:rPr>
        <w:t xml:space="preserve"> 56 CML</w:t>
      </w:r>
      <w:r w:rsidR="00EF69D7">
        <w:rPr>
          <w:color w:val="000000" w:themeColor="text1"/>
        </w:rPr>
        <w:t xml:space="preserve"> </w:t>
      </w:r>
      <w:r w:rsidRPr="00AA392E">
        <w:rPr>
          <w:color w:val="000000" w:themeColor="text1"/>
        </w:rPr>
        <w:t>Rev</w:t>
      </w:r>
      <w:r w:rsidR="00F4298F">
        <w:rPr>
          <w:color w:val="000000" w:themeColor="text1"/>
        </w:rPr>
        <w:t>.</w:t>
      </w:r>
      <w:r w:rsidRPr="00AA392E">
        <w:rPr>
          <w:color w:val="000000" w:themeColor="text1"/>
        </w:rPr>
        <w:t xml:space="preserve"> </w:t>
      </w:r>
      <w:r w:rsidR="00EF69D7" w:rsidRPr="00AA392E">
        <w:rPr>
          <w:color w:val="000000" w:themeColor="text1"/>
        </w:rPr>
        <w:t>(2019)</w:t>
      </w:r>
      <w:r w:rsidR="00EF69D7">
        <w:rPr>
          <w:color w:val="000000" w:themeColor="text1"/>
        </w:rPr>
        <w:t xml:space="preserve">, </w:t>
      </w:r>
      <w:r w:rsidRPr="00AA392E">
        <w:rPr>
          <w:color w:val="000000" w:themeColor="text1"/>
        </w:rPr>
        <w:t>1459.</w:t>
      </w:r>
    </w:p>
  </w:footnote>
  <w:footnote w:id="8">
    <w:p w14:paraId="24A0C277" w14:textId="12FEA3EB" w:rsidR="00C6155E" w:rsidRPr="00AA392E" w:rsidRDefault="00C6155E"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CB3D16" w:rsidRPr="00AA392E">
        <w:rPr>
          <w:color w:val="000000" w:themeColor="text1"/>
        </w:rPr>
        <w:t xml:space="preserve">Case 314/85, </w:t>
      </w:r>
      <w:r w:rsidR="00CB3D16" w:rsidRPr="00AA392E">
        <w:rPr>
          <w:i/>
          <w:iCs/>
          <w:color w:val="000000" w:themeColor="text1"/>
        </w:rPr>
        <w:t>Firma Foto-Frost</w:t>
      </w:r>
      <w:r w:rsidR="00CB3D16" w:rsidRPr="00AA392E">
        <w:rPr>
          <w:color w:val="000000" w:themeColor="text1"/>
        </w:rPr>
        <w:t>, EU:C:1987:452</w:t>
      </w:r>
      <w:r w:rsidRPr="00AA392E">
        <w:rPr>
          <w:color w:val="000000" w:themeColor="text1"/>
        </w:rPr>
        <w:t>.</w:t>
      </w:r>
    </w:p>
  </w:footnote>
  <w:footnote w:id="9">
    <w:p w14:paraId="345579A3" w14:textId="4DE3309B" w:rsidR="00C6155E" w:rsidRPr="00AA392E" w:rsidRDefault="00C6155E"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Recently, e.g. </w:t>
      </w:r>
      <w:r w:rsidR="004D41A4" w:rsidRPr="00AA392E">
        <w:rPr>
          <w:color w:val="000000" w:themeColor="text1"/>
          <w:sz w:val="20"/>
          <w:szCs w:val="20"/>
        </w:rPr>
        <w:t>Cases C</w:t>
      </w:r>
      <w:r w:rsidR="004D41A4" w:rsidRPr="00AA392E">
        <w:rPr>
          <w:color w:val="000000" w:themeColor="text1"/>
          <w:sz w:val="20"/>
          <w:szCs w:val="20"/>
        </w:rPr>
        <w:noBreakHyphen/>
        <w:t>357/19, C</w:t>
      </w:r>
      <w:r w:rsidR="004D41A4" w:rsidRPr="00AA392E">
        <w:rPr>
          <w:color w:val="000000" w:themeColor="text1"/>
          <w:sz w:val="20"/>
          <w:szCs w:val="20"/>
        </w:rPr>
        <w:noBreakHyphen/>
        <w:t>379/19, C</w:t>
      </w:r>
      <w:r w:rsidR="004D41A4" w:rsidRPr="00AA392E">
        <w:rPr>
          <w:color w:val="000000" w:themeColor="text1"/>
          <w:sz w:val="20"/>
          <w:szCs w:val="20"/>
        </w:rPr>
        <w:noBreakHyphen/>
        <w:t>547/19, C</w:t>
      </w:r>
      <w:r w:rsidR="004D41A4" w:rsidRPr="00AA392E">
        <w:rPr>
          <w:color w:val="000000" w:themeColor="text1"/>
          <w:sz w:val="20"/>
          <w:szCs w:val="20"/>
        </w:rPr>
        <w:noBreakHyphen/>
        <w:t>811/19 and C</w:t>
      </w:r>
      <w:r w:rsidR="004D41A4" w:rsidRPr="00AA392E">
        <w:rPr>
          <w:color w:val="000000" w:themeColor="text1"/>
          <w:sz w:val="20"/>
          <w:szCs w:val="20"/>
        </w:rPr>
        <w:noBreakHyphen/>
        <w:t xml:space="preserve">840/19, </w:t>
      </w:r>
      <w:r w:rsidR="004D41A4" w:rsidRPr="00AA392E">
        <w:rPr>
          <w:i/>
          <w:iCs/>
          <w:color w:val="000000" w:themeColor="text1"/>
          <w:sz w:val="20"/>
          <w:szCs w:val="20"/>
        </w:rPr>
        <w:t>PM</w:t>
      </w:r>
      <w:r w:rsidR="004D41A4" w:rsidRPr="00AA392E">
        <w:rPr>
          <w:color w:val="000000" w:themeColor="text1"/>
          <w:sz w:val="20"/>
          <w:szCs w:val="20"/>
        </w:rPr>
        <w:t>, EU:C:2021:1034</w:t>
      </w:r>
      <w:r w:rsidRPr="00AA392E">
        <w:rPr>
          <w:color w:val="000000" w:themeColor="text1"/>
          <w:sz w:val="20"/>
          <w:szCs w:val="20"/>
        </w:rPr>
        <w:t>.</w:t>
      </w:r>
    </w:p>
  </w:footnote>
  <w:footnote w:id="10">
    <w:p w14:paraId="04AAD3FE" w14:textId="1FCC9A07" w:rsidR="00707854" w:rsidRPr="00AA392E" w:rsidRDefault="00707854" w:rsidP="00AA392E">
      <w:pPr>
        <w:pStyle w:val="FootnoteText"/>
        <w:jc w:val="both"/>
      </w:pPr>
      <w:r w:rsidRPr="00AA392E">
        <w:rPr>
          <w:rStyle w:val="FootnoteReference"/>
        </w:rPr>
        <w:footnoteRef/>
      </w:r>
      <w:r w:rsidRPr="00AA392E">
        <w:t xml:space="preserve"> E.g. </w:t>
      </w:r>
      <w:r w:rsidRPr="00AA392E">
        <w:rPr>
          <w:color w:val="000000" w:themeColor="text1"/>
        </w:rPr>
        <w:t>Case C</w:t>
      </w:r>
      <w:r w:rsidRPr="00AA392E">
        <w:rPr>
          <w:color w:val="000000" w:themeColor="text1"/>
        </w:rPr>
        <w:noBreakHyphen/>
        <w:t xml:space="preserve">573/17, </w:t>
      </w:r>
      <w:r w:rsidRPr="00AA392E">
        <w:rPr>
          <w:i/>
          <w:iCs/>
          <w:color w:val="000000" w:themeColor="text1"/>
        </w:rPr>
        <w:t>Popławski</w:t>
      </w:r>
      <w:r w:rsidRPr="00AA392E">
        <w:rPr>
          <w:color w:val="000000" w:themeColor="text1"/>
        </w:rPr>
        <w:t>, EU:C:2019:530, para 52.</w:t>
      </w:r>
    </w:p>
  </w:footnote>
  <w:footnote w:id="11">
    <w:p w14:paraId="567C03A2" w14:textId="0B3684DE" w:rsidR="005844C0" w:rsidRPr="00AA392E" w:rsidRDefault="005844C0"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Recently, e.g. </w:t>
      </w:r>
      <w:r w:rsidR="00586E00" w:rsidRPr="00AA392E">
        <w:rPr>
          <w:color w:val="000000" w:themeColor="text1"/>
          <w:sz w:val="20"/>
          <w:szCs w:val="20"/>
        </w:rPr>
        <w:t xml:space="preserve">Case C-716/17, </w:t>
      </w:r>
      <w:r w:rsidR="00586E00" w:rsidRPr="00AA392E">
        <w:rPr>
          <w:i/>
          <w:iCs/>
          <w:color w:val="000000" w:themeColor="text1"/>
          <w:sz w:val="20"/>
          <w:szCs w:val="20"/>
        </w:rPr>
        <w:t>A</w:t>
      </w:r>
      <w:r w:rsidR="00586E00" w:rsidRPr="00AA392E">
        <w:rPr>
          <w:color w:val="000000" w:themeColor="text1"/>
          <w:sz w:val="20"/>
          <w:szCs w:val="20"/>
        </w:rPr>
        <w:t xml:space="preserve">, EU:C:2019:598; </w:t>
      </w:r>
      <w:r w:rsidR="001371F5" w:rsidRPr="00AA392E">
        <w:rPr>
          <w:color w:val="000000" w:themeColor="text1"/>
          <w:sz w:val="20"/>
          <w:szCs w:val="20"/>
        </w:rPr>
        <w:t xml:space="preserve">Case C-615/18, </w:t>
      </w:r>
      <w:r w:rsidR="001371F5" w:rsidRPr="00AA392E">
        <w:rPr>
          <w:i/>
          <w:iCs/>
          <w:color w:val="000000" w:themeColor="text1"/>
          <w:sz w:val="20"/>
          <w:szCs w:val="20"/>
        </w:rPr>
        <w:t>UY</w:t>
      </w:r>
      <w:r w:rsidR="001371F5" w:rsidRPr="00AA392E">
        <w:rPr>
          <w:color w:val="000000" w:themeColor="text1"/>
          <w:sz w:val="20"/>
          <w:szCs w:val="20"/>
        </w:rPr>
        <w:t xml:space="preserve">, EU:2020:376; </w:t>
      </w:r>
      <w:r w:rsidR="0081008A" w:rsidRPr="00AA392E">
        <w:rPr>
          <w:color w:val="000000" w:themeColor="text1"/>
          <w:sz w:val="20"/>
          <w:szCs w:val="20"/>
        </w:rPr>
        <w:t xml:space="preserve">Case C-30/19, </w:t>
      </w:r>
      <w:r w:rsidR="0081008A" w:rsidRPr="00AA392E">
        <w:rPr>
          <w:i/>
          <w:iCs/>
          <w:color w:val="000000" w:themeColor="text1"/>
          <w:sz w:val="20"/>
          <w:szCs w:val="20"/>
        </w:rPr>
        <w:t>Braathens Regional Aviation</w:t>
      </w:r>
      <w:r w:rsidR="0081008A" w:rsidRPr="00AA392E">
        <w:rPr>
          <w:color w:val="000000" w:themeColor="text1"/>
          <w:sz w:val="20"/>
          <w:szCs w:val="20"/>
        </w:rPr>
        <w:t>, EU:C:2021:269;</w:t>
      </w:r>
      <w:r w:rsidR="0081008A" w:rsidRPr="00AA392E">
        <w:rPr>
          <w:b/>
          <w:bCs/>
          <w:color w:val="000000" w:themeColor="text1"/>
          <w:sz w:val="20"/>
          <w:szCs w:val="20"/>
        </w:rPr>
        <w:t xml:space="preserve"> </w:t>
      </w:r>
      <w:r w:rsidR="006A1F39" w:rsidRPr="00AA392E">
        <w:rPr>
          <w:color w:val="000000" w:themeColor="text1"/>
          <w:sz w:val="20"/>
          <w:szCs w:val="20"/>
        </w:rPr>
        <w:t xml:space="preserve">Case C-882/19, </w:t>
      </w:r>
      <w:r w:rsidR="006A1F39" w:rsidRPr="00AA392E">
        <w:rPr>
          <w:i/>
          <w:iCs/>
          <w:color w:val="000000" w:themeColor="text1"/>
          <w:sz w:val="20"/>
          <w:szCs w:val="20"/>
        </w:rPr>
        <w:t>Sumal</w:t>
      </w:r>
      <w:r w:rsidR="006A1F39" w:rsidRPr="00AA392E">
        <w:rPr>
          <w:color w:val="000000" w:themeColor="text1"/>
          <w:sz w:val="20"/>
          <w:szCs w:val="20"/>
        </w:rPr>
        <w:t>, EU:C:2021:</w:t>
      </w:r>
      <w:r w:rsidR="00963E34" w:rsidRPr="00AA392E">
        <w:rPr>
          <w:color w:val="000000" w:themeColor="text1"/>
          <w:sz w:val="20"/>
          <w:szCs w:val="20"/>
        </w:rPr>
        <w:t>800</w:t>
      </w:r>
      <w:r w:rsidR="006A1F39" w:rsidRPr="00AA392E">
        <w:rPr>
          <w:color w:val="000000" w:themeColor="text1"/>
          <w:sz w:val="20"/>
          <w:szCs w:val="20"/>
        </w:rPr>
        <w:t xml:space="preserve">; </w:t>
      </w:r>
      <w:r w:rsidRPr="00AA392E">
        <w:rPr>
          <w:color w:val="000000" w:themeColor="text1"/>
          <w:sz w:val="20"/>
          <w:szCs w:val="20"/>
        </w:rPr>
        <w:t xml:space="preserve">Case C-282/20, </w:t>
      </w:r>
      <w:r w:rsidRPr="00AA392E">
        <w:rPr>
          <w:i/>
          <w:iCs/>
          <w:color w:val="000000" w:themeColor="text1"/>
          <w:sz w:val="20"/>
          <w:szCs w:val="20"/>
        </w:rPr>
        <w:t>ZX</w:t>
      </w:r>
      <w:r w:rsidRPr="00AA392E">
        <w:rPr>
          <w:color w:val="000000" w:themeColor="text1"/>
          <w:sz w:val="20"/>
          <w:szCs w:val="20"/>
        </w:rPr>
        <w:t>, EU:2021:874.</w:t>
      </w:r>
    </w:p>
  </w:footnote>
  <w:footnote w:id="12">
    <w:p w14:paraId="6FBD64B5" w14:textId="4593FD0F" w:rsidR="00193D18" w:rsidRPr="00AA392E" w:rsidRDefault="00193D1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Case C-261/20, </w:t>
      </w:r>
      <w:r w:rsidRPr="00AA392E">
        <w:rPr>
          <w:i/>
          <w:iCs/>
          <w:color w:val="000000" w:themeColor="text1"/>
        </w:rPr>
        <w:t>Thelen Technopark Berlin</w:t>
      </w:r>
      <w:r w:rsidRPr="00AA392E">
        <w:rPr>
          <w:color w:val="000000" w:themeColor="text1"/>
        </w:rPr>
        <w:t>, EU:C:2022:33.</w:t>
      </w:r>
    </w:p>
  </w:footnote>
  <w:footnote w:id="13">
    <w:p w14:paraId="7A038EAC" w14:textId="4A48A60D" w:rsidR="00E378CE" w:rsidRPr="00AA392E" w:rsidRDefault="00E378CE"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w:t>
      </w:r>
      <w:r w:rsidR="00DA4D91" w:rsidRPr="00AA392E">
        <w:rPr>
          <w:color w:val="000000" w:themeColor="text1"/>
        </w:rPr>
        <w:t xml:space="preserve">Case C-107/19, </w:t>
      </w:r>
      <w:r w:rsidR="00DA4D91" w:rsidRPr="00AA392E">
        <w:rPr>
          <w:i/>
          <w:iCs/>
          <w:color w:val="000000" w:themeColor="text1"/>
        </w:rPr>
        <w:t>XR</w:t>
      </w:r>
      <w:r w:rsidR="00DA4D91" w:rsidRPr="00AA392E">
        <w:rPr>
          <w:color w:val="000000" w:themeColor="text1"/>
        </w:rPr>
        <w:t xml:space="preserve">, EU:C:2021:722; </w:t>
      </w:r>
      <w:r w:rsidR="009C62F6" w:rsidRPr="00AA392E">
        <w:rPr>
          <w:color w:val="000000" w:themeColor="text1"/>
        </w:rPr>
        <w:t xml:space="preserve">Case C-564/19, </w:t>
      </w:r>
      <w:r w:rsidR="009C62F6" w:rsidRPr="00AA392E">
        <w:rPr>
          <w:i/>
          <w:iCs/>
          <w:color w:val="000000" w:themeColor="text1"/>
        </w:rPr>
        <w:t>IS</w:t>
      </w:r>
      <w:r w:rsidR="009C62F6" w:rsidRPr="00AA392E">
        <w:rPr>
          <w:color w:val="000000" w:themeColor="text1"/>
        </w:rPr>
        <w:t xml:space="preserve">, EU:C:2021:949; </w:t>
      </w:r>
      <w:r w:rsidRPr="00AA392E">
        <w:rPr>
          <w:color w:val="000000" w:themeColor="text1"/>
        </w:rPr>
        <w:t xml:space="preserve">Case C-497/20, </w:t>
      </w:r>
      <w:r w:rsidRPr="00AA392E">
        <w:rPr>
          <w:i/>
          <w:iCs/>
          <w:color w:val="000000" w:themeColor="text1"/>
        </w:rPr>
        <w:t>Randstad Italia</w:t>
      </w:r>
      <w:r w:rsidRPr="00AA392E">
        <w:rPr>
          <w:color w:val="000000" w:themeColor="text1"/>
        </w:rPr>
        <w:t>, EU:C:2021:1037.</w:t>
      </w:r>
    </w:p>
  </w:footnote>
  <w:footnote w:id="14">
    <w:p w14:paraId="44460DBD" w14:textId="60171637" w:rsidR="00193D18" w:rsidRPr="00AA392E" w:rsidRDefault="00193D1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Case C-205/20, </w:t>
      </w:r>
      <w:r w:rsidRPr="00AA392E">
        <w:rPr>
          <w:i/>
          <w:iCs/>
          <w:color w:val="000000" w:themeColor="text1"/>
        </w:rPr>
        <w:t>NE</w:t>
      </w:r>
      <w:r w:rsidRPr="00AA392E">
        <w:rPr>
          <w:color w:val="000000" w:themeColor="text1"/>
        </w:rPr>
        <w:t>, EU:C:2022:168.</w:t>
      </w:r>
    </w:p>
  </w:footnote>
  <w:footnote w:id="15">
    <w:p w14:paraId="6DB4B919" w14:textId="7C10BA46" w:rsidR="00F972AE" w:rsidRPr="00AA392E" w:rsidRDefault="00F972AE"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Case C-439/19, </w:t>
      </w:r>
      <w:r w:rsidRPr="00AA392E">
        <w:rPr>
          <w:i/>
          <w:iCs/>
          <w:color w:val="000000" w:themeColor="text1"/>
        </w:rPr>
        <w:t>B</w:t>
      </w:r>
      <w:r w:rsidRPr="00AA392E">
        <w:rPr>
          <w:color w:val="000000" w:themeColor="text1"/>
        </w:rPr>
        <w:t xml:space="preserve">, EU:C:2021:504; Case C-160/20, </w:t>
      </w:r>
      <w:r w:rsidRPr="00AA392E">
        <w:rPr>
          <w:i/>
          <w:iCs/>
          <w:color w:val="000000" w:themeColor="text1"/>
        </w:rPr>
        <w:t>Stichting Rookpreventie Juegd</w:t>
      </w:r>
      <w:r w:rsidRPr="00AA392E">
        <w:rPr>
          <w:color w:val="000000" w:themeColor="text1"/>
        </w:rPr>
        <w:t>, EU:C:2022:101.</w:t>
      </w:r>
    </w:p>
  </w:footnote>
  <w:footnote w:id="16">
    <w:p w14:paraId="492DF050" w14:textId="5843DC3A" w:rsidR="00F972AE" w:rsidRPr="00AA392E" w:rsidRDefault="00F972AE"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Recently, e.g. Case C-620/17, </w:t>
      </w:r>
      <w:r w:rsidRPr="00AA392E">
        <w:rPr>
          <w:i/>
          <w:iCs/>
          <w:color w:val="000000" w:themeColor="text1"/>
          <w:sz w:val="20"/>
          <w:szCs w:val="20"/>
        </w:rPr>
        <w:t>Hochtief Solutions AG Magyarországi Fióktelepe</w:t>
      </w:r>
      <w:r w:rsidRPr="00AA392E">
        <w:rPr>
          <w:color w:val="000000" w:themeColor="text1"/>
          <w:sz w:val="20"/>
          <w:szCs w:val="20"/>
        </w:rPr>
        <w:t xml:space="preserve">, EU:C:2019:630; Case C-676/17, </w:t>
      </w:r>
      <w:r w:rsidRPr="00AA392E">
        <w:rPr>
          <w:i/>
          <w:iCs/>
          <w:color w:val="000000" w:themeColor="text1"/>
          <w:sz w:val="20"/>
          <w:szCs w:val="20"/>
        </w:rPr>
        <w:t>Călin</w:t>
      </w:r>
      <w:r w:rsidRPr="00AA392E">
        <w:rPr>
          <w:color w:val="000000" w:themeColor="text1"/>
          <w:sz w:val="20"/>
          <w:szCs w:val="20"/>
        </w:rPr>
        <w:t xml:space="preserve">, EU:C:2019:700; Case C-424/19, </w:t>
      </w:r>
      <w:r w:rsidRPr="00AA392E">
        <w:rPr>
          <w:i/>
          <w:iCs/>
          <w:color w:val="000000" w:themeColor="text1"/>
          <w:sz w:val="20"/>
          <w:szCs w:val="20"/>
        </w:rPr>
        <w:t>Cabinet de avocat UR</w:t>
      </w:r>
      <w:r w:rsidRPr="00AA392E">
        <w:rPr>
          <w:color w:val="000000" w:themeColor="text1"/>
          <w:sz w:val="20"/>
          <w:szCs w:val="20"/>
        </w:rPr>
        <w:t xml:space="preserve">, EU:C:2020:581; Case C-120/19, </w:t>
      </w:r>
      <w:r w:rsidRPr="00AA392E">
        <w:rPr>
          <w:i/>
          <w:iCs/>
          <w:color w:val="000000" w:themeColor="text1"/>
          <w:sz w:val="20"/>
          <w:szCs w:val="20"/>
        </w:rPr>
        <w:t>X</w:t>
      </w:r>
      <w:r w:rsidRPr="00AA392E">
        <w:rPr>
          <w:color w:val="000000" w:themeColor="text1"/>
          <w:sz w:val="20"/>
          <w:szCs w:val="20"/>
        </w:rPr>
        <w:t>, EU:C:2021:398</w:t>
      </w:r>
      <w:r w:rsidR="005C1D10">
        <w:rPr>
          <w:color w:val="000000" w:themeColor="text1"/>
          <w:sz w:val="20"/>
          <w:szCs w:val="20"/>
        </w:rPr>
        <w:t xml:space="preserve">; Case C-600/19, </w:t>
      </w:r>
      <w:r w:rsidR="005C1D10" w:rsidRPr="00A95A15">
        <w:rPr>
          <w:i/>
          <w:iCs/>
          <w:color w:val="000000" w:themeColor="text1"/>
          <w:sz w:val="20"/>
          <w:szCs w:val="20"/>
        </w:rPr>
        <w:t>Ibercaja Banco</w:t>
      </w:r>
      <w:r w:rsidR="005C1D10">
        <w:rPr>
          <w:color w:val="000000" w:themeColor="text1"/>
          <w:sz w:val="20"/>
          <w:szCs w:val="20"/>
        </w:rPr>
        <w:t>, EU:C:2022:</w:t>
      </w:r>
      <w:r w:rsidR="00A95A15">
        <w:rPr>
          <w:color w:val="000000" w:themeColor="text1"/>
          <w:sz w:val="20"/>
          <w:szCs w:val="20"/>
        </w:rPr>
        <w:t>394</w:t>
      </w:r>
      <w:r w:rsidRPr="00AA392E">
        <w:rPr>
          <w:color w:val="000000" w:themeColor="text1"/>
          <w:sz w:val="20"/>
          <w:szCs w:val="20"/>
        </w:rPr>
        <w:t>.  See</w:t>
      </w:r>
      <w:r w:rsidR="00EF69D7">
        <w:rPr>
          <w:color w:val="000000" w:themeColor="text1"/>
          <w:sz w:val="20"/>
          <w:szCs w:val="20"/>
        </w:rPr>
        <w:t xml:space="preserve"> further</w:t>
      </w:r>
      <w:r w:rsidRPr="00AA392E">
        <w:rPr>
          <w:color w:val="000000" w:themeColor="text1"/>
          <w:sz w:val="20"/>
          <w:szCs w:val="20"/>
        </w:rPr>
        <w:t xml:space="preserve">, e.g. Turmo, “National </w:t>
      </w:r>
      <w:r w:rsidRPr="00AA392E">
        <w:rPr>
          <w:i/>
          <w:iCs/>
          <w:color w:val="000000" w:themeColor="text1"/>
          <w:sz w:val="20"/>
          <w:szCs w:val="20"/>
        </w:rPr>
        <w:t>res judicata</w:t>
      </w:r>
      <w:r w:rsidRPr="00AA392E">
        <w:rPr>
          <w:color w:val="000000" w:themeColor="text1"/>
          <w:sz w:val="20"/>
          <w:szCs w:val="20"/>
        </w:rPr>
        <w:t xml:space="preserve"> in the European Union: Revisiting the tension between the temptation of effectiveness and the acknowledgement of domestic procedural law”</w:t>
      </w:r>
      <w:r w:rsidR="00EF69D7">
        <w:rPr>
          <w:color w:val="000000" w:themeColor="text1"/>
          <w:sz w:val="20"/>
          <w:szCs w:val="20"/>
        </w:rPr>
        <w:t>,</w:t>
      </w:r>
      <w:r w:rsidRPr="00AA392E">
        <w:rPr>
          <w:color w:val="000000" w:themeColor="text1"/>
          <w:sz w:val="20"/>
          <w:szCs w:val="20"/>
        </w:rPr>
        <w:t xml:space="preserve"> 58 CML</w:t>
      </w:r>
      <w:r w:rsidR="00EF69D7">
        <w:rPr>
          <w:color w:val="000000" w:themeColor="text1"/>
          <w:sz w:val="20"/>
          <w:szCs w:val="20"/>
        </w:rPr>
        <w:t xml:space="preserve"> </w:t>
      </w:r>
      <w:r w:rsidRPr="00AA392E">
        <w:rPr>
          <w:color w:val="000000" w:themeColor="text1"/>
          <w:sz w:val="20"/>
          <w:szCs w:val="20"/>
        </w:rPr>
        <w:t>Rev</w:t>
      </w:r>
      <w:r w:rsidR="00F4298F">
        <w:rPr>
          <w:color w:val="000000" w:themeColor="text1"/>
          <w:sz w:val="20"/>
          <w:szCs w:val="20"/>
        </w:rPr>
        <w:t>.</w:t>
      </w:r>
      <w:r w:rsidRPr="00AA392E">
        <w:rPr>
          <w:color w:val="000000" w:themeColor="text1"/>
          <w:sz w:val="20"/>
          <w:szCs w:val="20"/>
        </w:rPr>
        <w:t xml:space="preserve"> </w:t>
      </w:r>
      <w:r w:rsidR="00EF69D7" w:rsidRPr="00AA392E">
        <w:rPr>
          <w:color w:val="000000" w:themeColor="text1"/>
          <w:sz w:val="20"/>
          <w:szCs w:val="20"/>
        </w:rPr>
        <w:t>(2021)</w:t>
      </w:r>
      <w:r w:rsidR="00EF69D7">
        <w:rPr>
          <w:color w:val="000000" w:themeColor="text1"/>
          <w:sz w:val="20"/>
          <w:szCs w:val="20"/>
        </w:rPr>
        <w:t xml:space="preserve">, </w:t>
      </w:r>
      <w:r w:rsidRPr="00AA392E">
        <w:rPr>
          <w:color w:val="000000" w:themeColor="text1"/>
          <w:sz w:val="20"/>
          <w:szCs w:val="20"/>
        </w:rPr>
        <w:t>361.</w:t>
      </w:r>
    </w:p>
  </w:footnote>
  <w:footnote w:id="17">
    <w:p w14:paraId="02690D33" w14:textId="2D728EA6" w:rsidR="00F972AE" w:rsidRPr="005C1D10" w:rsidRDefault="00F972AE" w:rsidP="005C1D10">
      <w:pPr>
        <w:jc w:val="both"/>
      </w:pPr>
      <w:r w:rsidRPr="00AA392E">
        <w:rPr>
          <w:rStyle w:val="FootnoteReference"/>
          <w:color w:val="000000" w:themeColor="text1"/>
          <w:sz w:val="20"/>
          <w:szCs w:val="20"/>
        </w:rPr>
        <w:footnoteRef/>
      </w:r>
      <w:r w:rsidRPr="00AA392E">
        <w:rPr>
          <w:color w:val="000000" w:themeColor="text1"/>
          <w:sz w:val="20"/>
          <w:szCs w:val="20"/>
        </w:rPr>
        <w:t xml:space="preserve"> Recently, e.g. </w:t>
      </w:r>
      <w:r w:rsidRPr="00AA392E">
        <w:rPr>
          <w:color w:val="000000" w:themeColor="text1"/>
          <w:sz w:val="20"/>
          <w:szCs w:val="20"/>
          <w:lang w:val="en-US"/>
        </w:rPr>
        <w:t xml:space="preserve">Case C-597/17, </w:t>
      </w:r>
      <w:r w:rsidRPr="00AA392E">
        <w:rPr>
          <w:i/>
          <w:iCs/>
          <w:color w:val="000000" w:themeColor="text1"/>
          <w:sz w:val="20"/>
          <w:szCs w:val="20"/>
        </w:rPr>
        <w:t>Belgisch Syndicaat van Chiropraxie and Bart Vandendries,</w:t>
      </w:r>
      <w:r w:rsidRPr="00AA392E">
        <w:rPr>
          <w:color w:val="000000" w:themeColor="text1"/>
          <w:sz w:val="20"/>
          <w:szCs w:val="20"/>
          <w:lang w:val="en-US"/>
        </w:rPr>
        <w:t xml:space="preserve"> EU:C:2019:544; </w:t>
      </w:r>
      <w:r w:rsidRPr="00AA392E">
        <w:rPr>
          <w:color w:val="000000" w:themeColor="text1"/>
          <w:sz w:val="20"/>
          <w:szCs w:val="20"/>
        </w:rPr>
        <w:t>Case C</w:t>
      </w:r>
      <w:r w:rsidRPr="00AA392E">
        <w:rPr>
          <w:color w:val="000000" w:themeColor="text1"/>
          <w:sz w:val="20"/>
          <w:szCs w:val="20"/>
        </w:rPr>
        <w:noBreakHyphen/>
        <w:t xml:space="preserve">411/17, </w:t>
      </w:r>
      <w:r w:rsidRPr="00AA392E">
        <w:rPr>
          <w:i/>
          <w:iCs/>
          <w:color w:val="000000" w:themeColor="text1"/>
          <w:sz w:val="20"/>
          <w:szCs w:val="20"/>
        </w:rPr>
        <w:t xml:space="preserve">Inter-Environnement Wallonie and Bond Beter Leefmilieu Vlaanderen, </w:t>
      </w:r>
      <w:r w:rsidRPr="00AA392E">
        <w:rPr>
          <w:color w:val="000000" w:themeColor="text1"/>
          <w:sz w:val="20"/>
          <w:szCs w:val="20"/>
        </w:rPr>
        <w:t xml:space="preserve">EU:C:2019:622; </w:t>
      </w:r>
      <w:r w:rsidRPr="00AA392E">
        <w:rPr>
          <w:color w:val="000000" w:themeColor="text1"/>
          <w:sz w:val="20"/>
          <w:szCs w:val="20"/>
          <w:lang w:val="en-US"/>
        </w:rPr>
        <w:t xml:space="preserve">Case C-236/18, </w:t>
      </w:r>
      <w:r w:rsidRPr="00AA392E">
        <w:rPr>
          <w:i/>
          <w:iCs/>
          <w:color w:val="000000" w:themeColor="text1"/>
          <w:sz w:val="20"/>
          <w:szCs w:val="20"/>
          <w:lang w:val="en-US"/>
        </w:rPr>
        <w:t>GRDF</w:t>
      </w:r>
      <w:r w:rsidRPr="00AA392E">
        <w:rPr>
          <w:color w:val="000000" w:themeColor="text1"/>
          <w:sz w:val="20"/>
          <w:szCs w:val="20"/>
          <w:lang w:val="en-US"/>
        </w:rPr>
        <w:t xml:space="preserve">, EU:C:2019:1120; </w:t>
      </w:r>
      <w:r w:rsidRPr="00AA392E">
        <w:rPr>
          <w:color w:val="000000" w:themeColor="text1"/>
          <w:sz w:val="20"/>
          <w:szCs w:val="20"/>
        </w:rPr>
        <w:t xml:space="preserve">Case C-24/19, </w:t>
      </w:r>
      <w:r w:rsidRPr="00AA392E">
        <w:rPr>
          <w:i/>
          <w:iCs/>
          <w:color w:val="000000" w:themeColor="text1"/>
          <w:sz w:val="20"/>
          <w:szCs w:val="20"/>
        </w:rPr>
        <w:t>A and Others</w:t>
      </w:r>
      <w:r w:rsidRPr="00AA392E">
        <w:rPr>
          <w:color w:val="000000" w:themeColor="text1"/>
          <w:sz w:val="20"/>
          <w:szCs w:val="20"/>
        </w:rPr>
        <w:t>, EU:C:2020:503; Cases C</w:t>
      </w:r>
      <w:r w:rsidRPr="00AA392E">
        <w:rPr>
          <w:color w:val="000000" w:themeColor="text1"/>
          <w:sz w:val="20"/>
          <w:szCs w:val="20"/>
        </w:rPr>
        <w:noBreakHyphen/>
        <w:t>511-512/18 and C</w:t>
      </w:r>
      <w:r w:rsidRPr="00AA392E">
        <w:rPr>
          <w:color w:val="000000" w:themeColor="text1"/>
          <w:sz w:val="20"/>
          <w:szCs w:val="20"/>
        </w:rPr>
        <w:noBreakHyphen/>
        <w:t xml:space="preserve">520/18, </w:t>
      </w:r>
      <w:r w:rsidRPr="00AA392E">
        <w:rPr>
          <w:i/>
          <w:iCs/>
          <w:color w:val="000000" w:themeColor="text1"/>
          <w:sz w:val="20"/>
          <w:szCs w:val="20"/>
        </w:rPr>
        <w:t>La Quadrature du Net</w:t>
      </w:r>
      <w:r w:rsidRPr="00AA392E">
        <w:rPr>
          <w:color w:val="000000" w:themeColor="text1"/>
          <w:sz w:val="20"/>
          <w:szCs w:val="20"/>
        </w:rPr>
        <w:t xml:space="preserve">, EU:C:2020:791; Case C-64/20, </w:t>
      </w:r>
      <w:r w:rsidRPr="00AA392E">
        <w:rPr>
          <w:i/>
          <w:iCs/>
          <w:color w:val="000000" w:themeColor="text1"/>
          <w:sz w:val="20"/>
          <w:szCs w:val="20"/>
        </w:rPr>
        <w:t>UH</w:t>
      </w:r>
      <w:r w:rsidRPr="00AA392E">
        <w:rPr>
          <w:color w:val="000000" w:themeColor="text1"/>
          <w:sz w:val="20"/>
          <w:szCs w:val="20"/>
        </w:rPr>
        <w:t xml:space="preserve">, EU:C:2021:207; Case C-439, </w:t>
      </w:r>
      <w:r w:rsidRPr="00AA392E">
        <w:rPr>
          <w:i/>
          <w:iCs/>
          <w:color w:val="000000" w:themeColor="text1"/>
          <w:sz w:val="20"/>
          <w:szCs w:val="20"/>
        </w:rPr>
        <w:t>B</w:t>
      </w:r>
      <w:r w:rsidRPr="00AA392E">
        <w:rPr>
          <w:color w:val="000000" w:themeColor="text1"/>
          <w:sz w:val="20"/>
          <w:szCs w:val="20"/>
        </w:rPr>
        <w:t>, EU:C:2021:504</w:t>
      </w:r>
      <w:r w:rsidR="001A7003" w:rsidRPr="00AA392E">
        <w:rPr>
          <w:color w:val="000000" w:themeColor="text1"/>
          <w:sz w:val="20"/>
          <w:szCs w:val="20"/>
        </w:rPr>
        <w:t xml:space="preserve">; Case C-140/20, </w:t>
      </w:r>
      <w:r w:rsidR="001A7003" w:rsidRPr="00AA392E">
        <w:rPr>
          <w:i/>
          <w:iCs/>
          <w:color w:val="000000" w:themeColor="text1"/>
          <w:sz w:val="20"/>
          <w:szCs w:val="20"/>
        </w:rPr>
        <w:t>G.D.</w:t>
      </w:r>
      <w:r w:rsidR="005C1D10">
        <w:rPr>
          <w:i/>
          <w:iCs/>
          <w:color w:val="000000" w:themeColor="text1"/>
          <w:sz w:val="20"/>
          <w:szCs w:val="20"/>
        </w:rPr>
        <w:t xml:space="preserve"> </w:t>
      </w:r>
      <w:r w:rsidR="00EF69D7" w:rsidRPr="000E36BD">
        <w:rPr>
          <w:sz w:val="20"/>
          <w:szCs w:val="20"/>
        </w:rPr>
        <w:t>v.</w:t>
      </w:r>
      <w:r w:rsidR="005C1D10" w:rsidRPr="005C1D10">
        <w:rPr>
          <w:i/>
          <w:iCs/>
          <w:sz w:val="20"/>
          <w:szCs w:val="20"/>
        </w:rPr>
        <w:t xml:space="preserve"> Commissioner of An Garda Síochána</w:t>
      </w:r>
      <w:r w:rsidR="001A7003" w:rsidRPr="005C1D10">
        <w:rPr>
          <w:i/>
          <w:iCs/>
          <w:sz w:val="20"/>
          <w:szCs w:val="20"/>
        </w:rPr>
        <w:t>,</w:t>
      </w:r>
      <w:r w:rsidR="005C1D10">
        <w:rPr>
          <w:i/>
          <w:iCs/>
          <w:sz w:val="20"/>
          <w:szCs w:val="20"/>
        </w:rPr>
        <w:t xml:space="preserve"> </w:t>
      </w:r>
      <w:r w:rsidR="001A7003" w:rsidRPr="00AA392E">
        <w:rPr>
          <w:color w:val="000000" w:themeColor="text1"/>
          <w:sz w:val="20"/>
          <w:szCs w:val="20"/>
        </w:rPr>
        <w:t>EU:C:2022:258</w:t>
      </w:r>
      <w:r w:rsidR="00A95A15">
        <w:rPr>
          <w:color w:val="000000" w:themeColor="text1"/>
          <w:sz w:val="20"/>
          <w:szCs w:val="20"/>
        </w:rPr>
        <w:t xml:space="preserve">; Case C-817/19, </w:t>
      </w:r>
      <w:r w:rsidR="00A95A15" w:rsidRPr="00A95A15">
        <w:rPr>
          <w:i/>
          <w:iCs/>
          <w:color w:val="000000" w:themeColor="text1"/>
          <w:sz w:val="20"/>
          <w:szCs w:val="20"/>
        </w:rPr>
        <w:t>Ligue des droits humains</w:t>
      </w:r>
      <w:r w:rsidR="00A95A15">
        <w:rPr>
          <w:color w:val="000000" w:themeColor="text1"/>
          <w:sz w:val="20"/>
          <w:szCs w:val="20"/>
        </w:rPr>
        <w:t>, EU:C:2022:491</w:t>
      </w:r>
      <w:r w:rsidRPr="00AA392E">
        <w:rPr>
          <w:color w:val="000000" w:themeColor="text1"/>
          <w:sz w:val="20"/>
          <w:szCs w:val="20"/>
        </w:rPr>
        <w:t>.</w:t>
      </w:r>
    </w:p>
  </w:footnote>
  <w:footnote w:id="18">
    <w:p w14:paraId="5CA09591" w14:textId="407BC30B" w:rsidR="00430953" w:rsidRPr="00AA392E" w:rsidRDefault="00430953"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E.g. Case C-126/97, </w:t>
      </w:r>
      <w:r w:rsidRPr="00AA392E">
        <w:rPr>
          <w:i/>
          <w:iCs/>
          <w:color w:val="000000" w:themeColor="text1"/>
        </w:rPr>
        <w:t>Eco Swiss China</w:t>
      </w:r>
      <w:r w:rsidRPr="00AA392E">
        <w:rPr>
          <w:color w:val="000000" w:themeColor="text1"/>
        </w:rPr>
        <w:t xml:space="preserve">, EU:C:1999:269; Case C-453/99, </w:t>
      </w:r>
      <w:r w:rsidRPr="00AA392E">
        <w:rPr>
          <w:i/>
          <w:iCs/>
          <w:color w:val="000000" w:themeColor="text1"/>
        </w:rPr>
        <w:t xml:space="preserve">Courage </w:t>
      </w:r>
      <w:r w:rsidR="00EF69D7" w:rsidRPr="000E36BD">
        <w:rPr>
          <w:color w:val="000000" w:themeColor="text1"/>
        </w:rPr>
        <w:t>v.</w:t>
      </w:r>
      <w:r w:rsidRPr="00AA392E">
        <w:rPr>
          <w:i/>
          <w:iCs/>
          <w:color w:val="000000" w:themeColor="text1"/>
        </w:rPr>
        <w:t xml:space="preserve"> Crehan</w:t>
      </w:r>
      <w:r w:rsidRPr="00AA392E">
        <w:rPr>
          <w:color w:val="000000" w:themeColor="text1"/>
        </w:rPr>
        <w:t xml:space="preserve">, EU:C:2001:465.  </w:t>
      </w:r>
    </w:p>
  </w:footnote>
  <w:footnote w:id="19">
    <w:p w14:paraId="4D84401B" w14:textId="1CF895FD" w:rsidR="001D6BCE" w:rsidRPr="00AA392E" w:rsidRDefault="001D6BCE"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E.g. Temporary Agency Work Directive 2008/104</w:t>
      </w:r>
      <w:r w:rsidR="00EF69D7">
        <w:rPr>
          <w:color w:val="000000" w:themeColor="text1"/>
        </w:rPr>
        <w:t>,</w:t>
      </w:r>
      <w:r w:rsidR="00F4298F">
        <w:rPr>
          <w:color w:val="000000" w:themeColor="text1"/>
        </w:rPr>
        <w:t xml:space="preserve"> O.J. </w:t>
      </w:r>
      <w:r w:rsidRPr="00AA392E">
        <w:rPr>
          <w:color w:val="000000" w:themeColor="text1"/>
        </w:rPr>
        <w:t>2008</w:t>
      </w:r>
      <w:r w:rsidR="00F4298F">
        <w:rPr>
          <w:color w:val="000000" w:themeColor="text1"/>
        </w:rPr>
        <w:t xml:space="preserve">, </w:t>
      </w:r>
      <w:r w:rsidRPr="00AA392E">
        <w:rPr>
          <w:color w:val="000000" w:themeColor="text1"/>
        </w:rPr>
        <w:t>L</w:t>
      </w:r>
      <w:r w:rsidR="00F4298F">
        <w:rPr>
          <w:color w:val="000000" w:themeColor="text1"/>
        </w:rPr>
        <w:t xml:space="preserve"> </w:t>
      </w:r>
      <w:r w:rsidRPr="00AA392E">
        <w:rPr>
          <w:color w:val="000000" w:themeColor="text1"/>
        </w:rPr>
        <w:t>327/9</w:t>
      </w:r>
      <w:r w:rsidR="00B43DE0" w:rsidRPr="00AA392E">
        <w:rPr>
          <w:color w:val="000000" w:themeColor="text1"/>
        </w:rPr>
        <w:t>; Legal Protection of Computer Programs Directive 2009/24</w:t>
      </w:r>
      <w:r w:rsidR="00F4298F">
        <w:rPr>
          <w:color w:val="000000" w:themeColor="text1"/>
        </w:rPr>
        <w:t>,</w:t>
      </w:r>
      <w:r w:rsidR="00B43DE0" w:rsidRPr="00AA392E">
        <w:rPr>
          <w:color w:val="000000" w:themeColor="text1"/>
        </w:rPr>
        <w:t xml:space="preserve"> </w:t>
      </w:r>
      <w:r w:rsidR="00F4298F">
        <w:rPr>
          <w:color w:val="000000" w:themeColor="text1"/>
        </w:rPr>
        <w:t xml:space="preserve">O.J. </w:t>
      </w:r>
      <w:r w:rsidR="00B43DE0" w:rsidRPr="00AA392E">
        <w:rPr>
          <w:color w:val="000000" w:themeColor="text1"/>
        </w:rPr>
        <w:t>2009</w:t>
      </w:r>
      <w:r w:rsidR="00F4298F">
        <w:rPr>
          <w:color w:val="000000" w:themeColor="text1"/>
        </w:rPr>
        <w:t>,</w:t>
      </w:r>
      <w:r w:rsidR="00B43DE0" w:rsidRPr="00AA392E">
        <w:rPr>
          <w:color w:val="000000" w:themeColor="text1"/>
        </w:rPr>
        <w:t xml:space="preserve"> L</w:t>
      </w:r>
      <w:r w:rsidR="00F4298F">
        <w:rPr>
          <w:color w:val="000000" w:themeColor="text1"/>
        </w:rPr>
        <w:t xml:space="preserve"> </w:t>
      </w:r>
      <w:r w:rsidR="00B43DE0" w:rsidRPr="00AA392E">
        <w:rPr>
          <w:color w:val="000000" w:themeColor="text1"/>
        </w:rPr>
        <w:t>111/16</w:t>
      </w:r>
      <w:r w:rsidRPr="00AA392E">
        <w:rPr>
          <w:color w:val="000000" w:themeColor="text1"/>
        </w:rPr>
        <w:t>.</w:t>
      </w:r>
    </w:p>
  </w:footnote>
  <w:footnote w:id="20">
    <w:p w14:paraId="510CD052" w14:textId="68E7722B" w:rsidR="001840C9" w:rsidRPr="00AA392E" w:rsidRDefault="001840C9"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00BB2395" w:rsidRPr="00AA392E">
        <w:rPr>
          <w:color w:val="000000" w:themeColor="text1"/>
          <w:sz w:val="20"/>
          <w:szCs w:val="20"/>
        </w:rPr>
        <w:t xml:space="preserve">Recently, e.g. </w:t>
      </w:r>
      <w:r w:rsidR="00886364" w:rsidRPr="00AA392E">
        <w:rPr>
          <w:color w:val="000000" w:themeColor="text1"/>
          <w:sz w:val="20"/>
          <w:szCs w:val="20"/>
        </w:rPr>
        <w:t xml:space="preserve">Case C-397/18, </w:t>
      </w:r>
      <w:r w:rsidR="0091569D" w:rsidRPr="00AA392E">
        <w:rPr>
          <w:i/>
          <w:iCs/>
          <w:color w:val="000000" w:themeColor="text1"/>
          <w:sz w:val="20"/>
          <w:szCs w:val="20"/>
        </w:rPr>
        <w:t>DW</w:t>
      </w:r>
      <w:r w:rsidR="00886364" w:rsidRPr="00AA392E">
        <w:rPr>
          <w:color w:val="000000" w:themeColor="text1"/>
          <w:sz w:val="20"/>
          <w:szCs w:val="20"/>
        </w:rPr>
        <w:t>, EU:C:2019:</w:t>
      </w:r>
      <w:r w:rsidR="0091569D" w:rsidRPr="00AA392E">
        <w:rPr>
          <w:color w:val="000000" w:themeColor="text1"/>
          <w:sz w:val="20"/>
          <w:szCs w:val="20"/>
        </w:rPr>
        <w:t>703</w:t>
      </w:r>
      <w:r w:rsidR="00886364" w:rsidRPr="00AA392E">
        <w:rPr>
          <w:color w:val="000000" w:themeColor="text1"/>
          <w:sz w:val="20"/>
          <w:szCs w:val="20"/>
        </w:rPr>
        <w:t xml:space="preserve">; </w:t>
      </w:r>
      <w:r w:rsidR="00BB2395" w:rsidRPr="00AA392E">
        <w:rPr>
          <w:color w:val="000000" w:themeColor="text1"/>
          <w:sz w:val="20"/>
          <w:szCs w:val="20"/>
        </w:rPr>
        <w:t xml:space="preserve">Case C-679/18, </w:t>
      </w:r>
      <w:r w:rsidR="00BB2395" w:rsidRPr="00AA392E">
        <w:rPr>
          <w:i/>
          <w:iCs/>
          <w:color w:val="000000" w:themeColor="text1"/>
          <w:sz w:val="20"/>
          <w:szCs w:val="20"/>
        </w:rPr>
        <w:t>OPR-Finance</w:t>
      </w:r>
      <w:r w:rsidR="00BB2395" w:rsidRPr="00AA392E">
        <w:rPr>
          <w:color w:val="000000" w:themeColor="text1"/>
          <w:sz w:val="20"/>
          <w:szCs w:val="20"/>
        </w:rPr>
        <w:t>, EU:C:2020:167.</w:t>
      </w:r>
    </w:p>
  </w:footnote>
  <w:footnote w:id="21">
    <w:p w14:paraId="616020E9" w14:textId="52B8C053" w:rsidR="00B67067" w:rsidRPr="00AA392E" w:rsidRDefault="00B67067" w:rsidP="00AA392E">
      <w:pPr>
        <w:pStyle w:val="FootnoteText"/>
        <w:jc w:val="both"/>
      </w:pPr>
      <w:r w:rsidRPr="00AA392E">
        <w:rPr>
          <w:rStyle w:val="FootnoteReference"/>
        </w:rPr>
        <w:footnoteRef/>
      </w:r>
      <w:r w:rsidRPr="00AA392E">
        <w:t xml:space="preserve"> </w:t>
      </w:r>
      <w:r w:rsidRPr="00AA392E">
        <w:rPr>
          <w:color w:val="000000" w:themeColor="text1"/>
        </w:rPr>
        <w:t>Directive 93/11</w:t>
      </w:r>
      <w:r w:rsidR="00F4298F">
        <w:rPr>
          <w:color w:val="000000" w:themeColor="text1"/>
        </w:rPr>
        <w:t>,</w:t>
      </w:r>
      <w:r w:rsidRPr="00AA392E">
        <w:rPr>
          <w:color w:val="000000" w:themeColor="text1"/>
        </w:rPr>
        <w:t xml:space="preserve"> </w:t>
      </w:r>
      <w:r w:rsidR="00F4298F">
        <w:rPr>
          <w:color w:val="000000" w:themeColor="text1"/>
        </w:rPr>
        <w:t xml:space="preserve">O.J. </w:t>
      </w:r>
      <w:r w:rsidRPr="00AA392E">
        <w:rPr>
          <w:color w:val="000000" w:themeColor="text1"/>
        </w:rPr>
        <w:t>1993</w:t>
      </w:r>
      <w:r w:rsidR="00F4298F">
        <w:rPr>
          <w:color w:val="000000" w:themeColor="text1"/>
        </w:rPr>
        <w:t>,</w:t>
      </w:r>
      <w:r w:rsidRPr="00AA392E">
        <w:rPr>
          <w:color w:val="000000" w:themeColor="text1"/>
        </w:rPr>
        <w:t xml:space="preserve"> L</w:t>
      </w:r>
      <w:r w:rsidR="00F4298F">
        <w:rPr>
          <w:color w:val="000000" w:themeColor="text1"/>
        </w:rPr>
        <w:t xml:space="preserve"> </w:t>
      </w:r>
      <w:r w:rsidRPr="00AA392E">
        <w:rPr>
          <w:color w:val="000000" w:themeColor="text1"/>
        </w:rPr>
        <w:t>95/29.</w:t>
      </w:r>
    </w:p>
  </w:footnote>
  <w:footnote w:id="22">
    <w:p w14:paraId="464B0922" w14:textId="1B24EA86" w:rsidR="00B67067" w:rsidRPr="00AA392E" w:rsidRDefault="00B67067" w:rsidP="00AA392E">
      <w:pPr>
        <w:pStyle w:val="FootnoteText"/>
        <w:jc w:val="both"/>
      </w:pPr>
      <w:r w:rsidRPr="00AA392E">
        <w:rPr>
          <w:rStyle w:val="FootnoteReference"/>
        </w:rPr>
        <w:footnoteRef/>
      </w:r>
      <w:r w:rsidRPr="00AA392E">
        <w:t xml:space="preserve"> </w:t>
      </w:r>
      <w:r w:rsidRPr="00AA392E">
        <w:rPr>
          <w:color w:val="000000" w:themeColor="text1"/>
        </w:rPr>
        <w:t>E.g. Cases C</w:t>
      </w:r>
      <w:r w:rsidRPr="00AA392E">
        <w:rPr>
          <w:color w:val="000000" w:themeColor="text1"/>
        </w:rPr>
        <w:noBreakHyphen/>
        <w:t>154/15 &amp; C</w:t>
      </w:r>
      <w:r w:rsidRPr="00AA392E">
        <w:rPr>
          <w:color w:val="000000" w:themeColor="text1"/>
        </w:rPr>
        <w:noBreakHyphen/>
        <w:t xml:space="preserve">307-308/15, </w:t>
      </w:r>
      <w:r w:rsidRPr="00AA392E">
        <w:rPr>
          <w:i/>
          <w:iCs/>
          <w:color w:val="000000" w:themeColor="text1"/>
        </w:rPr>
        <w:t>Gutiérrez Naranjo</w:t>
      </w:r>
      <w:r w:rsidRPr="00AA392E">
        <w:rPr>
          <w:color w:val="000000" w:themeColor="text1"/>
        </w:rPr>
        <w:t xml:space="preserve">, EU:C:2016:980; Case C-385/20, </w:t>
      </w:r>
      <w:r w:rsidRPr="00AA392E">
        <w:rPr>
          <w:i/>
          <w:iCs/>
          <w:color w:val="000000" w:themeColor="text1"/>
        </w:rPr>
        <w:t>Caixabank</w:t>
      </w:r>
      <w:r w:rsidRPr="00AA392E">
        <w:rPr>
          <w:color w:val="000000" w:themeColor="text1"/>
        </w:rPr>
        <w:t>, EU:C:2022:278.</w:t>
      </w:r>
    </w:p>
  </w:footnote>
  <w:footnote w:id="23">
    <w:p w14:paraId="6FA40BAB" w14:textId="79A5BAFE" w:rsidR="002555E4" w:rsidRPr="00AA392E" w:rsidRDefault="002555E4"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B67067" w:rsidRPr="00AA392E">
        <w:rPr>
          <w:color w:val="000000" w:themeColor="text1"/>
        </w:rPr>
        <w:t>E</w:t>
      </w:r>
      <w:r w:rsidRPr="00AA392E">
        <w:rPr>
          <w:color w:val="000000" w:themeColor="text1"/>
        </w:rPr>
        <w:t xml:space="preserve">.g. Cases C-698-699/18, </w:t>
      </w:r>
      <w:r w:rsidRPr="00AA392E">
        <w:rPr>
          <w:i/>
          <w:iCs/>
          <w:color w:val="000000" w:themeColor="text1"/>
        </w:rPr>
        <w:t>Raiffeisen</w:t>
      </w:r>
      <w:r w:rsidRPr="00AA392E">
        <w:rPr>
          <w:color w:val="000000" w:themeColor="text1"/>
        </w:rPr>
        <w:t xml:space="preserve"> </w:t>
      </w:r>
      <w:r w:rsidRPr="00AA392E">
        <w:rPr>
          <w:i/>
          <w:iCs/>
          <w:color w:val="000000" w:themeColor="text1"/>
        </w:rPr>
        <w:t>Bank</w:t>
      </w:r>
      <w:r w:rsidRPr="00AA392E">
        <w:rPr>
          <w:color w:val="000000" w:themeColor="text1"/>
        </w:rPr>
        <w:t xml:space="preserve">, EU:C:2020:537; Cases C-224/19 &amp; C-259/19, </w:t>
      </w:r>
      <w:r w:rsidRPr="00AA392E">
        <w:rPr>
          <w:i/>
          <w:iCs/>
          <w:color w:val="000000" w:themeColor="text1"/>
        </w:rPr>
        <w:t>Caixabank</w:t>
      </w:r>
      <w:r w:rsidRPr="00AA392E">
        <w:rPr>
          <w:color w:val="000000" w:themeColor="text1"/>
        </w:rPr>
        <w:t>, EU:C:2020:578.</w:t>
      </w:r>
    </w:p>
  </w:footnote>
  <w:footnote w:id="24">
    <w:p w14:paraId="59D35FB6" w14:textId="327AEFEA" w:rsidR="00C6155E" w:rsidRPr="00AA392E" w:rsidRDefault="00C6155E"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w:t>
      </w:r>
      <w:r w:rsidR="006A1F39" w:rsidRPr="00AA392E">
        <w:rPr>
          <w:color w:val="000000" w:themeColor="text1"/>
        </w:rPr>
        <w:t>Cases C-9</w:t>
      </w:r>
      <w:r w:rsidR="0008789C" w:rsidRPr="00AA392E">
        <w:rPr>
          <w:color w:val="000000" w:themeColor="text1"/>
        </w:rPr>
        <w:t>2</w:t>
      </w:r>
      <w:r w:rsidR="006A1F39" w:rsidRPr="00AA392E">
        <w:rPr>
          <w:color w:val="000000" w:themeColor="text1"/>
        </w:rPr>
        <w:t>4-9</w:t>
      </w:r>
      <w:r w:rsidR="0008789C" w:rsidRPr="00AA392E">
        <w:rPr>
          <w:color w:val="000000" w:themeColor="text1"/>
        </w:rPr>
        <w:t>2</w:t>
      </w:r>
      <w:r w:rsidR="006A1F39" w:rsidRPr="00AA392E">
        <w:rPr>
          <w:color w:val="000000" w:themeColor="text1"/>
        </w:rPr>
        <w:t xml:space="preserve">5/19 PPU, </w:t>
      </w:r>
      <w:r w:rsidR="006A1F39" w:rsidRPr="00AA392E">
        <w:rPr>
          <w:i/>
          <w:iCs/>
          <w:color w:val="000000" w:themeColor="text1"/>
        </w:rPr>
        <w:t>FMS</w:t>
      </w:r>
      <w:r w:rsidR="006A1F39" w:rsidRPr="00AA392E">
        <w:rPr>
          <w:color w:val="000000" w:themeColor="text1"/>
        </w:rPr>
        <w:t xml:space="preserve">, EU:C:2020:367; </w:t>
      </w:r>
      <w:r w:rsidR="00067D05" w:rsidRPr="00AA392E">
        <w:rPr>
          <w:color w:val="000000" w:themeColor="text1"/>
        </w:rPr>
        <w:t xml:space="preserve">Case C-233/19, </w:t>
      </w:r>
      <w:r w:rsidR="00067D05" w:rsidRPr="00AA392E">
        <w:rPr>
          <w:i/>
          <w:iCs/>
          <w:color w:val="000000" w:themeColor="text1"/>
        </w:rPr>
        <w:t>B</w:t>
      </w:r>
      <w:r w:rsidR="00067D05" w:rsidRPr="00AA392E">
        <w:rPr>
          <w:color w:val="000000" w:themeColor="text1"/>
        </w:rPr>
        <w:t xml:space="preserve">, EU:C:2020:757; </w:t>
      </w:r>
      <w:r w:rsidR="009C338C" w:rsidRPr="00AA392E">
        <w:rPr>
          <w:color w:val="000000" w:themeColor="text1"/>
        </w:rPr>
        <w:t xml:space="preserve">Case C-501/18, </w:t>
      </w:r>
      <w:r w:rsidR="009C338C" w:rsidRPr="00AA392E">
        <w:rPr>
          <w:i/>
          <w:iCs/>
          <w:color w:val="000000" w:themeColor="text1"/>
        </w:rPr>
        <w:t>BT</w:t>
      </w:r>
      <w:r w:rsidR="009C338C" w:rsidRPr="00AA392E">
        <w:rPr>
          <w:color w:val="000000" w:themeColor="text1"/>
        </w:rPr>
        <w:t>, EU:C:2021:249</w:t>
      </w:r>
      <w:r w:rsidRPr="00AA392E">
        <w:rPr>
          <w:color w:val="000000" w:themeColor="text1"/>
        </w:rPr>
        <w:t>.</w:t>
      </w:r>
    </w:p>
  </w:footnote>
  <w:footnote w:id="25">
    <w:p w14:paraId="610D273C" w14:textId="3152C0B2" w:rsidR="000A00CF" w:rsidRPr="00AA392E" w:rsidRDefault="000A00CF"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Case C-177/20, </w:t>
      </w:r>
      <w:r w:rsidRPr="00AA392E">
        <w:rPr>
          <w:i/>
          <w:iCs/>
          <w:color w:val="000000" w:themeColor="text1"/>
        </w:rPr>
        <w:t>Grossmania</w:t>
      </w:r>
      <w:r w:rsidRPr="00AA392E">
        <w:rPr>
          <w:color w:val="000000" w:themeColor="text1"/>
        </w:rPr>
        <w:t>, EU:C:2022:175.</w:t>
      </w:r>
    </w:p>
  </w:footnote>
  <w:footnote w:id="26">
    <w:p w14:paraId="62A49548" w14:textId="122F0FC6" w:rsidR="006D25EB" w:rsidRPr="00AA392E" w:rsidRDefault="006D25EB"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Recently, e.g. </w:t>
      </w:r>
      <w:r w:rsidR="00717CB6" w:rsidRPr="00AA392E">
        <w:rPr>
          <w:color w:val="000000" w:themeColor="text1"/>
        </w:rPr>
        <w:t>Case C-621/1</w:t>
      </w:r>
      <w:r w:rsidR="00325134" w:rsidRPr="00AA392E">
        <w:rPr>
          <w:color w:val="000000" w:themeColor="text1"/>
        </w:rPr>
        <w:t>8</w:t>
      </w:r>
      <w:r w:rsidR="00717CB6" w:rsidRPr="00AA392E">
        <w:rPr>
          <w:color w:val="000000" w:themeColor="text1"/>
        </w:rPr>
        <w:t xml:space="preserve">, </w:t>
      </w:r>
      <w:r w:rsidR="00717CB6" w:rsidRPr="00AA392E">
        <w:rPr>
          <w:i/>
          <w:iCs/>
          <w:color w:val="000000" w:themeColor="text1"/>
        </w:rPr>
        <w:t>Wightman</w:t>
      </w:r>
      <w:r w:rsidR="00717CB6" w:rsidRPr="00AA392E">
        <w:rPr>
          <w:color w:val="000000" w:themeColor="text1"/>
        </w:rPr>
        <w:t>, EU:C:201</w:t>
      </w:r>
      <w:r w:rsidR="00325134" w:rsidRPr="00AA392E">
        <w:rPr>
          <w:color w:val="000000" w:themeColor="text1"/>
        </w:rPr>
        <w:t>8:999</w:t>
      </w:r>
      <w:r w:rsidR="00717CB6" w:rsidRPr="00AA392E">
        <w:rPr>
          <w:color w:val="000000" w:themeColor="text1"/>
        </w:rPr>
        <w:t xml:space="preserve">; </w:t>
      </w:r>
      <w:r w:rsidRPr="00AA392E">
        <w:rPr>
          <w:color w:val="000000" w:themeColor="text1"/>
        </w:rPr>
        <w:t xml:space="preserve">Case 741/19, </w:t>
      </w:r>
      <w:r w:rsidRPr="00AA392E">
        <w:rPr>
          <w:i/>
          <w:iCs/>
          <w:color w:val="000000" w:themeColor="text1"/>
        </w:rPr>
        <w:t xml:space="preserve">Republic of Moldova </w:t>
      </w:r>
      <w:r w:rsidR="00EF69D7" w:rsidRPr="000E36BD">
        <w:rPr>
          <w:color w:val="000000" w:themeColor="text1"/>
        </w:rPr>
        <w:t>v.</w:t>
      </w:r>
      <w:r w:rsidRPr="00AA392E">
        <w:rPr>
          <w:i/>
          <w:iCs/>
          <w:color w:val="000000" w:themeColor="text1"/>
        </w:rPr>
        <w:t xml:space="preserve"> Komstroy</w:t>
      </w:r>
      <w:r w:rsidRPr="00AA392E">
        <w:rPr>
          <w:color w:val="000000" w:themeColor="text1"/>
        </w:rPr>
        <w:t>, EU:C:2021:655.</w:t>
      </w:r>
      <w:r w:rsidR="00633924" w:rsidRPr="00AA392E">
        <w:rPr>
          <w:color w:val="000000" w:themeColor="text1"/>
        </w:rPr>
        <w:t xml:space="preserve">  And recall Declaration No 17, attached to the TEU and TFEU by the Treaty of Lisbon, which includes a reference to primacy as a “cornerstone principle” of EU law.  </w:t>
      </w:r>
    </w:p>
  </w:footnote>
  <w:footnote w:id="27">
    <w:p w14:paraId="2C342CE3" w14:textId="14B71635" w:rsidR="00AE4312" w:rsidRPr="00AA392E" w:rsidRDefault="00AE4312"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B67067" w:rsidRPr="00AA392E">
        <w:rPr>
          <w:color w:val="000000" w:themeColor="text1"/>
        </w:rPr>
        <w:t xml:space="preserve">E.g. </w:t>
      </w:r>
      <w:r w:rsidR="00B67067" w:rsidRPr="00AA392E">
        <w:t xml:space="preserve">Judgment of the Danish Supreme Court in </w:t>
      </w:r>
      <w:r w:rsidR="00B67067" w:rsidRPr="00AA392E">
        <w:rPr>
          <w:lang w:val="en-US"/>
        </w:rPr>
        <w:t>Case 15/2014</w:t>
      </w:r>
      <w:r w:rsidR="00F4298F">
        <w:rPr>
          <w:lang w:val="en-US"/>
        </w:rPr>
        <w:t>,</w:t>
      </w:r>
      <w:r w:rsidR="00B67067" w:rsidRPr="00AA392E">
        <w:rPr>
          <w:lang w:val="en-US"/>
        </w:rPr>
        <w:t xml:space="preserve"> </w:t>
      </w:r>
      <w:r w:rsidR="00B67067" w:rsidRPr="00AA392E">
        <w:rPr>
          <w:i/>
          <w:lang w:val="en-US"/>
        </w:rPr>
        <w:t xml:space="preserve">DI acting on behalf of Ajos, </w:t>
      </w:r>
      <w:r w:rsidR="00B67067" w:rsidRPr="00AA392E">
        <w:rPr>
          <w:lang w:val="en-US"/>
        </w:rPr>
        <w:t>6 December 2016</w:t>
      </w:r>
      <w:r w:rsidR="00B67067" w:rsidRPr="00AA392E">
        <w:rPr>
          <w:color w:val="000000" w:themeColor="text1"/>
        </w:rPr>
        <w:t xml:space="preserve">.  </w:t>
      </w:r>
      <w:r w:rsidR="00181C0D" w:rsidRPr="00AA392E">
        <w:rPr>
          <w:color w:val="000000" w:themeColor="text1"/>
        </w:rPr>
        <w:t xml:space="preserve">However unconvincing the exercise of such residual jurisdiction may sometimes appear to the outside (or indeed the inside) observer: consider, e.g. </w:t>
      </w:r>
      <w:r w:rsidR="0058685B" w:rsidRPr="00AA392E">
        <w:rPr>
          <w:color w:val="000000" w:themeColor="text1"/>
        </w:rPr>
        <w:t xml:space="preserve">the </w:t>
      </w:r>
      <w:r w:rsidR="0058685B" w:rsidRPr="00AA392E">
        <w:rPr>
          <w:color w:val="000000" w:themeColor="text1"/>
          <w:lang w:val="en-US"/>
        </w:rPr>
        <w:t xml:space="preserve">ruling of the German Federal Constitutional Court in the </w:t>
      </w:r>
      <w:r w:rsidR="0058685B" w:rsidRPr="00AA392E">
        <w:rPr>
          <w:i/>
          <w:iCs/>
          <w:color w:val="000000" w:themeColor="text1"/>
          <w:lang w:val="en-US"/>
        </w:rPr>
        <w:t>Public Sector Purchase Programme</w:t>
      </w:r>
      <w:r w:rsidR="0058685B" w:rsidRPr="00AA392E">
        <w:rPr>
          <w:color w:val="000000" w:themeColor="text1"/>
          <w:lang w:val="en-US"/>
        </w:rPr>
        <w:t xml:space="preserve"> case (Judgment of 5 May 2020); </w:t>
      </w:r>
      <w:r w:rsidR="00181C0D" w:rsidRPr="00AA392E">
        <w:rPr>
          <w:color w:val="000000" w:themeColor="text1"/>
          <w:lang w:val="en-US"/>
        </w:rPr>
        <w:t xml:space="preserve">to say nothing of the </w:t>
      </w:r>
      <w:r w:rsidR="0058685B" w:rsidRPr="00AA392E">
        <w:rPr>
          <w:color w:val="000000" w:themeColor="text1"/>
          <w:lang w:val="en-US"/>
        </w:rPr>
        <w:t xml:space="preserve">unedifying </w:t>
      </w:r>
      <w:r w:rsidR="00084FC7" w:rsidRPr="00AA392E">
        <w:rPr>
          <w:color w:val="000000" w:themeColor="text1"/>
          <w:lang w:val="en-US"/>
        </w:rPr>
        <w:t>“judgment”</w:t>
      </w:r>
      <w:r w:rsidR="0058685B" w:rsidRPr="00AA392E">
        <w:rPr>
          <w:color w:val="000000" w:themeColor="text1"/>
          <w:lang w:val="en-US"/>
        </w:rPr>
        <w:t xml:space="preserve"> of the (politically compromised) Constitutional Tribunal </w:t>
      </w:r>
      <w:r w:rsidR="00084FC7" w:rsidRPr="00AA392E">
        <w:rPr>
          <w:color w:val="000000" w:themeColor="text1"/>
          <w:lang w:val="en-US"/>
        </w:rPr>
        <w:t xml:space="preserve">of </w:t>
      </w:r>
      <w:r w:rsidR="0058685B" w:rsidRPr="00AA392E">
        <w:rPr>
          <w:color w:val="000000" w:themeColor="text1"/>
          <w:lang w:val="en-US"/>
        </w:rPr>
        <w:t xml:space="preserve">Poland </w:t>
      </w:r>
      <w:r w:rsidR="00E75FC5" w:rsidRPr="00AA392E">
        <w:rPr>
          <w:color w:val="000000" w:themeColor="text1"/>
          <w:lang w:val="en-US"/>
        </w:rPr>
        <w:t xml:space="preserve">in </w:t>
      </w:r>
      <w:r w:rsidR="0058685B" w:rsidRPr="00AA392E">
        <w:rPr>
          <w:color w:val="000000" w:themeColor="text1"/>
          <w:lang w:val="en-US"/>
        </w:rPr>
        <w:t>Case K 3/21</w:t>
      </w:r>
      <w:r w:rsidR="00E75FC5" w:rsidRPr="00AA392E">
        <w:rPr>
          <w:color w:val="000000" w:themeColor="text1"/>
          <w:lang w:val="en-US"/>
        </w:rPr>
        <w:t xml:space="preserve"> (d</w:t>
      </w:r>
      <w:r w:rsidR="0058685B" w:rsidRPr="00AA392E">
        <w:rPr>
          <w:color w:val="000000" w:themeColor="text1"/>
          <w:lang w:val="en-US"/>
        </w:rPr>
        <w:t>ecision of 7 October 2021).</w:t>
      </w:r>
    </w:p>
  </w:footnote>
  <w:footnote w:id="28">
    <w:p w14:paraId="1DDAB9BF" w14:textId="57E7570D" w:rsidR="00AE4312" w:rsidRPr="00AA392E" w:rsidRDefault="00AE4312"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3C5D7C" w:rsidRPr="00AA392E">
        <w:rPr>
          <w:color w:val="000000" w:themeColor="text1"/>
        </w:rPr>
        <w:t xml:space="preserve">E.g. </w:t>
      </w:r>
      <w:r w:rsidR="00084FC7" w:rsidRPr="00AA392E">
        <w:rPr>
          <w:color w:val="000000" w:themeColor="text1"/>
        </w:rPr>
        <w:t xml:space="preserve">Judgment of the </w:t>
      </w:r>
      <w:r w:rsidR="00E75FC5" w:rsidRPr="00AA392E">
        <w:rPr>
          <w:color w:val="000000" w:themeColor="text1"/>
        </w:rPr>
        <w:t xml:space="preserve">French </w:t>
      </w:r>
      <w:r w:rsidR="00084FC7" w:rsidRPr="00AA392E">
        <w:rPr>
          <w:color w:val="000000" w:themeColor="text1"/>
        </w:rPr>
        <w:t>Conseil d’</w:t>
      </w:r>
      <w:r w:rsidR="00084FC7" w:rsidRPr="00AA392E">
        <w:rPr>
          <w:color w:val="000000" w:themeColor="text1"/>
          <w:lang w:val="en-US"/>
        </w:rPr>
        <w:t>État</w:t>
      </w:r>
      <w:r w:rsidR="00084FC7" w:rsidRPr="00AA392E">
        <w:rPr>
          <w:color w:val="000000" w:themeColor="text1"/>
        </w:rPr>
        <w:t xml:space="preserve"> in </w:t>
      </w:r>
      <w:r w:rsidR="00084FC7" w:rsidRPr="00AA392E">
        <w:rPr>
          <w:i/>
          <w:color w:val="000000" w:themeColor="text1"/>
          <w:lang w:val="en-US"/>
        </w:rPr>
        <w:t>ANODE</w:t>
      </w:r>
      <w:r w:rsidR="00084FC7" w:rsidRPr="00AA392E">
        <w:rPr>
          <w:color w:val="000000" w:themeColor="text1"/>
          <w:lang w:val="en-US"/>
        </w:rPr>
        <w:t xml:space="preserve">, </w:t>
      </w:r>
      <w:r w:rsidR="00084FC7" w:rsidRPr="00AA392E">
        <w:rPr>
          <w:color w:val="000000" w:themeColor="text1"/>
          <w:shd w:val="clear" w:color="auto" w:fill="FFFFFF"/>
        </w:rPr>
        <w:t>FR:CEASS:2017:370321.20170719.</w:t>
      </w:r>
      <w:r w:rsidR="00B41CE1" w:rsidRPr="00AA392E">
        <w:rPr>
          <w:color w:val="000000" w:themeColor="text1"/>
          <w:shd w:val="clear" w:color="auto" w:fill="FFFFFF"/>
        </w:rPr>
        <w:t xml:space="preserve">  See, for a broad range of examples from across the Member States, </w:t>
      </w:r>
      <w:r w:rsidR="00B41CE1" w:rsidRPr="00AA392E">
        <w:rPr>
          <w:color w:val="000000" w:themeColor="text1"/>
        </w:rPr>
        <w:t>Botman and Langer (</w:t>
      </w:r>
      <w:r w:rsidR="00F4298F">
        <w:rPr>
          <w:color w:val="000000" w:themeColor="text1"/>
        </w:rPr>
        <w:t>E</w:t>
      </w:r>
      <w:r w:rsidR="00B41CE1" w:rsidRPr="00AA392E">
        <w:rPr>
          <w:color w:val="000000" w:themeColor="text1"/>
        </w:rPr>
        <w:t xml:space="preserve">ds), </w:t>
      </w:r>
      <w:r w:rsidR="00B41CE1" w:rsidRPr="00AA392E">
        <w:rPr>
          <w:i/>
          <w:color w:val="000000" w:themeColor="text1"/>
        </w:rPr>
        <w:t>National Courts and the Enforcement of EU Law: The Pivotal Role of National Courts in the EU Legal Order</w:t>
      </w:r>
      <w:r w:rsidR="00B41CE1" w:rsidRPr="00AA392E">
        <w:rPr>
          <w:color w:val="000000" w:themeColor="text1"/>
        </w:rPr>
        <w:t xml:space="preserve"> (Proceedings of the XXIX FIDE Congress in The Hague, Volume 1, Eleven International Publishing, 2020).</w:t>
      </w:r>
      <w:r w:rsidR="00B41CE1" w:rsidRPr="00AA392E">
        <w:rPr>
          <w:color w:val="000000" w:themeColor="text1"/>
          <w:shd w:val="clear" w:color="auto" w:fill="FFFFFF"/>
        </w:rPr>
        <w:t xml:space="preserve"> </w:t>
      </w:r>
    </w:p>
  </w:footnote>
  <w:footnote w:id="29">
    <w:p w14:paraId="41E9FA8B" w14:textId="44AA1E6B" w:rsidR="00F061DE" w:rsidRPr="00AA392E" w:rsidRDefault="00F061DE"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00B41CE1" w:rsidRPr="00AA392E">
        <w:rPr>
          <w:color w:val="000000" w:themeColor="text1"/>
          <w:sz w:val="20"/>
          <w:szCs w:val="20"/>
        </w:rPr>
        <w:t>For just a few examples even from the most recent literature, c</w:t>
      </w:r>
      <w:r w:rsidRPr="00AA392E">
        <w:rPr>
          <w:color w:val="000000" w:themeColor="text1"/>
          <w:sz w:val="20"/>
          <w:szCs w:val="20"/>
        </w:rPr>
        <w:t xml:space="preserve">onsider, e.g. Spieker, “Framing and managing constitutional identity conflicts: How to stabilise the </w:t>
      </w:r>
      <w:r w:rsidRPr="00AA392E">
        <w:rPr>
          <w:i/>
          <w:iCs/>
          <w:color w:val="000000" w:themeColor="text1"/>
          <w:sz w:val="20"/>
          <w:szCs w:val="20"/>
        </w:rPr>
        <w:t>modus vivendi</w:t>
      </w:r>
      <w:r w:rsidRPr="00AA392E">
        <w:rPr>
          <w:color w:val="000000" w:themeColor="text1"/>
          <w:sz w:val="20"/>
          <w:szCs w:val="20"/>
        </w:rPr>
        <w:t xml:space="preserve"> between the Court of Justice and national constitutional courts”</w:t>
      </w:r>
      <w:r w:rsidR="00F4298F">
        <w:rPr>
          <w:color w:val="000000" w:themeColor="text1"/>
          <w:sz w:val="20"/>
          <w:szCs w:val="20"/>
        </w:rPr>
        <w:t>,</w:t>
      </w:r>
      <w:r w:rsidRPr="00AA392E">
        <w:rPr>
          <w:color w:val="000000" w:themeColor="text1"/>
          <w:sz w:val="20"/>
          <w:szCs w:val="20"/>
        </w:rPr>
        <w:t xml:space="preserve"> 57 CML</w:t>
      </w:r>
      <w:r w:rsidR="00F4298F">
        <w:rPr>
          <w:color w:val="000000" w:themeColor="text1"/>
          <w:sz w:val="20"/>
          <w:szCs w:val="20"/>
        </w:rPr>
        <w:t xml:space="preserve"> </w:t>
      </w:r>
      <w:r w:rsidRPr="00AA392E">
        <w:rPr>
          <w:color w:val="000000" w:themeColor="text1"/>
          <w:sz w:val="20"/>
          <w:szCs w:val="20"/>
        </w:rPr>
        <w:t>Rev</w:t>
      </w:r>
      <w:r w:rsidR="000E36BD">
        <w:rPr>
          <w:color w:val="000000" w:themeColor="text1"/>
          <w:sz w:val="20"/>
          <w:szCs w:val="20"/>
        </w:rPr>
        <w:t>.</w:t>
      </w:r>
      <w:r w:rsidRPr="00AA392E">
        <w:rPr>
          <w:color w:val="000000" w:themeColor="text1"/>
          <w:sz w:val="20"/>
          <w:szCs w:val="20"/>
        </w:rPr>
        <w:t xml:space="preserve"> </w:t>
      </w:r>
      <w:r w:rsidR="00F4298F" w:rsidRPr="00AA392E">
        <w:rPr>
          <w:color w:val="000000" w:themeColor="text1"/>
          <w:sz w:val="20"/>
          <w:szCs w:val="20"/>
        </w:rPr>
        <w:t>(2020)</w:t>
      </w:r>
      <w:r w:rsidR="00F4298F">
        <w:rPr>
          <w:color w:val="000000" w:themeColor="text1"/>
          <w:sz w:val="20"/>
          <w:szCs w:val="20"/>
        </w:rPr>
        <w:t xml:space="preserve">, </w:t>
      </w:r>
      <w:r w:rsidRPr="00AA392E">
        <w:rPr>
          <w:color w:val="000000" w:themeColor="text1"/>
          <w:sz w:val="20"/>
          <w:szCs w:val="20"/>
        </w:rPr>
        <w:t>361</w:t>
      </w:r>
      <w:r w:rsidR="004C494C" w:rsidRPr="00AA392E">
        <w:rPr>
          <w:color w:val="000000" w:themeColor="text1"/>
          <w:sz w:val="20"/>
          <w:szCs w:val="20"/>
        </w:rPr>
        <w:t xml:space="preserve">; Editorial Comments, “Not mastering the Treaties: The German Federal Constitutional Court’s </w:t>
      </w:r>
      <w:r w:rsidR="00B45051" w:rsidRPr="00AA392E">
        <w:rPr>
          <w:i/>
          <w:iCs/>
          <w:color w:val="000000" w:themeColor="text1"/>
          <w:sz w:val="20"/>
          <w:szCs w:val="20"/>
        </w:rPr>
        <w:t>PSPP</w:t>
      </w:r>
      <w:r w:rsidR="00B45051" w:rsidRPr="00AA392E">
        <w:rPr>
          <w:color w:val="000000" w:themeColor="text1"/>
          <w:sz w:val="20"/>
          <w:szCs w:val="20"/>
        </w:rPr>
        <w:t xml:space="preserve"> judgment”</w:t>
      </w:r>
      <w:r w:rsidR="00F4298F">
        <w:rPr>
          <w:color w:val="000000" w:themeColor="text1"/>
          <w:sz w:val="20"/>
          <w:szCs w:val="20"/>
        </w:rPr>
        <w:t>,</w:t>
      </w:r>
      <w:r w:rsidR="00B45051" w:rsidRPr="00AA392E">
        <w:rPr>
          <w:color w:val="000000" w:themeColor="text1"/>
          <w:sz w:val="20"/>
          <w:szCs w:val="20"/>
        </w:rPr>
        <w:t xml:space="preserve"> 57 CML</w:t>
      </w:r>
      <w:r w:rsidR="00F4298F">
        <w:rPr>
          <w:color w:val="000000" w:themeColor="text1"/>
          <w:sz w:val="20"/>
          <w:szCs w:val="20"/>
        </w:rPr>
        <w:t xml:space="preserve"> </w:t>
      </w:r>
      <w:r w:rsidR="00B45051" w:rsidRPr="00AA392E">
        <w:rPr>
          <w:color w:val="000000" w:themeColor="text1"/>
          <w:sz w:val="20"/>
          <w:szCs w:val="20"/>
        </w:rPr>
        <w:t>Rev</w:t>
      </w:r>
      <w:r w:rsidR="000E36BD">
        <w:rPr>
          <w:color w:val="000000" w:themeColor="text1"/>
          <w:sz w:val="20"/>
          <w:szCs w:val="20"/>
        </w:rPr>
        <w:t>.</w:t>
      </w:r>
      <w:r w:rsidR="00B45051" w:rsidRPr="00AA392E">
        <w:rPr>
          <w:color w:val="000000" w:themeColor="text1"/>
          <w:sz w:val="20"/>
          <w:szCs w:val="20"/>
        </w:rPr>
        <w:t xml:space="preserve"> </w:t>
      </w:r>
      <w:r w:rsidR="00F4298F" w:rsidRPr="00AA392E">
        <w:rPr>
          <w:color w:val="000000" w:themeColor="text1"/>
          <w:sz w:val="20"/>
          <w:szCs w:val="20"/>
        </w:rPr>
        <w:t>(2020)</w:t>
      </w:r>
      <w:r w:rsidR="00F4298F">
        <w:rPr>
          <w:color w:val="000000" w:themeColor="text1"/>
          <w:sz w:val="20"/>
          <w:szCs w:val="20"/>
        </w:rPr>
        <w:t xml:space="preserve">, </w:t>
      </w:r>
      <w:r w:rsidR="00B45051" w:rsidRPr="00AA392E">
        <w:rPr>
          <w:color w:val="000000" w:themeColor="text1"/>
          <w:sz w:val="20"/>
          <w:szCs w:val="20"/>
        </w:rPr>
        <w:t>965</w:t>
      </w:r>
      <w:r w:rsidR="00FC19B6" w:rsidRPr="00AA392E">
        <w:rPr>
          <w:color w:val="000000" w:themeColor="text1"/>
          <w:sz w:val="20"/>
          <w:szCs w:val="20"/>
        </w:rPr>
        <w:t>; Bobić</w:t>
      </w:r>
      <w:r w:rsidR="00236339" w:rsidRPr="00AA392E">
        <w:rPr>
          <w:color w:val="000000" w:themeColor="text1"/>
          <w:sz w:val="20"/>
          <w:szCs w:val="20"/>
        </w:rPr>
        <w:t xml:space="preserve"> </w:t>
      </w:r>
      <w:r w:rsidR="00FC19B6" w:rsidRPr="00AA392E">
        <w:rPr>
          <w:color w:val="000000" w:themeColor="text1"/>
          <w:sz w:val="20"/>
          <w:szCs w:val="20"/>
        </w:rPr>
        <w:t xml:space="preserve">and Dawson, “Making sense of the ‘incomprehensible’: The </w:t>
      </w:r>
      <w:r w:rsidR="00FC19B6" w:rsidRPr="00AA392E">
        <w:rPr>
          <w:i/>
          <w:iCs/>
          <w:color w:val="000000" w:themeColor="text1"/>
          <w:sz w:val="20"/>
          <w:szCs w:val="20"/>
        </w:rPr>
        <w:t>PSPP</w:t>
      </w:r>
      <w:r w:rsidR="00FC19B6" w:rsidRPr="00AA392E">
        <w:rPr>
          <w:color w:val="000000" w:themeColor="text1"/>
          <w:sz w:val="20"/>
          <w:szCs w:val="20"/>
        </w:rPr>
        <w:t xml:space="preserve"> Judgment of the German Federal Constitutional Court”</w:t>
      </w:r>
      <w:r w:rsidR="00F4298F">
        <w:rPr>
          <w:color w:val="000000" w:themeColor="text1"/>
          <w:sz w:val="20"/>
          <w:szCs w:val="20"/>
        </w:rPr>
        <w:t>,</w:t>
      </w:r>
      <w:r w:rsidR="00FC19B6" w:rsidRPr="00AA392E">
        <w:rPr>
          <w:color w:val="000000" w:themeColor="text1"/>
          <w:sz w:val="20"/>
          <w:szCs w:val="20"/>
        </w:rPr>
        <w:t xml:space="preserve"> 57 CML</w:t>
      </w:r>
      <w:r w:rsidR="00F4298F">
        <w:rPr>
          <w:color w:val="000000" w:themeColor="text1"/>
          <w:sz w:val="20"/>
          <w:szCs w:val="20"/>
        </w:rPr>
        <w:t xml:space="preserve"> </w:t>
      </w:r>
      <w:r w:rsidR="00FC19B6" w:rsidRPr="00AA392E">
        <w:rPr>
          <w:color w:val="000000" w:themeColor="text1"/>
          <w:sz w:val="20"/>
          <w:szCs w:val="20"/>
        </w:rPr>
        <w:t>Rev</w:t>
      </w:r>
      <w:r w:rsidR="000E36BD">
        <w:rPr>
          <w:color w:val="000000" w:themeColor="text1"/>
          <w:sz w:val="20"/>
          <w:szCs w:val="20"/>
        </w:rPr>
        <w:t>.</w:t>
      </w:r>
      <w:r w:rsidR="00FC19B6" w:rsidRPr="00AA392E">
        <w:rPr>
          <w:color w:val="000000" w:themeColor="text1"/>
          <w:sz w:val="20"/>
          <w:szCs w:val="20"/>
        </w:rPr>
        <w:t xml:space="preserve"> </w:t>
      </w:r>
      <w:r w:rsidR="00F4298F" w:rsidRPr="00AA392E">
        <w:rPr>
          <w:color w:val="000000" w:themeColor="text1"/>
          <w:sz w:val="20"/>
          <w:szCs w:val="20"/>
        </w:rPr>
        <w:t>(2020)</w:t>
      </w:r>
      <w:r w:rsidR="00F4298F">
        <w:rPr>
          <w:color w:val="000000" w:themeColor="text1"/>
          <w:sz w:val="20"/>
          <w:szCs w:val="20"/>
        </w:rPr>
        <w:t xml:space="preserve">, </w:t>
      </w:r>
      <w:r w:rsidR="00FC19B6" w:rsidRPr="00AA392E">
        <w:rPr>
          <w:color w:val="000000" w:themeColor="text1"/>
          <w:sz w:val="20"/>
          <w:szCs w:val="20"/>
        </w:rPr>
        <w:t>1953</w:t>
      </w:r>
      <w:r w:rsidR="00201611" w:rsidRPr="00AA392E">
        <w:rPr>
          <w:color w:val="000000" w:themeColor="text1"/>
          <w:sz w:val="20"/>
          <w:szCs w:val="20"/>
        </w:rPr>
        <w:t xml:space="preserve">; </w:t>
      </w:r>
      <w:r w:rsidR="00236339" w:rsidRPr="00AA392E">
        <w:rPr>
          <w:color w:val="000000" w:themeColor="text1"/>
          <w:sz w:val="20"/>
          <w:szCs w:val="20"/>
        </w:rPr>
        <w:t xml:space="preserve">Amtenbrink and Repasi, “The German Federal Constitutional Court’s Decision in </w:t>
      </w:r>
      <w:r w:rsidR="00236339" w:rsidRPr="00AA392E">
        <w:rPr>
          <w:i/>
          <w:iCs/>
          <w:color w:val="000000" w:themeColor="text1"/>
          <w:sz w:val="20"/>
          <w:szCs w:val="20"/>
        </w:rPr>
        <w:t>Weiss</w:t>
      </w:r>
      <w:r w:rsidR="00236339" w:rsidRPr="00AA392E">
        <w:rPr>
          <w:color w:val="000000" w:themeColor="text1"/>
          <w:sz w:val="20"/>
          <w:szCs w:val="20"/>
        </w:rPr>
        <w:t>: A Contextual Analysis”</w:t>
      </w:r>
      <w:r w:rsidR="00F4298F">
        <w:rPr>
          <w:color w:val="000000" w:themeColor="text1"/>
          <w:sz w:val="20"/>
          <w:szCs w:val="20"/>
        </w:rPr>
        <w:t>,</w:t>
      </w:r>
      <w:r w:rsidR="00236339" w:rsidRPr="00AA392E">
        <w:rPr>
          <w:color w:val="000000" w:themeColor="text1"/>
          <w:sz w:val="20"/>
          <w:szCs w:val="20"/>
        </w:rPr>
        <w:t xml:space="preserve"> 45 EL</w:t>
      </w:r>
      <w:r w:rsidR="00F4298F">
        <w:rPr>
          <w:color w:val="000000" w:themeColor="text1"/>
          <w:sz w:val="20"/>
          <w:szCs w:val="20"/>
        </w:rPr>
        <w:t xml:space="preserve"> </w:t>
      </w:r>
      <w:r w:rsidR="00236339" w:rsidRPr="00AA392E">
        <w:rPr>
          <w:color w:val="000000" w:themeColor="text1"/>
          <w:sz w:val="20"/>
          <w:szCs w:val="20"/>
        </w:rPr>
        <w:t>Rev</w:t>
      </w:r>
      <w:r w:rsidR="000E36BD">
        <w:rPr>
          <w:color w:val="000000" w:themeColor="text1"/>
          <w:sz w:val="20"/>
          <w:szCs w:val="20"/>
        </w:rPr>
        <w:t>.</w:t>
      </w:r>
      <w:r w:rsidR="00236339" w:rsidRPr="00AA392E">
        <w:rPr>
          <w:color w:val="000000" w:themeColor="text1"/>
          <w:sz w:val="20"/>
          <w:szCs w:val="20"/>
        </w:rPr>
        <w:t xml:space="preserve"> </w:t>
      </w:r>
      <w:r w:rsidR="00F4298F" w:rsidRPr="00AA392E">
        <w:rPr>
          <w:color w:val="000000" w:themeColor="text1"/>
          <w:sz w:val="20"/>
          <w:szCs w:val="20"/>
        </w:rPr>
        <w:t>(2020)</w:t>
      </w:r>
      <w:r w:rsidR="00F4298F">
        <w:rPr>
          <w:color w:val="000000" w:themeColor="text1"/>
          <w:sz w:val="20"/>
          <w:szCs w:val="20"/>
        </w:rPr>
        <w:t xml:space="preserve">, </w:t>
      </w:r>
      <w:r w:rsidR="00236339" w:rsidRPr="00AA392E">
        <w:rPr>
          <w:color w:val="000000" w:themeColor="text1"/>
          <w:sz w:val="20"/>
          <w:szCs w:val="20"/>
        </w:rPr>
        <w:t xml:space="preserve">757; </w:t>
      </w:r>
      <w:r w:rsidR="007A5273" w:rsidRPr="00AA392E">
        <w:rPr>
          <w:color w:val="000000" w:themeColor="text1"/>
          <w:sz w:val="20"/>
          <w:szCs w:val="20"/>
        </w:rPr>
        <w:t xml:space="preserve">Mayer, “The ultra vires ruling: deconstructing the German Federal Constitutional Court's </w:t>
      </w:r>
      <w:r w:rsidR="007A5273" w:rsidRPr="00AA392E">
        <w:rPr>
          <w:i/>
          <w:iCs/>
          <w:color w:val="000000" w:themeColor="text1"/>
          <w:sz w:val="20"/>
          <w:szCs w:val="20"/>
        </w:rPr>
        <w:t>PSPP</w:t>
      </w:r>
      <w:r w:rsidR="007A5273" w:rsidRPr="00AA392E">
        <w:rPr>
          <w:color w:val="000000" w:themeColor="text1"/>
          <w:sz w:val="20"/>
          <w:szCs w:val="20"/>
        </w:rPr>
        <w:t xml:space="preserve"> decision of 5 May 2020”</w:t>
      </w:r>
      <w:r w:rsidR="00F4298F">
        <w:rPr>
          <w:color w:val="000000" w:themeColor="text1"/>
          <w:sz w:val="20"/>
          <w:szCs w:val="20"/>
        </w:rPr>
        <w:t>,</w:t>
      </w:r>
      <w:r w:rsidR="007A5273" w:rsidRPr="00AA392E">
        <w:rPr>
          <w:color w:val="000000" w:themeColor="text1"/>
          <w:sz w:val="20"/>
          <w:szCs w:val="20"/>
        </w:rPr>
        <w:t xml:space="preserve"> (2020) 16 </w:t>
      </w:r>
      <w:r w:rsidR="007A5273" w:rsidRPr="00AA392E">
        <w:rPr>
          <w:i/>
          <w:iCs/>
          <w:color w:val="000000" w:themeColor="text1"/>
          <w:sz w:val="20"/>
          <w:szCs w:val="20"/>
        </w:rPr>
        <w:t>EUConst</w:t>
      </w:r>
      <w:r w:rsidR="007A5273" w:rsidRPr="00AA392E">
        <w:rPr>
          <w:color w:val="000000" w:themeColor="text1"/>
          <w:sz w:val="20"/>
          <w:szCs w:val="20"/>
        </w:rPr>
        <w:t xml:space="preserve"> 733</w:t>
      </w:r>
      <w:r w:rsidR="00E91CBB" w:rsidRPr="00AA392E">
        <w:rPr>
          <w:color w:val="000000" w:themeColor="text1"/>
          <w:sz w:val="20"/>
          <w:szCs w:val="20"/>
        </w:rPr>
        <w:t xml:space="preserve">; Galetta and </w:t>
      </w:r>
      <w:r w:rsidR="0021773F" w:rsidRPr="00AA392E">
        <w:rPr>
          <w:color w:val="000000" w:themeColor="text1"/>
          <w:sz w:val="20"/>
          <w:szCs w:val="20"/>
        </w:rPr>
        <w:t xml:space="preserve">Ziller, “The Bundesverfassungsgericht’s Glaring and Deliberate Breaches of EU Law Based on ‘Unintelligible’ and ‘Arbitrary’ Grounds” (2021) 27 </w:t>
      </w:r>
      <w:r w:rsidR="0021773F" w:rsidRPr="00AA392E">
        <w:rPr>
          <w:i/>
          <w:iCs/>
          <w:color w:val="000000" w:themeColor="text1"/>
          <w:sz w:val="20"/>
          <w:szCs w:val="20"/>
        </w:rPr>
        <w:t>European Public Law</w:t>
      </w:r>
      <w:r w:rsidR="0021773F" w:rsidRPr="00AA392E">
        <w:rPr>
          <w:color w:val="000000" w:themeColor="text1"/>
          <w:sz w:val="20"/>
          <w:szCs w:val="20"/>
        </w:rPr>
        <w:t xml:space="preserve"> 63</w:t>
      </w:r>
      <w:r w:rsidR="00633924" w:rsidRPr="00AA392E">
        <w:rPr>
          <w:color w:val="000000" w:themeColor="text1"/>
          <w:sz w:val="20"/>
          <w:szCs w:val="20"/>
        </w:rPr>
        <w:t>; Vergara and Puig, “</w:t>
      </w:r>
      <w:r w:rsidR="00581C7B" w:rsidRPr="00AA392E">
        <w:rPr>
          <w:color w:val="000000" w:themeColor="text1"/>
          <w:sz w:val="20"/>
          <w:szCs w:val="20"/>
        </w:rPr>
        <w:t xml:space="preserve">The Quiet Architect Finds its Voice: The Primacy of the Law of the European Union after Press Release No 58/20 of the Court of Justice of the European Union” (2021) 27 </w:t>
      </w:r>
      <w:r w:rsidR="00581C7B" w:rsidRPr="00AA392E">
        <w:rPr>
          <w:i/>
          <w:iCs/>
          <w:color w:val="000000" w:themeColor="text1"/>
          <w:sz w:val="20"/>
          <w:szCs w:val="20"/>
        </w:rPr>
        <w:t>European Public Law</w:t>
      </w:r>
      <w:r w:rsidR="00581C7B" w:rsidRPr="00AA392E">
        <w:rPr>
          <w:color w:val="000000" w:themeColor="text1"/>
          <w:sz w:val="20"/>
          <w:szCs w:val="20"/>
        </w:rPr>
        <w:t xml:space="preserve"> 673</w:t>
      </w:r>
      <w:r w:rsidR="007A5273" w:rsidRPr="00AA392E">
        <w:rPr>
          <w:color w:val="000000" w:themeColor="text1"/>
          <w:sz w:val="20"/>
          <w:szCs w:val="20"/>
        </w:rPr>
        <w:t xml:space="preserve">; </w:t>
      </w:r>
      <w:r w:rsidR="00201611" w:rsidRPr="00AA392E">
        <w:rPr>
          <w:color w:val="000000" w:themeColor="text1"/>
          <w:sz w:val="20"/>
          <w:szCs w:val="20"/>
        </w:rPr>
        <w:t xml:space="preserve">Editorial Comments, “Clear and present danger: </w:t>
      </w:r>
      <w:r w:rsidR="00595F8F" w:rsidRPr="00AA392E">
        <w:rPr>
          <w:color w:val="000000" w:themeColor="text1"/>
          <w:sz w:val="20"/>
          <w:szCs w:val="20"/>
        </w:rPr>
        <w:t>Poland, the rule of law and primacy”</w:t>
      </w:r>
      <w:r w:rsidR="00F4298F">
        <w:rPr>
          <w:color w:val="000000" w:themeColor="text1"/>
          <w:sz w:val="20"/>
          <w:szCs w:val="20"/>
        </w:rPr>
        <w:t>,</w:t>
      </w:r>
      <w:r w:rsidR="00595F8F" w:rsidRPr="00AA392E">
        <w:rPr>
          <w:color w:val="000000" w:themeColor="text1"/>
          <w:sz w:val="20"/>
          <w:szCs w:val="20"/>
        </w:rPr>
        <w:t xml:space="preserve"> 58 CML</w:t>
      </w:r>
      <w:r w:rsidR="00F4298F">
        <w:rPr>
          <w:color w:val="000000" w:themeColor="text1"/>
          <w:sz w:val="20"/>
          <w:szCs w:val="20"/>
        </w:rPr>
        <w:t xml:space="preserve"> </w:t>
      </w:r>
      <w:r w:rsidR="00595F8F" w:rsidRPr="00AA392E">
        <w:rPr>
          <w:color w:val="000000" w:themeColor="text1"/>
          <w:sz w:val="20"/>
          <w:szCs w:val="20"/>
        </w:rPr>
        <w:t>Rev</w:t>
      </w:r>
      <w:r w:rsidR="000E36BD">
        <w:rPr>
          <w:color w:val="000000" w:themeColor="text1"/>
          <w:sz w:val="20"/>
          <w:szCs w:val="20"/>
        </w:rPr>
        <w:t>.</w:t>
      </w:r>
      <w:r w:rsidR="00595F8F" w:rsidRPr="00AA392E">
        <w:rPr>
          <w:color w:val="000000" w:themeColor="text1"/>
          <w:sz w:val="20"/>
          <w:szCs w:val="20"/>
        </w:rPr>
        <w:t xml:space="preserve"> </w:t>
      </w:r>
      <w:r w:rsidR="00F4298F" w:rsidRPr="00AA392E">
        <w:rPr>
          <w:color w:val="000000" w:themeColor="text1"/>
          <w:sz w:val="20"/>
          <w:szCs w:val="20"/>
        </w:rPr>
        <w:t>(2021)</w:t>
      </w:r>
      <w:r w:rsidR="00F4298F">
        <w:rPr>
          <w:color w:val="000000" w:themeColor="text1"/>
          <w:sz w:val="20"/>
          <w:szCs w:val="20"/>
        </w:rPr>
        <w:t xml:space="preserve">, </w:t>
      </w:r>
      <w:r w:rsidR="00595F8F" w:rsidRPr="00AA392E">
        <w:rPr>
          <w:color w:val="000000" w:themeColor="text1"/>
          <w:sz w:val="20"/>
          <w:szCs w:val="20"/>
        </w:rPr>
        <w:t>1635</w:t>
      </w:r>
      <w:r w:rsidR="00416E2B" w:rsidRPr="00AA392E">
        <w:rPr>
          <w:color w:val="000000" w:themeColor="text1"/>
          <w:sz w:val="20"/>
          <w:szCs w:val="20"/>
        </w:rPr>
        <w:t>; Editorial Comments, “The Polish Constitutional Court, Primacy, and Lawlessness”</w:t>
      </w:r>
      <w:r w:rsidR="00F4298F">
        <w:rPr>
          <w:color w:val="000000" w:themeColor="text1"/>
          <w:sz w:val="20"/>
          <w:szCs w:val="20"/>
        </w:rPr>
        <w:t xml:space="preserve">, </w:t>
      </w:r>
      <w:r w:rsidR="00416E2B" w:rsidRPr="00AA392E">
        <w:rPr>
          <w:color w:val="000000" w:themeColor="text1"/>
          <w:sz w:val="20"/>
          <w:szCs w:val="20"/>
        </w:rPr>
        <w:t>46 EL</w:t>
      </w:r>
      <w:r w:rsidR="00F4298F">
        <w:rPr>
          <w:color w:val="000000" w:themeColor="text1"/>
          <w:sz w:val="20"/>
          <w:szCs w:val="20"/>
        </w:rPr>
        <w:t xml:space="preserve"> </w:t>
      </w:r>
      <w:r w:rsidR="00416E2B" w:rsidRPr="00AA392E">
        <w:rPr>
          <w:color w:val="000000" w:themeColor="text1"/>
          <w:sz w:val="20"/>
          <w:szCs w:val="20"/>
        </w:rPr>
        <w:t>Rev</w:t>
      </w:r>
      <w:r w:rsidR="000E36BD">
        <w:rPr>
          <w:color w:val="000000" w:themeColor="text1"/>
          <w:sz w:val="20"/>
          <w:szCs w:val="20"/>
        </w:rPr>
        <w:t>.</w:t>
      </w:r>
      <w:r w:rsidR="00416E2B" w:rsidRPr="00AA392E">
        <w:rPr>
          <w:color w:val="000000" w:themeColor="text1"/>
          <w:sz w:val="20"/>
          <w:szCs w:val="20"/>
        </w:rPr>
        <w:t xml:space="preserve"> </w:t>
      </w:r>
      <w:r w:rsidR="00F4298F" w:rsidRPr="00AA392E">
        <w:rPr>
          <w:color w:val="000000" w:themeColor="text1"/>
          <w:sz w:val="20"/>
          <w:szCs w:val="20"/>
        </w:rPr>
        <w:t>(2021)</w:t>
      </w:r>
      <w:r w:rsidR="00F4298F">
        <w:rPr>
          <w:color w:val="000000" w:themeColor="text1"/>
          <w:sz w:val="20"/>
          <w:szCs w:val="20"/>
        </w:rPr>
        <w:t xml:space="preserve">, </w:t>
      </w:r>
      <w:r w:rsidR="00416E2B" w:rsidRPr="00AA392E">
        <w:rPr>
          <w:color w:val="000000" w:themeColor="text1"/>
          <w:sz w:val="20"/>
          <w:szCs w:val="20"/>
        </w:rPr>
        <w:t>717</w:t>
      </w:r>
      <w:r w:rsidRPr="00AA392E">
        <w:rPr>
          <w:color w:val="000000" w:themeColor="text1"/>
          <w:sz w:val="20"/>
          <w:szCs w:val="20"/>
        </w:rPr>
        <w:t>.</w:t>
      </w:r>
    </w:p>
  </w:footnote>
  <w:footnote w:id="30">
    <w:p w14:paraId="5CCBB850" w14:textId="4D5DD05A" w:rsidR="00A437A3" w:rsidRPr="00AA392E" w:rsidRDefault="00A437A3" w:rsidP="00AA392E">
      <w:pPr>
        <w:pStyle w:val="FootnoteText"/>
        <w:jc w:val="both"/>
      </w:pPr>
      <w:r w:rsidRPr="00AA392E">
        <w:rPr>
          <w:rStyle w:val="FootnoteReference"/>
        </w:rPr>
        <w:footnoteRef/>
      </w:r>
      <w:r w:rsidRPr="00AA392E">
        <w:t xml:space="preserve"> </w:t>
      </w:r>
      <w:r w:rsidRPr="00AA392E">
        <w:rPr>
          <w:color w:val="000000" w:themeColor="text1"/>
        </w:rPr>
        <w:t>Case C</w:t>
      </w:r>
      <w:r w:rsidRPr="00AA392E">
        <w:rPr>
          <w:color w:val="000000" w:themeColor="text1"/>
        </w:rPr>
        <w:noBreakHyphen/>
        <w:t xml:space="preserve">573/17, </w:t>
      </w:r>
      <w:r w:rsidRPr="00AA392E">
        <w:rPr>
          <w:i/>
          <w:iCs/>
          <w:color w:val="000000" w:themeColor="text1"/>
        </w:rPr>
        <w:t>Popławski</w:t>
      </w:r>
      <w:r w:rsidRPr="00AA392E">
        <w:rPr>
          <w:color w:val="000000" w:themeColor="text1"/>
        </w:rPr>
        <w:t>, EU:C:2019:530.  Subsequently, e.g. Case C-183/18</w:t>
      </w:r>
      <w:r w:rsidRPr="00AA392E">
        <w:rPr>
          <w:i/>
          <w:iCs/>
          <w:color w:val="000000" w:themeColor="text1"/>
        </w:rPr>
        <w:t>, Bank BGŻ BNP Paribas,</w:t>
      </w:r>
      <w:r w:rsidRPr="00AA392E">
        <w:rPr>
          <w:color w:val="000000" w:themeColor="text1"/>
        </w:rPr>
        <w:t xml:space="preserve"> EU:C:2020:153; Case C-335/19, </w:t>
      </w:r>
      <w:r w:rsidRPr="00AA392E">
        <w:rPr>
          <w:i/>
          <w:iCs/>
          <w:color w:val="000000" w:themeColor="text1"/>
        </w:rPr>
        <w:t>E. sp. z o.o. sp. k.</w:t>
      </w:r>
      <w:r w:rsidRPr="00AA392E">
        <w:rPr>
          <w:color w:val="000000" w:themeColor="text1"/>
        </w:rPr>
        <w:t xml:space="preserve">, EU:C:2020:829; Case C-430/21, </w:t>
      </w:r>
      <w:r w:rsidRPr="00AA392E">
        <w:rPr>
          <w:i/>
          <w:iCs/>
          <w:color w:val="000000" w:themeColor="text1"/>
        </w:rPr>
        <w:t>RS</w:t>
      </w:r>
      <w:r w:rsidRPr="00AA392E">
        <w:rPr>
          <w:color w:val="000000" w:themeColor="text1"/>
        </w:rPr>
        <w:t>, EU:C:2022:99.  See further, e.g. Miąsik</w:t>
      </w:r>
      <w:r w:rsidRPr="00AA392E">
        <w:rPr>
          <w:b/>
          <w:bCs/>
          <w:color w:val="000000" w:themeColor="text1"/>
        </w:rPr>
        <w:t xml:space="preserve"> </w:t>
      </w:r>
      <w:r w:rsidRPr="00AA392E">
        <w:rPr>
          <w:color w:val="000000" w:themeColor="text1"/>
        </w:rPr>
        <w:t xml:space="preserve">and Szwarc, “Primacy and direct effect – still together: </w:t>
      </w:r>
      <w:r w:rsidRPr="00AA392E">
        <w:rPr>
          <w:i/>
          <w:iCs/>
          <w:color w:val="000000" w:themeColor="text1"/>
        </w:rPr>
        <w:t>Popławski</w:t>
      </w:r>
      <w:r w:rsidRPr="00AA392E">
        <w:rPr>
          <w:color w:val="000000" w:themeColor="text1"/>
        </w:rPr>
        <w:t xml:space="preserve"> </w:t>
      </w:r>
      <w:r w:rsidRPr="00AA392E">
        <w:rPr>
          <w:i/>
          <w:iCs/>
          <w:color w:val="000000" w:themeColor="text1"/>
        </w:rPr>
        <w:t>II</w:t>
      </w:r>
      <w:r w:rsidRPr="00AA392E">
        <w:rPr>
          <w:color w:val="000000" w:themeColor="text1"/>
        </w:rPr>
        <w:t>”</w:t>
      </w:r>
      <w:r w:rsidR="00F4298F">
        <w:rPr>
          <w:color w:val="000000" w:themeColor="text1"/>
        </w:rPr>
        <w:t>,</w:t>
      </w:r>
      <w:r w:rsidRPr="00AA392E">
        <w:rPr>
          <w:color w:val="000000" w:themeColor="text1"/>
        </w:rPr>
        <w:t xml:space="preserve"> 58 CML</w:t>
      </w:r>
      <w:r w:rsidR="00F4298F">
        <w:rPr>
          <w:color w:val="000000" w:themeColor="text1"/>
        </w:rPr>
        <w:t xml:space="preserve"> </w:t>
      </w:r>
      <w:r w:rsidRPr="00AA392E">
        <w:rPr>
          <w:color w:val="000000" w:themeColor="text1"/>
        </w:rPr>
        <w:t>Rev</w:t>
      </w:r>
      <w:r w:rsidR="000E36BD">
        <w:rPr>
          <w:color w:val="000000" w:themeColor="text1"/>
        </w:rPr>
        <w:t>.</w:t>
      </w:r>
      <w:r w:rsidRPr="00AA392E">
        <w:rPr>
          <w:color w:val="000000" w:themeColor="text1"/>
        </w:rPr>
        <w:t xml:space="preserve"> </w:t>
      </w:r>
      <w:r w:rsidR="00F4298F" w:rsidRPr="00AA392E">
        <w:rPr>
          <w:color w:val="000000" w:themeColor="text1"/>
        </w:rPr>
        <w:t>(2021)</w:t>
      </w:r>
      <w:r w:rsidR="00F4298F">
        <w:rPr>
          <w:color w:val="000000" w:themeColor="text1"/>
        </w:rPr>
        <w:t>,</w:t>
      </w:r>
      <w:r w:rsidR="00F4298F" w:rsidRPr="00AA392E">
        <w:rPr>
          <w:color w:val="000000" w:themeColor="text1"/>
        </w:rPr>
        <w:t xml:space="preserve"> </w:t>
      </w:r>
      <w:r w:rsidRPr="00AA392E">
        <w:rPr>
          <w:color w:val="000000" w:themeColor="text1"/>
        </w:rPr>
        <w:t>571.</w:t>
      </w:r>
    </w:p>
  </w:footnote>
  <w:footnote w:id="31">
    <w:p w14:paraId="2F7E82BB" w14:textId="77777777" w:rsidR="00210107" w:rsidRPr="00210107" w:rsidRDefault="00201611" w:rsidP="00210107">
      <w:pPr>
        <w:jc w:val="both"/>
        <w:rPr>
          <w:sz w:val="20"/>
          <w:szCs w:val="20"/>
        </w:rPr>
      </w:pPr>
      <w:r w:rsidRPr="00210107">
        <w:rPr>
          <w:rStyle w:val="FootnoteReference"/>
          <w:color w:val="000000" w:themeColor="text1"/>
          <w:sz w:val="20"/>
          <w:szCs w:val="20"/>
        </w:rPr>
        <w:footnoteRef/>
      </w:r>
      <w:r w:rsidRPr="00210107">
        <w:rPr>
          <w:sz w:val="20"/>
          <w:szCs w:val="20"/>
        </w:rPr>
        <w:t xml:space="preserve"> </w:t>
      </w:r>
      <w:r w:rsidR="00A437A3" w:rsidRPr="00210107">
        <w:rPr>
          <w:sz w:val="20"/>
          <w:szCs w:val="20"/>
        </w:rPr>
        <w:t xml:space="preserve">Though the full implications of </w:t>
      </w:r>
      <w:r w:rsidR="00A437A3" w:rsidRPr="00210107">
        <w:rPr>
          <w:i/>
          <w:iCs/>
          <w:sz w:val="20"/>
          <w:szCs w:val="20"/>
        </w:rPr>
        <w:t>Popławski</w:t>
      </w:r>
      <w:r w:rsidR="00A437A3" w:rsidRPr="00210107">
        <w:rPr>
          <w:sz w:val="20"/>
          <w:szCs w:val="20"/>
        </w:rPr>
        <w:t xml:space="preserve"> still remain to be worked out: e.g. the present author has argued that </w:t>
      </w:r>
      <w:r w:rsidR="0013491C" w:rsidRPr="00210107">
        <w:rPr>
          <w:sz w:val="20"/>
          <w:szCs w:val="20"/>
        </w:rPr>
        <w:t xml:space="preserve">the principle of </w:t>
      </w:r>
      <w:r w:rsidR="00A437A3" w:rsidRPr="00210107">
        <w:rPr>
          <w:sz w:val="20"/>
          <w:szCs w:val="20"/>
        </w:rPr>
        <w:t xml:space="preserve">direct effect is also the starting point for the duty of consistent interpretation (via </w:t>
      </w:r>
      <w:r w:rsidR="0013491C" w:rsidRPr="00210107">
        <w:rPr>
          <w:sz w:val="20"/>
          <w:szCs w:val="20"/>
        </w:rPr>
        <w:t xml:space="preserve">the direct effect of </w:t>
      </w:r>
      <w:r w:rsidR="00016949" w:rsidRPr="00210107">
        <w:rPr>
          <w:sz w:val="20"/>
          <w:szCs w:val="20"/>
        </w:rPr>
        <w:t>Art.</w:t>
      </w:r>
      <w:r w:rsidR="00A437A3" w:rsidRPr="00210107">
        <w:rPr>
          <w:sz w:val="20"/>
          <w:szCs w:val="20"/>
        </w:rPr>
        <w:t xml:space="preserve"> 4(3) TEU) and </w:t>
      </w:r>
      <w:r w:rsidR="0013491C" w:rsidRPr="00210107">
        <w:rPr>
          <w:sz w:val="20"/>
          <w:szCs w:val="20"/>
        </w:rPr>
        <w:t xml:space="preserve">indeed </w:t>
      </w:r>
      <w:r w:rsidR="00A437A3" w:rsidRPr="00210107">
        <w:rPr>
          <w:sz w:val="20"/>
          <w:szCs w:val="20"/>
        </w:rPr>
        <w:t xml:space="preserve">the </w:t>
      </w:r>
      <w:r w:rsidR="00A437A3" w:rsidRPr="00210107">
        <w:rPr>
          <w:i/>
          <w:iCs/>
          <w:sz w:val="20"/>
          <w:szCs w:val="20"/>
        </w:rPr>
        <w:t>Francovich</w:t>
      </w:r>
      <w:r w:rsidR="00A437A3" w:rsidRPr="00210107">
        <w:rPr>
          <w:sz w:val="20"/>
          <w:szCs w:val="20"/>
        </w:rPr>
        <w:t xml:space="preserve"> right to reparation (</w:t>
      </w:r>
      <w:r w:rsidR="0013491C" w:rsidRPr="00210107">
        <w:rPr>
          <w:sz w:val="20"/>
          <w:szCs w:val="20"/>
        </w:rPr>
        <w:t xml:space="preserve">which is </w:t>
      </w:r>
      <w:r w:rsidR="00A437A3" w:rsidRPr="00210107">
        <w:rPr>
          <w:sz w:val="20"/>
          <w:szCs w:val="20"/>
        </w:rPr>
        <w:t xml:space="preserve">constituted as an autonomous </w:t>
      </w:r>
      <w:r w:rsidR="0013491C" w:rsidRPr="00210107">
        <w:rPr>
          <w:sz w:val="20"/>
          <w:szCs w:val="20"/>
        </w:rPr>
        <w:t xml:space="preserve">and directly effective </w:t>
      </w:r>
      <w:r w:rsidR="00A437A3" w:rsidRPr="00210107">
        <w:rPr>
          <w:sz w:val="20"/>
          <w:szCs w:val="20"/>
        </w:rPr>
        <w:t xml:space="preserve">right </w:t>
      </w:r>
      <w:r w:rsidR="0013491C" w:rsidRPr="00210107">
        <w:rPr>
          <w:sz w:val="20"/>
          <w:szCs w:val="20"/>
        </w:rPr>
        <w:t xml:space="preserve">of its own </w:t>
      </w:r>
      <w:r w:rsidR="00A437A3" w:rsidRPr="00210107">
        <w:rPr>
          <w:sz w:val="20"/>
          <w:szCs w:val="20"/>
        </w:rPr>
        <w:t xml:space="preserve">by satisfying the Court’s threefold </w:t>
      </w:r>
      <w:r w:rsidR="0013491C" w:rsidRPr="00210107">
        <w:rPr>
          <w:sz w:val="20"/>
          <w:szCs w:val="20"/>
        </w:rPr>
        <w:t xml:space="preserve">liability </w:t>
      </w:r>
      <w:r w:rsidR="00A437A3" w:rsidRPr="00210107">
        <w:rPr>
          <w:sz w:val="20"/>
          <w:szCs w:val="20"/>
        </w:rPr>
        <w:t>criteria</w:t>
      </w:r>
      <w:r w:rsidR="0013491C" w:rsidRPr="00210107">
        <w:rPr>
          <w:sz w:val="20"/>
          <w:szCs w:val="20"/>
        </w:rPr>
        <w:t xml:space="preserve">); while acknowledging that subsequent caselaw (including </w:t>
      </w:r>
      <w:r w:rsidR="0013491C" w:rsidRPr="00210107">
        <w:rPr>
          <w:i/>
          <w:iCs/>
          <w:sz w:val="20"/>
          <w:szCs w:val="20"/>
        </w:rPr>
        <w:t xml:space="preserve">Popławski </w:t>
      </w:r>
      <w:r w:rsidR="0013491C" w:rsidRPr="00210107">
        <w:rPr>
          <w:sz w:val="20"/>
          <w:szCs w:val="20"/>
        </w:rPr>
        <w:t xml:space="preserve">itself) suggests that those principles should (or at least might) be treated as more specific manifestations of the principle of primacy as such.  Contrast </w:t>
      </w:r>
      <w:r w:rsidR="0013491C" w:rsidRPr="00210107">
        <w:rPr>
          <w:sz w:val="20"/>
          <w:szCs w:val="20"/>
          <w:lang w:val="en-US"/>
        </w:rPr>
        <w:t xml:space="preserve">Dougan, </w:t>
      </w:r>
      <w:r w:rsidR="0013491C" w:rsidRPr="00210107">
        <w:rPr>
          <w:sz w:val="20"/>
          <w:szCs w:val="20"/>
        </w:rPr>
        <w:t>“When Worlds Collide!  Competing Visions of the Relationship Between Direct Effect and Primacy”, 44 CML Rev. (2007), 931 with Dougan, “Primacy and the remedy of disapplication”</w:t>
      </w:r>
      <w:r w:rsidR="00F4298F" w:rsidRPr="00210107">
        <w:rPr>
          <w:sz w:val="20"/>
          <w:szCs w:val="20"/>
        </w:rPr>
        <w:t>,</w:t>
      </w:r>
      <w:r w:rsidR="0013491C" w:rsidRPr="00210107">
        <w:rPr>
          <w:sz w:val="20"/>
          <w:szCs w:val="20"/>
        </w:rPr>
        <w:t xml:space="preserve"> 56 CML</w:t>
      </w:r>
      <w:r w:rsidR="00F4298F" w:rsidRPr="00210107">
        <w:rPr>
          <w:sz w:val="20"/>
          <w:szCs w:val="20"/>
        </w:rPr>
        <w:t xml:space="preserve"> </w:t>
      </w:r>
      <w:r w:rsidR="0013491C" w:rsidRPr="00210107">
        <w:rPr>
          <w:sz w:val="20"/>
          <w:szCs w:val="20"/>
        </w:rPr>
        <w:t>Rev</w:t>
      </w:r>
      <w:r w:rsidR="00F4298F" w:rsidRPr="00210107">
        <w:rPr>
          <w:sz w:val="20"/>
          <w:szCs w:val="20"/>
        </w:rPr>
        <w:t>.</w:t>
      </w:r>
      <w:r w:rsidR="0013491C" w:rsidRPr="00210107">
        <w:rPr>
          <w:sz w:val="20"/>
          <w:szCs w:val="20"/>
        </w:rPr>
        <w:t xml:space="preserve"> </w:t>
      </w:r>
      <w:r w:rsidR="00F4298F" w:rsidRPr="00210107">
        <w:rPr>
          <w:sz w:val="20"/>
          <w:szCs w:val="20"/>
        </w:rPr>
        <w:t xml:space="preserve">(2019), </w:t>
      </w:r>
      <w:r w:rsidR="0013491C" w:rsidRPr="00210107">
        <w:rPr>
          <w:sz w:val="20"/>
          <w:szCs w:val="20"/>
        </w:rPr>
        <w:t>1459.</w:t>
      </w:r>
      <w:r w:rsidR="00210107" w:rsidRPr="00210107">
        <w:rPr>
          <w:sz w:val="20"/>
          <w:szCs w:val="20"/>
        </w:rPr>
        <w:t xml:space="preserve">  </w:t>
      </w:r>
      <w:r w:rsidR="00210107" w:rsidRPr="00210107">
        <w:rPr>
          <w:color w:val="000000"/>
          <w:sz w:val="20"/>
          <w:szCs w:val="20"/>
        </w:rPr>
        <w:t>In any case, the Court has made clear that – even if Union law itself reserves disapplication only for directly effective provisions – the Member States remain free to offer a remedy of disapplication also in respect of non-directly effective measures, i.e. on the basis of national law alone: see, e.g. Case C-278/20, </w:t>
      </w:r>
      <w:r w:rsidR="00210107" w:rsidRPr="00210107">
        <w:rPr>
          <w:i/>
          <w:iCs/>
          <w:color w:val="000000"/>
          <w:sz w:val="20"/>
          <w:szCs w:val="20"/>
        </w:rPr>
        <w:t>Commission</w:t>
      </w:r>
      <w:r w:rsidR="00210107" w:rsidRPr="00210107">
        <w:rPr>
          <w:color w:val="000000"/>
          <w:sz w:val="20"/>
          <w:szCs w:val="20"/>
        </w:rPr>
        <w:t> v. </w:t>
      </w:r>
      <w:r w:rsidR="00210107" w:rsidRPr="00210107">
        <w:rPr>
          <w:i/>
          <w:iCs/>
          <w:color w:val="000000"/>
          <w:sz w:val="20"/>
          <w:szCs w:val="20"/>
        </w:rPr>
        <w:t>Spain</w:t>
      </w:r>
      <w:r w:rsidR="00210107" w:rsidRPr="00210107">
        <w:rPr>
          <w:color w:val="000000"/>
          <w:sz w:val="20"/>
          <w:szCs w:val="20"/>
        </w:rPr>
        <w:t>, EU:C:2022:503.</w:t>
      </w:r>
    </w:p>
    <w:p w14:paraId="1D120459" w14:textId="236A0099" w:rsidR="00201611" w:rsidRPr="00AA392E" w:rsidRDefault="00201611" w:rsidP="00AA392E">
      <w:pPr>
        <w:jc w:val="both"/>
        <w:rPr>
          <w:color w:val="000000" w:themeColor="text1"/>
          <w:sz w:val="20"/>
          <w:szCs w:val="20"/>
        </w:rPr>
      </w:pPr>
    </w:p>
  </w:footnote>
  <w:footnote w:id="32">
    <w:p w14:paraId="56361154" w14:textId="15110283" w:rsidR="00373D9D" w:rsidRPr="00AA392E" w:rsidRDefault="00373D9D"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E.g. Lenz, Sif Tynes and Young, “Horizontal What?  Back to Basics”, 25 EL Rev. (2000), 509; Tridimas, “Black, White and Shades of Grey: Horizontality of Directives Revisited”, 21 YEL (2002), 327; Lenaerts and Corthaut, “Of Birds and Hedges: The Role of Primacy in Invoking Norms of EU Law”, 31 EL Rev</w:t>
      </w:r>
      <w:r w:rsidR="00F4298F">
        <w:rPr>
          <w:color w:val="000000" w:themeColor="text1"/>
        </w:rPr>
        <w:t>.</w:t>
      </w:r>
      <w:r w:rsidRPr="00AA392E">
        <w:rPr>
          <w:color w:val="000000" w:themeColor="text1"/>
        </w:rPr>
        <w:t xml:space="preserve"> (2006), 287.</w:t>
      </w:r>
    </w:p>
  </w:footnote>
  <w:footnote w:id="33">
    <w:p w14:paraId="59FE3D31" w14:textId="4B3F5A13" w:rsidR="00320DD1" w:rsidRPr="00AA392E" w:rsidRDefault="00320DD1"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00373D9D" w:rsidRPr="00AA392E">
        <w:rPr>
          <w:color w:val="000000" w:themeColor="text1"/>
          <w:sz w:val="20"/>
          <w:szCs w:val="20"/>
        </w:rPr>
        <w:t>E</w:t>
      </w:r>
      <w:r w:rsidR="00E75FC5" w:rsidRPr="00AA392E">
        <w:rPr>
          <w:color w:val="000000" w:themeColor="text1"/>
          <w:sz w:val="20"/>
          <w:szCs w:val="20"/>
        </w:rPr>
        <w:t xml:space="preserve">.g. </w:t>
      </w:r>
      <w:r w:rsidR="008A7307" w:rsidRPr="00AA392E">
        <w:rPr>
          <w:color w:val="000000" w:themeColor="text1"/>
          <w:sz w:val="20"/>
          <w:szCs w:val="20"/>
        </w:rPr>
        <w:t xml:space="preserve">AG Saggio in Cases C-240-244/98, </w:t>
      </w:r>
      <w:r w:rsidR="008A7307" w:rsidRPr="00AA392E">
        <w:rPr>
          <w:i/>
          <w:iCs/>
          <w:color w:val="000000" w:themeColor="text1"/>
          <w:sz w:val="20"/>
          <w:szCs w:val="20"/>
        </w:rPr>
        <w:t>Océano Grupo Editorial,</w:t>
      </w:r>
      <w:r w:rsidR="008A7307" w:rsidRPr="00AA392E">
        <w:rPr>
          <w:color w:val="000000" w:themeColor="text1"/>
          <w:sz w:val="20"/>
          <w:szCs w:val="20"/>
        </w:rPr>
        <w:t xml:space="preserve"> EU:C:1999:620; AG</w:t>
      </w:r>
      <w:r w:rsidR="00355040" w:rsidRPr="00AA392E">
        <w:rPr>
          <w:color w:val="000000" w:themeColor="text1"/>
          <w:sz w:val="20"/>
          <w:szCs w:val="20"/>
        </w:rPr>
        <w:t xml:space="preserve"> </w:t>
      </w:r>
      <w:r w:rsidR="008A7307" w:rsidRPr="00AA392E">
        <w:rPr>
          <w:color w:val="000000" w:themeColor="text1"/>
          <w:sz w:val="20"/>
          <w:szCs w:val="20"/>
        </w:rPr>
        <w:t>Alber in Case C</w:t>
      </w:r>
      <w:r w:rsidR="008A7307" w:rsidRPr="00AA392E">
        <w:rPr>
          <w:color w:val="000000" w:themeColor="text1"/>
          <w:sz w:val="20"/>
          <w:szCs w:val="20"/>
        </w:rPr>
        <w:noBreakHyphen/>
        <w:t xml:space="preserve">343/98, </w:t>
      </w:r>
      <w:r w:rsidR="008A7307" w:rsidRPr="00AA392E">
        <w:rPr>
          <w:i/>
          <w:iCs/>
          <w:color w:val="000000" w:themeColor="text1"/>
          <w:sz w:val="20"/>
          <w:szCs w:val="20"/>
        </w:rPr>
        <w:t xml:space="preserve">Collino, </w:t>
      </w:r>
      <w:r w:rsidR="008A7307" w:rsidRPr="00AA392E">
        <w:rPr>
          <w:color w:val="000000" w:themeColor="text1"/>
          <w:sz w:val="20"/>
          <w:szCs w:val="20"/>
        </w:rPr>
        <w:t xml:space="preserve">EU:C:2000:23; AG </w:t>
      </w:r>
      <w:r w:rsidR="00355040" w:rsidRPr="00AA392E">
        <w:rPr>
          <w:color w:val="000000" w:themeColor="text1"/>
          <w:sz w:val="20"/>
          <w:szCs w:val="20"/>
        </w:rPr>
        <w:t xml:space="preserve">Léger </w:t>
      </w:r>
      <w:r w:rsidR="008A7307" w:rsidRPr="00AA392E">
        <w:rPr>
          <w:color w:val="000000" w:themeColor="text1"/>
          <w:sz w:val="20"/>
          <w:szCs w:val="20"/>
        </w:rPr>
        <w:t>in Case C</w:t>
      </w:r>
      <w:r w:rsidR="008A7307" w:rsidRPr="00AA392E">
        <w:rPr>
          <w:color w:val="000000" w:themeColor="text1"/>
          <w:sz w:val="20"/>
          <w:szCs w:val="20"/>
        </w:rPr>
        <w:noBreakHyphen/>
      </w:r>
      <w:r w:rsidR="00355040" w:rsidRPr="00AA392E">
        <w:rPr>
          <w:color w:val="000000" w:themeColor="text1"/>
          <w:sz w:val="20"/>
          <w:szCs w:val="20"/>
        </w:rPr>
        <w:t>287</w:t>
      </w:r>
      <w:r w:rsidR="008A7307" w:rsidRPr="00AA392E">
        <w:rPr>
          <w:color w:val="000000" w:themeColor="text1"/>
          <w:sz w:val="20"/>
          <w:szCs w:val="20"/>
        </w:rPr>
        <w:t>/</w:t>
      </w:r>
      <w:r w:rsidR="00355040" w:rsidRPr="00AA392E">
        <w:rPr>
          <w:color w:val="000000" w:themeColor="text1"/>
          <w:sz w:val="20"/>
          <w:szCs w:val="20"/>
        </w:rPr>
        <w:t>98</w:t>
      </w:r>
      <w:r w:rsidR="008A7307" w:rsidRPr="00AA392E">
        <w:rPr>
          <w:color w:val="000000" w:themeColor="text1"/>
          <w:sz w:val="20"/>
          <w:szCs w:val="20"/>
        </w:rPr>
        <w:t xml:space="preserve">, </w:t>
      </w:r>
      <w:r w:rsidR="00355040" w:rsidRPr="00AA392E">
        <w:rPr>
          <w:i/>
          <w:iCs/>
          <w:color w:val="000000" w:themeColor="text1"/>
          <w:sz w:val="20"/>
          <w:szCs w:val="20"/>
        </w:rPr>
        <w:t>Linster</w:t>
      </w:r>
      <w:r w:rsidR="008A7307" w:rsidRPr="00AA392E">
        <w:rPr>
          <w:i/>
          <w:iCs/>
          <w:color w:val="000000" w:themeColor="text1"/>
          <w:sz w:val="20"/>
          <w:szCs w:val="20"/>
        </w:rPr>
        <w:t xml:space="preserve">, </w:t>
      </w:r>
      <w:r w:rsidR="008A7307" w:rsidRPr="00AA392E">
        <w:rPr>
          <w:color w:val="000000" w:themeColor="text1"/>
          <w:sz w:val="20"/>
          <w:szCs w:val="20"/>
        </w:rPr>
        <w:t>EU:C:</w:t>
      </w:r>
      <w:r w:rsidR="00355040" w:rsidRPr="00AA392E">
        <w:rPr>
          <w:color w:val="000000" w:themeColor="text1"/>
          <w:sz w:val="20"/>
          <w:szCs w:val="20"/>
        </w:rPr>
        <w:t>2000</w:t>
      </w:r>
      <w:r w:rsidR="008A7307" w:rsidRPr="00AA392E">
        <w:rPr>
          <w:color w:val="000000" w:themeColor="text1"/>
          <w:sz w:val="20"/>
          <w:szCs w:val="20"/>
        </w:rPr>
        <w:t>:</w:t>
      </w:r>
      <w:r w:rsidR="00355040" w:rsidRPr="00AA392E">
        <w:rPr>
          <w:color w:val="000000" w:themeColor="text1"/>
          <w:sz w:val="20"/>
          <w:szCs w:val="20"/>
        </w:rPr>
        <w:t>468</w:t>
      </w:r>
      <w:r w:rsidR="008A7307" w:rsidRPr="00AA392E">
        <w:rPr>
          <w:color w:val="000000" w:themeColor="text1"/>
          <w:sz w:val="20"/>
          <w:szCs w:val="20"/>
        </w:rPr>
        <w:t>.</w:t>
      </w:r>
    </w:p>
  </w:footnote>
  <w:footnote w:id="34">
    <w:p w14:paraId="55AD26AA" w14:textId="586F60C5" w:rsidR="0064172F" w:rsidRPr="00AA392E" w:rsidRDefault="0064172F"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3C5D7C" w:rsidRPr="00AA392E">
        <w:rPr>
          <w:color w:val="000000" w:themeColor="text1"/>
        </w:rPr>
        <w:t xml:space="preserve">Case C-219/17, </w:t>
      </w:r>
      <w:r w:rsidR="003C5D7C" w:rsidRPr="00AA392E">
        <w:rPr>
          <w:i/>
          <w:iCs/>
          <w:color w:val="000000" w:themeColor="text1"/>
        </w:rPr>
        <w:t>Berlusconi</w:t>
      </w:r>
      <w:r w:rsidR="003C5D7C" w:rsidRPr="00AA392E">
        <w:rPr>
          <w:color w:val="000000" w:themeColor="text1"/>
        </w:rPr>
        <w:t>, EU:C:2018:1023.</w:t>
      </w:r>
    </w:p>
  </w:footnote>
  <w:footnote w:id="35">
    <w:p w14:paraId="49F01179" w14:textId="43E0458D" w:rsidR="0064172F" w:rsidRPr="00AA392E" w:rsidRDefault="0064172F"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3C5D7C" w:rsidRPr="00AA392E">
        <w:rPr>
          <w:color w:val="000000" w:themeColor="text1"/>
        </w:rPr>
        <w:t xml:space="preserve">Cases C-202/18 &amp; C-238/18, </w:t>
      </w:r>
      <w:r w:rsidR="003C5D7C" w:rsidRPr="00AA392E">
        <w:rPr>
          <w:i/>
          <w:iCs/>
          <w:color w:val="000000" w:themeColor="text1"/>
        </w:rPr>
        <w:t xml:space="preserve">Rimšēvičs, </w:t>
      </w:r>
      <w:r w:rsidR="003C5D7C" w:rsidRPr="00AA392E">
        <w:rPr>
          <w:color w:val="000000" w:themeColor="text1"/>
        </w:rPr>
        <w:t>EU:C:2019:139.</w:t>
      </w:r>
    </w:p>
  </w:footnote>
  <w:footnote w:id="36">
    <w:p w14:paraId="52C275C5" w14:textId="0DD8FFDA" w:rsidR="0064172F" w:rsidRPr="00AA392E" w:rsidRDefault="0064172F"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3C5D7C" w:rsidRPr="00AA392E">
        <w:rPr>
          <w:color w:val="000000" w:themeColor="text1"/>
        </w:rPr>
        <w:t xml:space="preserve">Case C-487/19, </w:t>
      </w:r>
      <w:r w:rsidR="003C5D7C" w:rsidRPr="00AA392E">
        <w:rPr>
          <w:i/>
          <w:iCs/>
          <w:color w:val="000000" w:themeColor="text1"/>
        </w:rPr>
        <w:t xml:space="preserve">W.Ż., </w:t>
      </w:r>
      <w:r w:rsidR="003C5D7C" w:rsidRPr="00AA392E">
        <w:rPr>
          <w:color w:val="000000" w:themeColor="text1"/>
        </w:rPr>
        <w:t>EU:C:2021:798.</w:t>
      </w:r>
    </w:p>
  </w:footnote>
  <w:footnote w:id="37">
    <w:p w14:paraId="141EA5F3" w14:textId="7AFCA3B7" w:rsidR="00A868E7" w:rsidRPr="00AA392E" w:rsidRDefault="00A868E7"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further, e.g. </w:t>
      </w:r>
      <w:r w:rsidR="00E84271" w:rsidRPr="00AA392E">
        <w:rPr>
          <w:color w:val="000000" w:themeColor="text1"/>
        </w:rPr>
        <w:t>Brito Bastos, “Derivative illegality in European composite administrative procedures”</w:t>
      </w:r>
      <w:r w:rsidR="000E36BD">
        <w:rPr>
          <w:color w:val="000000" w:themeColor="text1"/>
        </w:rPr>
        <w:t>,</w:t>
      </w:r>
      <w:r w:rsidR="00E84271" w:rsidRPr="00AA392E">
        <w:rPr>
          <w:color w:val="000000" w:themeColor="text1"/>
        </w:rPr>
        <w:t xml:space="preserve"> 55 CML</w:t>
      </w:r>
      <w:r w:rsidR="000E36BD">
        <w:rPr>
          <w:color w:val="000000" w:themeColor="text1"/>
        </w:rPr>
        <w:t xml:space="preserve"> </w:t>
      </w:r>
      <w:r w:rsidR="00E84271" w:rsidRPr="00AA392E">
        <w:rPr>
          <w:color w:val="000000" w:themeColor="text1"/>
        </w:rPr>
        <w:t>Rev</w:t>
      </w:r>
      <w:r w:rsidR="000E36BD">
        <w:rPr>
          <w:color w:val="000000" w:themeColor="text1"/>
        </w:rPr>
        <w:t xml:space="preserve">. </w:t>
      </w:r>
      <w:r w:rsidR="000E36BD" w:rsidRPr="00AA392E">
        <w:rPr>
          <w:color w:val="000000" w:themeColor="text1"/>
        </w:rPr>
        <w:t>(2018)</w:t>
      </w:r>
      <w:r w:rsidR="000E36BD">
        <w:rPr>
          <w:color w:val="000000" w:themeColor="text1"/>
        </w:rPr>
        <w:t>,</w:t>
      </w:r>
      <w:r w:rsidR="000E36BD" w:rsidRPr="00AA392E">
        <w:rPr>
          <w:color w:val="000000" w:themeColor="text1"/>
        </w:rPr>
        <w:t xml:space="preserve"> </w:t>
      </w:r>
      <w:r w:rsidR="00FE5473" w:rsidRPr="00AA392E">
        <w:rPr>
          <w:color w:val="000000" w:themeColor="text1"/>
        </w:rPr>
        <w:t>101</w:t>
      </w:r>
      <w:r w:rsidRPr="00AA392E">
        <w:rPr>
          <w:color w:val="000000" w:themeColor="text1"/>
        </w:rPr>
        <w:t>.</w:t>
      </w:r>
      <w:r w:rsidR="008676A5" w:rsidRPr="00AA392E">
        <w:rPr>
          <w:color w:val="000000" w:themeColor="text1"/>
        </w:rPr>
        <w:t xml:space="preserve">  And more generally, e.g. Craig, </w:t>
      </w:r>
      <w:r w:rsidR="008676A5" w:rsidRPr="00AA392E">
        <w:rPr>
          <w:i/>
          <w:iCs/>
          <w:color w:val="000000" w:themeColor="text1"/>
        </w:rPr>
        <w:t>EU Administrative Law</w:t>
      </w:r>
      <w:r w:rsidR="000E36BD">
        <w:rPr>
          <w:i/>
          <w:iCs/>
          <w:color w:val="000000" w:themeColor="text1"/>
        </w:rPr>
        <w:t xml:space="preserve">, </w:t>
      </w:r>
      <w:r w:rsidR="000E36BD">
        <w:rPr>
          <w:color w:val="000000" w:themeColor="text1"/>
        </w:rPr>
        <w:t>3</w:t>
      </w:r>
      <w:r w:rsidR="000E36BD" w:rsidRPr="000E36BD">
        <w:rPr>
          <w:color w:val="000000" w:themeColor="text1"/>
          <w:vertAlign w:val="superscript"/>
        </w:rPr>
        <w:t>rd</w:t>
      </w:r>
      <w:r w:rsidR="000E36BD">
        <w:rPr>
          <w:color w:val="000000" w:themeColor="text1"/>
        </w:rPr>
        <w:t xml:space="preserve"> ed. (</w:t>
      </w:r>
      <w:r w:rsidR="008676A5" w:rsidRPr="00AA392E">
        <w:rPr>
          <w:color w:val="000000" w:themeColor="text1"/>
        </w:rPr>
        <w:t>OUP, 2018)</w:t>
      </w:r>
      <w:r w:rsidR="00E52A62" w:rsidRPr="00AA392E">
        <w:rPr>
          <w:color w:val="000000" w:themeColor="text1"/>
        </w:rPr>
        <w:t>; Chiti and Mendes, “The Evolution of EU Administrative Law” in Craig and de Búrca (</w:t>
      </w:r>
      <w:r w:rsidR="000E36BD">
        <w:rPr>
          <w:color w:val="000000" w:themeColor="text1"/>
        </w:rPr>
        <w:t>E</w:t>
      </w:r>
      <w:r w:rsidR="00E52A62" w:rsidRPr="00AA392E">
        <w:rPr>
          <w:color w:val="000000" w:themeColor="text1"/>
        </w:rPr>
        <w:t xml:space="preserve">ds), </w:t>
      </w:r>
      <w:r w:rsidR="00E52A62" w:rsidRPr="00AA392E">
        <w:rPr>
          <w:i/>
          <w:iCs/>
          <w:color w:val="000000" w:themeColor="text1"/>
        </w:rPr>
        <w:t>The Evolution of EU Law</w:t>
      </w:r>
      <w:r w:rsidR="000E36BD">
        <w:rPr>
          <w:i/>
          <w:iCs/>
          <w:color w:val="000000" w:themeColor="text1"/>
        </w:rPr>
        <w:t xml:space="preserve">, </w:t>
      </w:r>
      <w:r w:rsidR="000E36BD">
        <w:rPr>
          <w:color w:val="000000" w:themeColor="text1"/>
        </w:rPr>
        <w:t>3</w:t>
      </w:r>
      <w:r w:rsidR="000E36BD" w:rsidRPr="000E36BD">
        <w:rPr>
          <w:color w:val="000000" w:themeColor="text1"/>
          <w:vertAlign w:val="superscript"/>
        </w:rPr>
        <w:t>rd</w:t>
      </w:r>
      <w:r w:rsidR="000E36BD">
        <w:rPr>
          <w:color w:val="000000" w:themeColor="text1"/>
        </w:rPr>
        <w:t xml:space="preserve"> ed. (</w:t>
      </w:r>
      <w:r w:rsidR="00E52A62" w:rsidRPr="00AA392E">
        <w:rPr>
          <w:color w:val="000000" w:themeColor="text1"/>
        </w:rPr>
        <w:t>OUP, 2021)</w:t>
      </w:r>
      <w:r w:rsidR="008676A5" w:rsidRPr="00AA392E">
        <w:rPr>
          <w:color w:val="000000" w:themeColor="text1"/>
        </w:rPr>
        <w:t>.</w:t>
      </w:r>
    </w:p>
  </w:footnote>
  <w:footnote w:id="38">
    <w:p w14:paraId="67F2537C" w14:textId="791F5745" w:rsidR="007B5988" w:rsidRPr="00AA392E" w:rsidRDefault="007B5988"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See, e.g. Case C</w:t>
      </w:r>
      <w:r w:rsidRPr="00AA392E">
        <w:rPr>
          <w:color w:val="000000" w:themeColor="text1"/>
          <w:sz w:val="20"/>
          <w:szCs w:val="20"/>
        </w:rPr>
        <w:noBreakHyphen/>
        <w:t>97/91,</w:t>
      </w:r>
      <w:r w:rsidRPr="00AA392E">
        <w:rPr>
          <w:rStyle w:val="apple-converted-space"/>
          <w:color w:val="000000" w:themeColor="text1"/>
          <w:sz w:val="20"/>
          <w:szCs w:val="20"/>
        </w:rPr>
        <w:t> </w:t>
      </w:r>
      <w:r w:rsidRPr="00AA392E">
        <w:rPr>
          <w:i/>
          <w:iCs/>
          <w:color w:val="000000" w:themeColor="text1"/>
          <w:sz w:val="20"/>
          <w:szCs w:val="20"/>
        </w:rPr>
        <w:t>Oleificio Borelli</w:t>
      </w:r>
      <w:r w:rsidRPr="00AA392E">
        <w:rPr>
          <w:rStyle w:val="apple-converted-space"/>
          <w:color w:val="000000" w:themeColor="text1"/>
          <w:sz w:val="20"/>
          <w:szCs w:val="20"/>
        </w:rPr>
        <w:t> </w:t>
      </w:r>
      <w:r w:rsidR="00EF69D7" w:rsidRPr="000E36BD">
        <w:rPr>
          <w:color w:val="000000" w:themeColor="text1"/>
          <w:sz w:val="20"/>
          <w:szCs w:val="20"/>
        </w:rPr>
        <w:t>v.</w:t>
      </w:r>
      <w:r w:rsidRPr="00AA392E">
        <w:rPr>
          <w:rStyle w:val="apple-converted-space"/>
          <w:i/>
          <w:iCs/>
          <w:color w:val="000000" w:themeColor="text1"/>
          <w:sz w:val="20"/>
          <w:szCs w:val="20"/>
        </w:rPr>
        <w:t> </w:t>
      </w:r>
      <w:r w:rsidRPr="00AA392E">
        <w:rPr>
          <w:i/>
          <w:iCs/>
          <w:color w:val="000000" w:themeColor="text1"/>
          <w:sz w:val="20"/>
          <w:szCs w:val="20"/>
        </w:rPr>
        <w:t xml:space="preserve">Commission, </w:t>
      </w:r>
      <w:r w:rsidRPr="00AA392E">
        <w:rPr>
          <w:color w:val="000000" w:themeColor="text1"/>
          <w:sz w:val="20"/>
          <w:szCs w:val="20"/>
        </w:rPr>
        <w:t xml:space="preserve">EU:C:1992:491; Case C-269/99, </w:t>
      </w:r>
      <w:r w:rsidRPr="00AA392E">
        <w:rPr>
          <w:i/>
          <w:iCs/>
          <w:color w:val="000000" w:themeColor="text1"/>
          <w:sz w:val="20"/>
          <w:szCs w:val="20"/>
        </w:rPr>
        <w:t xml:space="preserve">Kühne, </w:t>
      </w:r>
      <w:r w:rsidRPr="00AA392E">
        <w:rPr>
          <w:color w:val="000000" w:themeColor="text1"/>
          <w:sz w:val="20"/>
          <w:szCs w:val="20"/>
        </w:rPr>
        <w:t>EU:C:2001:659.</w:t>
      </w:r>
    </w:p>
  </w:footnote>
  <w:footnote w:id="39">
    <w:p w14:paraId="567997C3" w14:textId="0E4C7E83" w:rsidR="007B5988" w:rsidRPr="00AA392E" w:rsidRDefault="007B598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e.g. Case C-64/05, </w:t>
      </w:r>
      <w:r w:rsidRPr="00AA392E">
        <w:rPr>
          <w:i/>
          <w:iCs/>
          <w:color w:val="000000" w:themeColor="text1"/>
        </w:rPr>
        <w:t xml:space="preserve">Sweden </w:t>
      </w:r>
      <w:r w:rsidR="00EF69D7" w:rsidRPr="000E36BD">
        <w:rPr>
          <w:color w:val="000000" w:themeColor="text1"/>
        </w:rPr>
        <w:t>v.</w:t>
      </w:r>
      <w:r w:rsidRPr="000E36BD">
        <w:rPr>
          <w:color w:val="000000" w:themeColor="text1"/>
        </w:rPr>
        <w:t xml:space="preserve"> </w:t>
      </w:r>
      <w:r w:rsidRPr="00AA392E">
        <w:rPr>
          <w:i/>
          <w:iCs/>
          <w:color w:val="000000" w:themeColor="text1"/>
        </w:rPr>
        <w:t>Commission</w:t>
      </w:r>
      <w:r w:rsidRPr="00AA392E">
        <w:rPr>
          <w:color w:val="000000" w:themeColor="text1"/>
        </w:rPr>
        <w:t>, EU:C:2007:802.</w:t>
      </w:r>
    </w:p>
  </w:footnote>
  <w:footnote w:id="40">
    <w:p w14:paraId="5D92F9FB" w14:textId="76255C7E" w:rsidR="00B44A7D" w:rsidRPr="00AA392E" w:rsidRDefault="00B44A7D"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Note that the General Court has also drawn the converse conclusion, in the case of mixed (hybrid / composite) procedures where the final power of decision is vested in a national authority: any preparatory acts adopted by a Union institution should not be subject to judicial review before the Union courts: see Case T-660/18, </w:t>
      </w:r>
      <w:r w:rsidRPr="00AA392E">
        <w:rPr>
          <w:i/>
          <w:iCs/>
          <w:color w:val="000000" w:themeColor="text1"/>
        </w:rPr>
        <w:t xml:space="preserve">VodafoneZiggo Group </w:t>
      </w:r>
      <w:r w:rsidR="00EF69D7" w:rsidRPr="000E36BD">
        <w:rPr>
          <w:color w:val="000000" w:themeColor="text1"/>
        </w:rPr>
        <w:t>v.</w:t>
      </w:r>
      <w:r w:rsidRPr="00AA392E">
        <w:rPr>
          <w:i/>
          <w:iCs/>
          <w:color w:val="000000" w:themeColor="text1"/>
        </w:rPr>
        <w:t xml:space="preserve"> Commission</w:t>
      </w:r>
      <w:r w:rsidRPr="00AA392E">
        <w:rPr>
          <w:color w:val="000000" w:themeColor="text1"/>
        </w:rPr>
        <w:t>, EU:T:2019:546.</w:t>
      </w:r>
    </w:p>
  </w:footnote>
  <w:footnote w:id="41">
    <w:p w14:paraId="24CEFBA3" w14:textId="126140C3" w:rsidR="00FE5124" w:rsidRPr="00AA392E" w:rsidRDefault="00FE5124"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00646A3D" w:rsidRPr="00AA392E">
        <w:rPr>
          <w:color w:val="000000" w:themeColor="text1"/>
          <w:sz w:val="20"/>
          <w:szCs w:val="20"/>
        </w:rPr>
        <w:t>Though the latter point is very far from being clear or uncontroversial: c</w:t>
      </w:r>
      <w:r w:rsidR="007A5273" w:rsidRPr="00AA392E">
        <w:rPr>
          <w:color w:val="000000" w:themeColor="text1"/>
          <w:sz w:val="20"/>
          <w:szCs w:val="20"/>
        </w:rPr>
        <w:t>onsider</w:t>
      </w:r>
      <w:r w:rsidRPr="00AA392E">
        <w:rPr>
          <w:color w:val="000000" w:themeColor="text1"/>
          <w:sz w:val="20"/>
          <w:szCs w:val="20"/>
        </w:rPr>
        <w:t>, e.g. Brito Bastos, “Derivative illegality in European composite administrative procedures”</w:t>
      </w:r>
      <w:r w:rsidR="000E36BD">
        <w:rPr>
          <w:color w:val="000000" w:themeColor="text1"/>
          <w:sz w:val="20"/>
          <w:szCs w:val="20"/>
        </w:rPr>
        <w:t>,</w:t>
      </w:r>
      <w:r w:rsidRPr="00AA392E">
        <w:rPr>
          <w:color w:val="000000" w:themeColor="text1"/>
          <w:sz w:val="20"/>
          <w:szCs w:val="20"/>
        </w:rPr>
        <w:t xml:space="preserve"> 55 CML</w:t>
      </w:r>
      <w:r w:rsidR="000E36BD">
        <w:rPr>
          <w:color w:val="000000" w:themeColor="text1"/>
          <w:sz w:val="20"/>
          <w:szCs w:val="20"/>
        </w:rPr>
        <w:t xml:space="preserve"> </w:t>
      </w:r>
      <w:r w:rsidRPr="00AA392E">
        <w:rPr>
          <w:color w:val="000000" w:themeColor="text1"/>
          <w:sz w:val="20"/>
          <w:szCs w:val="20"/>
        </w:rPr>
        <w:t>Rev</w:t>
      </w:r>
      <w:r w:rsidR="000E36BD">
        <w:rPr>
          <w:color w:val="000000" w:themeColor="text1"/>
          <w:sz w:val="20"/>
          <w:szCs w:val="20"/>
        </w:rPr>
        <w:t xml:space="preserve">. </w:t>
      </w:r>
      <w:r w:rsidR="000E36BD" w:rsidRPr="00AA392E">
        <w:rPr>
          <w:color w:val="000000" w:themeColor="text1"/>
          <w:sz w:val="20"/>
          <w:szCs w:val="20"/>
        </w:rPr>
        <w:t>(2018)</w:t>
      </w:r>
      <w:r w:rsidR="000E36BD">
        <w:rPr>
          <w:color w:val="000000" w:themeColor="text1"/>
          <w:sz w:val="20"/>
          <w:szCs w:val="20"/>
        </w:rPr>
        <w:t>,</w:t>
      </w:r>
      <w:r w:rsidRPr="00AA392E">
        <w:rPr>
          <w:color w:val="000000" w:themeColor="text1"/>
          <w:sz w:val="20"/>
          <w:szCs w:val="20"/>
        </w:rPr>
        <w:t xml:space="preserve"> 101</w:t>
      </w:r>
      <w:r w:rsidR="007A5273" w:rsidRPr="00AA392E">
        <w:rPr>
          <w:color w:val="000000" w:themeColor="text1"/>
          <w:sz w:val="20"/>
          <w:szCs w:val="20"/>
        </w:rPr>
        <w:t xml:space="preserve">; Brito Bastos, “An administrative crack in the EU's rule of law: composite decision-making and non-justiciable national law” (2020) 16 </w:t>
      </w:r>
      <w:r w:rsidR="007A5273" w:rsidRPr="00AA392E">
        <w:rPr>
          <w:i/>
          <w:iCs/>
          <w:color w:val="000000" w:themeColor="text1"/>
          <w:sz w:val="20"/>
          <w:szCs w:val="20"/>
        </w:rPr>
        <w:t>EUConst</w:t>
      </w:r>
      <w:r w:rsidR="007A5273" w:rsidRPr="00AA392E">
        <w:rPr>
          <w:color w:val="000000" w:themeColor="text1"/>
          <w:sz w:val="20"/>
          <w:szCs w:val="20"/>
        </w:rPr>
        <w:t xml:space="preserve"> 63</w:t>
      </w:r>
      <w:r w:rsidRPr="00AA392E">
        <w:rPr>
          <w:color w:val="000000" w:themeColor="text1"/>
          <w:sz w:val="20"/>
          <w:szCs w:val="20"/>
        </w:rPr>
        <w:t xml:space="preserve">.  </w:t>
      </w:r>
      <w:r w:rsidR="007A5273" w:rsidRPr="00AA392E">
        <w:rPr>
          <w:color w:val="000000" w:themeColor="text1"/>
          <w:sz w:val="20"/>
          <w:szCs w:val="20"/>
        </w:rPr>
        <w:t>S</w:t>
      </w:r>
      <w:r w:rsidRPr="00AA392E">
        <w:rPr>
          <w:color w:val="000000" w:themeColor="text1"/>
          <w:sz w:val="20"/>
          <w:szCs w:val="20"/>
        </w:rPr>
        <w:t>ee further, on the difficulties surrounding national law’s status and role within EU judicial actions, e.g. Prek and Lefèvre, “The EU Courts as ‘national’ courts: National law in the EU judicial process”</w:t>
      </w:r>
      <w:r w:rsidR="000E36BD">
        <w:rPr>
          <w:color w:val="000000" w:themeColor="text1"/>
          <w:sz w:val="20"/>
          <w:szCs w:val="20"/>
        </w:rPr>
        <w:t>,</w:t>
      </w:r>
      <w:r w:rsidRPr="00AA392E">
        <w:rPr>
          <w:color w:val="000000" w:themeColor="text1"/>
          <w:sz w:val="20"/>
          <w:szCs w:val="20"/>
        </w:rPr>
        <w:t xml:space="preserve"> 54 CML</w:t>
      </w:r>
      <w:r w:rsidR="000E36BD">
        <w:rPr>
          <w:color w:val="000000" w:themeColor="text1"/>
          <w:sz w:val="20"/>
          <w:szCs w:val="20"/>
        </w:rPr>
        <w:t xml:space="preserve"> </w:t>
      </w:r>
      <w:r w:rsidRPr="00AA392E">
        <w:rPr>
          <w:color w:val="000000" w:themeColor="text1"/>
          <w:sz w:val="20"/>
          <w:szCs w:val="20"/>
        </w:rPr>
        <w:t>Rev</w:t>
      </w:r>
      <w:r w:rsidR="000E36BD">
        <w:rPr>
          <w:color w:val="000000" w:themeColor="text1"/>
          <w:sz w:val="20"/>
          <w:szCs w:val="20"/>
        </w:rPr>
        <w:t xml:space="preserve">. </w:t>
      </w:r>
      <w:r w:rsidR="000E36BD" w:rsidRPr="00AA392E">
        <w:rPr>
          <w:color w:val="000000" w:themeColor="text1"/>
          <w:sz w:val="20"/>
          <w:szCs w:val="20"/>
        </w:rPr>
        <w:t>(2017)</w:t>
      </w:r>
      <w:r w:rsidR="000E36BD">
        <w:rPr>
          <w:color w:val="000000" w:themeColor="text1"/>
          <w:sz w:val="20"/>
          <w:szCs w:val="20"/>
        </w:rPr>
        <w:t>,</w:t>
      </w:r>
      <w:r w:rsidRPr="00AA392E">
        <w:rPr>
          <w:color w:val="000000" w:themeColor="text1"/>
          <w:sz w:val="20"/>
          <w:szCs w:val="20"/>
        </w:rPr>
        <w:t xml:space="preserve"> 369.</w:t>
      </w:r>
    </w:p>
  </w:footnote>
  <w:footnote w:id="42">
    <w:p w14:paraId="22C73046" w14:textId="2D5A2266" w:rsidR="004F0EB4" w:rsidRPr="00AA392E" w:rsidRDefault="004F0EB4"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e.g. Cases T-351/18 and T-584/18, </w:t>
      </w:r>
      <w:r w:rsidRPr="00AA392E">
        <w:rPr>
          <w:i/>
          <w:iCs/>
          <w:color w:val="000000" w:themeColor="text1"/>
        </w:rPr>
        <w:t xml:space="preserve">Ukrselhosprom </w:t>
      </w:r>
      <w:r w:rsidR="00EF69D7" w:rsidRPr="000E36BD">
        <w:rPr>
          <w:color w:val="000000" w:themeColor="text1"/>
        </w:rPr>
        <w:t>v.</w:t>
      </w:r>
      <w:r w:rsidRPr="00AA392E">
        <w:rPr>
          <w:i/>
          <w:iCs/>
          <w:color w:val="000000" w:themeColor="text1"/>
        </w:rPr>
        <w:t xml:space="preserve"> ECB</w:t>
      </w:r>
      <w:r w:rsidRPr="00AA392E">
        <w:rPr>
          <w:color w:val="000000" w:themeColor="text1"/>
        </w:rPr>
        <w:t>, EU:T:2021:669.</w:t>
      </w:r>
    </w:p>
  </w:footnote>
  <w:footnote w:id="43">
    <w:p w14:paraId="483B9583" w14:textId="7BAE59EB" w:rsidR="003468C8" w:rsidRPr="00AA392E" w:rsidRDefault="003468C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FE5124" w:rsidRPr="00AA392E">
        <w:rPr>
          <w:color w:val="000000" w:themeColor="text1"/>
        </w:rPr>
        <w:t>Again, the latter point is far from clear or uncontroversial: see above.</w:t>
      </w:r>
    </w:p>
  </w:footnote>
  <w:footnote w:id="44">
    <w:p w14:paraId="0C134585" w14:textId="56A01B95" w:rsidR="00556CD7" w:rsidRPr="00AA392E" w:rsidRDefault="00556CD7"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Consider, e.g. Brito Bastos, “Judicial review of composite administrative procedures in the Single Supervisory Mechanism: </w:t>
      </w:r>
      <w:r w:rsidRPr="00AA392E">
        <w:rPr>
          <w:i/>
          <w:iCs/>
          <w:color w:val="000000" w:themeColor="text1"/>
        </w:rPr>
        <w:t>Berlusconi</w:t>
      </w:r>
      <w:r w:rsidRPr="00AA392E">
        <w:rPr>
          <w:color w:val="000000" w:themeColor="text1"/>
        </w:rPr>
        <w:t>”</w:t>
      </w:r>
      <w:r w:rsidR="00E221AD">
        <w:rPr>
          <w:color w:val="000000" w:themeColor="text1"/>
        </w:rPr>
        <w:t>,</w:t>
      </w:r>
      <w:r w:rsidRPr="00AA392E">
        <w:rPr>
          <w:color w:val="000000" w:themeColor="text1"/>
        </w:rPr>
        <w:t xml:space="preserve"> 56 CML</w:t>
      </w:r>
      <w:r w:rsidR="00E221AD">
        <w:rPr>
          <w:color w:val="000000" w:themeColor="text1"/>
        </w:rPr>
        <w:t xml:space="preserve"> </w:t>
      </w:r>
      <w:r w:rsidRPr="00AA392E">
        <w:rPr>
          <w:color w:val="000000" w:themeColor="text1"/>
        </w:rPr>
        <w:t>Rev</w:t>
      </w:r>
      <w:r w:rsidR="00E221AD">
        <w:rPr>
          <w:color w:val="000000" w:themeColor="text1"/>
        </w:rPr>
        <w:t xml:space="preserve">. </w:t>
      </w:r>
      <w:r w:rsidR="00E221AD" w:rsidRPr="00AA392E">
        <w:rPr>
          <w:color w:val="000000" w:themeColor="text1"/>
        </w:rPr>
        <w:t>(2019)</w:t>
      </w:r>
      <w:r w:rsidR="00E221AD">
        <w:rPr>
          <w:color w:val="000000" w:themeColor="text1"/>
        </w:rPr>
        <w:t>,</w:t>
      </w:r>
      <w:r w:rsidRPr="00AA392E">
        <w:rPr>
          <w:color w:val="000000" w:themeColor="text1"/>
        </w:rPr>
        <w:t xml:space="preserve"> 1355.</w:t>
      </w:r>
      <w:r w:rsidR="00604956" w:rsidRPr="00AA392E">
        <w:rPr>
          <w:color w:val="000000" w:themeColor="text1"/>
        </w:rPr>
        <w:t xml:space="preserve">  See also, e.g. Spaventa, “Constitutional creativity or constitutional deception?  Acts of the Member States collectively and jurisdiction of the Court of Justice”</w:t>
      </w:r>
      <w:r w:rsidR="00E221AD">
        <w:rPr>
          <w:color w:val="000000" w:themeColor="text1"/>
        </w:rPr>
        <w:t>,</w:t>
      </w:r>
      <w:r w:rsidR="00604956" w:rsidRPr="00AA392E">
        <w:rPr>
          <w:color w:val="000000" w:themeColor="text1"/>
        </w:rPr>
        <w:t xml:space="preserve"> 58 CML</w:t>
      </w:r>
      <w:r w:rsidR="00E221AD">
        <w:rPr>
          <w:color w:val="000000" w:themeColor="text1"/>
        </w:rPr>
        <w:t xml:space="preserve"> </w:t>
      </w:r>
      <w:r w:rsidR="00604956" w:rsidRPr="00AA392E">
        <w:rPr>
          <w:color w:val="000000" w:themeColor="text1"/>
        </w:rPr>
        <w:t>Rev</w:t>
      </w:r>
      <w:r w:rsidR="00E221AD">
        <w:rPr>
          <w:color w:val="000000" w:themeColor="text1"/>
        </w:rPr>
        <w:t xml:space="preserve">. </w:t>
      </w:r>
      <w:r w:rsidR="00E221AD" w:rsidRPr="00AA392E">
        <w:rPr>
          <w:color w:val="000000" w:themeColor="text1"/>
        </w:rPr>
        <w:t>(2021)</w:t>
      </w:r>
      <w:r w:rsidR="00E221AD">
        <w:rPr>
          <w:color w:val="000000" w:themeColor="text1"/>
        </w:rPr>
        <w:t>,</w:t>
      </w:r>
      <w:r w:rsidR="00604956" w:rsidRPr="00AA392E">
        <w:rPr>
          <w:color w:val="000000" w:themeColor="text1"/>
        </w:rPr>
        <w:t xml:space="preserve"> 1697.</w:t>
      </w:r>
    </w:p>
  </w:footnote>
  <w:footnote w:id="45">
    <w:p w14:paraId="5F28B7AA" w14:textId="05EBDCA3" w:rsidR="00BA2C85" w:rsidRPr="00AA392E" w:rsidRDefault="00BA2C85"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Though note that AG Campos Sánchez-Bordona did suggest that the Court should rule for itself on whether national preparatory acts contain defects that render them void / determine for itself the lawfulness of the relevant domestic measures: Case C-219/17, </w:t>
      </w:r>
      <w:r w:rsidRPr="00AA392E">
        <w:rPr>
          <w:i/>
          <w:iCs/>
          <w:color w:val="000000" w:themeColor="text1"/>
          <w:sz w:val="20"/>
          <w:szCs w:val="20"/>
        </w:rPr>
        <w:t xml:space="preserve">Berlusconi, </w:t>
      </w:r>
      <w:r w:rsidRPr="00AA392E">
        <w:rPr>
          <w:color w:val="000000" w:themeColor="text1"/>
          <w:sz w:val="20"/>
          <w:szCs w:val="20"/>
        </w:rPr>
        <w:t>EU:C:2018:502, paras 102-115.</w:t>
      </w:r>
    </w:p>
  </w:footnote>
  <w:footnote w:id="46">
    <w:p w14:paraId="7AFD0C65" w14:textId="447C0041" w:rsidR="006714F1" w:rsidRPr="00AA392E" w:rsidRDefault="006714F1"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035DF8" w:rsidRPr="00AA392E">
        <w:rPr>
          <w:color w:val="000000" w:themeColor="text1"/>
        </w:rPr>
        <w:t xml:space="preserve">On judicial review of preparatory Union acts, e.g. </w:t>
      </w:r>
      <w:r w:rsidR="00B252D2" w:rsidRPr="00AA392E">
        <w:rPr>
          <w:color w:val="000000" w:themeColor="text1"/>
        </w:rPr>
        <w:t xml:space="preserve">Case 60/81, </w:t>
      </w:r>
      <w:r w:rsidR="00B252D2" w:rsidRPr="00AA392E">
        <w:rPr>
          <w:i/>
          <w:iCs/>
          <w:color w:val="000000" w:themeColor="text1"/>
        </w:rPr>
        <w:t>IBM</w:t>
      </w:r>
      <w:r w:rsidR="00B252D2" w:rsidRPr="00AA392E">
        <w:rPr>
          <w:color w:val="000000" w:themeColor="text1"/>
        </w:rPr>
        <w:t>, EU:C:1981:264.</w:t>
      </w:r>
    </w:p>
  </w:footnote>
  <w:footnote w:id="47">
    <w:p w14:paraId="639D255B" w14:textId="24D3E011" w:rsidR="00FD536C" w:rsidRPr="00AA392E" w:rsidRDefault="00FD536C"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Note that the Court restated the key principles from its ruling in </w:t>
      </w:r>
      <w:r w:rsidRPr="00AA392E">
        <w:rPr>
          <w:i/>
          <w:iCs/>
          <w:color w:val="000000" w:themeColor="text1"/>
        </w:rPr>
        <w:t>Berlusconi</w:t>
      </w:r>
      <w:r w:rsidRPr="00AA392E">
        <w:rPr>
          <w:color w:val="000000" w:themeColor="text1"/>
        </w:rPr>
        <w:t xml:space="preserve">, along similarly cautious lines, e.g. in Case C-414/18, </w:t>
      </w:r>
      <w:r w:rsidRPr="00AA392E">
        <w:rPr>
          <w:i/>
          <w:iCs/>
          <w:color w:val="000000" w:themeColor="text1"/>
        </w:rPr>
        <w:t>Iccrea Banca</w:t>
      </w:r>
      <w:r w:rsidRPr="00AA392E">
        <w:rPr>
          <w:color w:val="000000" w:themeColor="text1"/>
        </w:rPr>
        <w:t>, EU:C:2019:1036</w:t>
      </w:r>
      <w:r w:rsidR="007222D1" w:rsidRPr="00AA392E">
        <w:rPr>
          <w:color w:val="000000" w:themeColor="text1"/>
        </w:rPr>
        <w:t xml:space="preserve">; whereas AG Bobek in Cases C-59/18 &amp; C-182/18, </w:t>
      </w:r>
      <w:r w:rsidR="007222D1" w:rsidRPr="00AA392E">
        <w:rPr>
          <w:i/>
          <w:iCs/>
          <w:color w:val="000000" w:themeColor="text1"/>
        </w:rPr>
        <w:t xml:space="preserve">Italy </w:t>
      </w:r>
      <w:r w:rsidR="00EF69D7" w:rsidRPr="00E221AD">
        <w:rPr>
          <w:color w:val="000000" w:themeColor="text1"/>
        </w:rPr>
        <w:t>v.</w:t>
      </w:r>
      <w:r w:rsidR="007222D1" w:rsidRPr="00AA392E">
        <w:rPr>
          <w:i/>
          <w:iCs/>
          <w:color w:val="000000" w:themeColor="text1"/>
        </w:rPr>
        <w:t xml:space="preserve"> Council</w:t>
      </w:r>
      <w:r w:rsidR="007222D1" w:rsidRPr="00AA392E">
        <w:rPr>
          <w:color w:val="000000" w:themeColor="text1"/>
        </w:rPr>
        <w:t xml:space="preserve">, EU:C:2021:812 </w:t>
      </w:r>
      <w:r w:rsidR="00035DF8" w:rsidRPr="00AA392E">
        <w:rPr>
          <w:color w:val="000000" w:themeColor="text1"/>
        </w:rPr>
        <w:t xml:space="preserve">seems to </w:t>
      </w:r>
      <w:r w:rsidR="007222D1" w:rsidRPr="00AA392E">
        <w:rPr>
          <w:color w:val="000000" w:themeColor="text1"/>
        </w:rPr>
        <w:t>classif</w:t>
      </w:r>
      <w:r w:rsidR="00035DF8" w:rsidRPr="00AA392E">
        <w:rPr>
          <w:color w:val="000000" w:themeColor="text1"/>
        </w:rPr>
        <w:t>y</w:t>
      </w:r>
      <w:r w:rsidR="007222D1" w:rsidRPr="00AA392E">
        <w:rPr>
          <w:color w:val="000000" w:themeColor="text1"/>
        </w:rPr>
        <w:t xml:space="preserve"> </w:t>
      </w:r>
      <w:r w:rsidR="007222D1" w:rsidRPr="00AA392E">
        <w:rPr>
          <w:i/>
          <w:iCs/>
          <w:color w:val="000000" w:themeColor="text1"/>
        </w:rPr>
        <w:t>Berclusoni</w:t>
      </w:r>
      <w:r w:rsidR="00035DF8" w:rsidRPr="00AA392E">
        <w:rPr>
          <w:color w:val="000000" w:themeColor="text1"/>
        </w:rPr>
        <w:t>,</w:t>
      </w:r>
      <w:r w:rsidR="007222D1" w:rsidRPr="00AA392E">
        <w:rPr>
          <w:color w:val="000000" w:themeColor="text1"/>
        </w:rPr>
        <w:t xml:space="preserve"> alongside the ruling in </w:t>
      </w:r>
      <w:r w:rsidR="007222D1" w:rsidRPr="00AA392E">
        <w:rPr>
          <w:i/>
          <w:iCs/>
          <w:color w:val="000000" w:themeColor="text1"/>
        </w:rPr>
        <w:t>Rimšēvičs</w:t>
      </w:r>
      <w:r w:rsidR="00035DF8" w:rsidRPr="00AA392E">
        <w:rPr>
          <w:i/>
          <w:iCs/>
          <w:color w:val="000000" w:themeColor="text1"/>
        </w:rPr>
        <w:t xml:space="preserve">, </w:t>
      </w:r>
      <w:r w:rsidR="007222D1" w:rsidRPr="00AA392E">
        <w:rPr>
          <w:color w:val="000000" w:themeColor="text1"/>
        </w:rPr>
        <w:t>as examples of the Court exercising direct jurisdiction over the lawfulness of certain categories of national act: see para 48 of the Opinion.</w:t>
      </w:r>
    </w:p>
  </w:footnote>
  <w:footnote w:id="48">
    <w:p w14:paraId="18449B9A" w14:textId="34EAC166" w:rsidR="00DF6D70" w:rsidRPr="00AA392E" w:rsidRDefault="00DF6D70"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In that regard: departing from </w:t>
      </w:r>
      <w:r w:rsidR="009D5C43" w:rsidRPr="00AA392E">
        <w:rPr>
          <w:color w:val="000000" w:themeColor="text1"/>
        </w:rPr>
        <w:t xml:space="preserve">the advice of </w:t>
      </w:r>
      <w:r w:rsidRPr="00AA392E">
        <w:rPr>
          <w:color w:val="000000" w:themeColor="text1"/>
        </w:rPr>
        <w:t>AG</w:t>
      </w:r>
      <w:r w:rsidR="009D5C43" w:rsidRPr="00AA392E">
        <w:rPr>
          <w:color w:val="000000" w:themeColor="text1"/>
        </w:rPr>
        <w:t xml:space="preserve"> Kokott: see Cases C-202/18 &amp; C-238/18, </w:t>
      </w:r>
      <w:r w:rsidR="009D5C43" w:rsidRPr="00AA392E">
        <w:rPr>
          <w:i/>
          <w:iCs/>
          <w:color w:val="000000" w:themeColor="text1"/>
        </w:rPr>
        <w:t xml:space="preserve">Rimšēvičs, </w:t>
      </w:r>
      <w:r w:rsidR="009D5C43" w:rsidRPr="00AA392E">
        <w:rPr>
          <w:color w:val="000000" w:themeColor="text1"/>
        </w:rPr>
        <w:t>EU:C:2018:1030</w:t>
      </w:r>
      <w:r w:rsidRPr="00AA392E">
        <w:rPr>
          <w:color w:val="000000" w:themeColor="text1"/>
        </w:rPr>
        <w:t>.</w:t>
      </w:r>
    </w:p>
  </w:footnote>
  <w:footnote w:id="49">
    <w:p w14:paraId="11539661" w14:textId="2B5CC8FA" w:rsidR="00DE21CC" w:rsidRPr="00AA392E" w:rsidRDefault="00DE21CC"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On </w:t>
      </w:r>
      <w:r w:rsidR="005F68A6" w:rsidRPr="00AA392E">
        <w:rPr>
          <w:color w:val="000000" w:themeColor="text1"/>
        </w:rPr>
        <w:t xml:space="preserve">the wider legal implications of </w:t>
      </w:r>
      <w:r w:rsidRPr="00AA392E">
        <w:rPr>
          <w:color w:val="000000" w:themeColor="text1"/>
        </w:rPr>
        <w:t xml:space="preserve">which, see also Case C-316/19, </w:t>
      </w:r>
      <w:r w:rsidRPr="00AA392E">
        <w:rPr>
          <w:i/>
          <w:iCs/>
          <w:color w:val="000000" w:themeColor="text1"/>
        </w:rPr>
        <w:t xml:space="preserve">Commission </w:t>
      </w:r>
      <w:r w:rsidR="00EF69D7" w:rsidRPr="00E221AD">
        <w:rPr>
          <w:color w:val="000000" w:themeColor="text1"/>
        </w:rPr>
        <w:t>v.</w:t>
      </w:r>
      <w:r w:rsidRPr="00AA392E">
        <w:rPr>
          <w:i/>
          <w:iCs/>
          <w:color w:val="000000" w:themeColor="text1"/>
        </w:rPr>
        <w:t xml:space="preserve"> Slovenia</w:t>
      </w:r>
      <w:r w:rsidRPr="00AA392E">
        <w:rPr>
          <w:color w:val="000000" w:themeColor="text1"/>
        </w:rPr>
        <w:t>, EU:C:202</w:t>
      </w:r>
      <w:r w:rsidR="005F68A6" w:rsidRPr="00AA392E">
        <w:rPr>
          <w:color w:val="000000" w:themeColor="text1"/>
        </w:rPr>
        <w:t>0</w:t>
      </w:r>
      <w:r w:rsidRPr="00AA392E">
        <w:rPr>
          <w:color w:val="000000" w:themeColor="text1"/>
        </w:rPr>
        <w:t>:</w:t>
      </w:r>
      <w:r w:rsidR="005F68A6" w:rsidRPr="00AA392E">
        <w:rPr>
          <w:color w:val="000000" w:themeColor="text1"/>
        </w:rPr>
        <w:t xml:space="preserve">1030; Case C-3/20, </w:t>
      </w:r>
      <w:r w:rsidR="005F68A6" w:rsidRPr="00AA392E">
        <w:rPr>
          <w:i/>
          <w:iCs/>
          <w:color w:val="000000" w:themeColor="text1"/>
        </w:rPr>
        <w:t>AB</w:t>
      </w:r>
      <w:r w:rsidR="005F68A6" w:rsidRPr="00AA392E">
        <w:rPr>
          <w:color w:val="000000" w:themeColor="text1"/>
        </w:rPr>
        <w:t>, EU:C:2021:969</w:t>
      </w:r>
      <w:r w:rsidRPr="00AA392E">
        <w:rPr>
          <w:color w:val="000000" w:themeColor="text1"/>
        </w:rPr>
        <w:t>.</w:t>
      </w:r>
    </w:p>
  </w:footnote>
  <w:footnote w:id="50">
    <w:p w14:paraId="7AAD1FB3" w14:textId="36474EA8" w:rsidR="00885A15" w:rsidRPr="00AA392E" w:rsidRDefault="00885A15"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On which, recall Case C-11/00, </w:t>
      </w:r>
      <w:r w:rsidRPr="00AA392E">
        <w:rPr>
          <w:i/>
          <w:iCs/>
          <w:color w:val="000000" w:themeColor="text1"/>
        </w:rPr>
        <w:t xml:space="preserve">Commission </w:t>
      </w:r>
      <w:r w:rsidR="00EF69D7" w:rsidRPr="00E221AD">
        <w:rPr>
          <w:color w:val="000000" w:themeColor="text1"/>
        </w:rPr>
        <w:t>v.</w:t>
      </w:r>
      <w:r w:rsidRPr="00AA392E">
        <w:rPr>
          <w:i/>
          <w:iCs/>
          <w:color w:val="000000" w:themeColor="text1"/>
        </w:rPr>
        <w:t xml:space="preserve"> ECB</w:t>
      </w:r>
      <w:r w:rsidRPr="00AA392E">
        <w:rPr>
          <w:color w:val="000000" w:themeColor="text1"/>
        </w:rPr>
        <w:t>, EU:C:2003:395.</w:t>
      </w:r>
    </w:p>
  </w:footnote>
  <w:footnote w:id="51">
    <w:p w14:paraId="5D275D8F" w14:textId="455DB5C4" w:rsidR="00DF6D70" w:rsidRPr="00AA392E" w:rsidRDefault="00DF6D70"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9D5C43" w:rsidRPr="00AA392E">
        <w:rPr>
          <w:color w:val="000000" w:themeColor="text1"/>
        </w:rPr>
        <w:t xml:space="preserve">See Cases C-202/18 &amp; C-238/18, </w:t>
      </w:r>
      <w:r w:rsidR="009D5C43" w:rsidRPr="00AA392E">
        <w:rPr>
          <w:i/>
          <w:iCs/>
          <w:color w:val="000000" w:themeColor="text1"/>
        </w:rPr>
        <w:t xml:space="preserve">Rimšēvičs, </w:t>
      </w:r>
      <w:r w:rsidR="009D5C43" w:rsidRPr="00AA392E">
        <w:rPr>
          <w:color w:val="000000" w:themeColor="text1"/>
        </w:rPr>
        <w:t xml:space="preserve">EU:C:2018:1030, </w:t>
      </w:r>
      <w:r w:rsidRPr="00AA392E">
        <w:rPr>
          <w:color w:val="000000" w:themeColor="text1"/>
        </w:rPr>
        <w:t>especially paras 151-160.</w:t>
      </w:r>
    </w:p>
  </w:footnote>
  <w:footnote w:id="52">
    <w:p w14:paraId="10CA5C31" w14:textId="3712F53F" w:rsidR="002325CC" w:rsidRPr="00AA392E" w:rsidRDefault="002325CC"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Subject, however, to the immunities conferred upon national central bank Governors as a matter of Union law: see Case C-3/20, </w:t>
      </w:r>
      <w:r w:rsidRPr="00AA392E">
        <w:rPr>
          <w:i/>
          <w:iCs/>
          <w:color w:val="000000" w:themeColor="text1"/>
        </w:rPr>
        <w:t>AB</w:t>
      </w:r>
      <w:r w:rsidRPr="00AA392E">
        <w:rPr>
          <w:color w:val="000000" w:themeColor="text1"/>
        </w:rPr>
        <w:t>, EU:C:2021:969.</w:t>
      </w:r>
    </w:p>
  </w:footnote>
  <w:footnote w:id="53">
    <w:p w14:paraId="182354C5" w14:textId="49EF8582" w:rsidR="00354EC9" w:rsidRPr="00AA392E" w:rsidRDefault="00296B0C"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00354EC9" w:rsidRPr="00AA392E">
        <w:rPr>
          <w:color w:val="000000" w:themeColor="text1"/>
          <w:sz w:val="20"/>
          <w:szCs w:val="20"/>
        </w:rPr>
        <w:t xml:space="preserve">Case C-188/92, </w:t>
      </w:r>
      <w:r w:rsidR="00354EC9" w:rsidRPr="00AA392E">
        <w:rPr>
          <w:i/>
          <w:iCs/>
          <w:color w:val="000000" w:themeColor="text1"/>
          <w:sz w:val="20"/>
          <w:szCs w:val="20"/>
        </w:rPr>
        <w:t>TWD</w:t>
      </w:r>
      <w:r w:rsidR="00354EC9" w:rsidRPr="00AA392E">
        <w:rPr>
          <w:color w:val="000000" w:themeColor="text1"/>
          <w:sz w:val="20"/>
          <w:szCs w:val="20"/>
        </w:rPr>
        <w:t xml:space="preserve">, EU:C:1994:90.  More recently, e.g. Case C-135/16, </w:t>
      </w:r>
      <w:r w:rsidR="00354EC9" w:rsidRPr="00AA392E">
        <w:rPr>
          <w:i/>
          <w:iCs/>
          <w:color w:val="000000" w:themeColor="text1"/>
          <w:sz w:val="20"/>
          <w:szCs w:val="20"/>
        </w:rPr>
        <w:t xml:space="preserve">Georgsmarienhütte, </w:t>
      </w:r>
      <w:r w:rsidR="00354EC9" w:rsidRPr="00AA392E">
        <w:rPr>
          <w:color w:val="000000" w:themeColor="text1"/>
          <w:sz w:val="20"/>
          <w:szCs w:val="20"/>
        </w:rPr>
        <w:t>EU:C:2018:582.</w:t>
      </w:r>
    </w:p>
  </w:footnote>
  <w:footnote w:id="54">
    <w:p w14:paraId="2C10DF9F" w14:textId="7BD1AD25" w:rsidR="00C33B0C" w:rsidRPr="00AA392E" w:rsidRDefault="00C33B0C"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00E91CBB" w:rsidRPr="00AA392E">
        <w:rPr>
          <w:color w:val="000000" w:themeColor="text1"/>
          <w:sz w:val="20"/>
          <w:szCs w:val="20"/>
        </w:rPr>
        <w:t>See</w:t>
      </w:r>
      <w:r w:rsidRPr="00AA392E">
        <w:rPr>
          <w:color w:val="000000" w:themeColor="text1"/>
          <w:sz w:val="20"/>
          <w:szCs w:val="20"/>
        </w:rPr>
        <w:t xml:space="preserve">, e.g. </w:t>
      </w:r>
      <w:r w:rsidR="00E91CBB" w:rsidRPr="00AA392E">
        <w:rPr>
          <w:color w:val="000000" w:themeColor="text1"/>
          <w:sz w:val="20"/>
          <w:szCs w:val="20"/>
        </w:rPr>
        <w:t xml:space="preserve">Hinarejos, “The Court of Justice annuls a national measure directly to protect ECB independence: </w:t>
      </w:r>
      <w:r w:rsidR="00E91CBB" w:rsidRPr="00AA392E">
        <w:rPr>
          <w:i/>
          <w:iCs/>
          <w:color w:val="000000" w:themeColor="text1"/>
          <w:sz w:val="20"/>
          <w:szCs w:val="20"/>
        </w:rPr>
        <w:t>Rimšēvičs</w:t>
      </w:r>
      <w:r w:rsidR="00E91CBB" w:rsidRPr="00AA392E">
        <w:rPr>
          <w:color w:val="000000" w:themeColor="text1"/>
          <w:sz w:val="20"/>
          <w:szCs w:val="20"/>
        </w:rPr>
        <w:t>”</w:t>
      </w:r>
      <w:r w:rsidR="00E221AD">
        <w:rPr>
          <w:color w:val="000000" w:themeColor="text1"/>
          <w:sz w:val="20"/>
          <w:szCs w:val="20"/>
        </w:rPr>
        <w:t>,</w:t>
      </w:r>
      <w:r w:rsidR="00E91CBB" w:rsidRPr="00AA392E">
        <w:rPr>
          <w:color w:val="000000" w:themeColor="text1"/>
          <w:sz w:val="20"/>
          <w:szCs w:val="20"/>
        </w:rPr>
        <w:t xml:space="preserve"> 56 CML</w:t>
      </w:r>
      <w:r w:rsidR="00E221AD">
        <w:rPr>
          <w:color w:val="000000" w:themeColor="text1"/>
          <w:sz w:val="20"/>
          <w:szCs w:val="20"/>
        </w:rPr>
        <w:t xml:space="preserve"> </w:t>
      </w:r>
      <w:r w:rsidR="00E91CBB" w:rsidRPr="00AA392E">
        <w:rPr>
          <w:color w:val="000000" w:themeColor="text1"/>
          <w:sz w:val="20"/>
          <w:szCs w:val="20"/>
        </w:rPr>
        <w:t>Rev</w:t>
      </w:r>
      <w:r w:rsidR="00E221AD">
        <w:rPr>
          <w:color w:val="000000" w:themeColor="text1"/>
          <w:sz w:val="20"/>
          <w:szCs w:val="20"/>
        </w:rPr>
        <w:t xml:space="preserve">. </w:t>
      </w:r>
      <w:r w:rsidR="00E221AD" w:rsidRPr="00AA392E">
        <w:rPr>
          <w:color w:val="000000" w:themeColor="text1"/>
          <w:sz w:val="20"/>
          <w:szCs w:val="20"/>
        </w:rPr>
        <w:t>(2019)</w:t>
      </w:r>
      <w:r w:rsidR="00E221AD">
        <w:rPr>
          <w:color w:val="000000" w:themeColor="text1"/>
          <w:sz w:val="20"/>
          <w:szCs w:val="20"/>
        </w:rPr>
        <w:t>,</w:t>
      </w:r>
      <w:r w:rsidR="00E91CBB" w:rsidRPr="00AA392E">
        <w:rPr>
          <w:color w:val="000000" w:themeColor="text1"/>
          <w:sz w:val="20"/>
          <w:szCs w:val="20"/>
        </w:rPr>
        <w:t xml:space="preserve"> 1649; </w:t>
      </w:r>
      <w:r w:rsidRPr="00AA392E">
        <w:rPr>
          <w:color w:val="000000" w:themeColor="text1"/>
          <w:sz w:val="20"/>
          <w:szCs w:val="20"/>
        </w:rPr>
        <w:t xml:space="preserve">Tridimas and Lonardo, “When can a national measure be annulled by the ECJ?  Case C-202/18 </w:t>
      </w:r>
      <w:r w:rsidRPr="00AA392E">
        <w:rPr>
          <w:i/>
          <w:iCs/>
          <w:color w:val="000000" w:themeColor="text1"/>
          <w:sz w:val="20"/>
          <w:szCs w:val="20"/>
        </w:rPr>
        <w:t xml:space="preserve">Ilmars Rimsevics </w:t>
      </w:r>
      <w:r w:rsidR="00EF69D7" w:rsidRPr="00E221AD">
        <w:rPr>
          <w:color w:val="000000" w:themeColor="text1"/>
          <w:sz w:val="20"/>
          <w:szCs w:val="20"/>
        </w:rPr>
        <w:t>v.</w:t>
      </w:r>
      <w:r w:rsidRPr="00AA392E">
        <w:rPr>
          <w:i/>
          <w:iCs/>
          <w:color w:val="000000" w:themeColor="text1"/>
          <w:sz w:val="20"/>
          <w:szCs w:val="20"/>
        </w:rPr>
        <w:t xml:space="preserve"> Republic of Latvia</w:t>
      </w:r>
      <w:r w:rsidRPr="00AA392E">
        <w:rPr>
          <w:color w:val="000000" w:themeColor="text1"/>
          <w:sz w:val="20"/>
          <w:szCs w:val="20"/>
        </w:rPr>
        <w:t xml:space="preserve"> and Case C-238/18 </w:t>
      </w:r>
      <w:r w:rsidRPr="00AA392E">
        <w:rPr>
          <w:i/>
          <w:iCs/>
          <w:color w:val="000000" w:themeColor="text1"/>
          <w:sz w:val="20"/>
          <w:szCs w:val="20"/>
        </w:rPr>
        <w:t xml:space="preserve">European Central Bank </w:t>
      </w:r>
      <w:r w:rsidR="00EF69D7" w:rsidRPr="00E221AD">
        <w:rPr>
          <w:color w:val="000000" w:themeColor="text1"/>
          <w:sz w:val="20"/>
          <w:szCs w:val="20"/>
        </w:rPr>
        <w:t>v.</w:t>
      </w:r>
      <w:r w:rsidRPr="00AA392E">
        <w:rPr>
          <w:i/>
          <w:iCs/>
          <w:color w:val="000000" w:themeColor="text1"/>
          <w:sz w:val="20"/>
          <w:szCs w:val="20"/>
        </w:rPr>
        <w:t xml:space="preserve"> Republic of Latvia</w:t>
      </w:r>
      <w:r w:rsidRPr="00AA392E">
        <w:rPr>
          <w:color w:val="000000" w:themeColor="text1"/>
          <w:sz w:val="20"/>
          <w:szCs w:val="20"/>
        </w:rPr>
        <w:t>”</w:t>
      </w:r>
      <w:r w:rsidR="00E221AD">
        <w:rPr>
          <w:color w:val="000000" w:themeColor="text1"/>
          <w:sz w:val="20"/>
          <w:szCs w:val="20"/>
        </w:rPr>
        <w:t>,</w:t>
      </w:r>
      <w:r w:rsidRPr="00AA392E">
        <w:rPr>
          <w:color w:val="000000" w:themeColor="text1"/>
          <w:sz w:val="20"/>
          <w:szCs w:val="20"/>
        </w:rPr>
        <w:t xml:space="preserve"> 45 EL</w:t>
      </w:r>
      <w:r w:rsidR="00E221AD">
        <w:rPr>
          <w:color w:val="000000" w:themeColor="text1"/>
          <w:sz w:val="20"/>
          <w:szCs w:val="20"/>
        </w:rPr>
        <w:t xml:space="preserve"> </w:t>
      </w:r>
      <w:r w:rsidRPr="00AA392E">
        <w:rPr>
          <w:color w:val="000000" w:themeColor="text1"/>
          <w:sz w:val="20"/>
          <w:szCs w:val="20"/>
        </w:rPr>
        <w:t>Rev</w:t>
      </w:r>
      <w:r w:rsidR="00E221AD">
        <w:rPr>
          <w:color w:val="000000" w:themeColor="text1"/>
          <w:sz w:val="20"/>
          <w:szCs w:val="20"/>
        </w:rPr>
        <w:t xml:space="preserve">. </w:t>
      </w:r>
      <w:r w:rsidR="00E221AD" w:rsidRPr="00AA392E">
        <w:rPr>
          <w:color w:val="000000" w:themeColor="text1"/>
          <w:sz w:val="20"/>
          <w:szCs w:val="20"/>
        </w:rPr>
        <w:t>(2020)</w:t>
      </w:r>
      <w:r w:rsidR="00E221AD">
        <w:rPr>
          <w:color w:val="000000" w:themeColor="text1"/>
          <w:sz w:val="20"/>
          <w:szCs w:val="20"/>
        </w:rPr>
        <w:t>,</w:t>
      </w:r>
      <w:r w:rsidRPr="00AA392E">
        <w:rPr>
          <w:color w:val="000000" w:themeColor="text1"/>
          <w:sz w:val="20"/>
          <w:szCs w:val="20"/>
        </w:rPr>
        <w:t xml:space="preserve"> 732</w:t>
      </w:r>
      <w:r w:rsidR="00E91CBB" w:rsidRPr="00AA392E">
        <w:rPr>
          <w:color w:val="000000" w:themeColor="text1"/>
          <w:sz w:val="20"/>
          <w:szCs w:val="20"/>
        </w:rPr>
        <w:t xml:space="preserve">; Smits, “A national measure annulled by the European Court of Justice, or: High-level judicial protection for independent central bankers” (2020) 16 </w:t>
      </w:r>
      <w:r w:rsidR="00E91CBB" w:rsidRPr="00AA392E">
        <w:rPr>
          <w:i/>
          <w:iCs/>
          <w:color w:val="000000" w:themeColor="text1"/>
          <w:sz w:val="20"/>
          <w:szCs w:val="20"/>
        </w:rPr>
        <w:t>EUConst</w:t>
      </w:r>
      <w:r w:rsidR="00E91CBB" w:rsidRPr="00AA392E">
        <w:rPr>
          <w:color w:val="000000" w:themeColor="text1"/>
          <w:sz w:val="20"/>
          <w:szCs w:val="20"/>
        </w:rPr>
        <w:t xml:space="preserve"> 120.  Note also the jurisdictional problems and potential solutions explored by Spaventa, “Constitutional creativity or constitutional deception?  Acts of the Member States collectively and jurisdiction of the Court of Justice”</w:t>
      </w:r>
      <w:r w:rsidR="00E221AD">
        <w:rPr>
          <w:color w:val="000000" w:themeColor="text1"/>
          <w:sz w:val="20"/>
          <w:szCs w:val="20"/>
        </w:rPr>
        <w:t>,</w:t>
      </w:r>
      <w:r w:rsidR="00E91CBB" w:rsidRPr="00AA392E">
        <w:rPr>
          <w:color w:val="000000" w:themeColor="text1"/>
          <w:sz w:val="20"/>
          <w:szCs w:val="20"/>
        </w:rPr>
        <w:t xml:space="preserve"> 58 CML</w:t>
      </w:r>
      <w:r w:rsidR="00E221AD">
        <w:rPr>
          <w:color w:val="000000" w:themeColor="text1"/>
          <w:sz w:val="20"/>
          <w:szCs w:val="20"/>
        </w:rPr>
        <w:t xml:space="preserve"> </w:t>
      </w:r>
      <w:r w:rsidR="00E91CBB" w:rsidRPr="00AA392E">
        <w:rPr>
          <w:color w:val="000000" w:themeColor="text1"/>
          <w:sz w:val="20"/>
          <w:szCs w:val="20"/>
        </w:rPr>
        <w:t>Rev</w:t>
      </w:r>
      <w:r w:rsidR="00E221AD">
        <w:rPr>
          <w:color w:val="000000" w:themeColor="text1"/>
          <w:sz w:val="20"/>
          <w:szCs w:val="20"/>
        </w:rPr>
        <w:t xml:space="preserve">. </w:t>
      </w:r>
      <w:r w:rsidR="00E221AD" w:rsidRPr="00AA392E">
        <w:rPr>
          <w:color w:val="000000" w:themeColor="text1"/>
          <w:sz w:val="20"/>
          <w:szCs w:val="20"/>
        </w:rPr>
        <w:t>(2021)</w:t>
      </w:r>
      <w:r w:rsidR="00E221AD">
        <w:rPr>
          <w:color w:val="000000" w:themeColor="text1"/>
          <w:sz w:val="20"/>
          <w:szCs w:val="20"/>
        </w:rPr>
        <w:t>,</w:t>
      </w:r>
      <w:r w:rsidR="00E91CBB" w:rsidRPr="00AA392E">
        <w:rPr>
          <w:color w:val="000000" w:themeColor="text1"/>
          <w:sz w:val="20"/>
          <w:szCs w:val="20"/>
        </w:rPr>
        <w:t xml:space="preserve"> 1697.</w:t>
      </w:r>
    </w:p>
  </w:footnote>
  <w:footnote w:id="55">
    <w:p w14:paraId="7F2A6938" w14:textId="4CDD4DEB" w:rsidR="00963E34" w:rsidRPr="00E221AD" w:rsidRDefault="00963E34" w:rsidP="00E221AD">
      <w:pPr>
        <w:jc w:val="both"/>
        <w:rPr>
          <w:sz w:val="20"/>
          <w:szCs w:val="20"/>
        </w:rPr>
      </w:pPr>
      <w:r w:rsidRPr="00E221AD">
        <w:rPr>
          <w:rStyle w:val="FootnoteReference"/>
          <w:color w:val="000000" w:themeColor="text1"/>
          <w:sz w:val="20"/>
          <w:szCs w:val="20"/>
        </w:rPr>
        <w:footnoteRef/>
      </w:r>
      <w:r w:rsidRPr="00E221AD">
        <w:rPr>
          <w:sz w:val="20"/>
          <w:szCs w:val="20"/>
        </w:rPr>
        <w:t xml:space="preserve"> See also, e.g. </w:t>
      </w:r>
      <w:r w:rsidR="009750D6" w:rsidRPr="00E221AD">
        <w:rPr>
          <w:sz w:val="20"/>
          <w:szCs w:val="20"/>
        </w:rPr>
        <w:t xml:space="preserve">Case C-619/18, </w:t>
      </w:r>
      <w:r w:rsidR="009750D6" w:rsidRPr="00E221AD">
        <w:rPr>
          <w:i/>
          <w:iCs/>
          <w:sz w:val="20"/>
          <w:szCs w:val="20"/>
        </w:rPr>
        <w:t xml:space="preserve">Commission </w:t>
      </w:r>
      <w:r w:rsidR="00EF69D7" w:rsidRPr="00E221AD">
        <w:rPr>
          <w:sz w:val="20"/>
          <w:szCs w:val="20"/>
        </w:rPr>
        <w:t>v.</w:t>
      </w:r>
      <w:r w:rsidR="009750D6" w:rsidRPr="00E221AD">
        <w:rPr>
          <w:i/>
          <w:iCs/>
          <w:sz w:val="20"/>
          <w:szCs w:val="20"/>
        </w:rPr>
        <w:t xml:space="preserve"> Poland</w:t>
      </w:r>
      <w:r w:rsidR="009750D6" w:rsidRPr="00E221AD">
        <w:rPr>
          <w:sz w:val="20"/>
          <w:szCs w:val="20"/>
        </w:rPr>
        <w:t>, EU:C:2019:</w:t>
      </w:r>
      <w:r w:rsidR="0056299D" w:rsidRPr="00E221AD">
        <w:rPr>
          <w:sz w:val="20"/>
          <w:szCs w:val="20"/>
        </w:rPr>
        <w:t>531</w:t>
      </w:r>
      <w:r w:rsidR="009750D6" w:rsidRPr="00E221AD">
        <w:rPr>
          <w:sz w:val="20"/>
          <w:szCs w:val="20"/>
        </w:rPr>
        <w:t xml:space="preserve">; </w:t>
      </w:r>
      <w:r w:rsidR="0056299D" w:rsidRPr="00E221AD">
        <w:rPr>
          <w:sz w:val="20"/>
          <w:szCs w:val="20"/>
        </w:rPr>
        <w:t xml:space="preserve">Case C-192/18, </w:t>
      </w:r>
      <w:r w:rsidR="0056299D" w:rsidRPr="00E221AD">
        <w:rPr>
          <w:i/>
          <w:iCs/>
          <w:sz w:val="20"/>
          <w:szCs w:val="20"/>
        </w:rPr>
        <w:t xml:space="preserve">Commission </w:t>
      </w:r>
      <w:r w:rsidR="00EF69D7" w:rsidRPr="00E221AD">
        <w:rPr>
          <w:sz w:val="20"/>
          <w:szCs w:val="20"/>
        </w:rPr>
        <w:t>v.</w:t>
      </w:r>
      <w:r w:rsidR="0056299D" w:rsidRPr="00E221AD">
        <w:rPr>
          <w:i/>
          <w:iCs/>
          <w:sz w:val="20"/>
          <w:szCs w:val="20"/>
        </w:rPr>
        <w:t xml:space="preserve"> Poland</w:t>
      </w:r>
      <w:r w:rsidR="0056299D" w:rsidRPr="00E221AD">
        <w:rPr>
          <w:sz w:val="20"/>
          <w:szCs w:val="20"/>
        </w:rPr>
        <w:t xml:space="preserve">, EU:C:2019:924; </w:t>
      </w:r>
      <w:r w:rsidR="004835EE" w:rsidRPr="00E221AD">
        <w:rPr>
          <w:sz w:val="20"/>
          <w:szCs w:val="20"/>
        </w:rPr>
        <w:t>Cases C</w:t>
      </w:r>
      <w:r w:rsidR="004835EE" w:rsidRPr="00E221AD">
        <w:rPr>
          <w:sz w:val="20"/>
          <w:szCs w:val="20"/>
        </w:rPr>
        <w:noBreakHyphen/>
        <w:t>585/18 &amp; C</w:t>
      </w:r>
      <w:r w:rsidR="004835EE" w:rsidRPr="00E221AD">
        <w:rPr>
          <w:sz w:val="20"/>
          <w:szCs w:val="20"/>
        </w:rPr>
        <w:noBreakHyphen/>
        <w:t>624-625/18</w:t>
      </w:r>
      <w:r w:rsidR="00733964" w:rsidRPr="00E221AD">
        <w:rPr>
          <w:sz w:val="20"/>
          <w:szCs w:val="20"/>
        </w:rPr>
        <w:t xml:space="preserve">, </w:t>
      </w:r>
      <w:r w:rsidR="00733964" w:rsidRPr="00E221AD">
        <w:rPr>
          <w:i/>
          <w:iCs/>
          <w:sz w:val="20"/>
          <w:szCs w:val="20"/>
        </w:rPr>
        <w:t>A.K.</w:t>
      </w:r>
      <w:r w:rsidR="00733964" w:rsidRPr="00E221AD">
        <w:rPr>
          <w:sz w:val="20"/>
          <w:szCs w:val="20"/>
        </w:rPr>
        <w:t>, EU:C:2019:982</w:t>
      </w:r>
      <w:r w:rsidR="004835EE" w:rsidRPr="00E221AD">
        <w:rPr>
          <w:sz w:val="20"/>
          <w:szCs w:val="20"/>
        </w:rPr>
        <w:t xml:space="preserve">; Case C-824/18, </w:t>
      </w:r>
      <w:r w:rsidR="004835EE" w:rsidRPr="00E221AD">
        <w:rPr>
          <w:i/>
          <w:iCs/>
          <w:sz w:val="20"/>
          <w:szCs w:val="20"/>
        </w:rPr>
        <w:t>A.B.</w:t>
      </w:r>
      <w:r w:rsidR="004835EE" w:rsidRPr="00E221AD">
        <w:rPr>
          <w:sz w:val="20"/>
          <w:szCs w:val="20"/>
        </w:rPr>
        <w:t xml:space="preserve">, EU:C:2021:153; </w:t>
      </w:r>
      <w:r w:rsidR="00981BA3" w:rsidRPr="00E221AD">
        <w:rPr>
          <w:sz w:val="20"/>
          <w:szCs w:val="20"/>
        </w:rPr>
        <w:t xml:space="preserve">Case C-791/19, </w:t>
      </w:r>
      <w:r w:rsidR="00981BA3" w:rsidRPr="00E221AD">
        <w:rPr>
          <w:i/>
          <w:iCs/>
          <w:sz w:val="20"/>
          <w:szCs w:val="20"/>
        </w:rPr>
        <w:t xml:space="preserve">Commission </w:t>
      </w:r>
      <w:r w:rsidR="00EF69D7" w:rsidRPr="00E221AD">
        <w:rPr>
          <w:sz w:val="20"/>
          <w:szCs w:val="20"/>
        </w:rPr>
        <w:t>v.</w:t>
      </w:r>
      <w:r w:rsidR="00981BA3" w:rsidRPr="00E221AD">
        <w:rPr>
          <w:i/>
          <w:iCs/>
          <w:sz w:val="20"/>
          <w:szCs w:val="20"/>
        </w:rPr>
        <w:t xml:space="preserve"> Poland</w:t>
      </w:r>
      <w:r w:rsidR="00981BA3" w:rsidRPr="00E221AD">
        <w:rPr>
          <w:sz w:val="20"/>
          <w:szCs w:val="20"/>
        </w:rPr>
        <w:t xml:space="preserve">, EU:C:2021:596; </w:t>
      </w:r>
      <w:r w:rsidRPr="00E221AD">
        <w:rPr>
          <w:sz w:val="20"/>
          <w:szCs w:val="20"/>
        </w:rPr>
        <w:t xml:space="preserve">Cases C-748-754/19, </w:t>
      </w:r>
      <w:r w:rsidRPr="00E221AD">
        <w:rPr>
          <w:i/>
          <w:iCs/>
          <w:sz w:val="20"/>
          <w:szCs w:val="20"/>
        </w:rPr>
        <w:t>WB</w:t>
      </w:r>
      <w:r w:rsidRPr="00E221AD">
        <w:rPr>
          <w:sz w:val="20"/>
          <w:szCs w:val="20"/>
        </w:rPr>
        <w:t>, EU:C:202</w:t>
      </w:r>
      <w:r w:rsidR="006D25EB" w:rsidRPr="00E221AD">
        <w:rPr>
          <w:sz w:val="20"/>
          <w:szCs w:val="20"/>
        </w:rPr>
        <w:t>1:931</w:t>
      </w:r>
      <w:r w:rsidR="0032763E" w:rsidRPr="00E221AD">
        <w:rPr>
          <w:sz w:val="20"/>
          <w:szCs w:val="20"/>
        </w:rPr>
        <w:t xml:space="preserve">; Case C-132/20, </w:t>
      </w:r>
      <w:r w:rsidR="00694597" w:rsidRPr="00E221AD">
        <w:rPr>
          <w:i/>
          <w:iCs/>
          <w:sz w:val="20"/>
          <w:szCs w:val="20"/>
        </w:rPr>
        <w:t>Getin Noble Bank</w:t>
      </w:r>
      <w:r w:rsidR="0032763E" w:rsidRPr="00E221AD">
        <w:rPr>
          <w:sz w:val="20"/>
          <w:szCs w:val="20"/>
        </w:rPr>
        <w:t>, EU:C:2022:235</w:t>
      </w:r>
      <w:r w:rsidR="006D25EB" w:rsidRPr="00E221AD">
        <w:rPr>
          <w:sz w:val="20"/>
          <w:szCs w:val="20"/>
        </w:rPr>
        <w:t>.</w:t>
      </w:r>
      <w:r w:rsidR="007E483D" w:rsidRPr="00E221AD">
        <w:rPr>
          <w:sz w:val="20"/>
          <w:szCs w:val="20"/>
        </w:rPr>
        <w:t xml:space="preserve">  To be read alongside the wider caselaw on judicial independence, e.g. Case C</w:t>
      </w:r>
      <w:r w:rsidR="007E483D" w:rsidRPr="00E221AD">
        <w:rPr>
          <w:sz w:val="20"/>
          <w:szCs w:val="20"/>
        </w:rPr>
        <w:noBreakHyphen/>
        <w:t xml:space="preserve">64/16, </w:t>
      </w:r>
      <w:r w:rsidR="007E483D" w:rsidRPr="00E221AD">
        <w:rPr>
          <w:i/>
          <w:iCs/>
          <w:sz w:val="20"/>
          <w:szCs w:val="20"/>
        </w:rPr>
        <w:t>Associação Sindical dos Juízes Portugueses</w:t>
      </w:r>
      <w:r w:rsidR="007E483D" w:rsidRPr="00E221AD">
        <w:rPr>
          <w:sz w:val="20"/>
          <w:szCs w:val="20"/>
        </w:rPr>
        <w:t xml:space="preserve">, EU:C:2018:117; Case C-896/19, </w:t>
      </w:r>
      <w:r w:rsidR="007E483D" w:rsidRPr="00E221AD">
        <w:rPr>
          <w:i/>
          <w:iCs/>
          <w:sz w:val="20"/>
          <w:szCs w:val="20"/>
        </w:rPr>
        <w:t>Repubblika</w:t>
      </w:r>
      <w:r w:rsidR="007E483D" w:rsidRPr="00E221AD">
        <w:rPr>
          <w:sz w:val="20"/>
          <w:szCs w:val="20"/>
        </w:rPr>
        <w:t>, EU:C:2021:311; Cases C</w:t>
      </w:r>
      <w:r w:rsidR="007E483D" w:rsidRPr="00E221AD">
        <w:rPr>
          <w:sz w:val="20"/>
          <w:szCs w:val="20"/>
        </w:rPr>
        <w:noBreakHyphen/>
        <w:t>83/19, C</w:t>
      </w:r>
      <w:r w:rsidR="007E483D" w:rsidRPr="00E221AD">
        <w:rPr>
          <w:sz w:val="20"/>
          <w:szCs w:val="20"/>
        </w:rPr>
        <w:noBreakHyphen/>
        <w:t>127/19, C</w:t>
      </w:r>
      <w:r w:rsidR="007E483D" w:rsidRPr="00E221AD">
        <w:rPr>
          <w:sz w:val="20"/>
          <w:szCs w:val="20"/>
        </w:rPr>
        <w:noBreakHyphen/>
        <w:t>195/19, C</w:t>
      </w:r>
      <w:r w:rsidR="007E483D" w:rsidRPr="00E221AD">
        <w:rPr>
          <w:sz w:val="20"/>
          <w:szCs w:val="20"/>
        </w:rPr>
        <w:noBreakHyphen/>
        <w:t>291/19, C</w:t>
      </w:r>
      <w:r w:rsidR="007E483D" w:rsidRPr="00E221AD">
        <w:rPr>
          <w:sz w:val="20"/>
          <w:szCs w:val="20"/>
        </w:rPr>
        <w:noBreakHyphen/>
        <w:t>355/19 and C</w:t>
      </w:r>
      <w:r w:rsidR="007E483D" w:rsidRPr="00E221AD">
        <w:rPr>
          <w:sz w:val="20"/>
          <w:szCs w:val="20"/>
        </w:rPr>
        <w:noBreakHyphen/>
        <w:t xml:space="preserve">397/19, </w:t>
      </w:r>
      <w:r w:rsidR="007E483D" w:rsidRPr="00E221AD">
        <w:rPr>
          <w:i/>
          <w:iCs/>
          <w:sz w:val="20"/>
          <w:szCs w:val="20"/>
        </w:rPr>
        <w:t>Asociaţia</w:t>
      </w:r>
      <w:r w:rsidR="007E483D" w:rsidRPr="00E221AD">
        <w:rPr>
          <w:rStyle w:val="apple-converted-space"/>
          <w:i/>
          <w:iCs/>
          <w:color w:val="000000" w:themeColor="text1"/>
          <w:sz w:val="20"/>
          <w:szCs w:val="20"/>
        </w:rPr>
        <w:t> </w:t>
      </w:r>
      <w:r w:rsidR="007E483D" w:rsidRPr="00E221AD">
        <w:rPr>
          <w:i/>
          <w:iCs/>
          <w:sz w:val="20"/>
          <w:szCs w:val="20"/>
        </w:rPr>
        <w:t>‘Forumul Judecătorilor din România’</w:t>
      </w:r>
      <w:r w:rsidR="007E483D" w:rsidRPr="00E221AD">
        <w:rPr>
          <w:sz w:val="20"/>
          <w:szCs w:val="20"/>
        </w:rPr>
        <w:t>, EU:C:2021:393</w:t>
      </w:r>
      <w:r w:rsidR="00EF5EFA" w:rsidRPr="00E221AD">
        <w:rPr>
          <w:sz w:val="20"/>
          <w:szCs w:val="20"/>
        </w:rPr>
        <w:t>; Cases C</w:t>
      </w:r>
      <w:r w:rsidR="00EF5EFA" w:rsidRPr="00E221AD">
        <w:rPr>
          <w:sz w:val="20"/>
          <w:szCs w:val="20"/>
        </w:rPr>
        <w:noBreakHyphen/>
        <w:t>357/19, C</w:t>
      </w:r>
      <w:r w:rsidR="00EF5EFA" w:rsidRPr="00E221AD">
        <w:rPr>
          <w:sz w:val="20"/>
          <w:szCs w:val="20"/>
        </w:rPr>
        <w:noBreakHyphen/>
        <w:t>379/19, C</w:t>
      </w:r>
      <w:r w:rsidR="00EF5EFA" w:rsidRPr="00E221AD">
        <w:rPr>
          <w:sz w:val="20"/>
          <w:szCs w:val="20"/>
        </w:rPr>
        <w:noBreakHyphen/>
        <w:t>547/19, C</w:t>
      </w:r>
      <w:r w:rsidR="00EF5EFA" w:rsidRPr="00E221AD">
        <w:rPr>
          <w:sz w:val="20"/>
          <w:szCs w:val="20"/>
        </w:rPr>
        <w:noBreakHyphen/>
        <w:t>811/19 and C</w:t>
      </w:r>
      <w:r w:rsidR="00EF5EFA" w:rsidRPr="00E221AD">
        <w:rPr>
          <w:sz w:val="20"/>
          <w:szCs w:val="20"/>
        </w:rPr>
        <w:noBreakHyphen/>
        <w:t xml:space="preserve">840/19, </w:t>
      </w:r>
      <w:r w:rsidR="00EF5EFA" w:rsidRPr="00E221AD">
        <w:rPr>
          <w:i/>
          <w:iCs/>
          <w:sz w:val="20"/>
          <w:szCs w:val="20"/>
        </w:rPr>
        <w:t>PM</w:t>
      </w:r>
      <w:r w:rsidR="00EF5EFA" w:rsidRPr="00E221AD">
        <w:rPr>
          <w:sz w:val="20"/>
          <w:szCs w:val="20"/>
        </w:rPr>
        <w:t>, EU:C:2021:1034</w:t>
      </w:r>
      <w:r w:rsidR="0032763E" w:rsidRPr="00E221AD">
        <w:rPr>
          <w:sz w:val="20"/>
          <w:szCs w:val="20"/>
        </w:rPr>
        <w:t xml:space="preserve">; Case C-430/21, </w:t>
      </w:r>
      <w:r w:rsidR="0032763E" w:rsidRPr="00E221AD">
        <w:rPr>
          <w:i/>
          <w:iCs/>
          <w:sz w:val="20"/>
          <w:szCs w:val="20"/>
        </w:rPr>
        <w:t>RS</w:t>
      </w:r>
      <w:r w:rsidR="0032763E" w:rsidRPr="00E221AD">
        <w:rPr>
          <w:sz w:val="20"/>
          <w:szCs w:val="20"/>
        </w:rPr>
        <w:t>, EU:C:2022:99</w:t>
      </w:r>
      <w:r w:rsidR="008B4A92" w:rsidRPr="00E221AD">
        <w:rPr>
          <w:sz w:val="20"/>
          <w:szCs w:val="20"/>
        </w:rPr>
        <w:t xml:space="preserve">; Case C-245/20, </w:t>
      </w:r>
      <w:r w:rsidR="008B4A92" w:rsidRPr="00E221AD">
        <w:rPr>
          <w:i/>
          <w:iCs/>
          <w:sz w:val="20"/>
          <w:szCs w:val="20"/>
        </w:rPr>
        <w:t>Autoriteit Persoonsgegevens</w:t>
      </w:r>
      <w:r w:rsidR="008B4A92" w:rsidRPr="00E221AD">
        <w:rPr>
          <w:sz w:val="20"/>
          <w:szCs w:val="20"/>
        </w:rPr>
        <w:t>, EU:C:2022:216</w:t>
      </w:r>
      <w:r w:rsidR="007E483D" w:rsidRPr="00E221AD">
        <w:rPr>
          <w:sz w:val="20"/>
          <w:szCs w:val="20"/>
        </w:rPr>
        <w:t>.</w:t>
      </w:r>
      <w:r w:rsidR="00B45051" w:rsidRPr="00E221AD">
        <w:rPr>
          <w:sz w:val="20"/>
          <w:szCs w:val="20"/>
        </w:rPr>
        <w:t xml:space="preserve">  </w:t>
      </w:r>
      <w:r w:rsidR="00EF5EFA" w:rsidRPr="00E221AD">
        <w:rPr>
          <w:sz w:val="20"/>
          <w:szCs w:val="20"/>
        </w:rPr>
        <w:t xml:space="preserve">As well as </w:t>
      </w:r>
      <w:r w:rsidR="00DB48B5" w:rsidRPr="00E221AD">
        <w:rPr>
          <w:sz w:val="20"/>
          <w:szCs w:val="20"/>
        </w:rPr>
        <w:t xml:space="preserve">rulings concerning the implications for mutual trust / mutual recognition, e.g. </w:t>
      </w:r>
      <w:r w:rsidR="004A22C2" w:rsidRPr="00E221AD">
        <w:rPr>
          <w:sz w:val="20"/>
          <w:szCs w:val="20"/>
        </w:rPr>
        <w:t xml:space="preserve">Case C-216/18 PPU, </w:t>
      </w:r>
      <w:r w:rsidR="004A22C2" w:rsidRPr="00E221AD">
        <w:rPr>
          <w:i/>
          <w:iCs/>
          <w:sz w:val="20"/>
          <w:szCs w:val="20"/>
        </w:rPr>
        <w:t>LM</w:t>
      </w:r>
      <w:r w:rsidR="004A22C2" w:rsidRPr="00E221AD">
        <w:rPr>
          <w:sz w:val="20"/>
          <w:szCs w:val="20"/>
        </w:rPr>
        <w:t xml:space="preserve">, EU:C:2018:586; </w:t>
      </w:r>
      <w:r w:rsidR="00E039BC" w:rsidRPr="00E221AD">
        <w:rPr>
          <w:sz w:val="20"/>
          <w:szCs w:val="20"/>
        </w:rPr>
        <w:t>Cases C</w:t>
      </w:r>
      <w:r w:rsidR="00E039BC" w:rsidRPr="00E221AD">
        <w:rPr>
          <w:sz w:val="20"/>
          <w:szCs w:val="20"/>
        </w:rPr>
        <w:noBreakHyphen/>
        <w:t>354/20 PPU &amp; C</w:t>
      </w:r>
      <w:r w:rsidR="00E039BC" w:rsidRPr="00E221AD">
        <w:rPr>
          <w:sz w:val="20"/>
          <w:szCs w:val="20"/>
        </w:rPr>
        <w:noBreakHyphen/>
        <w:t xml:space="preserve">412/20 PPU, </w:t>
      </w:r>
      <w:r w:rsidR="00E039BC" w:rsidRPr="00E221AD">
        <w:rPr>
          <w:i/>
          <w:iCs/>
          <w:sz w:val="20"/>
          <w:szCs w:val="20"/>
        </w:rPr>
        <w:t>L</w:t>
      </w:r>
      <w:r w:rsidR="00E039BC" w:rsidRPr="00E221AD">
        <w:rPr>
          <w:sz w:val="20"/>
          <w:szCs w:val="20"/>
        </w:rPr>
        <w:t xml:space="preserve"> </w:t>
      </w:r>
      <w:r w:rsidR="00E039BC" w:rsidRPr="00E221AD">
        <w:rPr>
          <w:i/>
          <w:iCs/>
          <w:sz w:val="20"/>
          <w:szCs w:val="20"/>
        </w:rPr>
        <w:t>and</w:t>
      </w:r>
      <w:r w:rsidR="00E039BC" w:rsidRPr="00E221AD">
        <w:rPr>
          <w:sz w:val="20"/>
          <w:szCs w:val="20"/>
        </w:rPr>
        <w:t xml:space="preserve"> </w:t>
      </w:r>
      <w:r w:rsidR="00E039BC" w:rsidRPr="00E221AD">
        <w:rPr>
          <w:i/>
          <w:iCs/>
          <w:sz w:val="20"/>
          <w:szCs w:val="20"/>
        </w:rPr>
        <w:t>P</w:t>
      </w:r>
      <w:r w:rsidR="00E039BC" w:rsidRPr="00E221AD">
        <w:rPr>
          <w:sz w:val="20"/>
          <w:szCs w:val="20"/>
        </w:rPr>
        <w:t xml:space="preserve">, EU:C:2020:1033; </w:t>
      </w:r>
      <w:r w:rsidR="00DB48B5" w:rsidRPr="00E221AD">
        <w:rPr>
          <w:sz w:val="20"/>
          <w:szCs w:val="20"/>
        </w:rPr>
        <w:t xml:space="preserve">Cases C-562-563/21 PPU, </w:t>
      </w:r>
      <w:r w:rsidR="00DB48B5" w:rsidRPr="00E221AD">
        <w:rPr>
          <w:i/>
          <w:iCs/>
          <w:sz w:val="20"/>
          <w:szCs w:val="20"/>
        </w:rPr>
        <w:t>X and Y</w:t>
      </w:r>
      <w:r w:rsidR="00DB48B5" w:rsidRPr="00E221AD">
        <w:rPr>
          <w:sz w:val="20"/>
          <w:szCs w:val="20"/>
        </w:rPr>
        <w:t>, EU:C:2022:100</w:t>
      </w:r>
      <w:r w:rsidR="004A22C2" w:rsidRPr="00E221AD">
        <w:rPr>
          <w:sz w:val="20"/>
          <w:szCs w:val="20"/>
        </w:rPr>
        <w:t xml:space="preserve">; Case T-791/19, </w:t>
      </w:r>
      <w:r w:rsidR="004A22C2" w:rsidRPr="00E221AD">
        <w:rPr>
          <w:i/>
          <w:iCs/>
          <w:sz w:val="20"/>
          <w:szCs w:val="20"/>
        </w:rPr>
        <w:t xml:space="preserve">Sped-Pro </w:t>
      </w:r>
      <w:r w:rsidR="00EF69D7" w:rsidRPr="00E221AD">
        <w:rPr>
          <w:sz w:val="20"/>
          <w:szCs w:val="20"/>
        </w:rPr>
        <w:t>v.</w:t>
      </w:r>
      <w:r w:rsidR="004A22C2" w:rsidRPr="00E221AD">
        <w:rPr>
          <w:i/>
          <w:iCs/>
          <w:sz w:val="20"/>
          <w:szCs w:val="20"/>
        </w:rPr>
        <w:t xml:space="preserve"> Commission</w:t>
      </w:r>
      <w:r w:rsidR="004A22C2" w:rsidRPr="00E221AD">
        <w:rPr>
          <w:sz w:val="20"/>
          <w:szCs w:val="20"/>
        </w:rPr>
        <w:t>, EU:T:2022:67</w:t>
      </w:r>
      <w:r w:rsidR="00DB48B5" w:rsidRPr="00E221AD">
        <w:rPr>
          <w:sz w:val="20"/>
          <w:szCs w:val="20"/>
        </w:rPr>
        <w:t xml:space="preserve">.  </w:t>
      </w:r>
      <w:r w:rsidR="00B45051" w:rsidRPr="00E221AD">
        <w:rPr>
          <w:sz w:val="20"/>
          <w:szCs w:val="20"/>
        </w:rPr>
        <w:t xml:space="preserve">For </w:t>
      </w:r>
      <w:r w:rsidR="007A58EA" w:rsidRPr="00E221AD">
        <w:rPr>
          <w:sz w:val="20"/>
          <w:szCs w:val="20"/>
        </w:rPr>
        <w:t xml:space="preserve">selected </w:t>
      </w:r>
      <w:r w:rsidR="00B45051" w:rsidRPr="00E221AD">
        <w:rPr>
          <w:sz w:val="20"/>
          <w:szCs w:val="20"/>
        </w:rPr>
        <w:t xml:space="preserve">commentary and analysis, </w:t>
      </w:r>
      <w:r w:rsidR="007A58EA" w:rsidRPr="00E221AD">
        <w:rPr>
          <w:sz w:val="20"/>
          <w:szCs w:val="20"/>
        </w:rPr>
        <w:t xml:space="preserve">from a vast literature, </w:t>
      </w:r>
      <w:r w:rsidR="00B45051" w:rsidRPr="00E221AD">
        <w:rPr>
          <w:sz w:val="20"/>
          <w:szCs w:val="20"/>
        </w:rPr>
        <w:t xml:space="preserve">see further, e.g. </w:t>
      </w:r>
      <w:r w:rsidR="003468C8" w:rsidRPr="00E221AD">
        <w:rPr>
          <w:sz w:val="20"/>
          <w:szCs w:val="20"/>
        </w:rPr>
        <w:t xml:space="preserve">Pech and Platon, “Judicial independence under threat: The Court of Justice to the rescue in the </w:t>
      </w:r>
      <w:r w:rsidR="003468C8" w:rsidRPr="00E221AD">
        <w:rPr>
          <w:i/>
          <w:iCs/>
          <w:sz w:val="20"/>
          <w:szCs w:val="20"/>
        </w:rPr>
        <w:t>ASJP</w:t>
      </w:r>
      <w:r w:rsidR="003468C8" w:rsidRPr="00E221AD">
        <w:rPr>
          <w:sz w:val="20"/>
          <w:szCs w:val="20"/>
        </w:rPr>
        <w:t xml:space="preserve"> case”</w:t>
      </w:r>
      <w:r w:rsidR="00016949">
        <w:rPr>
          <w:sz w:val="20"/>
          <w:szCs w:val="20"/>
        </w:rPr>
        <w:t>,</w:t>
      </w:r>
      <w:r w:rsidR="003468C8" w:rsidRPr="00E221AD">
        <w:rPr>
          <w:sz w:val="20"/>
          <w:szCs w:val="20"/>
        </w:rPr>
        <w:t xml:space="preserve"> </w:t>
      </w:r>
      <w:r w:rsidR="00E84271" w:rsidRPr="00E221AD">
        <w:rPr>
          <w:sz w:val="20"/>
          <w:szCs w:val="20"/>
        </w:rPr>
        <w:t>55 CML</w:t>
      </w:r>
      <w:r w:rsidR="00016949">
        <w:rPr>
          <w:sz w:val="20"/>
          <w:szCs w:val="20"/>
        </w:rPr>
        <w:t xml:space="preserve"> </w:t>
      </w:r>
      <w:r w:rsidR="00E84271" w:rsidRPr="00E221AD">
        <w:rPr>
          <w:sz w:val="20"/>
          <w:szCs w:val="20"/>
        </w:rPr>
        <w:t>Rev</w:t>
      </w:r>
      <w:r w:rsidR="00016949">
        <w:rPr>
          <w:sz w:val="20"/>
          <w:szCs w:val="20"/>
        </w:rPr>
        <w:t xml:space="preserve">. </w:t>
      </w:r>
      <w:r w:rsidR="00016949" w:rsidRPr="00E221AD">
        <w:rPr>
          <w:sz w:val="20"/>
          <w:szCs w:val="20"/>
        </w:rPr>
        <w:t>(2018)</w:t>
      </w:r>
      <w:r w:rsidR="00016949">
        <w:rPr>
          <w:sz w:val="20"/>
          <w:szCs w:val="20"/>
        </w:rPr>
        <w:t>,</w:t>
      </w:r>
      <w:r w:rsidR="00E84271" w:rsidRPr="00E221AD">
        <w:rPr>
          <w:sz w:val="20"/>
          <w:szCs w:val="20"/>
        </w:rPr>
        <w:t xml:space="preserve"> 1827</w:t>
      </w:r>
      <w:r w:rsidR="003468C8" w:rsidRPr="00E221AD">
        <w:rPr>
          <w:sz w:val="20"/>
          <w:szCs w:val="20"/>
        </w:rPr>
        <w:t xml:space="preserve">; </w:t>
      </w:r>
      <w:r w:rsidR="00E84271" w:rsidRPr="00E221AD">
        <w:rPr>
          <w:sz w:val="20"/>
          <w:szCs w:val="20"/>
        </w:rPr>
        <w:t xml:space="preserve">Konstadinides, “Judicial independence and the Rule of Law in the context of non-execution of a European Arrest Warrant: </w:t>
      </w:r>
      <w:r w:rsidR="00E84271" w:rsidRPr="00E221AD">
        <w:rPr>
          <w:i/>
          <w:iCs/>
          <w:sz w:val="20"/>
          <w:szCs w:val="20"/>
        </w:rPr>
        <w:t>LM</w:t>
      </w:r>
      <w:r w:rsidR="00E84271" w:rsidRPr="00E221AD">
        <w:rPr>
          <w:sz w:val="20"/>
          <w:szCs w:val="20"/>
        </w:rPr>
        <w:t>”</w:t>
      </w:r>
      <w:r w:rsidR="00016949">
        <w:rPr>
          <w:sz w:val="20"/>
          <w:szCs w:val="20"/>
        </w:rPr>
        <w:t>,</w:t>
      </w:r>
      <w:r w:rsidR="00E84271" w:rsidRPr="00E221AD">
        <w:rPr>
          <w:sz w:val="20"/>
          <w:szCs w:val="20"/>
        </w:rPr>
        <w:t xml:space="preserve"> 56 CML</w:t>
      </w:r>
      <w:r w:rsidR="00016949">
        <w:rPr>
          <w:sz w:val="20"/>
          <w:szCs w:val="20"/>
        </w:rPr>
        <w:t xml:space="preserve"> </w:t>
      </w:r>
      <w:r w:rsidR="00E84271" w:rsidRPr="00E221AD">
        <w:rPr>
          <w:sz w:val="20"/>
          <w:szCs w:val="20"/>
        </w:rPr>
        <w:t>Rev</w:t>
      </w:r>
      <w:r w:rsidR="00016949">
        <w:rPr>
          <w:sz w:val="20"/>
          <w:szCs w:val="20"/>
        </w:rPr>
        <w:t xml:space="preserve">. </w:t>
      </w:r>
      <w:r w:rsidR="00016949" w:rsidRPr="00E221AD">
        <w:rPr>
          <w:sz w:val="20"/>
          <w:szCs w:val="20"/>
        </w:rPr>
        <w:t>(2019)</w:t>
      </w:r>
      <w:r w:rsidR="00016949">
        <w:rPr>
          <w:sz w:val="20"/>
          <w:szCs w:val="20"/>
        </w:rPr>
        <w:t>,</w:t>
      </w:r>
      <w:r w:rsidR="00E84271" w:rsidRPr="00E221AD">
        <w:rPr>
          <w:sz w:val="20"/>
          <w:szCs w:val="20"/>
        </w:rPr>
        <w:t xml:space="preserve"> 743; </w:t>
      </w:r>
      <w:r w:rsidR="007A58EA" w:rsidRPr="00E221AD">
        <w:rPr>
          <w:sz w:val="20"/>
          <w:szCs w:val="20"/>
        </w:rPr>
        <w:t xml:space="preserve">Zinonos, “Judicial Independence and National Judges in the Recent Case Law of the Court of Justice” (2019) 25 </w:t>
      </w:r>
      <w:r w:rsidR="007A58EA" w:rsidRPr="00E221AD">
        <w:rPr>
          <w:i/>
          <w:iCs/>
          <w:sz w:val="20"/>
          <w:szCs w:val="20"/>
        </w:rPr>
        <w:t>European Public Law</w:t>
      </w:r>
      <w:r w:rsidR="007A58EA" w:rsidRPr="00E221AD">
        <w:rPr>
          <w:sz w:val="20"/>
          <w:szCs w:val="20"/>
        </w:rPr>
        <w:t xml:space="preserve"> 615; </w:t>
      </w:r>
      <w:r w:rsidR="00B45051" w:rsidRPr="00E221AD">
        <w:rPr>
          <w:sz w:val="20"/>
          <w:szCs w:val="20"/>
        </w:rPr>
        <w:t xml:space="preserve">Krajewski and Ziółkowski, </w:t>
      </w:r>
      <w:r w:rsidR="005E40D8" w:rsidRPr="00E221AD">
        <w:rPr>
          <w:sz w:val="20"/>
          <w:szCs w:val="20"/>
        </w:rPr>
        <w:t xml:space="preserve">“EU judicial independence decentralised: </w:t>
      </w:r>
      <w:r w:rsidR="005E40D8" w:rsidRPr="00E221AD">
        <w:rPr>
          <w:i/>
          <w:iCs/>
          <w:sz w:val="20"/>
          <w:szCs w:val="20"/>
        </w:rPr>
        <w:t>A.K.</w:t>
      </w:r>
      <w:r w:rsidR="005E40D8" w:rsidRPr="00E221AD">
        <w:rPr>
          <w:sz w:val="20"/>
          <w:szCs w:val="20"/>
        </w:rPr>
        <w:t>”</w:t>
      </w:r>
      <w:r w:rsidR="00016949">
        <w:rPr>
          <w:sz w:val="20"/>
          <w:szCs w:val="20"/>
        </w:rPr>
        <w:t>,</w:t>
      </w:r>
      <w:r w:rsidR="005E40D8" w:rsidRPr="00E221AD">
        <w:rPr>
          <w:sz w:val="20"/>
          <w:szCs w:val="20"/>
        </w:rPr>
        <w:t xml:space="preserve"> 57 CML</w:t>
      </w:r>
      <w:r w:rsidR="00016949">
        <w:rPr>
          <w:sz w:val="20"/>
          <w:szCs w:val="20"/>
        </w:rPr>
        <w:t xml:space="preserve"> </w:t>
      </w:r>
      <w:r w:rsidR="005E40D8" w:rsidRPr="00E221AD">
        <w:rPr>
          <w:sz w:val="20"/>
          <w:szCs w:val="20"/>
        </w:rPr>
        <w:t>Rev</w:t>
      </w:r>
      <w:r w:rsidR="00016949">
        <w:rPr>
          <w:sz w:val="20"/>
          <w:szCs w:val="20"/>
        </w:rPr>
        <w:t xml:space="preserve">. </w:t>
      </w:r>
      <w:r w:rsidR="00016949" w:rsidRPr="00E221AD">
        <w:rPr>
          <w:sz w:val="20"/>
          <w:szCs w:val="20"/>
        </w:rPr>
        <w:t>(2020)</w:t>
      </w:r>
      <w:r w:rsidR="00016949">
        <w:rPr>
          <w:sz w:val="20"/>
          <w:szCs w:val="20"/>
        </w:rPr>
        <w:t>,</w:t>
      </w:r>
      <w:r w:rsidR="005E40D8" w:rsidRPr="00E221AD">
        <w:rPr>
          <w:sz w:val="20"/>
          <w:szCs w:val="20"/>
        </w:rPr>
        <w:t xml:space="preserve"> 1107; Bárd and Śledzińska</w:t>
      </w:r>
      <w:r w:rsidR="005E40D8" w:rsidRPr="00E221AD">
        <w:rPr>
          <w:sz w:val="20"/>
          <w:szCs w:val="20"/>
          <w:shd w:val="clear" w:color="auto" w:fill="FFFFFF"/>
        </w:rPr>
        <w:t>-</w:t>
      </w:r>
      <w:r w:rsidR="005E40D8" w:rsidRPr="00E221AD">
        <w:rPr>
          <w:sz w:val="20"/>
          <w:szCs w:val="20"/>
        </w:rPr>
        <w:t>Simon, “On the principle of irremovability of judges beyond age discrimination</w:t>
      </w:r>
      <w:r w:rsidR="004A22C2" w:rsidRPr="00E221AD">
        <w:rPr>
          <w:sz w:val="20"/>
          <w:szCs w:val="20"/>
        </w:rPr>
        <w:t xml:space="preserve">: </w:t>
      </w:r>
      <w:r w:rsidR="004A22C2" w:rsidRPr="00E221AD">
        <w:rPr>
          <w:i/>
          <w:iCs/>
          <w:sz w:val="20"/>
          <w:szCs w:val="20"/>
        </w:rPr>
        <w:t xml:space="preserve">Commission </w:t>
      </w:r>
      <w:r w:rsidR="00EF69D7" w:rsidRPr="00E221AD">
        <w:rPr>
          <w:sz w:val="20"/>
          <w:szCs w:val="20"/>
        </w:rPr>
        <w:t>v.</w:t>
      </w:r>
      <w:r w:rsidR="004A22C2" w:rsidRPr="00E221AD">
        <w:rPr>
          <w:i/>
          <w:iCs/>
          <w:sz w:val="20"/>
          <w:szCs w:val="20"/>
        </w:rPr>
        <w:t xml:space="preserve"> Poland</w:t>
      </w:r>
      <w:r w:rsidR="005E40D8" w:rsidRPr="00E221AD">
        <w:rPr>
          <w:sz w:val="20"/>
          <w:szCs w:val="20"/>
        </w:rPr>
        <w:t>”</w:t>
      </w:r>
      <w:r w:rsidR="00016949">
        <w:rPr>
          <w:sz w:val="20"/>
          <w:szCs w:val="20"/>
        </w:rPr>
        <w:t>,</w:t>
      </w:r>
      <w:r w:rsidR="005E40D8" w:rsidRPr="00E221AD">
        <w:rPr>
          <w:sz w:val="20"/>
          <w:szCs w:val="20"/>
        </w:rPr>
        <w:t xml:space="preserve"> 57 CML</w:t>
      </w:r>
      <w:r w:rsidR="00016949">
        <w:rPr>
          <w:sz w:val="20"/>
          <w:szCs w:val="20"/>
        </w:rPr>
        <w:t xml:space="preserve"> </w:t>
      </w:r>
      <w:r w:rsidR="005E40D8" w:rsidRPr="00E221AD">
        <w:rPr>
          <w:sz w:val="20"/>
          <w:szCs w:val="20"/>
        </w:rPr>
        <w:t>Rev</w:t>
      </w:r>
      <w:r w:rsidR="00016949">
        <w:rPr>
          <w:sz w:val="20"/>
          <w:szCs w:val="20"/>
        </w:rPr>
        <w:t xml:space="preserve">. </w:t>
      </w:r>
      <w:r w:rsidR="00016949" w:rsidRPr="00E221AD">
        <w:rPr>
          <w:sz w:val="20"/>
          <w:szCs w:val="20"/>
        </w:rPr>
        <w:t>(2020)</w:t>
      </w:r>
      <w:r w:rsidR="00016949">
        <w:rPr>
          <w:sz w:val="20"/>
          <w:szCs w:val="20"/>
        </w:rPr>
        <w:t>,</w:t>
      </w:r>
      <w:r w:rsidR="005E40D8" w:rsidRPr="00E221AD">
        <w:rPr>
          <w:sz w:val="20"/>
          <w:szCs w:val="20"/>
        </w:rPr>
        <w:t xml:space="preserve"> 1555</w:t>
      </w:r>
      <w:r w:rsidR="007A58EA" w:rsidRPr="00E221AD">
        <w:rPr>
          <w:sz w:val="20"/>
          <w:szCs w:val="20"/>
        </w:rPr>
        <w:t>.</w:t>
      </w:r>
    </w:p>
  </w:footnote>
  <w:footnote w:id="56">
    <w:p w14:paraId="1EED6D7B" w14:textId="17E6738A" w:rsidR="004835EE" w:rsidRPr="00AA392E" w:rsidRDefault="004835EE"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See, e.g. </w:t>
      </w:r>
      <w:r w:rsidR="00CE3CE8" w:rsidRPr="00AA392E">
        <w:rPr>
          <w:color w:val="000000" w:themeColor="text1"/>
          <w:sz w:val="20"/>
          <w:szCs w:val="20"/>
        </w:rPr>
        <w:t>Cases C</w:t>
      </w:r>
      <w:r w:rsidR="00CE3CE8" w:rsidRPr="00AA392E">
        <w:rPr>
          <w:color w:val="000000" w:themeColor="text1"/>
          <w:sz w:val="20"/>
          <w:szCs w:val="20"/>
        </w:rPr>
        <w:noBreakHyphen/>
        <w:t>585/18 &amp; C</w:t>
      </w:r>
      <w:r w:rsidR="00CE3CE8" w:rsidRPr="00AA392E">
        <w:rPr>
          <w:color w:val="000000" w:themeColor="text1"/>
          <w:sz w:val="20"/>
          <w:szCs w:val="20"/>
        </w:rPr>
        <w:noBreakHyphen/>
        <w:t xml:space="preserve">624-625/18, </w:t>
      </w:r>
      <w:r w:rsidR="00CE3CE8" w:rsidRPr="00AA392E">
        <w:rPr>
          <w:i/>
          <w:iCs/>
          <w:color w:val="000000" w:themeColor="text1"/>
          <w:sz w:val="20"/>
          <w:szCs w:val="20"/>
        </w:rPr>
        <w:t>A.K.</w:t>
      </w:r>
      <w:r w:rsidR="00CE3CE8" w:rsidRPr="00AA392E">
        <w:rPr>
          <w:color w:val="000000" w:themeColor="text1"/>
          <w:sz w:val="20"/>
          <w:szCs w:val="20"/>
        </w:rPr>
        <w:t xml:space="preserve">, EU:C:2019:982; </w:t>
      </w:r>
      <w:r w:rsidRPr="00AA392E">
        <w:rPr>
          <w:color w:val="000000" w:themeColor="text1"/>
          <w:sz w:val="20"/>
          <w:szCs w:val="20"/>
        </w:rPr>
        <w:t xml:space="preserve">Case C-824/18, </w:t>
      </w:r>
      <w:r w:rsidRPr="00AA392E">
        <w:rPr>
          <w:i/>
          <w:iCs/>
          <w:color w:val="000000" w:themeColor="text1"/>
          <w:sz w:val="20"/>
          <w:szCs w:val="20"/>
        </w:rPr>
        <w:t>A.B.</w:t>
      </w:r>
      <w:r w:rsidRPr="00AA392E">
        <w:rPr>
          <w:color w:val="000000" w:themeColor="text1"/>
          <w:sz w:val="20"/>
          <w:szCs w:val="20"/>
        </w:rPr>
        <w:t>, EU:C:2021:153</w:t>
      </w:r>
      <w:r w:rsidR="00981BA3" w:rsidRPr="00AA392E">
        <w:rPr>
          <w:color w:val="000000" w:themeColor="text1"/>
          <w:sz w:val="20"/>
          <w:szCs w:val="20"/>
        </w:rPr>
        <w:t xml:space="preserve">; Case C-508/19, </w:t>
      </w:r>
      <w:r w:rsidR="00981BA3" w:rsidRPr="00AA392E">
        <w:rPr>
          <w:i/>
          <w:iCs/>
          <w:color w:val="000000" w:themeColor="text1"/>
          <w:sz w:val="20"/>
          <w:szCs w:val="20"/>
        </w:rPr>
        <w:t>MF</w:t>
      </w:r>
      <w:r w:rsidR="00981BA3" w:rsidRPr="00AA392E">
        <w:rPr>
          <w:color w:val="000000" w:themeColor="text1"/>
          <w:sz w:val="20"/>
          <w:szCs w:val="20"/>
        </w:rPr>
        <w:t>, EU:C:2022:201</w:t>
      </w:r>
      <w:r w:rsidRPr="00AA392E">
        <w:rPr>
          <w:color w:val="000000" w:themeColor="text1"/>
          <w:sz w:val="20"/>
          <w:szCs w:val="20"/>
        </w:rPr>
        <w:t>.</w:t>
      </w:r>
      <w:r w:rsidR="007E483D" w:rsidRPr="00AA392E">
        <w:rPr>
          <w:color w:val="000000" w:themeColor="text1"/>
          <w:sz w:val="20"/>
          <w:szCs w:val="20"/>
        </w:rPr>
        <w:t xml:space="preserve">  See also, e.g. Cases C</w:t>
      </w:r>
      <w:r w:rsidR="007E483D" w:rsidRPr="00AA392E">
        <w:rPr>
          <w:color w:val="000000" w:themeColor="text1"/>
          <w:sz w:val="20"/>
          <w:szCs w:val="20"/>
        </w:rPr>
        <w:noBreakHyphen/>
        <w:t>83/19, C</w:t>
      </w:r>
      <w:r w:rsidR="007E483D" w:rsidRPr="00AA392E">
        <w:rPr>
          <w:color w:val="000000" w:themeColor="text1"/>
          <w:sz w:val="20"/>
          <w:szCs w:val="20"/>
        </w:rPr>
        <w:noBreakHyphen/>
        <w:t>127/19, C</w:t>
      </w:r>
      <w:r w:rsidR="007E483D" w:rsidRPr="00AA392E">
        <w:rPr>
          <w:color w:val="000000" w:themeColor="text1"/>
          <w:sz w:val="20"/>
          <w:szCs w:val="20"/>
        </w:rPr>
        <w:noBreakHyphen/>
        <w:t>195/19, C</w:t>
      </w:r>
      <w:r w:rsidR="007E483D" w:rsidRPr="00AA392E">
        <w:rPr>
          <w:color w:val="000000" w:themeColor="text1"/>
          <w:sz w:val="20"/>
          <w:szCs w:val="20"/>
        </w:rPr>
        <w:noBreakHyphen/>
        <w:t>291/19, C</w:t>
      </w:r>
      <w:r w:rsidR="007E483D" w:rsidRPr="00AA392E">
        <w:rPr>
          <w:color w:val="000000" w:themeColor="text1"/>
          <w:sz w:val="20"/>
          <w:szCs w:val="20"/>
        </w:rPr>
        <w:noBreakHyphen/>
        <w:t>355/19 and C</w:t>
      </w:r>
      <w:r w:rsidR="007E483D" w:rsidRPr="00AA392E">
        <w:rPr>
          <w:color w:val="000000" w:themeColor="text1"/>
          <w:sz w:val="20"/>
          <w:szCs w:val="20"/>
        </w:rPr>
        <w:noBreakHyphen/>
        <w:t xml:space="preserve">397/19, </w:t>
      </w:r>
      <w:r w:rsidR="007E483D" w:rsidRPr="00AA392E">
        <w:rPr>
          <w:i/>
          <w:iCs/>
          <w:color w:val="000000" w:themeColor="text1"/>
          <w:sz w:val="20"/>
          <w:szCs w:val="20"/>
        </w:rPr>
        <w:t>Asociaţia</w:t>
      </w:r>
      <w:r w:rsidR="007E483D" w:rsidRPr="00AA392E">
        <w:rPr>
          <w:rStyle w:val="apple-converted-space"/>
          <w:i/>
          <w:iCs/>
          <w:color w:val="000000" w:themeColor="text1"/>
          <w:sz w:val="20"/>
          <w:szCs w:val="20"/>
        </w:rPr>
        <w:t> </w:t>
      </w:r>
      <w:r w:rsidR="007E483D" w:rsidRPr="00AA392E">
        <w:rPr>
          <w:i/>
          <w:iCs/>
          <w:color w:val="000000" w:themeColor="text1"/>
          <w:sz w:val="20"/>
          <w:szCs w:val="20"/>
        </w:rPr>
        <w:t>‘Forumul Judecătorilor din România’</w:t>
      </w:r>
      <w:r w:rsidR="007E483D" w:rsidRPr="00AA392E">
        <w:rPr>
          <w:color w:val="000000" w:themeColor="text1"/>
          <w:sz w:val="20"/>
          <w:szCs w:val="20"/>
        </w:rPr>
        <w:t>, EU:C:2021:393</w:t>
      </w:r>
      <w:r w:rsidR="00033B88" w:rsidRPr="00AA392E">
        <w:rPr>
          <w:color w:val="000000" w:themeColor="text1"/>
          <w:sz w:val="20"/>
          <w:szCs w:val="20"/>
        </w:rPr>
        <w:t>; Cases C</w:t>
      </w:r>
      <w:r w:rsidR="00033B88" w:rsidRPr="00AA392E">
        <w:rPr>
          <w:color w:val="000000" w:themeColor="text1"/>
          <w:sz w:val="20"/>
          <w:szCs w:val="20"/>
        </w:rPr>
        <w:noBreakHyphen/>
        <w:t>357/19, C</w:t>
      </w:r>
      <w:r w:rsidR="00033B88" w:rsidRPr="00AA392E">
        <w:rPr>
          <w:color w:val="000000" w:themeColor="text1"/>
          <w:sz w:val="20"/>
          <w:szCs w:val="20"/>
        </w:rPr>
        <w:noBreakHyphen/>
        <w:t>379/19, C</w:t>
      </w:r>
      <w:r w:rsidR="00033B88" w:rsidRPr="00AA392E">
        <w:rPr>
          <w:color w:val="000000" w:themeColor="text1"/>
          <w:sz w:val="20"/>
          <w:szCs w:val="20"/>
        </w:rPr>
        <w:noBreakHyphen/>
        <w:t>547/19, C</w:t>
      </w:r>
      <w:r w:rsidR="00033B88" w:rsidRPr="00AA392E">
        <w:rPr>
          <w:color w:val="000000" w:themeColor="text1"/>
          <w:sz w:val="20"/>
          <w:szCs w:val="20"/>
        </w:rPr>
        <w:noBreakHyphen/>
        <w:t>811/19 and C</w:t>
      </w:r>
      <w:r w:rsidR="00033B88" w:rsidRPr="00AA392E">
        <w:rPr>
          <w:color w:val="000000" w:themeColor="text1"/>
          <w:sz w:val="20"/>
          <w:szCs w:val="20"/>
        </w:rPr>
        <w:noBreakHyphen/>
        <w:t xml:space="preserve">840/19, </w:t>
      </w:r>
      <w:r w:rsidR="00033B88" w:rsidRPr="00AA392E">
        <w:rPr>
          <w:i/>
          <w:iCs/>
          <w:color w:val="000000" w:themeColor="text1"/>
          <w:sz w:val="20"/>
          <w:szCs w:val="20"/>
        </w:rPr>
        <w:t>PM</w:t>
      </w:r>
      <w:r w:rsidR="00033B88" w:rsidRPr="00AA392E">
        <w:rPr>
          <w:color w:val="000000" w:themeColor="text1"/>
          <w:sz w:val="20"/>
          <w:szCs w:val="20"/>
        </w:rPr>
        <w:t>, EU:C:2021:1034</w:t>
      </w:r>
      <w:r w:rsidR="00D4161E" w:rsidRPr="00AA392E">
        <w:rPr>
          <w:color w:val="000000" w:themeColor="text1"/>
          <w:sz w:val="20"/>
          <w:szCs w:val="20"/>
        </w:rPr>
        <w:t xml:space="preserve">; Case C-156/21, </w:t>
      </w:r>
      <w:r w:rsidR="00D4161E" w:rsidRPr="00AA392E">
        <w:rPr>
          <w:i/>
          <w:iCs/>
          <w:color w:val="000000" w:themeColor="text1"/>
          <w:sz w:val="20"/>
          <w:szCs w:val="20"/>
        </w:rPr>
        <w:t xml:space="preserve">Hungary </w:t>
      </w:r>
      <w:r w:rsidR="00EF69D7" w:rsidRPr="00E221AD">
        <w:rPr>
          <w:color w:val="000000" w:themeColor="text1"/>
          <w:sz w:val="20"/>
          <w:szCs w:val="20"/>
        </w:rPr>
        <w:t>v.</w:t>
      </w:r>
      <w:r w:rsidR="00D4161E" w:rsidRPr="00AA392E">
        <w:rPr>
          <w:i/>
          <w:iCs/>
          <w:color w:val="000000" w:themeColor="text1"/>
          <w:sz w:val="20"/>
          <w:szCs w:val="20"/>
        </w:rPr>
        <w:t xml:space="preserve"> European Parliament and Council</w:t>
      </w:r>
      <w:r w:rsidR="00D4161E" w:rsidRPr="00AA392E">
        <w:rPr>
          <w:color w:val="000000" w:themeColor="text1"/>
          <w:sz w:val="20"/>
          <w:szCs w:val="20"/>
        </w:rPr>
        <w:t>, EU:C:2022:97</w:t>
      </w:r>
      <w:r w:rsidR="00B07780" w:rsidRPr="00AA392E">
        <w:rPr>
          <w:color w:val="000000" w:themeColor="text1"/>
          <w:sz w:val="20"/>
          <w:szCs w:val="20"/>
        </w:rPr>
        <w:t xml:space="preserve">; Case C-157/21, </w:t>
      </w:r>
      <w:r w:rsidR="00B07780" w:rsidRPr="00AA392E">
        <w:rPr>
          <w:i/>
          <w:iCs/>
          <w:color w:val="000000" w:themeColor="text1"/>
          <w:sz w:val="20"/>
          <w:szCs w:val="20"/>
        </w:rPr>
        <w:t xml:space="preserve">Poland </w:t>
      </w:r>
      <w:r w:rsidR="00EF69D7" w:rsidRPr="00E221AD">
        <w:rPr>
          <w:color w:val="000000" w:themeColor="text1"/>
          <w:sz w:val="20"/>
          <w:szCs w:val="20"/>
        </w:rPr>
        <w:t>v.</w:t>
      </w:r>
      <w:r w:rsidR="00B07780" w:rsidRPr="00AA392E">
        <w:rPr>
          <w:i/>
          <w:iCs/>
          <w:color w:val="000000" w:themeColor="text1"/>
          <w:sz w:val="20"/>
          <w:szCs w:val="20"/>
        </w:rPr>
        <w:t xml:space="preserve"> European Parliament and Council</w:t>
      </w:r>
      <w:r w:rsidR="00B07780" w:rsidRPr="00AA392E">
        <w:rPr>
          <w:color w:val="000000" w:themeColor="text1"/>
          <w:sz w:val="20"/>
          <w:szCs w:val="20"/>
        </w:rPr>
        <w:t>, EU:C:2022:98</w:t>
      </w:r>
      <w:r w:rsidR="007E483D" w:rsidRPr="00AA392E">
        <w:rPr>
          <w:color w:val="000000" w:themeColor="text1"/>
          <w:sz w:val="20"/>
          <w:szCs w:val="20"/>
        </w:rPr>
        <w:t>.</w:t>
      </w:r>
    </w:p>
  </w:footnote>
  <w:footnote w:id="57">
    <w:p w14:paraId="5054491C" w14:textId="46047AC7" w:rsidR="009C2F90" w:rsidRPr="00AA392E" w:rsidRDefault="009C2F90"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In that regard, going further than the advice of AG Tanchev, who suggested it would be sufficient to set aside or ignore the disputed order: see Case C-487/19, </w:t>
      </w:r>
      <w:r w:rsidRPr="00AA392E">
        <w:rPr>
          <w:i/>
          <w:iCs/>
          <w:color w:val="000000" w:themeColor="text1"/>
        </w:rPr>
        <w:t xml:space="preserve">W.Ż., </w:t>
      </w:r>
      <w:r w:rsidRPr="00AA392E">
        <w:rPr>
          <w:color w:val="000000" w:themeColor="text1"/>
        </w:rPr>
        <w:t>EU:C:2021:289, paras 99 and 104.</w:t>
      </w:r>
    </w:p>
  </w:footnote>
  <w:footnote w:id="58">
    <w:p w14:paraId="7981BA51" w14:textId="34E6EF72" w:rsidR="00D92C51" w:rsidRPr="00AA392E" w:rsidRDefault="00D92C51"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In that regard, the ruling in </w:t>
      </w:r>
      <w:r w:rsidRPr="00AA392E">
        <w:rPr>
          <w:i/>
          <w:iCs/>
          <w:color w:val="000000" w:themeColor="text1"/>
        </w:rPr>
        <w:t>W.Ż</w:t>
      </w:r>
      <w:r w:rsidRPr="00AA392E">
        <w:rPr>
          <w:color w:val="000000" w:themeColor="text1"/>
        </w:rPr>
        <w:t xml:space="preserve"> would be comparable to other judgments where the Court has </w:t>
      </w:r>
      <w:r w:rsidR="00B37ECD" w:rsidRPr="00AA392E">
        <w:rPr>
          <w:color w:val="000000" w:themeColor="text1"/>
        </w:rPr>
        <w:t xml:space="preserve">explicitly discussed </w:t>
      </w:r>
      <w:r w:rsidRPr="00AA392E">
        <w:rPr>
          <w:color w:val="000000" w:themeColor="text1"/>
        </w:rPr>
        <w:t xml:space="preserve">the nullity of incompatible domestic measures, </w:t>
      </w:r>
      <w:r w:rsidR="00B37ECD" w:rsidRPr="00AA392E">
        <w:rPr>
          <w:color w:val="000000" w:themeColor="text1"/>
        </w:rPr>
        <w:t xml:space="preserve">but </w:t>
      </w:r>
      <w:r w:rsidRPr="00AA392E">
        <w:rPr>
          <w:color w:val="000000" w:themeColor="text1"/>
        </w:rPr>
        <w:t xml:space="preserve">only in light of the existing framework of </w:t>
      </w:r>
      <w:r w:rsidR="00B37ECD" w:rsidRPr="00AA392E">
        <w:rPr>
          <w:color w:val="000000" w:themeColor="text1"/>
        </w:rPr>
        <w:t xml:space="preserve">judicial </w:t>
      </w:r>
      <w:r w:rsidRPr="00AA392E">
        <w:rPr>
          <w:color w:val="000000" w:themeColor="text1"/>
        </w:rPr>
        <w:t xml:space="preserve">relief </w:t>
      </w:r>
      <w:r w:rsidR="00B37ECD" w:rsidRPr="00AA392E">
        <w:rPr>
          <w:color w:val="000000" w:themeColor="text1"/>
        </w:rPr>
        <w:t xml:space="preserve">already </w:t>
      </w:r>
      <w:r w:rsidRPr="00AA392E">
        <w:rPr>
          <w:color w:val="000000" w:themeColor="text1"/>
        </w:rPr>
        <w:t xml:space="preserve">provided for </w:t>
      </w:r>
      <w:r w:rsidR="00A2702B" w:rsidRPr="00AA392E">
        <w:rPr>
          <w:color w:val="000000" w:themeColor="text1"/>
        </w:rPr>
        <w:t xml:space="preserve">as such </w:t>
      </w:r>
      <w:r w:rsidRPr="00AA392E">
        <w:rPr>
          <w:color w:val="000000" w:themeColor="text1"/>
        </w:rPr>
        <w:t xml:space="preserve">under national law, e.g. Case C-430/19, </w:t>
      </w:r>
      <w:r w:rsidRPr="00AA392E">
        <w:rPr>
          <w:i/>
          <w:iCs/>
          <w:color w:val="000000" w:themeColor="text1"/>
        </w:rPr>
        <w:t>S C C.F.</w:t>
      </w:r>
      <w:r w:rsidRPr="00AA392E">
        <w:rPr>
          <w:color w:val="000000" w:themeColor="text1"/>
        </w:rPr>
        <w:t xml:space="preserve">, EU:C:2020:429. </w:t>
      </w:r>
    </w:p>
  </w:footnote>
  <w:footnote w:id="59">
    <w:p w14:paraId="6FDE2853" w14:textId="6BB892F1" w:rsidR="00AE735D" w:rsidRPr="00AA392E" w:rsidRDefault="00AE735D" w:rsidP="00AA392E">
      <w:pPr>
        <w:pStyle w:val="FootnoteText"/>
        <w:jc w:val="both"/>
      </w:pPr>
      <w:r w:rsidRPr="00AA392E">
        <w:rPr>
          <w:rStyle w:val="FootnoteReference"/>
        </w:rPr>
        <w:footnoteRef/>
      </w:r>
      <w:r w:rsidRPr="00AA392E">
        <w:t xml:space="preserve"> I am very grateful to Loïc Azoulai for bringing this point to my attention.  </w:t>
      </w:r>
      <w:r w:rsidR="00B27F7B">
        <w:t xml:space="preserve">And see also the detailed discussion of the same issue, within the context of the Polish legal system, provided by </w:t>
      </w:r>
      <w:r w:rsidR="00B27F7B" w:rsidRPr="00AA392E">
        <w:t>Manko and Tacik, “</w:t>
      </w:r>
      <w:r w:rsidR="00B27F7B" w:rsidRPr="00AA392E">
        <w:rPr>
          <w:i/>
        </w:rPr>
        <w:t>Sententia non existens</w:t>
      </w:r>
      <w:r w:rsidR="00B27F7B" w:rsidRPr="00AA392E">
        <w:t xml:space="preserve">: A new remedy under EU law?: </w:t>
      </w:r>
      <w:r w:rsidR="00B27F7B" w:rsidRPr="00AA392E">
        <w:rPr>
          <w:i/>
          <w:iCs/>
        </w:rPr>
        <w:t>Waldemar Żurek</w:t>
      </w:r>
      <w:r w:rsidR="00B27F7B" w:rsidRPr="00AA392E">
        <w:t xml:space="preserve"> (W.Ż.)”</w:t>
      </w:r>
      <w:r w:rsidR="00016949">
        <w:t>,</w:t>
      </w:r>
      <w:r w:rsidR="00B27F7B" w:rsidRPr="00AA392E">
        <w:t xml:space="preserve"> 59 CML</w:t>
      </w:r>
      <w:r w:rsidR="00016949">
        <w:t xml:space="preserve"> </w:t>
      </w:r>
      <w:r w:rsidR="00B27F7B" w:rsidRPr="00AA392E">
        <w:t>Rev</w:t>
      </w:r>
      <w:r w:rsidR="00016949">
        <w:t xml:space="preserve">. </w:t>
      </w:r>
      <w:r w:rsidR="00016949" w:rsidRPr="00AA392E">
        <w:t>(2022)</w:t>
      </w:r>
      <w:r w:rsidR="00016949">
        <w:t>,</w:t>
      </w:r>
      <w:r w:rsidR="00B27F7B" w:rsidRPr="00AA392E">
        <w:t xml:space="preserve"> forth</w:t>
      </w:r>
      <w:r w:rsidR="00B27F7B">
        <w:t>c</w:t>
      </w:r>
      <w:r w:rsidR="00B27F7B" w:rsidRPr="00AA392E">
        <w:t>oming</w:t>
      </w:r>
      <w:r w:rsidR="00B27F7B">
        <w:t>.</w:t>
      </w:r>
    </w:p>
  </w:footnote>
  <w:footnote w:id="60">
    <w:p w14:paraId="1321A81F" w14:textId="089CEFF9" w:rsidR="007C56C6" w:rsidRPr="00AA392E" w:rsidRDefault="007C56C6"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w:t>
      </w:r>
      <w:r w:rsidRPr="00AA392E">
        <w:rPr>
          <w:color w:val="000000" w:themeColor="text1"/>
          <w:sz w:val="20"/>
          <w:szCs w:val="20"/>
          <w:lang w:val="en-US"/>
        </w:rPr>
        <w:t xml:space="preserve">See further, e.g. Dougan, </w:t>
      </w:r>
      <w:r w:rsidRPr="00AA392E">
        <w:rPr>
          <w:color w:val="000000" w:themeColor="text1"/>
          <w:sz w:val="20"/>
          <w:szCs w:val="20"/>
        </w:rPr>
        <w:t>“When Worlds Collide!  Competing Visions of the Relationship Between Direct Effect and Primacy”, 44 CML Rev. (2007), 931.</w:t>
      </w:r>
      <w:r w:rsidR="00F7124D" w:rsidRPr="00AA392E">
        <w:rPr>
          <w:color w:val="000000" w:themeColor="text1"/>
          <w:sz w:val="20"/>
          <w:szCs w:val="20"/>
        </w:rPr>
        <w:t xml:space="preserve">  Though, of course, there remains considerable scope to debate the nature of the legal / conceptual intertwinement between the EU and Member State legal orders: consider, e.g. Burchatdt, “The Relationship between the Law of the European Union and the Law of Its Member States: A Norm-Based Conceptual Framework” (2019) 15 </w:t>
      </w:r>
      <w:r w:rsidR="00F7124D" w:rsidRPr="00AA392E">
        <w:rPr>
          <w:i/>
          <w:iCs/>
          <w:color w:val="000000" w:themeColor="text1"/>
          <w:sz w:val="20"/>
          <w:szCs w:val="20"/>
        </w:rPr>
        <w:t>EUConst</w:t>
      </w:r>
      <w:r w:rsidR="00F7124D" w:rsidRPr="00AA392E">
        <w:rPr>
          <w:color w:val="000000" w:themeColor="text1"/>
          <w:sz w:val="20"/>
          <w:szCs w:val="20"/>
        </w:rPr>
        <w:t xml:space="preserve"> 73</w:t>
      </w:r>
      <w:r w:rsidR="00F87B9A" w:rsidRPr="00AA392E">
        <w:rPr>
          <w:color w:val="000000" w:themeColor="text1"/>
          <w:sz w:val="20"/>
          <w:szCs w:val="20"/>
        </w:rPr>
        <w:t xml:space="preserve">; Tuominen, “Reconceptualizing the Primacy–Supremacy Debate in EU Law” (2020) 47 </w:t>
      </w:r>
      <w:r w:rsidR="00F87B9A" w:rsidRPr="00AA392E">
        <w:rPr>
          <w:i/>
          <w:iCs/>
          <w:color w:val="000000" w:themeColor="text1"/>
          <w:sz w:val="20"/>
          <w:szCs w:val="20"/>
        </w:rPr>
        <w:t>Legal Issues of Economic Integration</w:t>
      </w:r>
      <w:r w:rsidR="00F87B9A" w:rsidRPr="00AA392E">
        <w:rPr>
          <w:color w:val="000000" w:themeColor="text1"/>
          <w:sz w:val="20"/>
          <w:szCs w:val="20"/>
        </w:rPr>
        <w:t xml:space="preserve"> 245</w:t>
      </w:r>
      <w:r w:rsidR="00F7124D" w:rsidRPr="00AA392E">
        <w:rPr>
          <w:color w:val="000000" w:themeColor="text1"/>
          <w:sz w:val="20"/>
          <w:szCs w:val="20"/>
        </w:rPr>
        <w:t>.</w:t>
      </w:r>
    </w:p>
  </w:footnote>
  <w:footnote w:id="61">
    <w:p w14:paraId="4137FAFB" w14:textId="7404EDDD" w:rsidR="000B44CA" w:rsidRPr="00AA392E" w:rsidRDefault="000B44CA"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In that regard, consider also, e.g. the caselaw following Case C-399/11, </w:t>
      </w:r>
      <w:r w:rsidRPr="00AA392E">
        <w:rPr>
          <w:i/>
          <w:color w:val="000000" w:themeColor="text1"/>
        </w:rPr>
        <w:t>Melloni</w:t>
      </w:r>
      <w:r w:rsidRPr="00AA392E">
        <w:rPr>
          <w:color w:val="000000" w:themeColor="text1"/>
        </w:rPr>
        <w:t>, EU:C:2013:107 on the interaction between Union and national fundamental rights.</w:t>
      </w:r>
    </w:p>
  </w:footnote>
  <w:footnote w:id="62">
    <w:p w14:paraId="609BCE9F" w14:textId="5C8EDCEE" w:rsidR="000B44CA" w:rsidRPr="00AA392E" w:rsidRDefault="000B44CA"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w:t>
      </w:r>
      <w:r w:rsidR="00016949">
        <w:rPr>
          <w:color w:val="000000" w:themeColor="text1"/>
        </w:rPr>
        <w:t>S</w:t>
      </w:r>
      <w:r w:rsidRPr="00AA392E">
        <w:rPr>
          <w:color w:val="000000" w:themeColor="text1"/>
        </w:rPr>
        <w:t>ection 2 (above).</w:t>
      </w:r>
    </w:p>
  </w:footnote>
  <w:footnote w:id="63">
    <w:p w14:paraId="1C2C7918" w14:textId="7A794E07" w:rsidR="000B44CA" w:rsidRPr="00AA392E" w:rsidRDefault="000B44CA"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Again, see </w:t>
      </w:r>
      <w:r w:rsidR="00016949">
        <w:rPr>
          <w:color w:val="000000" w:themeColor="text1"/>
        </w:rPr>
        <w:t>S</w:t>
      </w:r>
      <w:r w:rsidRPr="00AA392E">
        <w:rPr>
          <w:color w:val="000000" w:themeColor="text1"/>
        </w:rPr>
        <w:t>ection 2 (above).</w:t>
      </w:r>
    </w:p>
  </w:footnote>
  <w:footnote w:id="64">
    <w:p w14:paraId="29DC5FB6" w14:textId="1A7CC960" w:rsidR="00F36819" w:rsidRPr="00AA392E" w:rsidRDefault="00F36819"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Case C-394/18, </w:t>
      </w:r>
      <w:r w:rsidRPr="00AA392E">
        <w:rPr>
          <w:i/>
          <w:iCs/>
          <w:color w:val="000000" w:themeColor="text1"/>
        </w:rPr>
        <w:t>Maria Grazia Cicenia</w:t>
      </w:r>
      <w:r w:rsidRPr="00AA392E">
        <w:rPr>
          <w:color w:val="000000" w:themeColor="text1"/>
        </w:rPr>
        <w:t>, EU:C:2020:56, para 80.</w:t>
      </w:r>
    </w:p>
  </w:footnote>
  <w:footnote w:id="65">
    <w:p w14:paraId="2CFE9660" w14:textId="48EA6407" w:rsidR="00423B48" w:rsidRPr="00AA392E" w:rsidRDefault="00423B4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In accordance with Directive</w:t>
      </w:r>
      <w:r w:rsidR="007C56C6" w:rsidRPr="00AA392E">
        <w:rPr>
          <w:color w:val="000000" w:themeColor="text1"/>
        </w:rPr>
        <w:t xml:space="preserve"> 2015/1535, O.J. 2015, L 241/1.</w:t>
      </w:r>
    </w:p>
  </w:footnote>
  <w:footnote w:id="66">
    <w:p w14:paraId="28E2DD00" w14:textId="07C4AA21" w:rsidR="00423B48" w:rsidRPr="00AA392E" w:rsidRDefault="00423B4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w:t>
      </w:r>
      <w:r w:rsidR="00354EC9" w:rsidRPr="00AA392E">
        <w:rPr>
          <w:color w:val="000000" w:themeColor="text1"/>
        </w:rPr>
        <w:t xml:space="preserve">E.g. Case C-194/94, </w:t>
      </w:r>
      <w:r w:rsidR="00354EC9" w:rsidRPr="00AA392E">
        <w:rPr>
          <w:i/>
          <w:color w:val="000000" w:themeColor="text1"/>
        </w:rPr>
        <w:t>CIA Security,</w:t>
      </w:r>
      <w:r w:rsidR="00354EC9" w:rsidRPr="00AA392E">
        <w:rPr>
          <w:color w:val="000000" w:themeColor="text1"/>
        </w:rPr>
        <w:t xml:space="preserve"> EU:C:1996:172; Case C-443/98, </w:t>
      </w:r>
      <w:r w:rsidR="00354EC9" w:rsidRPr="00AA392E">
        <w:rPr>
          <w:i/>
          <w:color w:val="000000" w:themeColor="text1"/>
        </w:rPr>
        <w:t>Unilever Italia</w:t>
      </w:r>
      <w:r w:rsidR="00354EC9" w:rsidRPr="00AA392E">
        <w:rPr>
          <w:color w:val="000000" w:themeColor="text1"/>
        </w:rPr>
        <w:t>, EU:C:2000:496.</w:t>
      </w:r>
    </w:p>
  </w:footnote>
  <w:footnote w:id="67">
    <w:p w14:paraId="10999F4C" w14:textId="1F9B6DAC" w:rsidR="00423B48" w:rsidRPr="00AA392E" w:rsidRDefault="00423B48"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Recall </w:t>
      </w:r>
      <w:r w:rsidR="007C56C6" w:rsidRPr="00AA392E">
        <w:rPr>
          <w:color w:val="000000" w:themeColor="text1"/>
        </w:rPr>
        <w:t xml:space="preserve">Case C-226/97, </w:t>
      </w:r>
      <w:r w:rsidR="007C56C6" w:rsidRPr="00AA392E">
        <w:rPr>
          <w:i/>
          <w:color w:val="000000" w:themeColor="text1"/>
        </w:rPr>
        <w:t>Lemmens</w:t>
      </w:r>
      <w:r w:rsidR="007C56C6" w:rsidRPr="00AA392E">
        <w:rPr>
          <w:color w:val="000000" w:themeColor="text1"/>
        </w:rPr>
        <w:t>, EU:C:1998:296.</w:t>
      </w:r>
      <w:r w:rsidR="005C1D10">
        <w:rPr>
          <w:color w:val="000000" w:themeColor="text1"/>
        </w:rPr>
        <w:t xml:space="preserve">  Consider also, e.g. </w:t>
      </w:r>
      <w:r w:rsidR="005C1D10" w:rsidRPr="00AA392E">
        <w:rPr>
          <w:color w:val="000000" w:themeColor="text1"/>
        </w:rPr>
        <w:t xml:space="preserve">Case C-140/20, </w:t>
      </w:r>
      <w:r w:rsidR="005C1D10" w:rsidRPr="00AA392E">
        <w:rPr>
          <w:i/>
          <w:iCs/>
          <w:color w:val="000000" w:themeColor="text1"/>
        </w:rPr>
        <w:t>G.D.</w:t>
      </w:r>
      <w:r w:rsidR="005C1D10">
        <w:rPr>
          <w:i/>
          <w:iCs/>
          <w:color w:val="000000" w:themeColor="text1"/>
        </w:rPr>
        <w:t xml:space="preserve"> </w:t>
      </w:r>
      <w:r w:rsidR="00EF69D7" w:rsidRPr="00E221AD">
        <w:t>v.</w:t>
      </w:r>
      <w:r w:rsidR="005C1D10" w:rsidRPr="005C1D10">
        <w:rPr>
          <w:i/>
          <w:iCs/>
        </w:rPr>
        <w:t xml:space="preserve"> Commissioner of An Garda Síochán</w:t>
      </w:r>
      <w:r w:rsidR="005C1D10">
        <w:rPr>
          <w:i/>
          <w:iCs/>
        </w:rPr>
        <w:t xml:space="preserve">a, </w:t>
      </w:r>
      <w:r w:rsidR="005C1D10" w:rsidRPr="00AA392E">
        <w:rPr>
          <w:color w:val="000000" w:themeColor="text1"/>
        </w:rPr>
        <w:t>EU:C:2022:258</w:t>
      </w:r>
      <w:r w:rsidR="005C1D10">
        <w:rPr>
          <w:color w:val="000000" w:themeColor="text1"/>
        </w:rPr>
        <w:t>, para 127.</w:t>
      </w:r>
    </w:p>
  </w:footnote>
  <w:footnote w:id="68">
    <w:p w14:paraId="30DDCE30" w14:textId="4CF6BA1E" w:rsidR="00D67454" w:rsidRPr="00AA392E" w:rsidRDefault="00D67454"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Though many of the tools for dealing with such consequences (based on the principle of legal certainty, e.g. limiting temporal effects, limitation periods, </w:t>
      </w:r>
      <w:r w:rsidRPr="00016949">
        <w:rPr>
          <w:i/>
          <w:iCs/>
          <w:color w:val="000000" w:themeColor="text1"/>
        </w:rPr>
        <w:t>res judicata</w:t>
      </w:r>
      <w:r w:rsidRPr="00AA392E">
        <w:rPr>
          <w:color w:val="000000" w:themeColor="text1"/>
        </w:rPr>
        <w:t xml:space="preserve"> etc) have already been developed in the context of disapplication and would be readily transposable to the context of nullity</w:t>
      </w:r>
      <w:r w:rsidR="00016949">
        <w:rPr>
          <w:color w:val="000000" w:themeColor="text1"/>
        </w:rPr>
        <w:t>: see Section 2 (above)</w:t>
      </w:r>
      <w:r w:rsidRPr="00AA392E">
        <w:rPr>
          <w:color w:val="000000" w:themeColor="text1"/>
        </w:rPr>
        <w:t>.</w:t>
      </w:r>
    </w:p>
  </w:footnote>
  <w:footnote w:id="69">
    <w:p w14:paraId="2BAA500A" w14:textId="5CD35A85" w:rsidR="00BE6D89" w:rsidRPr="00AA392E" w:rsidRDefault="00BE6D89"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E.g. </w:t>
      </w:r>
      <w:r w:rsidR="00821CFB" w:rsidRPr="00AA392E">
        <w:rPr>
          <w:color w:val="000000" w:themeColor="text1"/>
          <w:sz w:val="20"/>
          <w:szCs w:val="20"/>
        </w:rPr>
        <w:t xml:space="preserve">Case C-212/06, </w:t>
      </w:r>
      <w:r w:rsidR="00821CFB" w:rsidRPr="00AA392E">
        <w:rPr>
          <w:i/>
          <w:iCs/>
          <w:color w:val="000000" w:themeColor="text1"/>
          <w:sz w:val="20"/>
          <w:szCs w:val="20"/>
        </w:rPr>
        <w:t>Gouvernement de la Communauté française and Gouvernement wallon</w:t>
      </w:r>
      <w:r w:rsidR="00821CFB" w:rsidRPr="00AA392E">
        <w:rPr>
          <w:color w:val="000000" w:themeColor="text1"/>
          <w:sz w:val="20"/>
          <w:szCs w:val="20"/>
        </w:rPr>
        <w:t>, EU:C:2008:178.</w:t>
      </w:r>
    </w:p>
  </w:footnote>
  <w:footnote w:id="70">
    <w:p w14:paraId="4C1FD3CB" w14:textId="7C827438" w:rsidR="00233351" w:rsidRPr="00AA392E" w:rsidRDefault="00233351"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Primarily under the Environmental Impact Assessment Directive 2011/92</w:t>
      </w:r>
      <w:r w:rsidR="00016949">
        <w:rPr>
          <w:color w:val="000000" w:themeColor="text1"/>
        </w:rPr>
        <w:t>,</w:t>
      </w:r>
      <w:r w:rsidRPr="00AA392E">
        <w:rPr>
          <w:color w:val="000000" w:themeColor="text1"/>
        </w:rPr>
        <w:t xml:space="preserve"> </w:t>
      </w:r>
      <w:r w:rsidR="00016949">
        <w:rPr>
          <w:color w:val="000000" w:themeColor="text1"/>
        </w:rPr>
        <w:t xml:space="preserve">O.J. </w:t>
      </w:r>
      <w:r w:rsidRPr="00AA392E">
        <w:rPr>
          <w:color w:val="000000" w:themeColor="text1"/>
        </w:rPr>
        <w:t>2012</w:t>
      </w:r>
      <w:r w:rsidR="00016949">
        <w:rPr>
          <w:color w:val="000000" w:themeColor="text1"/>
        </w:rPr>
        <w:t>,</w:t>
      </w:r>
      <w:r w:rsidRPr="00AA392E">
        <w:rPr>
          <w:color w:val="000000" w:themeColor="text1"/>
        </w:rPr>
        <w:t xml:space="preserve"> L</w:t>
      </w:r>
      <w:r w:rsidR="00016949">
        <w:rPr>
          <w:color w:val="000000" w:themeColor="text1"/>
        </w:rPr>
        <w:t xml:space="preserve"> </w:t>
      </w:r>
      <w:r w:rsidRPr="00AA392E">
        <w:rPr>
          <w:color w:val="000000" w:themeColor="text1"/>
        </w:rPr>
        <w:t xml:space="preserve">26/1.  </w:t>
      </w:r>
    </w:p>
  </w:footnote>
  <w:footnote w:id="71">
    <w:p w14:paraId="60FCA297" w14:textId="68A6F8D1" w:rsidR="00E709A0" w:rsidRPr="00AA392E" w:rsidRDefault="00E709A0"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e.g. Case C-72/95, </w:t>
      </w:r>
      <w:r w:rsidRPr="00AA392E">
        <w:rPr>
          <w:i/>
          <w:iCs/>
          <w:color w:val="000000" w:themeColor="text1"/>
        </w:rPr>
        <w:t>Kraaijeveld</w:t>
      </w:r>
      <w:r w:rsidRPr="00AA392E">
        <w:rPr>
          <w:color w:val="000000" w:themeColor="text1"/>
        </w:rPr>
        <w:t xml:space="preserve">, EU:C:1996:404; Case C-435/97, </w:t>
      </w:r>
      <w:r w:rsidRPr="00AA392E">
        <w:rPr>
          <w:i/>
          <w:iCs/>
          <w:color w:val="000000" w:themeColor="text1"/>
        </w:rPr>
        <w:t>World Wildlife Fund</w:t>
      </w:r>
      <w:r w:rsidRPr="00AA392E">
        <w:rPr>
          <w:color w:val="000000" w:themeColor="text1"/>
        </w:rPr>
        <w:t>, EU:C:1999:418.</w:t>
      </w:r>
    </w:p>
  </w:footnote>
  <w:footnote w:id="72">
    <w:p w14:paraId="0EECF27D" w14:textId="14499A85" w:rsidR="00663EA1" w:rsidRPr="00AA392E" w:rsidRDefault="00663EA1" w:rsidP="00AA392E">
      <w:pPr>
        <w:jc w:val="both"/>
        <w:rPr>
          <w:color w:val="000000" w:themeColor="text1"/>
          <w:sz w:val="20"/>
          <w:szCs w:val="20"/>
        </w:rPr>
      </w:pPr>
      <w:r w:rsidRPr="00AA392E">
        <w:rPr>
          <w:rStyle w:val="FootnoteReference"/>
          <w:color w:val="000000" w:themeColor="text1"/>
          <w:sz w:val="20"/>
          <w:szCs w:val="20"/>
        </w:rPr>
        <w:footnoteRef/>
      </w:r>
      <w:r w:rsidRPr="00AA392E">
        <w:rPr>
          <w:color w:val="000000" w:themeColor="text1"/>
          <w:sz w:val="20"/>
          <w:szCs w:val="20"/>
        </w:rPr>
        <w:t xml:space="preserve"> See, e.g. </w:t>
      </w:r>
      <w:r w:rsidR="00841D03" w:rsidRPr="00AA392E">
        <w:rPr>
          <w:color w:val="000000" w:themeColor="text1"/>
          <w:sz w:val="20"/>
          <w:szCs w:val="20"/>
        </w:rPr>
        <w:t xml:space="preserve">Case C-379/15, </w:t>
      </w:r>
      <w:r w:rsidR="00841D03" w:rsidRPr="00AA392E">
        <w:rPr>
          <w:i/>
          <w:iCs/>
          <w:color w:val="000000" w:themeColor="text1"/>
          <w:sz w:val="20"/>
          <w:szCs w:val="20"/>
        </w:rPr>
        <w:t>Association France Nature Environnement</w:t>
      </w:r>
      <w:r w:rsidR="00841D03" w:rsidRPr="00AA392E">
        <w:rPr>
          <w:color w:val="000000" w:themeColor="text1"/>
          <w:sz w:val="20"/>
          <w:szCs w:val="20"/>
        </w:rPr>
        <w:t xml:space="preserve">, EU:C:2016:603; </w:t>
      </w:r>
      <w:r w:rsidR="00930A3C" w:rsidRPr="00AA392E">
        <w:rPr>
          <w:color w:val="000000" w:themeColor="text1"/>
          <w:sz w:val="20"/>
          <w:szCs w:val="20"/>
        </w:rPr>
        <w:t xml:space="preserve">Case C-261/18, </w:t>
      </w:r>
      <w:r w:rsidR="00930A3C" w:rsidRPr="00AA392E">
        <w:rPr>
          <w:i/>
          <w:iCs/>
          <w:color w:val="000000" w:themeColor="text1"/>
          <w:sz w:val="20"/>
          <w:szCs w:val="20"/>
        </w:rPr>
        <w:t xml:space="preserve">Commission </w:t>
      </w:r>
      <w:r w:rsidR="00EF69D7" w:rsidRPr="00E221AD">
        <w:rPr>
          <w:color w:val="000000" w:themeColor="text1"/>
          <w:sz w:val="20"/>
          <w:szCs w:val="20"/>
        </w:rPr>
        <w:t>v.</w:t>
      </w:r>
      <w:r w:rsidR="00930A3C" w:rsidRPr="00AA392E">
        <w:rPr>
          <w:i/>
          <w:iCs/>
          <w:color w:val="000000" w:themeColor="text1"/>
          <w:sz w:val="20"/>
          <w:szCs w:val="20"/>
        </w:rPr>
        <w:t xml:space="preserve"> Ireland</w:t>
      </w:r>
      <w:r w:rsidR="00930A3C" w:rsidRPr="00AA392E">
        <w:rPr>
          <w:color w:val="000000" w:themeColor="text1"/>
          <w:sz w:val="20"/>
          <w:szCs w:val="20"/>
        </w:rPr>
        <w:t xml:space="preserve">, EU:C:2019:955; </w:t>
      </w:r>
      <w:r w:rsidR="004C68A7" w:rsidRPr="00AA392E">
        <w:rPr>
          <w:color w:val="000000" w:themeColor="text1"/>
          <w:sz w:val="20"/>
          <w:szCs w:val="20"/>
        </w:rPr>
        <w:t xml:space="preserve">Case C-24/19, </w:t>
      </w:r>
      <w:r w:rsidR="004C68A7" w:rsidRPr="00AA392E">
        <w:rPr>
          <w:i/>
          <w:iCs/>
          <w:color w:val="000000" w:themeColor="text1"/>
          <w:sz w:val="20"/>
          <w:szCs w:val="20"/>
        </w:rPr>
        <w:t>A and Others</w:t>
      </w:r>
      <w:r w:rsidR="004C68A7" w:rsidRPr="00AA392E">
        <w:rPr>
          <w:color w:val="000000" w:themeColor="text1"/>
          <w:sz w:val="20"/>
          <w:szCs w:val="20"/>
        </w:rPr>
        <w:t>, EU:C:2020:503</w:t>
      </w:r>
      <w:r w:rsidRPr="00AA392E">
        <w:rPr>
          <w:color w:val="000000" w:themeColor="text1"/>
          <w:sz w:val="20"/>
          <w:szCs w:val="20"/>
        </w:rPr>
        <w:t>.</w:t>
      </w:r>
      <w:r w:rsidR="00B37ECD" w:rsidRPr="00AA392E">
        <w:rPr>
          <w:color w:val="000000" w:themeColor="text1"/>
          <w:sz w:val="20"/>
          <w:szCs w:val="20"/>
        </w:rPr>
        <w:t xml:space="preserve">  The Court adopts a similar approach in other regulatory contexts: consider, e.g. Cases</w:t>
      </w:r>
      <w:r w:rsidR="00B37ECD" w:rsidRPr="00AA392E">
        <w:rPr>
          <w:i/>
          <w:iCs/>
          <w:color w:val="000000" w:themeColor="text1"/>
          <w:sz w:val="20"/>
          <w:szCs w:val="20"/>
        </w:rPr>
        <w:t xml:space="preserve"> </w:t>
      </w:r>
      <w:r w:rsidR="00B37ECD" w:rsidRPr="00AA392E">
        <w:rPr>
          <w:color w:val="000000" w:themeColor="text1"/>
          <w:sz w:val="20"/>
          <w:szCs w:val="20"/>
        </w:rPr>
        <w:t>C</w:t>
      </w:r>
      <w:r w:rsidR="00B37ECD" w:rsidRPr="00AA392E">
        <w:rPr>
          <w:color w:val="000000" w:themeColor="text1"/>
          <w:sz w:val="20"/>
          <w:szCs w:val="20"/>
        </w:rPr>
        <w:noBreakHyphen/>
        <w:t xml:space="preserve">129-130/13, </w:t>
      </w:r>
      <w:r w:rsidR="00B37ECD" w:rsidRPr="00AA392E">
        <w:rPr>
          <w:i/>
          <w:iCs/>
          <w:color w:val="000000" w:themeColor="text1"/>
          <w:sz w:val="20"/>
          <w:szCs w:val="20"/>
        </w:rPr>
        <w:t>Kamino International Logistics</w:t>
      </w:r>
      <w:r w:rsidR="00B37ECD" w:rsidRPr="00AA392E">
        <w:rPr>
          <w:color w:val="000000" w:themeColor="text1"/>
          <w:sz w:val="20"/>
          <w:szCs w:val="20"/>
        </w:rPr>
        <w:t>, EU:C:2014:2041.</w:t>
      </w:r>
    </w:p>
  </w:footnote>
  <w:footnote w:id="73">
    <w:p w14:paraId="5795B1FE" w14:textId="7FD8B214" w:rsidR="005D27E1" w:rsidRPr="00AA392E" w:rsidRDefault="005D27E1"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See, e.g. </w:t>
      </w:r>
      <w:r w:rsidR="00A27914" w:rsidRPr="00AA392E">
        <w:rPr>
          <w:color w:val="000000" w:themeColor="text1"/>
        </w:rPr>
        <w:t xml:space="preserve">Case C-201/02, </w:t>
      </w:r>
      <w:r w:rsidR="00A27914" w:rsidRPr="00AA392E">
        <w:rPr>
          <w:i/>
          <w:iCs/>
          <w:color w:val="000000" w:themeColor="text1"/>
        </w:rPr>
        <w:t>Wells</w:t>
      </w:r>
      <w:r w:rsidR="00A27914" w:rsidRPr="00AA392E">
        <w:rPr>
          <w:color w:val="000000" w:themeColor="text1"/>
        </w:rPr>
        <w:t>, EU:C:</w:t>
      </w:r>
      <w:r w:rsidR="00110DA6" w:rsidRPr="00AA392E">
        <w:rPr>
          <w:color w:val="000000" w:themeColor="text1"/>
        </w:rPr>
        <w:t>2004:12</w:t>
      </w:r>
      <w:r w:rsidR="00A27914" w:rsidRPr="00AA392E">
        <w:rPr>
          <w:color w:val="000000" w:themeColor="text1"/>
        </w:rPr>
        <w:t xml:space="preserve">; </w:t>
      </w:r>
      <w:r w:rsidRPr="00AA392E">
        <w:rPr>
          <w:color w:val="000000" w:themeColor="text1"/>
        </w:rPr>
        <w:t xml:space="preserve">Case C-41/11, </w:t>
      </w:r>
      <w:r w:rsidR="00841D03" w:rsidRPr="00AA392E">
        <w:rPr>
          <w:i/>
          <w:iCs/>
          <w:color w:val="000000" w:themeColor="text1"/>
        </w:rPr>
        <w:t>Inter-Environnement Wallonie</w:t>
      </w:r>
      <w:r w:rsidR="00841D03" w:rsidRPr="00AA392E">
        <w:rPr>
          <w:color w:val="000000" w:themeColor="text1"/>
        </w:rPr>
        <w:t>, EU:C:2012:103.</w:t>
      </w:r>
    </w:p>
  </w:footnote>
  <w:footnote w:id="74">
    <w:p w14:paraId="6DA7CFC5" w14:textId="778D5DF3" w:rsidR="0084723F" w:rsidRPr="00AA392E" w:rsidRDefault="0084723F" w:rsidP="00AA392E">
      <w:pPr>
        <w:pStyle w:val="FootnoteText"/>
        <w:jc w:val="both"/>
        <w:rPr>
          <w:color w:val="000000" w:themeColor="text1"/>
        </w:rPr>
      </w:pPr>
      <w:r w:rsidRPr="00AA392E">
        <w:rPr>
          <w:rStyle w:val="FootnoteReference"/>
          <w:color w:val="000000" w:themeColor="text1"/>
        </w:rPr>
        <w:footnoteRef/>
      </w:r>
      <w:r w:rsidRPr="00AA392E">
        <w:rPr>
          <w:color w:val="000000" w:themeColor="text1"/>
        </w:rPr>
        <w:t xml:space="preserve"> In that regard, the Court followed the advice of AG Tanchev: see Case C-487/19, </w:t>
      </w:r>
      <w:r w:rsidRPr="00AA392E">
        <w:rPr>
          <w:i/>
          <w:iCs/>
          <w:color w:val="000000" w:themeColor="text1"/>
        </w:rPr>
        <w:t xml:space="preserve">W.Ż., </w:t>
      </w:r>
      <w:r w:rsidRPr="00AA392E">
        <w:rPr>
          <w:color w:val="000000" w:themeColor="text1"/>
        </w:rPr>
        <w:t xml:space="preserve">EU:C:2021:289, paras 101-105.  Consider also, e.g. Case C-508/19, </w:t>
      </w:r>
      <w:r w:rsidRPr="00AA392E">
        <w:rPr>
          <w:i/>
          <w:iCs/>
          <w:color w:val="000000" w:themeColor="text1"/>
        </w:rPr>
        <w:t>MF</w:t>
      </w:r>
      <w:r w:rsidRPr="00AA392E">
        <w:rPr>
          <w:color w:val="000000" w:themeColor="text1"/>
        </w:rPr>
        <w:t>, EU:C:2022:201.</w:t>
      </w:r>
      <w:r w:rsidR="00151FF1" w:rsidRPr="00AA392E">
        <w:rPr>
          <w:color w:val="000000" w:themeColor="text1"/>
        </w:rPr>
        <w:t xml:space="preserve">  </w:t>
      </w:r>
    </w:p>
  </w:footnote>
  <w:footnote w:id="75">
    <w:p w14:paraId="032CDF80" w14:textId="01E81AD4" w:rsidR="003D0EE4" w:rsidRPr="00AA392E" w:rsidRDefault="003D0EE4" w:rsidP="00AA392E">
      <w:pPr>
        <w:pStyle w:val="FootnoteText"/>
        <w:jc w:val="both"/>
      </w:pPr>
      <w:r w:rsidRPr="00AA392E">
        <w:rPr>
          <w:rStyle w:val="FootnoteReference"/>
        </w:rPr>
        <w:footnoteRef/>
      </w:r>
      <w:r w:rsidRPr="00AA392E">
        <w:t xml:space="preserve"> Though consider Manko and Tacik, “</w:t>
      </w:r>
      <w:r w:rsidRPr="00AA392E">
        <w:rPr>
          <w:i/>
        </w:rPr>
        <w:t>Sententia non existens</w:t>
      </w:r>
      <w:r w:rsidRPr="00AA392E">
        <w:t xml:space="preserve">: A new remedy under EU law?: </w:t>
      </w:r>
      <w:r w:rsidRPr="00AA392E">
        <w:rPr>
          <w:i/>
          <w:iCs/>
        </w:rPr>
        <w:t>Waldemar Żurek</w:t>
      </w:r>
      <w:r w:rsidRPr="00AA392E">
        <w:t xml:space="preserve"> (W.Ż.)”</w:t>
      </w:r>
      <w:r w:rsidR="00016949">
        <w:t>,</w:t>
      </w:r>
      <w:r w:rsidRPr="00AA392E">
        <w:t xml:space="preserve"> 59 CML</w:t>
      </w:r>
      <w:r w:rsidR="00016949">
        <w:t xml:space="preserve"> </w:t>
      </w:r>
      <w:r w:rsidRPr="00AA392E">
        <w:t>Rev</w:t>
      </w:r>
      <w:r w:rsidR="00016949">
        <w:t xml:space="preserve">. </w:t>
      </w:r>
      <w:r w:rsidR="00016949" w:rsidRPr="00AA392E">
        <w:t>(2022)</w:t>
      </w:r>
      <w:r w:rsidR="00016949">
        <w:t>,</w:t>
      </w:r>
      <w:r w:rsidRPr="00AA392E">
        <w:t xml:space="preserve"> forth</w:t>
      </w:r>
      <w:r w:rsidR="00B27F7B">
        <w:t>c</w:t>
      </w:r>
      <w:r w:rsidRPr="00AA392E">
        <w:t>oming</w:t>
      </w:r>
      <w:r w:rsidR="00016949">
        <w:t xml:space="preserve"> </w:t>
      </w:r>
      <w:r w:rsidRPr="00AA392E">
        <w:t xml:space="preserve">– </w:t>
      </w:r>
      <w:r w:rsidR="006231FB" w:rsidRPr="00AA392E">
        <w:t xml:space="preserve">who offer an interesting </w:t>
      </w:r>
      <w:r w:rsidRPr="00AA392E">
        <w:t xml:space="preserve">analysis of how </w:t>
      </w:r>
      <w:r w:rsidR="006231FB" w:rsidRPr="00AA392E">
        <w:t xml:space="preserve">the Court’s particular and robust approach to </w:t>
      </w:r>
      <w:r w:rsidR="0075117A" w:rsidRPr="00AA392E">
        <w:t xml:space="preserve">the consequences of </w:t>
      </w:r>
      <w:r w:rsidRPr="00AA392E">
        <w:t xml:space="preserve">primacy </w:t>
      </w:r>
      <w:r w:rsidR="006231FB" w:rsidRPr="00AA392E">
        <w:t xml:space="preserve">in </w:t>
      </w:r>
      <w:r w:rsidR="006231FB" w:rsidRPr="00AA392E">
        <w:rPr>
          <w:i/>
          <w:iCs/>
        </w:rPr>
        <w:t>W.Ż.</w:t>
      </w:r>
      <w:r w:rsidR="006231FB" w:rsidRPr="00AA392E">
        <w:t xml:space="preserve"> might relate / extend </w:t>
      </w:r>
      <w:r w:rsidRPr="00AA392E">
        <w:t xml:space="preserve">specifically </w:t>
      </w:r>
      <w:r w:rsidR="006231FB" w:rsidRPr="00AA392E">
        <w:t xml:space="preserve">to the legal status of </w:t>
      </w:r>
      <w:r w:rsidRPr="00AA392E">
        <w:t xml:space="preserve">judicial rulings delivered in breach of the standards of independence </w:t>
      </w:r>
      <w:r w:rsidR="006231FB" w:rsidRPr="00AA392E">
        <w:t xml:space="preserve">and impartiality </w:t>
      </w:r>
      <w:r w:rsidRPr="00AA392E">
        <w:t xml:space="preserve">imposed under </w:t>
      </w:r>
      <w:r w:rsidR="00016949">
        <w:t>Art.</w:t>
      </w:r>
      <w:r w:rsidRPr="00AA392E">
        <w:t xml:space="preserve"> 19(1) TEU / </w:t>
      </w:r>
      <w:r w:rsidR="00016949">
        <w:t xml:space="preserve">Art. </w:t>
      </w:r>
      <w:r w:rsidRPr="00AA392E">
        <w:t>47 CFR.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1DC4"/>
    <w:multiLevelType w:val="hybridMultilevel"/>
    <w:tmpl w:val="3BF80F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86"/>
    <w:rsid w:val="00001A93"/>
    <w:rsid w:val="00002823"/>
    <w:rsid w:val="00002A58"/>
    <w:rsid w:val="00002BF8"/>
    <w:rsid w:val="00007F20"/>
    <w:rsid w:val="00012A78"/>
    <w:rsid w:val="00014621"/>
    <w:rsid w:val="00016949"/>
    <w:rsid w:val="00020212"/>
    <w:rsid w:val="0002122F"/>
    <w:rsid w:val="0002652C"/>
    <w:rsid w:val="000275B3"/>
    <w:rsid w:val="00033B88"/>
    <w:rsid w:val="00035DF8"/>
    <w:rsid w:val="00045DAF"/>
    <w:rsid w:val="00050164"/>
    <w:rsid w:val="00051A2C"/>
    <w:rsid w:val="00057E9C"/>
    <w:rsid w:val="000637B6"/>
    <w:rsid w:val="00063B3F"/>
    <w:rsid w:val="00066F22"/>
    <w:rsid w:val="00067D05"/>
    <w:rsid w:val="00070D26"/>
    <w:rsid w:val="00072E3E"/>
    <w:rsid w:val="000750E2"/>
    <w:rsid w:val="00082608"/>
    <w:rsid w:val="00084FC7"/>
    <w:rsid w:val="0008789C"/>
    <w:rsid w:val="000A00CF"/>
    <w:rsid w:val="000A31B1"/>
    <w:rsid w:val="000B0022"/>
    <w:rsid w:val="000B44CA"/>
    <w:rsid w:val="000B47D1"/>
    <w:rsid w:val="000B5081"/>
    <w:rsid w:val="000B6EF9"/>
    <w:rsid w:val="000C5E60"/>
    <w:rsid w:val="000C7778"/>
    <w:rsid w:val="000D0698"/>
    <w:rsid w:val="000D2D27"/>
    <w:rsid w:val="000D4DF4"/>
    <w:rsid w:val="000E36BD"/>
    <w:rsid w:val="000E469F"/>
    <w:rsid w:val="000F242C"/>
    <w:rsid w:val="00110DA6"/>
    <w:rsid w:val="00111C3F"/>
    <w:rsid w:val="00117219"/>
    <w:rsid w:val="001206AB"/>
    <w:rsid w:val="001219A7"/>
    <w:rsid w:val="001246D1"/>
    <w:rsid w:val="001276A4"/>
    <w:rsid w:val="00132504"/>
    <w:rsid w:val="001344E7"/>
    <w:rsid w:val="0013491C"/>
    <w:rsid w:val="001371F5"/>
    <w:rsid w:val="00151FF1"/>
    <w:rsid w:val="00154EAC"/>
    <w:rsid w:val="00156823"/>
    <w:rsid w:val="00160767"/>
    <w:rsid w:val="0016082D"/>
    <w:rsid w:val="00170127"/>
    <w:rsid w:val="00171294"/>
    <w:rsid w:val="001725D1"/>
    <w:rsid w:val="00181C0D"/>
    <w:rsid w:val="0018314D"/>
    <w:rsid w:val="001832D3"/>
    <w:rsid w:val="001840C9"/>
    <w:rsid w:val="00184141"/>
    <w:rsid w:val="00193D18"/>
    <w:rsid w:val="00197B06"/>
    <w:rsid w:val="001A1E7A"/>
    <w:rsid w:val="001A2CBE"/>
    <w:rsid w:val="001A5D97"/>
    <w:rsid w:val="001A7003"/>
    <w:rsid w:val="001B7866"/>
    <w:rsid w:val="001D4849"/>
    <w:rsid w:val="001D6BCE"/>
    <w:rsid w:val="001F0998"/>
    <w:rsid w:val="001F299A"/>
    <w:rsid w:val="001F6D52"/>
    <w:rsid w:val="00201611"/>
    <w:rsid w:val="002056AF"/>
    <w:rsid w:val="00210107"/>
    <w:rsid w:val="0021773F"/>
    <w:rsid w:val="00230543"/>
    <w:rsid w:val="00230BFB"/>
    <w:rsid w:val="002325CC"/>
    <w:rsid w:val="00233351"/>
    <w:rsid w:val="00236339"/>
    <w:rsid w:val="002421A9"/>
    <w:rsid w:val="00242440"/>
    <w:rsid w:val="0024313E"/>
    <w:rsid w:val="002555E4"/>
    <w:rsid w:val="0026031D"/>
    <w:rsid w:val="00260708"/>
    <w:rsid w:val="0026522A"/>
    <w:rsid w:val="00266C3C"/>
    <w:rsid w:val="00270F50"/>
    <w:rsid w:val="00272ED3"/>
    <w:rsid w:val="00274710"/>
    <w:rsid w:val="0028096E"/>
    <w:rsid w:val="00282CFF"/>
    <w:rsid w:val="00296B0C"/>
    <w:rsid w:val="002B00C1"/>
    <w:rsid w:val="002B65A2"/>
    <w:rsid w:val="002F53A9"/>
    <w:rsid w:val="002F6A63"/>
    <w:rsid w:val="00303DD7"/>
    <w:rsid w:val="003119BD"/>
    <w:rsid w:val="003170D6"/>
    <w:rsid w:val="0031772C"/>
    <w:rsid w:val="00320DD1"/>
    <w:rsid w:val="003220AD"/>
    <w:rsid w:val="0032414B"/>
    <w:rsid w:val="0032504B"/>
    <w:rsid w:val="00325134"/>
    <w:rsid w:val="0032763E"/>
    <w:rsid w:val="00332993"/>
    <w:rsid w:val="003468C8"/>
    <w:rsid w:val="00351586"/>
    <w:rsid w:val="00353536"/>
    <w:rsid w:val="00354EC9"/>
    <w:rsid w:val="00355040"/>
    <w:rsid w:val="00373D9D"/>
    <w:rsid w:val="00374F24"/>
    <w:rsid w:val="00390EA0"/>
    <w:rsid w:val="00391EA9"/>
    <w:rsid w:val="00392E5D"/>
    <w:rsid w:val="0039388E"/>
    <w:rsid w:val="003A31F4"/>
    <w:rsid w:val="003A66AF"/>
    <w:rsid w:val="003A66DE"/>
    <w:rsid w:val="003A7467"/>
    <w:rsid w:val="003B2C47"/>
    <w:rsid w:val="003C5AB3"/>
    <w:rsid w:val="003C5D7C"/>
    <w:rsid w:val="003D0EE4"/>
    <w:rsid w:val="003D6F2E"/>
    <w:rsid w:val="003E3DC6"/>
    <w:rsid w:val="003E6978"/>
    <w:rsid w:val="00416E2B"/>
    <w:rsid w:val="0042170C"/>
    <w:rsid w:val="00423B48"/>
    <w:rsid w:val="00430953"/>
    <w:rsid w:val="00430E61"/>
    <w:rsid w:val="004313BD"/>
    <w:rsid w:val="00444B03"/>
    <w:rsid w:val="00447155"/>
    <w:rsid w:val="00450371"/>
    <w:rsid w:val="004576FF"/>
    <w:rsid w:val="00457BA1"/>
    <w:rsid w:val="00465532"/>
    <w:rsid w:val="00466086"/>
    <w:rsid w:val="004664AA"/>
    <w:rsid w:val="00472782"/>
    <w:rsid w:val="004771DF"/>
    <w:rsid w:val="00482573"/>
    <w:rsid w:val="004835EE"/>
    <w:rsid w:val="00483AF8"/>
    <w:rsid w:val="00484D4B"/>
    <w:rsid w:val="00485D27"/>
    <w:rsid w:val="004910A9"/>
    <w:rsid w:val="00495C73"/>
    <w:rsid w:val="004963E9"/>
    <w:rsid w:val="004A22C2"/>
    <w:rsid w:val="004B37BD"/>
    <w:rsid w:val="004B53F0"/>
    <w:rsid w:val="004B61DF"/>
    <w:rsid w:val="004B66CA"/>
    <w:rsid w:val="004C03C7"/>
    <w:rsid w:val="004C1C18"/>
    <w:rsid w:val="004C494C"/>
    <w:rsid w:val="004C68A7"/>
    <w:rsid w:val="004D3247"/>
    <w:rsid w:val="004D3B26"/>
    <w:rsid w:val="004D41A4"/>
    <w:rsid w:val="004E229B"/>
    <w:rsid w:val="004F0EB4"/>
    <w:rsid w:val="004F241B"/>
    <w:rsid w:val="0050644D"/>
    <w:rsid w:val="005105EE"/>
    <w:rsid w:val="005145BF"/>
    <w:rsid w:val="00520883"/>
    <w:rsid w:val="005235E3"/>
    <w:rsid w:val="00531D59"/>
    <w:rsid w:val="00534726"/>
    <w:rsid w:val="0053566C"/>
    <w:rsid w:val="00540251"/>
    <w:rsid w:val="00542330"/>
    <w:rsid w:val="00544500"/>
    <w:rsid w:val="00545A7D"/>
    <w:rsid w:val="005478CD"/>
    <w:rsid w:val="0055062D"/>
    <w:rsid w:val="005510EC"/>
    <w:rsid w:val="00556CD7"/>
    <w:rsid w:val="0056299D"/>
    <w:rsid w:val="00573D65"/>
    <w:rsid w:val="00575F16"/>
    <w:rsid w:val="0057674A"/>
    <w:rsid w:val="00577F45"/>
    <w:rsid w:val="00581C7B"/>
    <w:rsid w:val="005844C0"/>
    <w:rsid w:val="005849DE"/>
    <w:rsid w:val="00585E64"/>
    <w:rsid w:val="0058685B"/>
    <w:rsid w:val="00586E00"/>
    <w:rsid w:val="00595BC4"/>
    <w:rsid w:val="00595F8F"/>
    <w:rsid w:val="005A544C"/>
    <w:rsid w:val="005A6B64"/>
    <w:rsid w:val="005A7B38"/>
    <w:rsid w:val="005C025E"/>
    <w:rsid w:val="005C10BA"/>
    <w:rsid w:val="005C1D10"/>
    <w:rsid w:val="005C5BAF"/>
    <w:rsid w:val="005D27E1"/>
    <w:rsid w:val="005D612C"/>
    <w:rsid w:val="005E31D9"/>
    <w:rsid w:val="005E40D8"/>
    <w:rsid w:val="005F25EC"/>
    <w:rsid w:val="005F68A6"/>
    <w:rsid w:val="00604956"/>
    <w:rsid w:val="00610F23"/>
    <w:rsid w:val="006128D2"/>
    <w:rsid w:val="00613088"/>
    <w:rsid w:val="0062123C"/>
    <w:rsid w:val="00621564"/>
    <w:rsid w:val="006231FB"/>
    <w:rsid w:val="006244CD"/>
    <w:rsid w:val="00626062"/>
    <w:rsid w:val="00633924"/>
    <w:rsid w:val="006370B0"/>
    <w:rsid w:val="0064138F"/>
    <w:rsid w:val="0064172F"/>
    <w:rsid w:val="006423B2"/>
    <w:rsid w:val="0064444A"/>
    <w:rsid w:val="006449E7"/>
    <w:rsid w:val="00646501"/>
    <w:rsid w:val="00646A3D"/>
    <w:rsid w:val="0065114E"/>
    <w:rsid w:val="00656B98"/>
    <w:rsid w:val="00663EA1"/>
    <w:rsid w:val="006662CA"/>
    <w:rsid w:val="00670975"/>
    <w:rsid w:val="006714F1"/>
    <w:rsid w:val="00672864"/>
    <w:rsid w:val="00674B98"/>
    <w:rsid w:val="006837CE"/>
    <w:rsid w:val="00683BF3"/>
    <w:rsid w:val="00685100"/>
    <w:rsid w:val="00686DDB"/>
    <w:rsid w:val="00686F74"/>
    <w:rsid w:val="00691FAA"/>
    <w:rsid w:val="0069437C"/>
    <w:rsid w:val="00694597"/>
    <w:rsid w:val="006A04D1"/>
    <w:rsid w:val="006A1F39"/>
    <w:rsid w:val="006B498B"/>
    <w:rsid w:val="006C5296"/>
    <w:rsid w:val="006C64D7"/>
    <w:rsid w:val="006D02CA"/>
    <w:rsid w:val="006D25EB"/>
    <w:rsid w:val="006D40B4"/>
    <w:rsid w:val="006D48BE"/>
    <w:rsid w:val="006E0033"/>
    <w:rsid w:val="006F29EA"/>
    <w:rsid w:val="006F7F3B"/>
    <w:rsid w:val="00700F1E"/>
    <w:rsid w:val="00707854"/>
    <w:rsid w:val="007127E0"/>
    <w:rsid w:val="00715E1E"/>
    <w:rsid w:val="007174C8"/>
    <w:rsid w:val="00717CB6"/>
    <w:rsid w:val="007214F5"/>
    <w:rsid w:val="007222D1"/>
    <w:rsid w:val="00732386"/>
    <w:rsid w:val="00733964"/>
    <w:rsid w:val="00734CD3"/>
    <w:rsid w:val="00740E8A"/>
    <w:rsid w:val="007411A4"/>
    <w:rsid w:val="0075117A"/>
    <w:rsid w:val="007522CA"/>
    <w:rsid w:val="00756CD0"/>
    <w:rsid w:val="00763434"/>
    <w:rsid w:val="00764A0E"/>
    <w:rsid w:val="007877C1"/>
    <w:rsid w:val="00793E79"/>
    <w:rsid w:val="007958DF"/>
    <w:rsid w:val="00795CCB"/>
    <w:rsid w:val="007A1C2D"/>
    <w:rsid w:val="007A30CE"/>
    <w:rsid w:val="007A35AF"/>
    <w:rsid w:val="007A3F32"/>
    <w:rsid w:val="007A5273"/>
    <w:rsid w:val="007A58EA"/>
    <w:rsid w:val="007B19E7"/>
    <w:rsid w:val="007B525B"/>
    <w:rsid w:val="007B5988"/>
    <w:rsid w:val="007C56C6"/>
    <w:rsid w:val="007C78B6"/>
    <w:rsid w:val="007D0362"/>
    <w:rsid w:val="007D4E0A"/>
    <w:rsid w:val="007D5669"/>
    <w:rsid w:val="007E0CDE"/>
    <w:rsid w:val="007E22C4"/>
    <w:rsid w:val="007E483D"/>
    <w:rsid w:val="007E591D"/>
    <w:rsid w:val="007E766C"/>
    <w:rsid w:val="008004BA"/>
    <w:rsid w:val="00800DAF"/>
    <w:rsid w:val="00801DB6"/>
    <w:rsid w:val="008057C5"/>
    <w:rsid w:val="0081008A"/>
    <w:rsid w:val="00821CFB"/>
    <w:rsid w:val="00833C5D"/>
    <w:rsid w:val="00841D03"/>
    <w:rsid w:val="00841D14"/>
    <w:rsid w:val="0084723F"/>
    <w:rsid w:val="008676A5"/>
    <w:rsid w:val="008748B2"/>
    <w:rsid w:val="008775BA"/>
    <w:rsid w:val="00885A15"/>
    <w:rsid w:val="00886364"/>
    <w:rsid w:val="00892E0B"/>
    <w:rsid w:val="008A26E4"/>
    <w:rsid w:val="008A7307"/>
    <w:rsid w:val="008B4A92"/>
    <w:rsid w:val="008B7FD9"/>
    <w:rsid w:val="008C0819"/>
    <w:rsid w:val="008C46C2"/>
    <w:rsid w:val="008C4DB2"/>
    <w:rsid w:val="008C4EC0"/>
    <w:rsid w:val="008C6490"/>
    <w:rsid w:val="008D4B14"/>
    <w:rsid w:val="008D5561"/>
    <w:rsid w:val="008D5D5B"/>
    <w:rsid w:val="008E2E72"/>
    <w:rsid w:val="008F3748"/>
    <w:rsid w:val="0091167E"/>
    <w:rsid w:val="00913DC8"/>
    <w:rsid w:val="0091569D"/>
    <w:rsid w:val="00922154"/>
    <w:rsid w:val="00922C07"/>
    <w:rsid w:val="00924332"/>
    <w:rsid w:val="0092468F"/>
    <w:rsid w:val="00930A3C"/>
    <w:rsid w:val="00940CAA"/>
    <w:rsid w:val="00942B12"/>
    <w:rsid w:val="009437C6"/>
    <w:rsid w:val="00944430"/>
    <w:rsid w:val="00952E0A"/>
    <w:rsid w:val="00963E34"/>
    <w:rsid w:val="00971CF6"/>
    <w:rsid w:val="009750D6"/>
    <w:rsid w:val="0098041A"/>
    <w:rsid w:val="00981BA3"/>
    <w:rsid w:val="00982F39"/>
    <w:rsid w:val="00987858"/>
    <w:rsid w:val="009A3E9C"/>
    <w:rsid w:val="009A5EB1"/>
    <w:rsid w:val="009A6A02"/>
    <w:rsid w:val="009B5DE6"/>
    <w:rsid w:val="009B7920"/>
    <w:rsid w:val="009C287B"/>
    <w:rsid w:val="009C2F90"/>
    <w:rsid w:val="009C338C"/>
    <w:rsid w:val="009C3BF1"/>
    <w:rsid w:val="009C62F6"/>
    <w:rsid w:val="009D5C43"/>
    <w:rsid w:val="009E2639"/>
    <w:rsid w:val="009E501E"/>
    <w:rsid w:val="009E7D70"/>
    <w:rsid w:val="009F169F"/>
    <w:rsid w:val="009F32AE"/>
    <w:rsid w:val="00A14F48"/>
    <w:rsid w:val="00A25992"/>
    <w:rsid w:val="00A2702B"/>
    <w:rsid w:val="00A27914"/>
    <w:rsid w:val="00A356AA"/>
    <w:rsid w:val="00A35F44"/>
    <w:rsid w:val="00A36C47"/>
    <w:rsid w:val="00A37DFD"/>
    <w:rsid w:val="00A4049B"/>
    <w:rsid w:val="00A41A1B"/>
    <w:rsid w:val="00A437A3"/>
    <w:rsid w:val="00A45DDE"/>
    <w:rsid w:val="00A46434"/>
    <w:rsid w:val="00A52B5E"/>
    <w:rsid w:val="00A60D9D"/>
    <w:rsid w:val="00A62277"/>
    <w:rsid w:val="00A62CA7"/>
    <w:rsid w:val="00A671B5"/>
    <w:rsid w:val="00A75B1E"/>
    <w:rsid w:val="00A764D3"/>
    <w:rsid w:val="00A8337E"/>
    <w:rsid w:val="00A8494F"/>
    <w:rsid w:val="00A868E7"/>
    <w:rsid w:val="00A90047"/>
    <w:rsid w:val="00A95A15"/>
    <w:rsid w:val="00A97021"/>
    <w:rsid w:val="00AA392E"/>
    <w:rsid w:val="00AA50E2"/>
    <w:rsid w:val="00AB30EE"/>
    <w:rsid w:val="00AB55E0"/>
    <w:rsid w:val="00AC6CD1"/>
    <w:rsid w:val="00AC7537"/>
    <w:rsid w:val="00AE3366"/>
    <w:rsid w:val="00AE33D1"/>
    <w:rsid w:val="00AE3968"/>
    <w:rsid w:val="00AE4312"/>
    <w:rsid w:val="00AE735D"/>
    <w:rsid w:val="00AF0AC3"/>
    <w:rsid w:val="00AF6B60"/>
    <w:rsid w:val="00AF752D"/>
    <w:rsid w:val="00B02112"/>
    <w:rsid w:val="00B03502"/>
    <w:rsid w:val="00B07780"/>
    <w:rsid w:val="00B1490F"/>
    <w:rsid w:val="00B252D2"/>
    <w:rsid w:val="00B27F7B"/>
    <w:rsid w:val="00B3024F"/>
    <w:rsid w:val="00B3318A"/>
    <w:rsid w:val="00B33A07"/>
    <w:rsid w:val="00B37ECD"/>
    <w:rsid w:val="00B41CE1"/>
    <w:rsid w:val="00B41F88"/>
    <w:rsid w:val="00B4265B"/>
    <w:rsid w:val="00B431D8"/>
    <w:rsid w:val="00B43DE0"/>
    <w:rsid w:val="00B44A7D"/>
    <w:rsid w:val="00B45051"/>
    <w:rsid w:val="00B4769D"/>
    <w:rsid w:val="00B509E1"/>
    <w:rsid w:val="00B5282A"/>
    <w:rsid w:val="00B543A7"/>
    <w:rsid w:val="00B56551"/>
    <w:rsid w:val="00B6173B"/>
    <w:rsid w:val="00B61934"/>
    <w:rsid w:val="00B6579C"/>
    <w:rsid w:val="00B67067"/>
    <w:rsid w:val="00B72AD5"/>
    <w:rsid w:val="00B73A99"/>
    <w:rsid w:val="00B74C5E"/>
    <w:rsid w:val="00B83C6B"/>
    <w:rsid w:val="00BA2C85"/>
    <w:rsid w:val="00BA3B6D"/>
    <w:rsid w:val="00BB15B3"/>
    <w:rsid w:val="00BB2395"/>
    <w:rsid w:val="00BC3B73"/>
    <w:rsid w:val="00BC4BD4"/>
    <w:rsid w:val="00BD2812"/>
    <w:rsid w:val="00BD42F1"/>
    <w:rsid w:val="00BD77C7"/>
    <w:rsid w:val="00BE6D1E"/>
    <w:rsid w:val="00BE6D89"/>
    <w:rsid w:val="00BE77AF"/>
    <w:rsid w:val="00BE7A7C"/>
    <w:rsid w:val="00BF35A9"/>
    <w:rsid w:val="00BF59EA"/>
    <w:rsid w:val="00BF5A8D"/>
    <w:rsid w:val="00C06147"/>
    <w:rsid w:val="00C17BB9"/>
    <w:rsid w:val="00C17C23"/>
    <w:rsid w:val="00C26603"/>
    <w:rsid w:val="00C33B0C"/>
    <w:rsid w:val="00C41FC6"/>
    <w:rsid w:val="00C50174"/>
    <w:rsid w:val="00C52420"/>
    <w:rsid w:val="00C6155E"/>
    <w:rsid w:val="00C674D1"/>
    <w:rsid w:val="00C77677"/>
    <w:rsid w:val="00C82D18"/>
    <w:rsid w:val="00CB29F2"/>
    <w:rsid w:val="00CB3D16"/>
    <w:rsid w:val="00CC522C"/>
    <w:rsid w:val="00CD2526"/>
    <w:rsid w:val="00CD47D4"/>
    <w:rsid w:val="00CD4FA4"/>
    <w:rsid w:val="00CE2701"/>
    <w:rsid w:val="00CE3CE8"/>
    <w:rsid w:val="00CE467C"/>
    <w:rsid w:val="00CE71AA"/>
    <w:rsid w:val="00CF0FA6"/>
    <w:rsid w:val="00CF3748"/>
    <w:rsid w:val="00CF5451"/>
    <w:rsid w:val="00D00F7A"/>
    <w:rsid w:val="00D14A16"/>
    <w:rsid w:val="00D14F82"/>
    <w:rsid w:val="00D306F0"/>
    <w:rsid w:val="00D35318"/>
    <w:rsid w:val="00D4161E"/>
    <w:rsid w:val="00D5319A"/>
    <w:rsid w:val="00D63DBC"/>
    <w:rsid w:val="00D6656D"/>
    <w:rsid w:val="00D67454"/>
    <w:rsid w:val="00D77400"/>
    <w:rsid w:val="00D83497"/>
    <w:rsid w:val="00D91067"/>
    <w:rsid w:val="00D91942"/>
    <w:rsid w:val="00D91EF5"/>
    <w:rsid w:val="00D92C51"/>
    <w:rsid w:val="00D95263"/>
    <w:rsid w:val="00DA18B6"/>
    <w:rsid w:val="00DA3C50"/>
    <w:rsid w:val="00DA4D91"/>
    <w:rsid w:val="00DA7300"/>
    <w:rsid w:val="00DB48B5"/>
    <w:rsid w:val="00DC0A91"/>
    <w:rsid w:val="00DD1637"/>
    <w:rsid w:val="00DD4863"/>
    <w:rsid w:val="00DD50D3"/>
    <w:rsid w:val="00DE109C"/>
    <w:rsid w:val="00DE21CC"/>
    <w:rsid w:val="00DE2AD8"/>
    <w:rsid w:val="00DF1A8C"/>
    <w:rsid w:val="00DF6D70"/>
    <w:rsid w:val="00E02BCC"/>
    <w:rsid w:val="00E039BC"/>
    <w:rsid w:val="00E05D9C"/>
    <w:rsid w:val="00E221AD"/>
    <w:rsid w:val="00E244B0"/>
    <w:rsid w:val="00E2678C"/>
    <w:rsid w:val="00E30262"/>
    <w:rsid w:val="00E321BF"/>
    <w:rsid w:val="00E378CE"/>
    <w:rsid w:val="00E41758"/>
    <w:rsid w:val="00E442E1"/>
    <w:rsid w:val="00E46D23"/>
    <w:rsid w:val="00E52A62"/>
    <w:rsid w:val="00E52B57"/>
    <w:rsid w:val="00E577F7"/>
    <w:rsid w:val="00E61759"/>
    <w:rsid w:val="00E65DB6"/>
    <w:rsid w:val="00E6695C"/>
    <w:rsid w:val="00E709A0"/>
    <w:rsid w:val="00E70EAA"/>
    <w:rsid w:val="00E724E8"/>
    <w:rsid w:val="00E75FC5"/>
    <w:rsid w:val="00E84271"/>
    <w:rsid w:val="00E91CBB"/>
    <w:rsid w:val="00E97FC7"/>
    <w:rsid w:val="00EA0AE9"/>
    <w:rsid w:val="00EA199B"/>
    <w:rsid w:val="00EB3C99"/>
    <w:rsid w:val="00EC1917"/>
    <w:rsid w:val="00EC5D20"/>
    <w:rsid w:val="00EC7695"/>
    <w:rsid w:val="00ED3BF7"/>
    <w:rsid w:val="00ED676F"/>
    <w:rsid w:val="00EE0EAC"/>
    <w:rsid w:val="00EE66D2"/>
    <w:rsid w:val="00EF283B"/>
    <w:rsid w:val="00EF4EE7"/>
    <w:rsid w:val="00EF5EFA"/>
    <w:rsid w:val="00EF69D7"/>
    <w:rsid w:val="00EF6A21"/>
    <w:rsid w:val="00F041EA"/>
    <w:rsid w:val="00F061DE"/>
    <w:rsid w:val="00F11B66"/>
    <w:rsid w:val="00F13892"/>
    <w:rsid w:val="00F17C96"/>
    <w:rsid w:val="00F226DB"/>
    <w:rsid w:val="00F31999"/>
    <w:rsid w:val="00F31D23"/>
    <w:rsid w:val="00F351BC"/>
    <w:rsid w:val="00F36819"/>
    <w:rsid w:val="00F4298F"/>
    <w:rsid w:val="00F450E1"/>
    <w:rsid w:val="00F4666A"/>
    <w:rsid w:val="00F51A99"/>
    <w:rsid w:val="00F6514C"/>
    <w:rsid w:val="00F66E2F"/>
    <w:rsid w:val="00F7112B"/>
    <w:rsid w:val="00F7124D"/>
    <w:rsid w:val="00F75EE3"/>
    <w:rsid w:val="00F8220A"/>
    <w:rsid w:val="00F83597"/>
    <w:rsid w:val="00F83EA1"/>
    <w:rsid w:val="00F87B9A"/>
    <w:rsid w:val="00F972AE"/>
    <w:rsid w:val="00FA0955"/>
    <w:rsid w:val="00FA3F6E"/>
    <w:rsid w:val="00FA5F40"/>
    <w:rsid w:val="00FA64EF"/>
    <w:rsid w:val="00FB7CBA"/>
    <w:rsid w:val="00FC19B6"/>
    <w:rsid w:val="00FC261A"/>
    <w:rsid w:val="00FC4DFE"/>
    <w:rsid w:val="00FD1024"/>
    <w:rsid w:val="00FD536C"/>
    <w:rsid w:val="00FD6FC9"/>
    <w:rsid w:val="00FE5124"/>
    <w:rsid w:val="00FE5473"/>
    <w:rsid w:val="00FE7F47"/>
    <w:rsid w:val="00FF087F"/>
    <w:rsid w:val="00FF268E"/>
    <w:rsid w:val="00FF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165AB"/>
  <w15:chartTrackingRefBased/>
  <w15:docId w15:val="{420DB7D4-03A5-7146-8585-0E165303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E7"/>
    <w:rPr>
      <w:rFonts w:ascii="Times New Roman" w:eastAsia="Times New Roman" w:hAnsi="Times New Roman" w:cs="Times New Roman"/>
      <w:lang w:eastAsia="en-GB"/>
    </w:rPr>
  </w:style>
  <w:style w:type="paragraph" w:styleId="Heading1">
    <w:name w:val="heading 1"/>
    <w:basedOn w:val="Normal"/>
    <w:link w:val="Heading1Char"/>
    <w:uiPriority w:val="9"/>
    <w:qFormat/>
    <w:rsid w:val="00C33B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386"/>
  </w:style>
  <w:style w:type="paragraph" w:styleId="ListParagraph">
    <w:name w:val="List Paragraph"/>
    <w:basedOn w:val="Normal"/>
    <w:uiPriority w:val="34"/>
    <w:qFormat/>
    <w:rsid w:val="005A7B38"/>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8C4DB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C4DB2"/>
  </w:style>
  <w:style w:type="character" w:styleId="PageNumber">
    <w:name w:val="page number"/>
    <w:basedOn w:val="DefaultParagraphFont"/>
    <w:uiPriority w:val="99"/>
    <w:semiHidden/>
    <w:unhideWhenUsed/>
    <w:rsid w:val="008C4DB2"/>
  </w:style>
  <w:style w:type="paragraph" w:styleId="Header">
    <w:name w:val="header"/>
    <w:basedOn w:val="Normal"/>
    <w:link w:val="HeaderChar"/>
    <w:uiPriority w:val="99"/>
    <w:unhideWhenUsed/>
    <w:rsid w:val="008C4DB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C4DB2"/>
  </w:style>
  <w:style w:type="character" w:styleId="Emphasis">
    <w:name w:val="Emphasis"/>
    <w:basedOn w:val="DefaultParagraphFont"/>
    <w:uiPriority w:val="20"/>
    <w:qFormat/>
    <w:rsid w:val="00545A7D"/>
    <w:rPr>
      <w:i/>
      <w:iCs/>
    </w:rPr>
  </w:style>
  <w:style w:type="paragraph" w:styleId="FootnoteText">
    <w:name w:val="footnote text"/>
    <w:basedOn w:val="Normal"/>
    <w:link w:val="FootnoteTextChar"/>
    <w:uiPriority w:val="99"/>
    <w:semiHidden/>
    <w:unhideWhenUsed/>
    <w:rsid w:val="0064172F"/>
    <w:rPr>
      <w:sz w:val="20"/>
      <w:szCs w:val="20"/>
    </w:rPr>
  </w:style>
  <w:style w:type="character" w:customStyle="1" w:styleId="FootnoteTextChar">
    <w:name w:val="Footnote Text Char"/>
    <w:basedOn w:val="DefaultParagraphFont"/>
    <w:link w:val="FootnoteText"/>
    <w:uiPriority w:val="99"/>
    <w:semiHidden/>
    <w:rsid w:val="0064172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4172F"/>
    <w:rPr>
      <w:vertAlign w:val="superscript"/>
    </w:rPr>
  </w:style>
  <w:style w:type="paragraph" w:customStyle="1" w:styleId="c01pointnumerotealtn">
    <w:name w:val="c01pointnumerotealtn"/>
    <w:basedOn w:val="Normal"/>
    <w:rsid w:val="0032414B"/>
    <w:pPr>
      <w:spacing w:before="100" w:beforeAutospacing="1" w:after="100" w:afterAutospacing="1"/>
    </w:pPr>
  </w:style>
  <w:style w:type="character" w:customStyle="1" w:styleId="Heading1Char">
    <w:name w:val="Heading 1 Char"/>
    <w:basedOn w:val="DefaultParagraphFont"/>
    <w:link w:val="Heading1"/>
    <w:uiPriority w:val="9"/>
    <w:rsid w:val="00C33B0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177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539">
      <w:bodyDiv w:val="1"/>
      <w:marLeft w:val="0"/>
      <w:marRight w:val="0"/>
      <w:marTop w:val="0"/>
      <w:marBottom w:val="0"/>
      <w:divBdr>
        <w:top w:val="none" w:sz="0" w:space="0" w:color="auto"/>
        <w:left w:val="none" w:sz="0" w:space="0" w:color="auto"/>
        <w:bottom w:val="none" w:sz="0" w:space="0" w:color="auto"/>
        <w:right w:val="none" w:sz="0" w:space="0" w:color="auto"/>
      </w:divBdr>
      <w:divsChild>
        <w:div w:id="1270895805">
          <w:marLeft w:val="0"/>
          <w:marRight w:val="0"/>
          <w:marTop w:val="0"/>
          <w:marBottom w:val="0"/>
          <w:divBdr>
            <w:top w:val="none" w:sz="0" w:space="0" w:color="auto"/>
            <w:left w:val="none" w:sz="0" w:space="0" w:color="auto"/>
            <w:bottom w:val="none" w:sz="0" w:space="0" w:color="auto"/>
            <w:right w:val="none" w:sz="0" w:space="0" w:color="auto"/>
          </w:divBdr>
          <w:divsChild>
            <w:div w:id="1159418607">
              <w:marLeft w:val="0"/>
              <w:marRight w:val="0"/>
              <w:marTop w:val="0"/>
              <w:marBottom w:val="0"/>
              <w:divBdr>
                <w:top w:val="none" w:sz="0" w:space="0" w:color="auto"/>
                <w:left w:val="none" w:sz="0" w:space="0" w:color="auto"/>
                <w:bottom w:val="none" w:sz="0" w:space="0" w:color="auto"/>
                <w:right w:val="none" w:sz="0" w:space="0" w:color="auto"/>
              </w:divBdr>
              <w:divsChild>
                <w:div w:id="1001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6435">
      <w:bodyDiv w:val="1"/>
      <w:marLeft w:val="0"/>
      <w:marRight w:val="0"/>
      <w:marTop w:val="0"/>
      <w:marBottom w:val="0"/>
      <w:divBdr>
        <w:top w:val="none" w:sz="0" w:space="0" w:color="auto"/>
        <w:left w:val="none" w:sz="0" w:space="0" w:color="auto"/>
        <w:bottom w:val="none" w:sz="0" w:space="0" w:color="auto"/>
        <w:right w:val="none" w:sz="0" w:space="0" w:color="auto"/>
      </w:divBdr>
      <w:divsChild>
        <w:div w:id="1481580036">
          <w:marLeft w:val="0"/>
          <w:marRight w:val="0"/>
          <w:marTop w:val="0"/>
          <w:marBottom w:val="0"/>
          <w:divBdr>
            <w:top w:val="none" w:sz="0" w:space="0" w:color="auto"/>
            <w:left w:val="none" w:sz="0" w:space="0" w:color="auto"/>
            <w:bottom w:val="none" w:sz="0" w:space="0" w:color="auto"/>
            <w:right w:val="none" w:sz="0" w:space="0" w:color="auto"/>
          </w:divBdr>
          <w:divsChild>
            <w:div w:id="798764121">
              <w:marLeft w:val="0"/>
              <w:marRight w:val="0"/>
              <w:marTop w:val="0"/>
              <w:marBottom w:val="0"/>
              <w:divBdr>
                <w:top w:val="none" w:sz="0" w:space="0" w:color="auto"/>
                <w:left w:val="none" w:sz="0" w:space="0" w:color="auto"/>
                <w:bottom w:val="none" w:sz="0" w:space="0" w:color="auto"/>
                <w:right w:val="none" w:sz="0" w:space="0" w:color="auto"/>
              </w:divBdr>
              <w:divsChild>
                <w:div w:id="6707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8564">
      <w:bodyDiv w:val="1"/>
      <w:marLeft w:val="0"/>
      <w:marRight w:val="0"/>
      <w:marTop w:val="0"/>
      <w:marBottom w:val="0"/>
      <w:divBdr>
        <w:top w:val="none" w:sz="0" w:space="0" w:color="auto"/>
        <w:left w:val="none" w:sz="0" w:space="0" w:color="auto"/>
        <w:bottom w:val="none" w:sz="0" w:space="0" w:color="auto"/>
        <w:right w:val="none" w:sz="0" w:space="0" w:color="auto"/>
      </w:divBdr>
    </w:div>
    <w:div w:id="199706379">
      <w:bodyDiv w:val="1"/>
      <w:marLeft w:val="0"/>
      <w:marRight w:val="0"/>
      <w:marTop w:val="0"/>
      <w:marBottom w:val="0"/>
      <w:divBdr>
        <w:top w:val="none" w:sz="0" w:space="0" w:color="auto"/>
        <w:left w:val="none" w:sz="0" w:space="0" w:color="auto"/>
        <w:bottom w:val="none" w:sz="0" w:space="0" w:color="auto"/>
        <w:right w:val="none" w:sz="0" w:space="0" w:color="auto"/>
      </w:divBdr>
    </w:div>
    <w:div w:id="222564866">
      <w:bodyDiv w:val="1"/>
      <w:marLeft w:val="0"/>
      <w:marRight w:val="0"/>
      <w:marTop w:val="0"/>
      <w:marBottom w:val="0"/>
      <w:divBdr>
        <w:top w:val="none" w:sz="0" w:space="0" w:color="auto"/>
        <w:left w:val="none" w:sz="0" w:space="0" w:color="auto"/>
        <w:bottom w:val="none" w:sz="0" w:space="0" w:color="auto"/>
        <w:right w:val="none" w:sz="0" w:space="0" w:color="auto"/>
      </w:divBdr>
    </w:div>
    <w:div w:id="228394082">
      <w:bodyDiv w:val="1"/>
      <w:marLeft w:val="0"/>
      <w:marRight w:val="0"/>
      <w:marTop w:val="0"/>
      <w:marBottom w:val="0"/>
      <w:divBdr>
        <w:top w:val="none" w:sz="0" w:space="0" w:color="auto"/>
        <w:left w:val="none" w:sz="0" w:space="0" w:color="auto"/>
        <w:bottom w:val="none" w:sz="0" w:space="0" w:color="auto"/>
        <w:right w:val="none" w:sz="0" w:space="0" w:color="auto"/>
      </w:divBdr>
    </w:div>
    <w:div w:id="233322911">
      <w:bodyDiv w:val="1"/>
      <w:marLeft w:val="0"/>
      <w:marRight w:val="0"/>
      <w:marTop w:val="0"/>
      <w:marBottom w:val="0"/>
      <w:divBdr>
        <w:top w:val="none" w:sz="0" w:space="0" w:color="auto"/>
        <w:left w:val="none" w:sz="0" w:space="0" w:color="auto"/>
        <w:bottom w:val="none" w:sz="0" w:space="0" w:color="auto"/>
        <w:right w:val="none" w:sz="0" w:space="0" w:color="auto"/>
      </w:divBdr>
    </w:div>
    <w:div w:id="277219503">
      <w:bodyDiv w:val="1"/>
      <w:marLeft w:val="0"/>
      <w:marRight w:val="0"/>
      <w:marTop w:val="0"/>
      <w:marBottom w:val="0"/>
      <w:divBdr>
        <w:top w:val="none" w:sz="0" w:space="0" w:color="auto"/>
        <w:left w:val="none" w:sz="0" w:space="0" w:color="auto"/>
        <w:bottom w:val="none" w:sz="0" w:space="0" w:color="auto"/>
        <w:right w:val="none" w:sz="0" w:space="0" w:color="auto"/>
      </w:divBdr>
    </w:div>
    <w:div w:id="385227314">
      <w:bodyDiv w:val="1"/>
      <w:marLeft w:val="0"/>
      <w:marRight w:val="0"/>
      <w:marTop w:val="0"/>
      <w:marBottom w:val="0"/>
      <w:divBdr>
        <w:top w:val="none" w:sz="0" w:space="0" w:color="auto"/>
        <w:left w:val="none" w:sz="0" w:space="0" w:color="auto"/>
        <w:bottom w:val="none" w:sz="0" w:space="0" w:color="auto"/>
        <w:right w:val="none" w:sz="0" w:space="0" w:color="auto"/>
      </w:divBdr>
    </w:div>
    <w:div w:id="449474868">
      <w:bodyDiv w:val="1"/>
      <w:marLeft w:val="0"/>
      <w:marRight w:val="0"/>
      <w:marTop w:val="0"/>
      <w:marBottom w:val="0"/>
      <w:divBdr>
        <w:top w:val="none" w:sz="0" w:space="0" w:color="auto"/>
        <w:left w:val="none" w:sz="0" w:space="0" w:color="auto"/>
        <w:bottom w:val="none" w:sz="0" w:space="0" w:color="auto"/>
        <w:right w:val="none" w:sz="0" w:space="0" w:color="auto"/>
      </w:divBdr>
    </w:div>
    <w:div w:id="450175410">
      <w:bodyDiv w:val="1"/>
      <w:marLeft w:val="0"/>
      <w:marRight w:val="0"/>
      <w:marTop w:val="0"/>
      <w:marBottom w:val="0"/>
      <w:divBdr>
        <w:top w:val="none" w:sz="0" w:space="0" w:color="auto"/>
        <w:left w:val="none" w:sz="0" w:space="0" w:color="auto"/>
        <w:bottom w:val="none" w:sz="0" w:space="0" w:color="auto"/>
        <w:right w:val="none" w:sz="0" w:space="0" w:color="auto"/>
      </w:divBdr>
    </w:div>
    <w:div w:id="452938831">
      <w:bodyDiv w:val="1"/>
      <w:marLeft w:val="0"/>
      <w:marRight w:val="0"/>
      <w:marTop w:val="0"/>
      <w:marBottom w:val="0"/>
      <w:divBdr>
        <w:top w:val="none" w:sz="0" w:space="0" w:color="auto"/>
        <w:left w:val="none" w:sz="0" w:space="0" w:color="auto"/>
        <w:bottom w:val="none" w:sz="0" w:space="0" w:color="auto"/>
        <w:right w:val="none" w:sz="0" w:space="0" w:color="auto"/>
      </w:divBdr>
    </w:div>
    <w:div w:id="471482609">
      <w:bodyDiv w:val="1"/>
      <w:marLeft w:val="0"/>
      <w:marRight w:val="0"/>
      <w:marTop w:val="0"/>
      <w:marBottom w:val="0"/>
      <w:divBdr>
        <w:top w:val="none" w:sz="0" w:space="0" w:color="auto"/>
        <w:left w:val="none" w:sz="0" w:space="0" w:color="auto"/>
        <w:bottom w:val="none" w:sz="0" w:space="0" w:color="auto"/>
        <w:right w:val="none" w:sz="0" w:space="0" w:color="auto"/>
      </w:divBdr>
    </w:div>
    <w:div w:id="473178078">
      <w:bodyDiv w:val="1"/>
      <w:marLeft w:val="0"/>
      <w:marRight w:val="0"/>
      <w:marTop w:val="0"/>
      <w:marBottom w:val="0"/>
      <w:divBdr>
        <w:top w:val="none" w:sz="0" w:space="0" w:color="auto"/>
        <w:left w:val="none" w:sz="0" w:space="0" w:color="auto"/>
        <w:bottom w:val="none" w:sz="0" w:space="0" w:color="auto"/>
        <w:right w:val="none" w:sz="0" w:space="0" w:color="auto"/>
      </w:divBdr>
    </w:div>
    <w:div w:id="481236436">
      <w:bodyDiv w:val="1"/>
      <w:marLeft w:val="0"/>
      <w:marRight w:val="0"/>
      <w:marTop w:val="0"/>
      <w:marBottom w:val="0"/>
      <w:divBdr>
        <w:top w:val="none" w:sz="0" w:space="0" w:color="auto"/>
        <w:left w:val="none" w:sz="0" w:space="0" w:color="auto"/>
        <w:bottom w:val="none" w:sz="0" w:space="0" w:color="auto"/>
        <w:right w:val="none" w:sz="0" w:space="0" w:color="auto"/>
      </w:divBdr>
    </w:div>
    <w:div w:id="484005009">
      <w:bodyDiv w:val="1"/>
      <w:marLeft w:val="0"/>
      <w:marRight w:val="0"/>
      <w:marTop w:val="0"/>
      <w:marBottom w:val="0"/>
      <w:divBdr>
        <w:top w:val="none" w:sz="0" w:space="0" w:color="auto"/>
        <w:left w:val="none" w:sz="0" w:space="0" w:color="auto"/>
        <w:bottom w:val="none" w:sz="0" w:space="0" w:color="auto"/>
        <w:right w:val="none" w:sz="0" w:space="0" w:color="auto"/>
      </w:divBdr>
    </w:div>
    <w:div w:id="487793702">
      <w:bodyDiv w:val="1"/>
      <w:marLeft w:val="0"/>
      <w:marRight w:val="0"/>
      <w:marTop w:val="0"/>
      <w:marBottom w:val="0"/>
      <w:divBdr>
        <w:top w:val="none" w:sz="0" w:space="0" w:color="auto"/>
        <w:left w:val="none" w:sz="0" w:space="0" w:color="auto"/>
        <w:bottom w:val="none" w:sz="0" w:space="0" w:color="auto"/>
        <w:right w:val="none" w:sz="0" w:space="0" w:color="auto"/>
      </w:divBdr>
    </w:div>
    <w:div w:id="605842998">
      <w:bodyDiv w:val="1"/>
      <w:marLeft w:val="0"/>
      <w:marRight w:val="0"/>
      <w:marTop w:val="0"/>
      <w:marBottom w:val="0"/>
      <w:divBdr>
        <w:top w:val="none" w:sz="0" w:space="0" w:color="auto"/>
        <w:left w:val="none" w:sz="0" w:space="0" w:color="auto"/>
        <w:bottom w:val="none" w:sz="0" w:space="0" w:color="auto"/>
        <w:right w:val="none" w:sz="0" w:space="0" w:color="auto"/>
      </w:divBdr>
    </w:div>
    <w:div w:id="670448970">
      <w:bodyDiv w:val="1"/>
      <w:marLeft w:val="0"/>
      <w:marRight w:val="0"/>
      <w:marTop w:val="0"/>
      <w:marBottom w:val="0"/>
      <w:divBdr>
        <w:top w:val="none" w:sz="0" w:space="0" w:color="auto"/>
        <w:left w:val="none" w:sz="0" w:space="0" w:color="auto"/>
        <w:bottom w:val="none" w:sz="0" w:space="0" w:color="auto"/>
        <w:right w:val="none" w:sz="0" w:space="0" w:color="auto"/>
      </w:divBdr>
    </w:div>
    <w:div w:id="710374961">
      <w:bodyDiv w:val="1"/>
      <w:marLeft w:val="0"/>
      <w:marRight w:val="0"/>
      <w:marTop w:val="0"/>
      <w:marBottom w:val="0"/>
      <w:divBdr>
        <w:top w:val="none" w:sz="0" w:space="0" w:color="auto"/>
        <w:left w:val="none" w:sz="0" w:space="0" w:color="auto"/>
        <w:bottom w:val="none" w:sz="0" w:space="0" w:color="auto"/>
        <w:right w:val="none" w:sz="0" w:space="0" w:color="auto"/>
      </w:divBdr>
    </w:div>
    <w:div w:id="806895336">
      <w:bodyDiv w:val="1"/>
      <w:marLeft w:val="0"/>
      <w:marRight w:val="0"/>
      <w:marTop w:val="0"/>
      <w:marBottom w:val="0"/>
      <w:divBdr>
        <w:top w:val="none" w:sz="0" w:space="0" w:color="auto"/>
        <w:left w:val="none" w:sz="0" w:space="0" w:color="auto"/>
        <w:bottom w:val="none" w:sz="0" w:space="0" w:color="auto"/>
        <w:right w:val="none" w:sz="0" w:space="0" w:color="auto"/>
      </w:divBdr>
    </w:div>
    <w:div w:id="813527990">
      <w:bodyDiv w:val="1"/>
      <w:marLeft w:val="0"/>
      <w:marRight w:val="0"/>
      <w:marTop w:val="0"/>
      <w:marBottom w:val="0"/>
      <w:divBdr>
        <w:top w:val="none" w:sz="0" w:space="0" w:color="auto"/>
        <w:left w:val="none" w:sz="0" w:space="0" w:color="auto"/>
        <w:bottom w:val="none" w:sz="0" w:space="0" w:color="auto"/>
        <w:right w:val="none" w:sz="0" w:space="0" w:color="auto"/>
      </w:divBdr>
    </w:div>
    <w:div w:id="822544374">
      <w:bodyDiv w:val="1"/>
      <w:marLeft w:val="0"/>
      <w:marRight w:val="0"/>
      <w:marTop w:val="0"/>
      <w:marBottom w:val="0"/>
      <w:divBdr>
        <w:top w:val="none" w:sz="0" w:space="0" w:color="auto"/>
        <w:left w:val="none" w:sz="0" w:space="0" w:color="auto"/>
        <w:bottom w:val="none" w:sz="0" w:space="0" w:color="auto"/>
        <w:right w:val="none" w:sz="0" w:space="0" w:color="auto"/>
      </w:divBdr>
    </w:div>
    <w:div w:id="844439711">
      <w:bodyDiv w:val="1"/>
      <w:marLeft w:val="0"/>
      <w:marRight w:val="0"/>
      <w:marTop w:val="0"/>
      <w:marBottom w:val="0"/>
      <w:divBdr>
        <w:top w:val="none" w:sz="0" w:space="0" w:color="auto"/>
        <w:left w:val="none" w:sz="0" w:space="0" w:color="auto"/>
        <w:bottom w:val="none" w:sz="0" w:space="0" w:color="auto"/>
        <w:right w:val="none" w:sz="0" w:space="0" w:color="auto"/>
      </w:divBdr>
    </w:div>
    <w:div w:id="902449754">
      <w:bodyDiv w:val="1"/>
      <w:marLeft w:val="0"/>
      <w:marRight w:val="0"/>
      <w:marTop w:val="0"/>
      <w:marBottom w:val="0"/>
      <w:divBdr>
        <w:top w:val="none" w:sz="0" w:space="0" w:color="auto"/>
        <w:left w:val="none" w:sz="0" w:space="0" w:color="auto"/>
        <w:bottom w:val="none" w:sz="0" w:space="0" w:color="auto"/>
        <w:right w:val="none" w:sz="0" w:space="0" w:color="auto"/>
      </w:divBdr>
    </w:div>
    <w:div w:id="907808556">
      <w:bodyDiv w:val="1"/>
      <w:marLeft w:val="0"/>
      <w:marRight w:val="0"/>
      <w:marTop w:val="0"/>
      <w:marBottom w:val="0"/>
      <w:divBdr>
        <w:top w:val="none" w:sz="0" w:space="0" w:color="auto"/>
        <w:left w:val="none" w:sz="0" w:space="0" w:color="auto"/>
        <w:bottom w:val="none" w:sz="0" w:space="0" w:color="auto"/>
        <w:right w:val="none" w:sz="0" w:space="0" w:color="auto"/>
      </w:divBdr>
      <w:divsChild>
        <w:div w:id="275453171">
          <w:marLeft w:val="0"/>
          <w:marRight w:val="0"/>
          <w:marTop w:val="0"/>
          <w:marBottom w:val="0"/>
          <w:divBdr>
            <w:top w:val="none" w:sz="0" w:space="0" w:color="auto"/>
            <w:left w:val="none" w:sz="0" w:space="0" w:color="auto"/>
            <w:bottom w:val="none" w:sz="0" w:space="0" w:color="auto"/>
            <w:right w:val="none" w:sz="0" w:space="0" w:color="auto"/>
          </w:divBdr>
          <w:divsChild>
            <w:div w:id="563179672">
              <w:marLeft w:val="0"/>
              <w:marRight w:val="0"/>
              <w:marTop w:val="0"/>
              <w:marBottom w:val="0"/>
              <w:divBdr>
                <w:top w:val="none" w:sz="0" w:space="0" w:color="auto"/>
                <w:left w:val="none" w:sz="0" w:space="0" w:color="auto"/>
                <w:bottom w:val="none" w:sz="0" w:space="0" w:color="auto"/>
                <w:right w:val="none" w:sz="0" w:space="0" w:color="auto"/>
              </w:divBdr>
              <w:divsChild>
                <w:div w:id="973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8196">
      <w:bodyDiv w:val="1"/>
      <w:marLeft w:val="0"/>
      <w:marRight w:val="0"/>
      <w:marTop w:val="0"/>
      <w:marBottom w:val="0"/>
      <w:divBdr>
        <w:top w:val="none" w:sz="0" w:space="0" w:color="auto"/>
        <w:left w:val="none" w:sz="0" w:space="0" w:color="auto"/>
        <w:bottom w:val="none" w:sz="0" w:space="0" w:color="auto"/>
        <w:right w:val="none" w:sz="0" w:space="0" w:color="auto"/>
      </w:divBdr>
    </w:div>
    <w:div w:id="943539135">
      <w:bodyDiv w:val="1"/>
      <w:marLeft w:val="0"/>
      <w:marRight w:val="0"/>
      <w:marTop w:val="0"/>
      <w:marBottom w:val="0"/>
      <w:divBdr>
        <w:top w:val="none" w:sz="0" w:space="0" w:color="auto"/>
        <w:left w:val="none" w:sz="0" w:space="0" w:color="auto"/>
        <w:bottom w:val="none" w:sz="0" w:space="0" w:color="auto"/>
        <w:right w:val="none" w:sz="0" w:space="0" w:color="auto"/>
      </w:divBdr>
    </w:div>
    <w:div w:id="968977844">
      <w:bodyDiv w:val="1"/>
      <w:marLeft w:val="0"/>
      <w:marRight w:val="0"/>
      <w:marTop w:val="0"/>
      <w:marBottom w:val="0"/>
      <w:divBdr>
        <w:top w:val="none" w:sz="0" w:space="0" w:color="auto"/>
        <w:left w:val="none" w:sz="0" w:space="0" w:color="auto"/>
        <w:bottom w:val="none" w:sz="0" w:space="0" w:color="auto"/>
        <w:right w:val="none" w:sz="0" w:space="0" w:color="auto"/>
      </w:divBdr>
    </w:div>
    <w:div w:id="1060860469">
      <w:bodyDiv w:val="1"/>
      <w:marLeft w:val="0"/>
      <w:marRight w:val="0"/>
      <w:marTop w:val="0"/>
      <w:marBottom w:val="0"/>
      <w:divBdr>
        <w:top w:val="none" w:sz="0" w:space="0" w:color="auto"/>
        <w:left w:val="none" w:sz="0" w:space="0" w:color="auto"/>
        <w:bottom w:val="none" w:sz="0" w:space="0" w:color="auto"/>
        <w:right w:val="none" w:sz="0" w:space="0" w:color="auto"/>
      </w:divBdr>
    </w:div>
    <w:div w:id="1175413428">
      <w:bodyDiv w:val="1"/>
      <w:marLeft w:val="0"/>
      <w:marRight w:val="0"/>
      <w:marTop w:val="0"/>
      <w:marBottom w:val="0"/>
      <w:divBdr>
        <w:top w:val="none" w:sz="0" w:space="0" w:color="auto"/>
        <w:left w:val="none" w:sz="0" w:space="0" w:color="auto"/>
        <w:bottom w:val="none" w:sz="0" w:space="0" w:color="auto"/>
        <w:right w:val="none" w:sz="0" w:space="0" w:color="auto"/>
      </w:divBdr>
    </w:div>
    <w:div w:id="1227687628">
      <w:bodyDiv w:val="1"/>
      <w:marLeft w:val="0"/>
      <w:marRight w:val="0"/>
      <w:marTop w:val="0"/>
      <w:marBottom w:val="0"/>
      <w:divBdr>
        <w:top w:val="none" w:sz="0" w:space="0" w:color="auto"/>
        <w:left w:val="none" w:sz="0" w:space="0" w:color="auto"/>
        <w:bottom w:val="none" w:sz="0" w:space="0" w:color="auto"/>
        <w:right w:val="none" w:sz="0" w:space="0" w:color="auto"/>
      </w:divBdr>
    </w:div>
    <w:div w:id="1242987497">
      <w:bodyDiv w:val="1"/>
      <w:marLeft w:val="0"/>
      <w:marRight w:val="0"/>
      <w:marTop w:val="0"/>
      <w:marBottom w:val="0"/>
      <w:divBdr>
        <w:top w:val="none" w:sz="0" w:space="0" w:color="auto"/>
        <w:left w:val="none" w:sz="0" w:space="0" w:color="auto"/>
        <w:bottom w:val="none" w:sz="0" w:space="0" w:color="auto"/>
        <w:right w:val="none" w:sz="0" w:space="0" w:color="auto"/>
      </w:divBdr>
    </w:div>
    <w:div w:id="1279095314">
      <w:bodyDiv w:val="1"/>
      <w:marLeft w:val="0"/>
      <w:marRight w:val="0"/>
      <w:marTop w:val="0"/>
      <w:marBottom w:val="0"/>
      <w:divBdr>
        <w:top w:val="none" w:sz="0" w:space="0" w:color="auto"/>
        <w:left w:val="none" w:sz="0" w:space="0" w:color="auto"/>
        <w:bottom w:val="none" w:sz="0" w:space="0" w:color="auto"/>
        <w:right w:val="none" w:sz="0" w:space="0" w:color="auto"/>
      </w:divBdr>
    </w:div>
    <w:div w:id="1286229500">
      <w:bodyDiv w:val="1"/>
      <w:marLeft w:val="0"/>
      <w:marRight w:val="0"/>
      <w:marTop w:val="0"/>
      <w:marBottom w:val="0"/>
      <w:divBdr>
        <w:top w:val="none" w:sz="0" w:space="0" w:color="auto"/>
        <w:left w:val="none" w:sz="0" w:space="0" w:color="auto"/>
        <w:bottom w:val="none" w:sz="0" w:space="0" w:color="auto"/>
        <w:right w:val="none" w:sz="0" w:space="0" w:color="auto"/>
      </w:divBdr>
    </w:div>
    <w:div w:id="1314141486">
      <w:bodyDiv w:val="1"/>
      <w:marLeft w:val="0"/>
      <w:marRight w:val="0"/>
      <w:marTop w:val="0"/>
      <w:marBottom w:val="0"/>
      <w:divBdr>
        <w:top w:val="none" w:sz="0" w:space="0" w:color="auto"/>
        <w:left w:val="none" w:sz="0" w:space="0" w:color="auto"/>
        <w:bottom w:val="none" w:sz="0" w:space="0" w:color="auto"/>
        <w:right w:val="none" w:sz="0" w:space="0" w:color="auto"/>
      </w:divBdr>
    </w:div>
    <w:div w:id="1386249841">
      <w:bodyDiv w:val="1"/>
      <w:marLeft w:val="0"/>
      <w:marRight w:val="0"/>
      <w:marTop w:val="0"/>
      <w:marBottom w:val="0"/>
      <w:divBdr>
        <w:top w:val="none" w:sz="0" w:space="0" w:color="auto"/>
        <w:left w:val="none" w:sz="0" w:space="0" w:color="auto"/>
        <w:bottom w:val="none" w:sz="0" w:space="0" w:color="auto"/>
        <w:right w:val="none" w:sz="0" w:space="0" w:color="auto"/>
      </w:divBdr>
    </w:div>
    <w:div w:id="1398553162">
      <w:bodyDiv w:val="1"/>
      <w:marLeft w:val="0"/>
      <w:marRight w:val="0"/>
      <w:marTop w:val="0"/>
      <w:marBottom w:val="0"/>
      <w:divBdr>
        <w:top w:val="none" w:sz="0" w:space="0" w:color="auto"/>
        <w:left w:val="none" w:sz="0" w:space="0" w:color="auto"/>
        <w:bottom w:val="none" w:sz="0" w:space="0" w:color="auto"/>
        <w:right w:val="none" w:sz="0" w:space="0" w:color="auto"/>
      </w:divBdr>
    </w:div>
    <w:div w:id="1402212128">
      <w:bodyDiv w:val="1"/>
      <w:marLeft w:val="0"/>
      <w:marRight w:val="0"/>
      <w:marTop w:val="0"/>
      <w:marBottom w:val="0"/>
      <w:divBdr>
        <w:top w:val="none" w:sz="0" w:space="0" w:color="auto"/>
        <w:left w:val="none" w:sz="0" w:space="0" w:color="auto"/>
        <w:bottom w:val="none" w:sz="0" w:space="0" w:color="auto"/>
        <w:right w:val="none" w:sz="0" w:space="0" w:color="auto"/>
      </w:divBdr>
    </w:div>
    <w:div w:id="1457605375">
      <w:bodyDiv w:val="1"/>
      <w:marLeft w:val="0"/>
      <w:marRight w:val="0"/>
      <w:marTop w:val="0"/>
      <w:marBottom w:val="0"/>
      <w:divBdr>
        <w:top w:val="none" w:sz="0" w:space="0" w:color="auto"/>
        <w:left w:val="none" w:sz="0" w:space="0" w:color="auto"/>
        <w:bottom w:val="none" w:sz="0" w:space="0" w:color="auto"/>
        <w:right w:val="none" w:sz="0" w:space="0" w:color="auto"/>
      </w:divBdr>
    </w:div>
    <w:div w:id="1570189986">
      <w:bodyDiv w:val="1"/>
      <w:marLeft w:val="0"/>
      <w:marRight w:val="0"/>
      <w:marTop w:val="0"/>
      <w:marBottom w:val="0"/>
      <w:divBdr>
        <w:top w:val="none" w:sz="0" w:space="0" w:color="auto"/>
        <w:left w:val="none" w:sz="0" w:space="0" w:color="auto"/>
        <w:bottom w:val="none" w:sz="0" w:space="0" w:color="auto"/>
        <w:right w:val="none" w:sz="0" w:space="0" w:color="auto"/>
      </w:divBdr>
      <w:divsChild>
        <w:div w:id="1103115260">
          <w:marLeft w:val="0"/>
          <w:marRight w:val="0"/>
          <w:marTop w:val="0"/>
          <w:marBottom w:val="0"/>
          <w:divBdr>
            <w:top w:val="none" w:sz="0" w:space="0" w:color="auto"/>
            <w:left w:val="none" w:sz="0" w:space="0" w:color="auto"/>
            <w:bottom w:val="none" w:sz="0" w:space="0" w:color="auto"/>
            <w:right w:val="none" w:sz="0" w:space="0" w:color="auto"/>
          </w:divBdr>
          <w:divsChild>
            <w:div w:id="1548834193">
              <w:marLeft w:val="0"/>
              <w:marRight w:val="0"/>
              <w:marTop w:val="0"/>
              <w:marBottom w:val="0"/>
              <w:divBdr>
                <w:top w:val="none" w:sz="0" w:space="0" w:color="auto"/>
                <w:left w:val="none" w:sz="0" w:space="0" w:color="auto"/>
                <w:bottom w:val="none" w:sz="0" w:space="0" w:color="auto"/>
                <w:right w:val="none" w:sz="0" w:space="0" w:color="auto"/>
              </w:divBdr>
              <w:divsChild>
                <w:div w:id="625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7150">
      <w:bodyDiv w:val="1"/>
      <w:marLeft w:val="0"/>
      <w:marRight w:val="0"/>
      <w:marTop w:val="0"/>
      <w:marBottom w:val="0"/>
      <w:divBdr>
        <w:top w:val="none" w:sz="0" w:space="0" w:color="auto"/>
        <w:left w:val="none" w:sz="0" w:space="0" w:color="auto"/>
        <w:bottom w:val="none" w:sz="0" w:space="0" w:color="auto"/>
        <w:right w:val="none" w:sz="0" w:space="0" w:color="auto"/>
      </w:divBdr>
    </w:div>
    <w:div w:id="1581254359">
      <w:bodyDiv w:val="1"/>
      <w:marLeft w:val="0"/>
      <w:marRight w:val="0"/>
      <w:marTop w:val="0"/>
      <w:marBottom w:val="0"/>
      <w:divBdr>
        <w:top w:val="none" w:sz="0" w:space="0" w:color="auto"/>
        <w:left w:val="none" w:sz="0" w:space="0" w:color="auto"/>
        <w:bottom w:val="none" w:sz="0" w:space="0" w:color="auto"/>
        <w:right w:val="none" w:sz="0" w:space="0" w:color="auto"/>
      </w:divBdr>
    </w:div>
    <w:div w:id="1616328779">
      <w:bodyDiv w:val="1"/>
      <w:marLeft w:val="0"/>
      <w:marRight w:val="0"/>
      <w:marTop w:val="0"/>
      <w:marBottom w:val="0"/>
      <w:divBdr>
        <w:top w:val="none" w:sz="0" w:space="0" w:color="auto"/>
        <w:left w:val="none" w:sz="0" w:space="0" w:color="auto"/>
        <w:bottom w:val="none" w:sz="0" w:space="0" w:color="auto"/>
        <w:right w:val="none" w:sz="0" w:space="0" w:color="auto"/>
      </w:divBdr>
    </w:div>
    <w:div w:id="1698695718">
      <w:bodyDiv w:val="1"/>
      <w:marLeft w:val="0"/>
      <w:marRight w:val="0"/>
      <w:marTop w:val="0"/>
      <w:marBottom w:val="0"/>
      <w:divBdr>
        <w:top w:val="none" w:sz="0" w:space="0" w:color="auto"/>
        <w:left w:val="none" w:sz="0" w:space="0" w:color="auto"/>
        <w:bottom w:val="none" w:sz="0" w:space="0" w:color="auto"/>
        <w:right w:val="none" w:sz="0" w:space="0" w:color="auto"/>
      </w:divBdr>
    </w:div>
    <w:div w:id="1699309875">
      <w:bodyDiv w:val="1"/>
      <w:marLeft w:val="0"/>
      <w:marRight w:val="0"/>
      <w:marTop w:val="0"/>
      <w:marBottom w:val="0"/>
      <w:divBdr>
        <w:top w:val="none" w:sz="0" w:space="0" w:color="auto"/>
        <w:left w:val="none" w:sz="0" w:space="0" w:color="auto"/>
        <w:bottom w:val="none" w:sz="0" w:space="0" w:color="auto"/>
        <w:right w:val="none" w:sz="0" w:space="0" w:color="auto"/>
      </w:divBdr>
    </w:div>
    <w:div w:id="1763604845">
      <w:bodyDiv w:val="1"/>
      <w:marLeft w:val="0"/>
      <w:marRight w:val="0"/>
      <w:marTop w:val="0"/>
      <w:marBottom w:val="0"/>
      <w:divBdr>
        <w:top w:val="none" w:sz="0" w:space="0" w:color="auto"/>
        <w:left w:val="none" w:sz="0" w:space="0" w:color="auto"/>
        <w:bottom w:val="none" w:sz="0" w:space="0" w:color="auto"/>
        <w:right w:val="none" w:sz="0" w:space="0" w:color="auto"/>
      </w:divBdr>
    </w:div>
    <w:div w:id="1841650938">
      <w:bodyDiv w:val="1"/>
      <w:marLeft w:val="0"/>
      <w:marRight w:val="0"/>
      <w:marTop w:val="0"/>
      <w:marBottom w:val="0"/>
      <w:divBdr>
        <w:top w:val="none" w:sz="0" w:space="0" w:color="auto"/>
        <w:left w:val="none" w:sz="0" w:space="0" w:color="auto"/>
        <w:bottom w:val="none" w:sz="0" w:space="0" w:color="auto"/>
        <w:right w:val="none" w:sz="0" w:space="0" w:color="auto"/>
      </w:divBdr>
    </w:div>
    <w:div w:id="1851604778">
      <w:bodyDiv w:val="1"/>
      <w:marLeft w:val="0"/>
      <w:marRight w:val="0"/>
      <w:marTop w:val="0"/>
      <w:marBottom w:val="0"/>
      <w:divBdr>
        <w:top w:val="none" w:sz="0" w:space="0" w:color="auto"/>
        <w:left w:val="none" w:sz="0" w:space="0" w:color="auto"/>
        <w:bottom w:val="none" w:sz="0" w:space="0" w:color="auto"/>
        <w:right w:val="none" w:sz="0" w:space="0" w:color="auto"/>
      </w:divBdr>
    </w:div>
    <w:div w:id="1901402227">
      <w:bodyDiv w:val="1"/>
      <w:marLeft w:val="0"/>
      <w:marRight w:val="0"/>
      <w:marTop w:val="0"/>
      <w:marBottom w:val="0"/>
      <w:divBdr>
        <w:top w:val="none" w:sz="0" w:space="0" w:color="auto"/>
        <w:left w:val="none" w:sz="0" w:space="0" w:color="auto"/>
        <w:bottom w:val="none" w:sz="0" w:space="0" w:color="auto"/>
        <w:right w:val="none" w:sz="0" w:space="0" w:color="auto"/>
      </w:divBdr>
    </w:div>
    <w:div w:id="1965234319">
      <w:bodyDiv w:val="1"/>
      <w:marLeft w:val="0"/>
      <w:marRight w:val="0"/>
      <w:marTop w:val="0"/>
      <w:marBottom w:val="0"/>
      <w:divBdr>
        <w:top w:val="none" w:sz="0" w:space="0" w:color="auto"/>
        <w:left w:val="none" w:sz="0" w:space="0" w:color="auto"/>
        <w:bottom w:val="none" w:sz="0" w:space="0" w:color="auto"/>
        <w:right w:val="none" w:sz="0" w:space="0" w:color="auto"/>
      </w:divBdr>
    </w:div>
    <w:div w:id="20659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3728-3DB4-1F46-A0C5-BFABB0EB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10882</Words>
  <Characters>62034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Michael</dc:creator>
  <cp:keywords/>
  <dc:description/>
  <cp:lastModifiedBy>Dougan, Michael</cp:lastModifiedBy>
  <cp:revision>7</cp:revision>
  <dcterms:created xsi:type="dcterms:W3CDTF">2022-06-28T11:24:00Z</dcterms:created>
  <dcterms:modified xsi:type="dcterms:W3CDTF">2022-06-28T13:17:00Z</dcterms:modified>
</cp:coreProperties>
</file>